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December 7, 2020</w:t>
      </w:r>
    </w:p>
    <w:p>
      <w:pPr>
        <w:spacing w:after="0" w:line="41" w:lineRule="exact"/>
        <w:rPr>
          <w:sz w:val="24"/>
          <w:szCs w:val="24"/>
          <w:color w:val="auto"/>
        </w:rPr>
      </w:pPr>
    </w:p>
    <w:p>
      <w:pPr>
        <w:ind w:left="8900"/>
        <w:spacing w:after="0"/>
        <w:rPr>
          <w:sz w:val="20"/>
          <w:szCs w:val="20"/>
          <w:color w:val="auto"/>
        </w:rPr>
      </w:pPr>
      <w:r>
        <w:rPr>
          <w:rFonts w:ascii="Arial" w:cs="Arial" w:eastAsia="Arial" w:hAnsi="Arial"/>
          <w:sz w:val="14"/>
          <w:szCs w:val="14"/>
          <w:b w:val="1"/>
          <w:bCs w:val="1"/>
          <w:color w:val="auto"/>
        </w:rPr>
        <w:t>Registration Number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36195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111125</wp:posOffset>
            </wp:positionV>
            <wp:extent cx="2245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7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S-1</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jc w:val="center"/>
        <w:ind w:right="-99"/>
        <w:spacing w:after="0" w:line="234" w:lineRule="auto"/>
        <w:rPr>
          <w:sz w:val="20"/>
          <w:szCs w:val="20"/>
          <w:color w:val="auto"/>
        </w:rPr>
      </w:pPr>
      <w:r>
        <w:rPr>
          <w:rFonts w:ascii="Arial" w:cs="Arial" w:eastAsia="Arial" w:hAnsi="Arial"/>
          <w:sz w:val="17"/>
          <w:szCs w:val="17"/>
          <w:b w:val="1"/>
          <w:bCs w:val="1"/>
          <w:i w:val="1"/>
          <w:iCs w:val="1"/>
          <w:color w:val="auto"/>
        </w:rPr>
        <w:t>UNDER</w:t>
      </w:r>
    </w:p>
    <w:p>
      <w:pPr>
        <w:jc w:val="center"/>
        <w:ind w:right="-99"/>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111125</wp:posOffset>
            </wp:positionV>
            <wp:extent cx="2245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73"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ALX ONCOLOGY HOLDINGS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58"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2834</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85-0642577</w:t>
            </w:r>
          </w:p>
        </w:tc>
      </w:tr>
      <w:tr>
        <w:trPr>
          <w:trHeight w:val="16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104140</wp:posOffset>
            </wp:positionV>
            <wp:extent cx="2245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866 Malcolm Road, Suite 100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Burlingame, California 94010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650-466-7125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Jaume Pons, Ph.D.</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ALX Oncology Holdings Inc.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866 Malcolm Road, Suite 100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Burlingame, California 94010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650-466-7125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6" w:lineRule="exact"/>
        <w:rPr>
          <w:sz w:val="24"/>
          <w:szCs w:val="24"/>
          <w:color w:val="auto"/>
        </w:rPr>
      </w:pPr>
    </w:p>
    <w:tbl>
      <w:tblPr>
        <w:tblLayout w:type="fixed"/>
        <w:tblInd w:w="600" w:type="dxa"/>
        <w:tblCellMar>
          <w:top w:w="0" w:type="dxa"/>
          <w:left w:w="0" w:type="dxa"/>
          <w:bottom w:w="0" w:type="dxa"/>
          <w:right w:w="0" w:type="dxa"/>
        </w:tblCellMar>
      </w:tblPr>
      <w:tr>
        <w:trPr>
          <w:trHeight w:val="200"/>
        </w:trPr>
        <w:tc>
          <w:tcPr>
            <w:tcW w:w="3380" w:type="dxa"/>
            <w:vAlign w:val="bottom"/>
          </w:tcPr>
          <w:p>
            <w:pPr>
              <w:spacing w:after="0"/>
              <w:rPr>
                <w:sz w:val="17"/>
                <w:szCs w:val="17"/>
                <w:color w:val="auto"/>
              </w:rPr>
            </w:pPr>
          </w:p>
        </w:tc>
        <w:tc>
          <w:tcPr>
            <w:tcW w:w="3500" w:type="dxa"/>
            <w:vAlign w:val="bottom"/>
          </w:tcPr>
          <w:p>
            <w:pPr>
              <w:ind w:left="1120"/>
              <w:spacing w:after="0"/>
              <w:rPr>
                <w:sz w:val="20"/>
                <w:szCs w:val="20"/>
                <w:color w:val="auto"/>
              </w:rPr>
            </w:pPr>
            <w:r>
              <w:rPr>
                <w:rFonts w:ascii="Arial" w:cs="Arial" w:eastAsia="Arial" w:hAnsi="Arial"/>
                <w:sz w:val="14"/>
                <w:szCs w:val="14"/>
                <w:b w:val="1"/>
                <w:bCs w:val="1"/>
                <w:i w:val="1"/>
                <w:iCs w:val="1"/>
                <w:color w:val="auto"/>
              </w:rPr>
              <w:t>With copies to:</w:t>
            </w:r>
          </w:p>
        </w:tc>
        <w:tc>
          <w:tcPr>
            <w:tcW w:w="2960" w:type="dxa"/>
            <w:vAlign w:val="bottom"/>
          </w:tcPr>
          <w:p>
            <w:pPr>
              <w:spacing w:after="0"/>
              <w:rPr>
                <w:sz w:val="17"/>
                <w:szCs w:val="17"/>
                <w:color w:val="auto"/>
              </w:rPr>
            </w:pPr>
          </w:p>
        </w:tc>
      </w:tr>
      <w:tr>
        <w:trPr>
          <w:trHeight w:val="189"/>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Kenneth A. Clark</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Peter Garcia</w:t>
            </w:r>
          </w:p>
        </w:tc>
        <w:tc>
          <w:tcPr>
            <w:tcW w:w="2960" w:type="dxa"/>
            <w:vAlign w:val="bottom"/>
          </w:tcPr>
          <w:p>
            <w:pPr>
              <w:jc w:val="center"/>
              <w:ind w:left="748"/>
              <w:spacing w:after="0"/>
              <w:rPr>
                <w:sz w:val="20"/>
                <w:szCs w:val="20"/>
                <w:color w:val="auto"/>
              </w:rPr>
            </w:pPr>
            <w:r>
              <w:rPr>
                <w:rFonts w:ascii="Arial" w:cs="Arial" w:eastAsia="Arial" w:hAnsi="Arial"/>
                <w:sz w:val="14"/>
                <w:szCs w:val="14"/>
                <w:b w:val="1"/>
                <w:bCs w:val="1"/>
                <w:color w:val="auto"/>
              </w:rPr>
              <w:t>Dave Peinsipp</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Tony Jeffries</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Chief Financial Officer</w:t>
            </w:r>
          </w:p>
        </w:tc>
        <w:tc>
          <w:tcPr>
            <w:tcW w:w="2960" w:type="dxa"/>
            <w:vAlign w:val="bottom"/>
          </w:tcPr>
          <w:p>
            <w:pPr>
              <w:jc w:val="center"/>
              <w:ind w:left="748"/>
              <w:spacing w:after="0"/>
              <w:rPr>
                <w:sz w:val="20"/>
                <w:szCs w:val="20"/>
                <w:color w:val="auto"/>
              </w:rPr>
            </w:pPr>
            <w:r>
              <w:rPr>
                <w:rFonts w:ascii="Arial" w:cs="Arial" w:eastAsia="Arial" w:hAnsi="Arial"/>
                <w:sz w:val="14"/>
                <w:szCs w:val="14"/>
                <w:b w:val="1"/>
                <w:bCs w:val="1"/>
                <w:color w:val="auto"/>
              </w:rPr>
              <w:t>Kristin E. VanderPas</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Michael E. Coke</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ALX Oncology Holdings Inc.</w:t>
            </w:r>
          </w:p>
        </w:tc>
        <w:tc>
          <w:tcPr>
            <w:tcW w:w="2960" w:type="dxa"/>
            <w:vAlign w:val="bottom"/>
          </w:tcPr>
          <w:p>
            <w:pPr>
              <w:jc w:val="center"/>
              <w:ind w:left="748"/>
              <w:spacing w:after="0"/>
              <w:rPr>
                <w:sz w:val="20"/>
                <w:szCs w:val="20"/>
                <w:color w:val="auto"/>
              </w:rPr>
            </w:pPr>
            <w:r>
              <w:rPr>
                <w:rFonts w:ascii="Arial" w:cs="Arial" w:eastAsia="Arial" w:hAnsi="Arial"/>
                <w:sz w:val="14"/>
                <w:szCs w:val="14"/>
                <w:b w:val="1"/>
                <w:bCs w:val="1"/>
                <w:color w:val="auto"/>
              </w:rPr>
              <w:t>Laura Berezin</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Christina L. Poulsen</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866 Malcolm Road, Suite 100</w:t>
            </w:r>
          </w:p>
        </w:tc>
        <w:tc>
          <w:tcPr>
            <w:tcW w:w="2960" w:type="dxa"/>
            <w:vAlign w:val="bottom"/>
          </w:tcPr>
          <w:p>
            <w:pPr>
              <w:jc w:val="center"/>
              <w:ind w:left="748"/>
              <w:spacing w:after="0"/>
              <w:rPr>
                <w:sz w:val="20"/>
                <w:szCs w:val="20"/>
                <w:color w:val="auto"/>
              </w:rPr>
            </w:pPr>
            <w:r>
              <w:rPr>
                <w:rFonts w:ascii="Arial" w:cs="Arial" w:eastAsia="Arial" w:hAnsi="Arial"/>
                <w:sz w:val="14"/>
                <w:szCs w:val="14"/>
                <w:b w:val="1"/>
                <w:bCs w:val="1"/>
                <w:color w:val="auto"/>
              </w:rPr>
              <w:t>Denny Won</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Wilson Sonsini Goodrich &amp; Rosati, P.C.</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Burlingame, California 94010</w:t>
            </w:r>
          </w:p>
        </w:tc>
        <w:tc>
          <w:tcPr>
            <w:tcW w:w="2960" w:type="dxa"/>
            <w:vAlign w:val="bottom"/>
          </w:tcPr>
          <w:p>
            <w:pPr>
              <w:jc w:val="center"/>
              <w:ind w:left="74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650 Page Mill Road</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650-466-7125</w:t>
            </w:r>
          </w:p>
        </w:tc>
        <w:tc>
          <w:tcPr>
            <w:tcW w:w="2960" w:type="dxa"/>
            <w:vAlign w:val="bottom"/>
          </w:tcPr>
          <w:p>
            <w:pPr>
              <w:jc w:val="center"/>
              <w:ind w:left="748"/>
              <w:spacing w:after="0"/>
              <w:rPr>
                <w:sz w:val="20"/>
                <w:szCs w:val="20"/>
                <w:color w:val="auto"/>
              </w:rPr>
            </w:pPr>
            <w:r>
              <w:rPr>
                <w:rFonts w:ascii="Arial" w:cs="Arial" w:eastAsia="Arial" w:hAnsi="Arial"/>
                <w:sz w:val="14"/>
                <w:szCs w:val="14"/>
                <w:b w:val="1"/>
                <w:bCs w:val="1"/>
                <w:color w:val="auto"/>
              </w:rPr>
              <w:t>101 California Street</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Palo Alto, California 94304</w:t>
            </w:r>
          </w:p>
        </w:tc>
        <w:tc>
          <w:tcPr>
            <w:tcW w:w="3500" w:type="dxa"/>
            <w:vAlign w:val="bottom"/>
          </w:tcPr>
          <w:p>
            <w:pPr>
              <w:spacing w:after="0"/>
              <w:rPr>
                <w:sz w:val="14"/>
                <w:szCs w:val="14"/>
                <w:color w:val="auto"/>
              </w:rPr>
            </w:pPr>
          </w:p>
        </w:tc>
        <w:tc>
          <w:tcPr>
            <w:tcW w:w="2960" w:type="dxa"/>
            <w:vAlign w:val="bottom"/>
          </w:tcPr>
          <w:p>
            <w:pPr>
              <w:jc w:val="center"/>
              <w:ind w:left="748"/>
              <w:spacing w:after="0"/>
              <w:rPr>
                <w:sz w:val="20"/>
                <w:szCs w:val="20"/>
                <w:color w:val="auto"/>
              </w:rPr>
            </w:pPr>
            <w:r>
              <w:rPr>
                <w:rFonts w:ascii="Arial" w:cs="Arial" w:eastAsia="Arial" w:hAnsi="Arial"/>
                <w:sz w:val="14"/>
                <w:szCs w:val="14"/>
                <w:b w:val="1"/>
                <w:bCs w:val="1"/>
                <w:color w:val="auto"/>
              </w:rPr>
              <w:t>San Francisco, California 94111</w:t>
            </w:r>
          </w:p>
        </w:tc>
      </w:tr>
      <w:tr>
        <w:trPr>
          <w:trHeight w:val="20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650-493-9300</w:t>
            </w:r>
          </w:p>
        </w:tc>
        <w:tc>
          <w:tcPr>
            <w:tcW w:w="3500" w:type="dxa"/>
            <w:vAlign w:val="bottom"/>
          </w:tcPr>
          <w:p>
            <w:pPr>
              <w:spacing w:after="0"/>
              <w:rPr>
                <w:sz w:val="17"/>
                <w:szCs w:val="17"/>
                <w:color w:val="auto"/>
              </w:rPr>
            </w:pPr>
          </w:p>
        </w:tc>
        <w:tc>
          <w:tcPr>
            <w:tcW w:w="2960" w:type="dxa"/>
            <w:vAlign w:val="bottom"/>
          </w:tcPr>
          <w:p>
            <w:pPr>
              <w:jc w:val="center"/>
              <w:ind w:left="748"/>
              <w:spacing w:after="0"/>
              <w:rPr>
                <w:sz w:val="20"/>
                <w:szCs w:val="20"/>
                <w:color w:val="auto"/>
              </w:rPr>
            </w:pPr>
            <w:r>
              <w:rPr>
                <w:rFonts w:ascii="Arial" w:cs="Arial" w:eastAsia="Arial" w:hAnsi="Arial"/>
                <w:sz w:val="14"/>
                <w:szCs w:val="14"/>
                <w:b w:val="1"/>
                <w:bCs w:val="1"/>
                <w:color w:val="auto"/>
              </w:rPr>
              <w:t>415-693-2000</w:t>
            </w:r>
          </w:p>
        </w:tc>
      </w:tr>
    </w:tbl>
    <w:p>
      <w:pPr>
        <w:spacing w:after="0" w:line="29" w:lineRule="exact"/>
        <w:rPr>
          <w:sz w:val="24"/>
          <w:szCs w:val="24"/>
          <w:color w:val="auto"/>
        </w:rPr>
      </w:pPr>
    </w:p>
    <w:p>
      <w:pPr>
        <w:ind w:left="12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55" w:lineRule="exact"/>
        <w:rPr>
          <w:sz w:val="24"/>
          <w:szCs w:val="24"/>
          <w:color w:val="auto"/>
        </w:rPr>
      </w:pPr>
    </w:p>
    <w:p>
      <w:pPr>
        <w:ind w:left="120" w:right="360"/>
        <w:spacing w:after="0" w:line="18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4" w:lineRule="exact"/>
        <w:rPr>
          <w:sz w:val="24"/>
          <w:szCs w:val="24"/>
          <w:color w:val="auto"/>
        </w:rPr>
      </w:pPr>
    </w:p>
    <w:p>
      <w:pPr>
        <w:ind w:left="120" w:right="600"/>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left="120" w:right="280"/>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left="120" w:right="280"/>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 w:lineRule="exact"/>
        <w:rPr>
          <w:sz w:val="24"/>
          <w:szCs w:val="24"/>
          <w:color w:val="auto"/>
        </w:rPr>
      </w:pPr>
    </w:p>
    <w:p>
      <w:pPr>
        <w:ind w:left="120" w:right="100"/>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240" w:type="dxa"/>
            <w:vAlign w:val="bottom"/>
          </w:tcPr>
          <w:p>
            <w:pPr>
              <w:ind w:left="326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left="120" w:right="260" w:firstLine="440"/>
        <w:spacing w:after="0" w:line="184" w:lineRule="exact"/>
        <w:rPr>
          <w:sz w:val="20"/>
          <w:szCs w:val="20"/>
          <w:color w:val="auto"/>
        </w:rPr>
      </w:pPr>
      <w:r>
        <w:rPr>
          <w:rFonts w:ascii="Arial" w:cs="Arial" w:eastAsia="Arial" w:hAnsi="Arial"/>
          <w:sz w:val="14"/>
          <w:szCs w:val="14"/>
          <w:color w:val="auto"/>
        </w:rPr>
        <w:t xml:space="preserve">If an emerging growth company, indicate by checkmark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5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27"/>
        </w:trPr>
        <w:tc>
          <w:tcPr>
            <w:tcW w:w="356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jc w:val="center"/>
              <w:ind w:left="10"/>
              <w:spacing w:after="0" w:line="127" w:lineRule="exact"/>
              <w:rPr>
                <w:sz w:val="20"/>
                <w:szCs w:val="20"/>
                <w:color w:val="auto"/>
              </w:rPr>
            </w:pPr>
            <w:r>
              <w:rPr>
                <w:rFonts w:ascii="Arial" w:cs="Arial" w:eastAsia="Arial" w:hAnsi="Arial"/>
                <w:sz w:val="14"/>
                <w:szCs w:val="14"/>
                <w:b w:val="1"/>
                <w:bCs w:val="1"/>
                <w:color w:val="auto"/>
              </w:rPr>
              <w:t>PROPOSED</w:t>
            </w:r>
          </w:p>
        </w:tc>
        <w:tc>
          <w:tcPr>
            <w:tcW w:w="1860" w:type="dxa"/>
            <w:vAlign w:val="bottom"/>
            <w:tcBorders>
              <w:right w:val="single" w:sz="8" w:color="auto"/>
            </w:tcBorders>
          </w:tcPr>
          <w:p>
            <w:pPr>
              <w:jc w:val="center"/>
              <w:ind w:left="10"/>
              <w:spacing w:after="0" w:line="127" w:lineRule="exact"/>
              <w:rPr>
                <w:sz w:val="20"/>
                <w:szCs w:val="20"/>
                <w:color w:val="auto"/>
              </w:rPr>
            </w:pPr>
            <w:r>
              <w:rPr>
                <w:rFonts w:ascii="Arial" w:cs="Arial" w:eastAsia="Arial" w:hAnsi="Arial"/>
                <w:sz w:val="14"/>
                <w:szCs w:val="14"/>
                <w:b w:val="1"/>
                <w:bCs w:val="1"/>
                <w:color w:val="auto"/>
              </w:rPr>
              <w:t>PROPOSED</w:t>
            </w:r>
          </w:p>
        </w:tc>
        <w:tc>
          <w:tcPr>
            <w:tcW w:w="1860" w:type="dxa"/>
            <w:vAlign w:val="bottom"/>
          </w:tcPr>
          <w:p>
            <w:pPr>
              <w:spacing w:after="0"/>
              <w:rPr>
                <w:sz w:val="11"/>
                <w:szCs w:val="11"/>
                <w:color w:val="auto"/>
              </w:rPr>
            </w:pPr>
          </w:p>
        </w:tc>
      </w:tr>
      <w:tr>
        <w:trPr>
          <w:trHeight w:val="162"/>
        </w:trPr>
        <w:tc>
          <w:tcPr>
            <w:tcW w:w="35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rPr>
              <w:t>AMOUNT</w:t>
            </w:r>
          </w:p>
        </w:tc>
        <w:tc>
          <w:tcPr>
            <w:tcW w:w="186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rPr>
              <w:t>MAXIMUM</w:t>
            </w:r>
          </w:p>
        </w:tc>
        <w:tc>
          <w:tcPr>
            <w:tcW w:w="186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rPr>
              <w:t>MAXIMUM</w:t>
            </w:r>
          </w:p>
        </w:tc>
        <w:tc>
          <w:tcPr>
            <w:tcW w:w="1860" w:type="dxa"/>
            <w:vAlign w:val="bottom"/>
          </w:tcPr>
          <w:p>
            <w:pPr>
              <w:spacing w:after="0"/>
              <w:rPr>
                <w:sz w:val="14"/>
                <w:szCs w:val="14"/>
                <w:color w:val="auto"/>
              </w:rPr>
            </w:pPr>
          </w:p>
        </w:tc>
      </w:tr>
      <w:tr>
        <w:trPr>
          <w:trHeight w:val="164"/>
        </w:trPr>
        <w:tc>
          <w:tcPr>
            <w:tcW w:w="35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188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rPr>
              <w:t>TO BE</w:t>
            </w:r>
          </w:p>
        </w:tc>
        <w:tc>
          <w:tcPr>
            <w:tcW w:w="186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rPr>
              <w:t>OFFERING PRICE</w:t>
            </w:r>
          </w:p>
        </w:tc>
        <w:tc>
          <w:tcPr>
            <w:tcW w:w="186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9"/>
              </w:rPr>
              <w:t>AGGREGATE</w:t>
            </w:r>
          </w:p>
        </w:tc>
        <w:tc>
          <w:tcPr>
            <w:tcW w:w="1860" w:type="dxa"/>
            <w:vAlign w:val="bottom"/>
          </w:tcPr>
          <w:p>
            <w:pPr>
              <w:jc w:val="center"/>
              <w:ind w:left="28"/>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3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880" w:type="dxa"/>
            <w:vAlign w:val="bottom"/>
            <w:tcBorders>
              <w:bottom w:val="single" w:sz="8" w:color="auto"/>
              <w:right w:val="single" w:sz="8" w:color="auto"/>
            </w:tcBorders>
          </w:tcPr>
          <w:p>
            <w:pPr>
              <w:jc w:val="center"/>
              <w:ind w:left="10"/>
              <w:spacing w:after="0" w:line="189" w:lineRule="exact"/>
              <w:rPr>
                <w:sz w:val="20"/>
                <w:szCs w:val="20"/>
                <w:color w:val="auto"/>
              </w:rPr>
            </w:pPr>
            <w:r>
              <w:rPr>
                <w:rFonts w:ascii="Arial" w:cs="Arial" w:eastAsia="Arial" w:hAnsi="Arial"/>
                <w:sz w:val="13"/>
                <w:szCs w:val="13"/>
                <w:b w:val="1"/>
                <w:bCs w:val="1"/>
                <w:color w:val="auto"/>
              </w:rPr>
              <w:t>REGISTERED</w:t>
            </w:r>
            <w:r>
              <w:rPr>
                <w:rFonts w:ascii="Arial" w:cs="Arial" w:eastAsia="Arial" w:hAnsi="Arial"/>
                <w:sz w:val="21"/>
                <w:szCs w:val="21"/>
                <w:b w:val="1"/>
                <w:bCs w:val="1"/>
                <w:color w:val="auto"/>
                <w:vertAlign w:val="superscript"/>
              </w:rPr>
              <w:t>(1)</w:t>
            </w:r>
          </w:p>
        </w:tc>
        <w:tc>
          <w:tcPr>
            <w:tcW w:w="1860" w:type="dxa"/>
            <w:vAlign w:val="bottom"/>
            <w:tcBorders>
              <w:bottom w:val="single" w:sz="8" w:color="auto"/>
              <w:right w:val="single" w:sz="8" w:color="auto"/>
            </w:tcBorders>
          </w:tcPr>
          <w:p>
            <w:pPr>
              <w:jc w:val="center"/>
              <w:ind w:left="10"/>
              <w:spacing w:after="0" w:line="189" w:lineRule="exact"/>
              <w:rPr>
                <w:sz w:val="20"/>
                <w:szCs w:val="20"/>
                <w:color w:val="auto"/>
              </w:rPr>
            </w:pPr>
            <w:r>
              <w:rPr>
                <w:rFonts w:ascii="Arial" w:cs="Arial" w:eastAsia="Arial" w:hAnsi="Arial"/>
                <w:sz w:val="13"/>
                <w:szCs w:val="13"/>
                <w:b w:val="1"/>
                <w:bCs w:val="1"/>
                <w:color w:val="auto"/>
              </w:rPr>
              <w:t>PER SHARE</w:t>
            </w:r>
            <w:r>
              <w:rPr>
                <w:rFonts w:ascii="Arial" w:cs="Arial" w:eastAsia="Arial" w:hAnsi="Arial"/>
                <w:sz w:val="21"/>
                <w:szCs w:val="21"/>
                <w:b w:val="1"/>
                <w:bCs w:val="1"/>
                <w:color w:val="auto"/>
                <w:vertAlign w:val="superscript"/>
              </w:rPr>
              <w:t>(2)</w:t>
            </w:r>
          </w:p>
        </w:tc>
        <w:tc>
          <w:tcPr>
            <w:tcW w:w="1860" w:type="dxa"/>
            <w:vAlign w:val="bottom"/>
            <w:tcBorders>
              <w:bottom w:val="single" w:sz="8" w:color="auto"/>
              <w:right w:val="single" w:sz="8" w:color="auto"/>
            </w:tcBorders>
          </w:tcPr>
          <w:p>
            <w:pPr>
              <w:jc w:val="center"/>
              <w:ind w:left="30"/>
              <w:spacing w:after="0" w:line="189" w:lineRule="exact"/>
              <w:rPr>
                <w:sz w:val="20"/>
                <w:szCs w:val="20"/>
                <w:color w:val="auto"/>
              </w:rPr>
            </w:pPr>
            <w:r>
              <w:rPr>
                <w:rFonts w:ascii="Arial" w:cs="Arial" w:eastAsia="Arial" w:hAnsi="Arial"/>
                <w:sz w:val="13"/>
                <w:szCs w:val="13"/>
                <w:b w:val="1"/>
                <w:bCs w:val="1"/>
                <w:color w:val="auto"/>
              </w:rPr>
              <w:t>OFFERING PRICE</w:t>
            </w:r>
            <w:r>
              <w:rPr>
                <w:rFonts w:ascii="Arial" w:cs="Arial" w:eastAsia="Arial" w:hAnsi="Arial"/>
                <w:sz w:val="21"/>
                <w:szCs w:val="21"/>
                <w:b w:val="1"/>
                <w:bCs w:val="1"/>
                <w:color w:val="auto"/>
                <w:vertAlign w:val="superscript"/>
              </w:rPr>
              <w:t>(1)(2)</w:t>
            </w:r>
          </w:p>
        </w:tc>
        <w:tc>
          <w:tcPr>
            <w:tcW w:w="18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REGISTRATION FEE</w:t>
            </w:r>
          </w:p>
        </w:tc>
      </w:tr>
      <w:tr>
        <w:trPr>
          <w:trHeight w:val="155"/>
        </w:trPr>
        <w:tc>
          <w:tcPr>
            <w:tcW w:w="356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par value $0.001 per share</w:t>
            </w:r>
          </w:p>
        </w:tc>
        <w:tc>
          <w:tcPr>
            <w:tcW w:w="1880" w:type="dxa"/>
            <w:vAlign w:val="bottom"/>
            <w:tcBorders>
              <w:bottom w:val="single" w:sz="8" w:color="auto"/>
              <w:right w:val="single" w:sz="8" w:color="auto"/>
            </w:tcBorders>
          </w:tcPr>
          <w:p>
            <w:pPr>
              <w:jc w:val="center"/>
              <w:ind w:left="10"/>
              <w:spacing w:after="0" w:line="155" w:lineRule="exact"/>
              <w:rPr>
                <w:sz w:val="20"/>
                <w:szCs w:val="20"/>
                <w:color w:val="auto"/>
              </w:rPr>
            </w:pPr>
            <w:r>
              <w:rPr>
                <w:rFonts w:ascii="Arial" w:cs="Arial" w:eastAsia="Arial" w:hAnsi="Arial"/>
                <w:sz w:val="14"/>
                <w:szCs w:val="14"/>
                <w:color w:val="auto"/>
              </w:rPr>
              <w:t>2,300,000</w:t>
            </w:r>
          </w:p>
        </w:tc>
        <w:tc>
          <w:tcPr>
            <w:tcW w:w="18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$73.66</w:t>
            </w:r>
          </w:p>
        </w:tc>
        <w:tc>
          <w:tcPr>
            <w:tcW w:w="1860" w:type="dxa"/>
            <w:vAlign w:val="bottom"/>
            <w:tcBorders>
              <w:bottom w:val="single" w:sz="8" w:color="auto"/>
              <w:right w:val="single" w:sz="8" w:color="auto"/>
            </w:tcBorders>
          </w:tcPr>
          <w:p>
            <w:pPr>
              <w:jc w:val="center"/>
              <w:ind w:left="30"/>
              <w:spacing w:after="0" w:line="155" w:lineRule="exact"/>
              <w:rPr>
                <w:sz w:val="20"/>
                <w:szCs w:val="20"/>
                <w:color w:val="auto"/>
              </w:rPr>
            </w:pPr>
            <w:r>
              <w:rPr>
                <w:rFonts w:ascii="Arial" w:cs="Arial" w:eastAsia="Arial" w:hAnsi="Arial"/>
                <w:sz w:val="14"/>
                <w:szCs w:val="14"/>
                <w:color w:val="auto"/>
              </w:rPr>
              <w:t>$169,418,000</w:t>
            </w:r>
          </w:p>
        </w:tc>
        <w:tc>
          <w:tcPr>
            <w:tcW w:w="1860" w:type="dxa"/>
            <w:vAlign w:val="bottom"/>
            <w:tcBorders>
              <w:bottom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rPr>
              <w:t>$18,484</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ind w:left="540" w:hanging="276"/>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proposed maximum aggregate offering price includes the offering price of 300,000 additional shares that the underwriters have the option to purchase.</w:t>
      </w:r>
    </w:p>
    <w:p>
      <w:pPr>
        <w:spacing w:after="0" w:line="19" w:lineRule="exact"/>
        <w:rPr>
          <w:rFonts w:ascii="Arial" w:cs="Arial" w:eastAsia="Arial" w:hAnsi="Arial"/>
          <w:sz w:val="14"/>
          <w:szCs w:val="14"/>
          <w:color w:val="auto"/>
        </w:rPr>
      </w:pPr>
    </w:p>
    <w:p>
      <w:pPr>
        <w:ind w:left="540" w:right="20" w:hanging="276"/>
        <w:spacing w:after="0" w:line="252"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calculating the registration fee. In accordance with Rule 457(c) under the Securities Act of 1933, as amended, the maximum price per share and maximum aggregate offering price are based on the average of the $74.84 (high) and $72.49 (low) sale price of the registrant’s common stock as reported on The Nasdaq Global Select Market on December 4, 2020, which date is within five business days prior to filing this Registration Statement.</w:t>
      </w:r>
    </w:p>
    <w:p>
      <w:pPr>
        <w:spacing w:after="0" w:line="13" w:lineRule="exact"/>
        <w:rPr>
          <w:sz w:val="24"/>
          <w:szCs w:val="24"/>
          <w:color w:val="auto"/>
        </w:rPr>
      </w:pPr>
    </w:p>
    <w:p>
      <w:pPr>
        <w:jc w:val="both"/>
        <w:ind w:left="120" w:right="160"/>
        <w:spacing w:after="0" w:line="272"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90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b w:val="1"/>
          <w:bCs w:val="1"/>
          <w:color w:val="CC062A"/>
        </w:rPr>
        <w:t>The information contained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8"/>
          <w:szCs w:val="18"/>
          <w:color w:val="CC062A"/>
        </w:rPr>
        <w:t>SUBJECT TO COMPLETION, DATED DECEMBER 7, 2020</w:t>
      </w: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184785</wp:posOffset>
            </wp:positionV>
            <wp:extent cx="1954530" cy="702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Common Stock</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are offering 2,000,000 shares of our common stock.</w:t>
      </w:r>
    </w:p>
    <w:p>
      <w:pPr>
        <w:spacing w:after="0" w:line="156"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Our common stock is listed on the Nasdaq Global Select Market under the symbol “ALXO.” On December 4, 2020, the last reported sale price of our common stock on the Nasdaq Global Select Market was $73.22 per share.</w:t>
      </w:r>
    </w:p>
    <w:p>
      <w:pPr>
        <w:spacing w:after="0" w:line="92"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92" w:lineRule="exact"/>
        <w:rPr>
          <w:sz w:val="20"/>
          <w:szCs w:val="20"/>
          <w:color w:val="auto"/>
        </w:rPr>
      </w:pPr>
    </w:p>
    <w:p>
      <w:pPr>
        <w:ind w:left="120"/>
        <w:spacing w:after="0"/>
        <w:rPr>
          <w:rFonts w:ascii="Arial" w:cs="Arial" w:eastAsia="Arial" w:hAnsi="Arial"/>
          <w:sz w:val="17"/>
          <w:szCs w:val="17"/>
          <w:color w:val="auto"/>
        </w:rPr>
      </w:pPr>
      <w:r>
        <w:rPr>
          <w:rFonts w:ascii="Arial" w:cs="Arial" w:eastAsia="Arial" w:hAnsi="Arial"/>
          <w:sz w:val="17"/>
          <w:szCs w:val="17"/>
          <w:color w:val="auto"/>
        </w:rPr>
        <w:t>Investing in our common stock involves a high degree of risk. Please read “</w:t>
      </w:r>
      <w:hyperlink w:anchor="page15">
        <w:r>
          <w:rPr>
            <w:rFonts w:ascii="Arial" w:cs="Arial" w:eastAsia="Arial" w:hAnsi="Arial"/>
            <w:sz w:val="17"/>
            <w:szCs w:val="17"/>
            <w:u w:val="single" w:color="auto"/>
            <w:color w:val="0000EE"/>
          </w:rPr>
          <w:t>Risk Factors</w:t>
        </w:r>
      </w:hyperlink>
      <w:r>
        <w:rPr>
          <w:rFonts w:ascii="Arial" w:cs="Arial" w:eastAsia="Arial" w:hAnsi="Arial"/>
          <w:sz w:val="17"/>
          <w:szCs w:val="17"/>
          <w:color w:val="auto"/>
        </w:rPr>
        <w:t>” beginning on page 12 of this prospectus.</w:t>
      </w:r>
    </w:p>
    <w:p>
      <w:pPr>
        <w:spacing w:after="0" w:line="159" w:lineRule="exact"/>
        <w:rPr>
          <w:sz w:val="20"/>
          <w:szCs w:val="20"/>
          <w:color w:val="auto"/>
        </w:rPr>
      </w:pPr>
    </w:p>
    <w:p>
      <w:pPr>
        <w:ind w:left="120" w:right="300"/>
        <w:spacing w:after="0" w:line="319"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4" w:lineRule="exact"/>
        <w:rPr>
          <w:sz w:val="20"/>
          <w:szCs w:val="20"/>
          <w:color w:val="auto"/>
        </w:rPr>
      </w:pPr>
    </w:p>
    <w:tbl>
      <w:tblPr>
        <w:tblLayout w:type="fixed"/>
        <w:tblInd w:w="1000" w:type="dxa"/>
        <w:tblCellMar>
          <w:top w:w="0" w:type="dxa"/>
          <w:left w:w="0" w:type="dxa"/>
          <w:bottom w:w="0" w:type="dxa"/>
          <w:right w:w="0" w:type="dxa"/>
        </w:tblCellMar>
      </w:tblPr>
      <w:tr>
        <w:trPr>
          <w:trHeight w:val="177"/>
        </w:trPr>
        <w:tc>
          <w:tcPr>
            <w:tcW w:w="5600" w:type="dxa"/>
            <w:vAlign w:val="bottom"/>
          </w:tcPr>
          <w:p>
            <w:pPr>
              <w:spacing w:after="0"/>
              <w:rPr>
                <w:sz w:val="15"/>
                <w:szCs w:val="15"/>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66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83"/>
        </w:trPr>
        <w:tc>
          <w:tcPr>
            <w:tcW w:w="5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11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4"/>
        </w:trPr>
        <w:tc>
          <w:tcPr>
            <w:tcW w:w="560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Underwriting Discounts and Commissions</w:t>
            </w:r>
          </w:p>
        </w:tc>
        <w:tc>
          <w:tcPr>
            <w:tcW w:w="2000" w:type="dxa"/>
            <w:vAlign w:val="bottom"/>
            <w:gridSpan w:val="2"/>
            <w:shd w:val="clear" w:color="auto" w:fill="CCEEFF"/>
          </w:tcPr>
          <w:p>
            <w:pPr>
              <w:jc w:val="right"/>
              <w:ind w:right="685"/>
              <w:spacing w:after="0" w:line="4" w:lineRule="exact"/>
              <w:rPr>
                <w:sz w:val="20"/>
                <w:szCs w:val="20"/>
                <w:color w:val="auto"/>
              </w:rPr>
            </w:pPr>
            <w:r>
              <w:rPr>
                <w:rFonts w:ascii="Arial" w:cs="Arial" w:eastAsia="Arial" w:hAnsi="Arial"/>
                <w:sz w:val="1"/>
                <w:szCs w:val="1"/>
                <w:color w:val="auto"/>
              </w:rPr>
              <w:t>$</w:t>
            </w:r>
          </w:p>
        </w:tc>
        <w:tc>
          <w:tcPr>
            <w:tcW w:w="1600" w:type="dxa"/>
            <w:vAlign w:val="bottom"/>
            <w:gridSpan w:val="2"/>
            <w:shd w:val="clear" w:color="auto" w:fill="CCEEFF"/>
          </w:tcPr>
          <w:p>
            <w:pPr>
              <w:jc w:val="right"/>
              <w:ind w:right="787"/>
              <w:spacing w:after="0" w:line="4" w:lineRule="exact"/>
              <w:rPr>
                <w:sz w:val="20"/>
                <w:szCs w:val="20"/>
                <w:color w:val="auto"/>
              </w:rPr>
            </w:pPr>
            <w:r>
              <w:rPr>
                <w:rFonts w:ascii="Arial" w:cs="Arial" w:eastAsia="Arial" w:hAnsi="Arial"/>
                <w:sz w:val="1"/>
                <w:szCs w:val="1"/>
                <w:color w:val="auto"/>
              </w:rPr>
              <w:t>$</w:t>
            </w:r>
          </w:p>
        </w:tc>
        <w:tc>
          <w:tcPr>
            <w:tcW w:w="60" w:type="dxa"/>
            <w:vAlign w:val="bottom"/>
            <w:shd w:val="clear" w:color="auto" w:fill="CCEEFF"/>
          </w:tcPr>
          <w:p>
            <w:pPr>
              <w:spacing w:after="0" w:line="20" w:lineRule="exact"/>
              <w:rPr>
                <w:sz w:val="1"/>
                <w:szCs w:val="1"/>
                <w:color w:val="auto"/>
              </w:rPr>
            </w:pPr>
          </w:p>
        </w:tc>
      </w:tr>
      <w:tr>
        <w:trPr>
          <w:trHeight w:val="185"/>
        </w:trPr>
        <w:tc>
          <w:tcPr>
            <w:tcW w:w="5600" w:type="dxa"/>
            <w:vAlign w:val="bottom"/>
          </w:tcPr>
          <w:p>
            <w:pPr>
              <w:jc w:val="right"/>
              <w:ind w:right="2198"/>
              <w:spacing w:after="0"/>
              <w:rPr>
                <w:sz w:val="20"/>
                <w:szCs w:val="20"/>
                <w:color w:val="auto"/>
              </w:rPr>
            </w:pPr>
            <w:r>
              <w:rPr>
                <w:rFonts w:ascii="Arial" w:cs="Arial" w:eastAsia="Arial" w:hAnsi="Arial"/>
                <w:sz w:val="15"/>
                <w:szCs w:val="15"/>
                <w:color w:val="auto"/>
              </w:rPr>
              <w:t>(1)</w:t>
            </w: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ALX Oncology Holdings Inc., before expenses</w:t>
            </w:r>
          </w:p>
        </w:tc>
        <w:tc>
          <w:tcPr>
            <w:tcW w:w="2000" w:type="dxa"/>
            <w:vAlign w:val="bottom"/>
            <w:gridSpan w:val="2"/>
            <w:shd w:val="clear" w:color="auto" w:fill="CCEEFF"/>
          </w:tcPr>
          <w:p>
            <w:pPr>
              <w:jc w:val="right"/>
              <w:ind w:right="685"/>
              <w:spacing w:after="0" w:line="189" w:lineRule="exact"/>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ind w:right="787"/>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5" w:lineRule="exact"/>
        <w:rPr>
          <w:sz w:val="20"/>
          <w:szCs w:val="20"/>
          <w:color w:val="auto"/>
        </w:rPr>
      </w:pPr>
    </w:p>
    <w:p>
      <w:pPr>
        <w:ind w:left="540" w:hanging="249"/>
        <w:spacing w:after="0"/>
        <w:tabs>
          <w:tab w:leader="none" w:pos="54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“Underwriting” beginning on page 168 for additional information regarding underwriter compensation.</w:t>
      </w:r>
    </w:p>
    <w:p>
      <w:pPr>
        <w:spacing w:after="0" w:line="131"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Delivery of the shares of common stock is expected to be made on or about , 2020. We have granted the underwriters an option for a period of 30 days to purchase an additional 300,000 shares of our common stock. If the underwriters exercise the option in full, the total</w:t>
      </w:r>
    </w:p>
    <w:p>
      <w:pPr>
        <w:spacing w:after="0" w:line="1" w:lineRule="exact"/>
        <w:rPr>
          <w:sz w:val="20"/>
          <w:szCs w:val="20"/>
          <w:color w:val="auto"/>
        </w:rPr>
      </w:pPr>
    </w:p>
    <w:p>
      <w:pPr>
        <w:ind w:left="120"/>
        <w:spacing w:after="0"/>
        <w:tabs>
          <w:tab w:leader="none" w:pos="5360" w:val="left"/>
          <w:tab w:leader="none" w:pos="9960" w:val="left"/>
        </w:tabs>
        <w:rPr>
          <w:sz w:val="20"/>
          <w:szCs w:val="20"/>
          <w:color w:val="auto"/>
        </w:rPr>
      </w:pPr>
      <w:r>
        <w:rPr>
          <w:rFonts w:ascii="Arial" w:cs="Arial" w:eastAsia="Arial" w:hAnsi="Arial"/>
          <w:sz w:val="17"/>
          <w:szCs w:val="17"/>
          <w:color w:val="auto"/>
        </w:rPr>
        <w:t>underwriting discounts and commissions payable by us will be $</w:t>
      </w:r>
      <w:r>
        <w:rPr>
          <w:sz w:val="20"/>
          <w:szCs w:val="20"/>
          <w:color w:val="auto"/>
        </w:rPr>
        <w:tab/>
      </w:r>
      <w:r>
        <w:rPr>
          <w:rFonts w:ascii="Arial" w:cs="Arial" w:eastAsia="Arial" w:hAnsi="Arial"/>
          <w:sz w:val="17"/>
          <w:szCs w:val="17"/>
          <w:color w:val="auto"/>
        </w:rPr>
        <w:t>and the total proceeds to us, before expenses, will be $</w:t>
      </w:r>
      <w:r>
        <w:rPr>
          <w:sz w:val="20"/>
          <w:szCs w:val="20"/>
          <w:color w:val="auto"/>
        </w:rPr>
        <w:tab/>
      </w:r>
      <w:r>
        <w:rPr>
          <w:rFonts w:ascii="Arial" w:cs="Arial" w:eastAsia="Arial" w:hAnsi="Arial"/>
          <w:sz w:val="17"/>
          <w:szCs w:val="17"/>
          <w:color w:val="auto"/>
        </w:rPr>
        <w:t>.</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407"/>
        </w:trPr>
        <w:tc>
          <w:tcPr>
            <w:tcW w:w="2700" w:type="dxa"/>
            <w:vAlign w:val="bottom"/>
          </w:tcPr>
          <w:p>
            <w:pPr>
              <w:spacing w:after="0"/>
              <w:rPr>
                <w:sz w:val="20"/>
                <w:szCs w:val="20"/>
                <w:color w:val="auto"/>
              </w:rPr>
            </w:pPr>
            <w:r>
              <w:rPr>
                <w:rFonts w:ascii="Arial" w:cs="Arial" w:eastAsia="Arial" w:hAnsi="Arial"/>
                <w:sz w:val="29"/>
                <w:szCs w:val="29"/>
                <w:b w:val="1"/>
                <w:bCs w:val="1"/>
                <w:color w:val="auto"/>
              </w:rPr>
              <w:t>Jefferies</w:t>
            </w:r>
          </w:p>
        </w:tc>
        <w:tc>
          <w:tcPr>
            <w:tcW w:w="3580" w:type="dxa"/>
            <w:vAlign w:val="bottom"/>
          </w:tcPr>
          <w:p>
            <w:pPr>
              <w:ind w:left="1560"/>
              <w:spacing w:after="0"/>
              <w:rPr>
                <w:sz w:val="20"/>
                <w:szCs w:val="20"/>
                <w:color w:val="auto"/>
              </w:rPr>
            </w:pPr>
            <w:r>
              <w:rPr>
                <w:rFonts w:ascii="Arial" w:cs="Arial" w:eastAsia="Arial" w:hAnsi="Arial"/>
                <w:sz w:val="29"/>
                <w:szCs w:val="29"/>
                <w:b w:val="1"/>
                <w:bCs w:val="1"/>
                <w:color w:val="auto"/>
              </w:rPr>
              <w:t>Credit Suisse</w:t>
            </w:r>
          </w:p>
        </w:tc>
        <w:tc>
          <w:tcPr>
            <w:tcW w:w="4740" w:type="dxa"/>
            <w:vAlign w:val="bottom"/>
          </w:tcPr>
          <w:p>
            <w:pPr>
              <w:ind w:left="2160"/>
              <w:spacing w:after="0"/>
              <w:rPr>
                <w:sz w:val="20"/>
                <w:szCs w:val="20"/>
                <w:color w:val="auto"/>
              </w:rPr>
            </w:pPr>
            <w:r>
              <w:rPr>
                <w:rFonts w:ascii="Arial" w:cs="Arial" w:eastAsia="Arial" w:hAnsi="Arial"/>
                <w:sz w:val="29"/>
                <w:szCs w:val="29"/>
                <w:b w:val="1"/>
                <w:bCs w:val="1"/>
                <w:color w:val="auto"/>
              </w:rPr>
              <w:t>Piper Sandler</w:t>
            </w:r>
          </w:p>
        </w:tc>
        <w:tc>
          <w:tcPr>
            <w:tcW w:w="0" w:type="dxa"/>
            <w:vAlign w:val="bottom"/>
          </w:tcPr>
          <w:p>
            <w:pPr>
              <w:spacing w:after="0"/>
              <w:rPr>
                <w:sz w:val="1"/>
                <w:szCs w:val="1"/>
                <w:color w:val="auto"/>
              </w:rPr>
            </w:pPr>
          </w:p>
        </w:tc>
      </w:tr>
      <w:tr>
        <w:trPr>
          <w:trHeight w:val="501"/>
        </w:trPr>
        <w:tc>
          <w:tcPr>
            <w:tcW w:w="2700" w:type="dxa"/>
            <w:vAlign w:val="bottom"/>
          </w:tcPr>
          <w:p>
            <w:pPr>
              <w:spacing w:after="0"/>
              <w:rPr>
                <w:sz w:val="20"/>
                <w:szCs w:val="20"/>
                <w:color w:val="auto"/>
              </w:rPr>
            </w:pPr>
            <w:r>
              <w:rPr>
                <w:rFonts w:ascii="Arial" w:cs="Arial" w:eastAsia="Arial" w:hAnsi="Arial"/>
                <w:sz w:val="25"/>
                <w:szCs w:val="25"/>
                <w:b w:val="1"/>
                <w:bCs w:val="1"/>
                <w:color w:val="auto"/>
              </w:rPr>
              <w:t>Cantor</w:t>
            </w:r>
          </w:p>
        </w:tc>
        <w:tc>
          <w:tcPr>
            <w:tcW w:w="3580" w:type="dxa"/>
            <w:vAlign w:val="bottom"/>
            <w:vMerge w:val="restart"/>
          </w:tcPr>
          <w:p>
            <w:pPr>
              <w:ind w:left="2060"/>
              <w:spacing w:after="0"/>
              <w:rPr>
                <w:sz w:val="20"/>
                <w:szCs w:val="20"/>
                <w:color w:val="auto"/>
              </w:rPr>
            </w:pPr>
            <w:r>
              <w:rPr>
                <w:rFonts w:ascii="Arial" w:cs="Arial" w:eastAsia="Arial" w:hAnsi="Arial"/>
                <w:sz w:val="22"/>
                <w:szCs w:val="22"/>
                <w:b w:val="1"/>
                <w:bCs w:val="1"/>
                <w:color w:val="auto"/>
                <w:w w:val="98"/>
              </w:rPr>
              <w:t>LifeSci Capital</w:t>
            </w:r>
          </w:p>
        </w:tc>
        <w:tc>
          <w:tcPr>
            <w:tcW w:w="4740" w:type="dxa"/>
            <w:vAlign w:val="bottom"/>
          </w:tcPr>
          <w:p>
            <w:pPr>
              <w:ind w:left="2120"/>
              <w:spacing w:after="0"/>
              <w:rPr>
                <w:sz w:val="20"/>
                <w:szCs w:val="20"/>
                <w:color w:val="auto"/>
              </w:rPr>
            </w:pPr>
            <w:r>
              <w:rPr>
                <w:rFonts w:ascii="Arial" w:cs="Arial" w:eastAsia="Arial" w:hAnsi="Arial"/>
                <w:sz w:val="25"/>
                <w:szCs w:val="25"/>
                <w:b w:val="1"/>
                <w:bCs w:val="1"/>
                <w:color w:val="auto"/>
              </w:rPr>
              <w:t>UBS Investment Bank</w:t>
            </w: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1"/>
                <w:szCs w:val="21"/>
                <w:color w:val="auto"/>
              </w:rPr>
            </w:pPr>
          </w:p>
        </w:tc>
        <w:tc>
          <w:tcPr>
            <w:tcW w:w="3580" w:type="dxa"/>
            <w:vAlign w:val="bottom"/>
            <w:vMerge w:val="continue"/>
          </w:tcPr>
          <w:p>
            <w:pPr>
              <w:spacing w:after="0"/>
              <w:rPr>
                <w:sz w:val="21"/>
                <w:szCs w:val="21"/>
                <w:color w:val="auto"/>
              </w:rPr>
            </w:pPr>
          </w:p>
        </w:tc>
        <w:tc>
          <w:tcPr>
            <w:tcW w:w="4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2700" w:type="dxa"/>
            <w:vAlign w:val="bottom"/>
          </w:tcPr>
          <w:p>
            <w:pPr>
              <w:spacing w:after="0"/>
              <w:rPr>
                <w:sz w:val="24"/>
                <w:szCs w:val="24"/>
                <w:color w:val="auto"/>
              </w:rPr>
            </w:pPr>
          </w:p>
        </w:tc>
        <w:tc>
          <w:tcPr>
            <w:tcW w:w="3580" w:type="dxa"/>
            <w:vAlign w:val="bottom"/>
          </w:tcPr>
          <w:p>
            <w:pPr>
              <w:ind w:left="1520"/>
              <w:spacing w:after="0"/>
              <w:rPr>
                <w:sz w:val="20"/>
                <w:szCs w:val="20"/>
                <w:color w:val="auto"/>
              </w:rPr>
            </w:pPr>
            <w:r>
              <w:rPr>
                <w:rFonts w:ascii="Arial" w:cs="Arial" w:eastAsia="Arial" w:hAnsi="Arial"/>
                <w:sz w:val="17"/>
                <w:szCs w:val="17"/>
                <w:color w:val="auto"/>
              </w:rPr>
              <w:t>Prospectus dated</w:t>
            </w:r>
          </w:p>
        </w:tc>
        <w:tc>
          <w:tcPr>
            <w:tcW w:w="4740" w:type="dxa"/>
            <w:vAlign w:val="bottom"/>
          </w:tcPr>
          <w:p>
            <w:pPr>
              <w:jc w:val="right"/>
              <w:ind w:right="4122"/>
              <w:spacing w:after="0"/>
              <w:rPr>
                <w:sz w:val="20"/>
                <w:szCs w:val="20"/>
                <w:color w:val="auto"/>
              </w:rPr>
            </w:pPr>
            <w:r>
              <w:rPr>
                <w:rFonts w:ascii="Arial" w:cs="Arial" w:eastAsia="Arial" w:hAnsi="Arial"/>
                <w:sz w:val="17"/>
                <w:szCs w:val="17"/>
                <w:color w:val="auto"/>
              </w:rPr>
              <w:t>, 2020</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252730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0560" w:type="dxa"/>
            <w:vAlign w:val="bottom"/>
            <w:vMerge w:val="restart"/>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PROSPECTUS SUMMARY</w:t>
              </w:r>
            </w:hyperlink>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u w:val="single" w:color="auto"/>
                <w:color w:val="auto"/>
                <w:w w:val="95"/>
              </w:rPr>
              <w:t>PAGE</w:t>
            </w:r>
          </w:p>
        </w:tc>
        <w:tc>
          <w:tcPr>
            <w:tcW w:w="0" w:type="dxa"/>
            <w:vAlign w:val="bottom"/>
          </w:tcPr>
          <w:p>
            <w:pPr>
              <w:spacing w:after="0"/>
              <w:rPr>
                <w:sz w:val="1"/>
                <w:szCs w:val="1"/>
                <w:color w:val="auto"/>
              </w:rPr>
            </w:pPr>
          </w:p>
        </w:tc>
      </w:tr>
      <w:tr>
        <w:trPr>
          <w:trHeight w:val="174"/>
        </w:trPr>
        <w:tc>
          <w:tcPr>
            <w:tcW w:w="10560" w:type="dxa"/>
            <w:vAlign w:val="bottom"/>
            <w:vMerge w:val="continue"/>
          </w:tcPr>
          <w:p>
            <w:pPr>
              <w:spacing w:after="0"/>
              <w:rPr>
                <w:sz w:val="15"/>
                <w:szCs w:val="15"/>
                <w:color w:val="auto"/>
              </w:rPr>
            </w:pPr>
          </w:p>
        </w:tc>
        <w:tc>
          <w:tcPr>
            <w:tcW w:w="400" w:type="dxa"/>
            <w:vAlign w:val="bottom"/>
          </w:tcPr>
          <w:p>
            <w:pPr>
              <w:jc w:val="right"/>
              <w:spacing w:after="0" w:line="175"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
              <w:r>
                <w:rPr>
                  <w:rFonts w:ascii="Arial" w:cs="Arial" w:eastAsia="Arial" w:hAnsi="Arial"/>
                  <w:sz w:val="17"/>
                  <w:szCs w:val="17"/>
                  <w:u w:val="single" w:color="auto"/>
                  <w:color w:val="0000EE"/>
                </w:rPr>
                <w:t>RISK FACTORS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SPECIAL NOTE REGARDING FORWARD-LOOKING STATEMENTS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MARKET, INDUSTRY AND OTHER DATA</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2">
              <w:r>
                <w:rPr>
                  <w:rFonts w:ascii="Arial" w:cs="Arial" w:eastAsia="Arial" w:hAnsi="Arial"/>
                  <w:sz w:val="17"/>
                  <w:szCs w:val="17"/>
                  <w:u w:val="single" w:color="auto"/>
                  <w:color w:val="0000EE"/>
                </w:rPr>
                <w:t>USE OF PROCEEDS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DIVIDEND POLICY</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CAPITALIZATION</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DILUTION</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SELECTED CONSOLIDATED FINANCIAL DATA</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MANAGEMENT’S DISCUSSION AND ANALYSIS OF FINANCIAL CONDITION AND RESULTS OF OPERATIONS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98">
              <w:r>
                <w:rPr>
                  <w:rFonts w:ascii="Arial" w:cs="Arial" w:eastAsia="Arial" w:hAnsi="Arial"/>
                  <w:sz w:val="17"/>
                  <w:szCs w:val="17"/>
                  <w:u w:val="single" w:color="auto"/>
                  <w:color w:val="0000EE"/>
                </w:rPr>
                <w:t>BUSINESS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33">
              <w:r>
                <w:rPr>
                  <w:rFonts w:ascii="Arial" w:cs="Arial" w:eastAsia="Arial" w:hAnsi="Arial"/>
                  <w:sz w:val="17"/>
                  <w:szCs w:val="17"/>
                  <w:u w:val="single" w:color="auto"/>
                  <w:color w:val="0000EE"/>
                </w:rPr>
                <w:t>MANAGEMENT</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1">
              <w:r>
                <w:rPr>
                  <w:rFonts w:ascii="Arial" w:cs="Arial" w:eastAsia="Arial" w:hAnsi="Arial"/>
                  <w:sz w:val="17"/>
                  <w:szCs w:val="17"/>
                  <w:u w:val="single" w:color="auto"/>
                  <w:color w:val="0000EE"/>
                </w:rPr>
                <w:t>EXECUTIVE COMPENSATION</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1">
              <w:r>
                <w:rPr>
                  <w:rFonts w:ascii="Arial" w:cs="Arial" w:eastAsia="Arial" w:hAnsi="Arial"/>
                  <w:sz w:val="17"/>
                  <w:szCs w:val="17"/>
                  <w:u w:val="single" w:color="auto"/>
                  <w:color w:val="0000EE"/>
                </w:rPr>
                <w:t>CERTAIN RELATIONSHIPS AND RELATED-PARTY TRANSACTIONS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7">
              <w:r>
                <w:rPr>
                  <w:rFonts w:ascii="Arial" w:cs="Arial" w:eastAsia="Arial" w:hAnsi="Arial"/>
                  <w:sz w:val="17"/>
                  <w:szCs w:val="17"/>
                  <w:u w:val="single" w:color="auto"/>
                  <w:color w:val="0000EE"/>
                </w:rPr>
                <w:t>PRINCIPAL STOCKHOLDERS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0">
              <w:r>
                <w:rPr>
                  <w:rFonts w:ascii="Arial" w:cs="Arial" w:eastAsia="Arial" w:hAnsi="Arial"/>
                  <w:sz w:val="17"/>
                  <w:szCs w:val="17"/>
                  <w:u w:val="single" w:color="auto"/>
                  <w:color w:val="0000EE"/>
                </w:rPr>
                <w:t>DESCRIPTION OF CAPITAL STOCK</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5">
              <w:r>
                <w:rPr>
                  <w:rFonts w:ascii="Arial" w:cs="Arial" w:eastAsia="Arial" w:hAnsi="Arial"/>
                  <w:sz w:val="17"/>
                  <w:szCs w:val="17"/>
                  <w:u w:val="single" w:color="auto"/>
                  <w:color w:val="0000EE"/>
                </w:rPr>
                <w:t>SHARES ELIGIBLE FOR FUTURE SALE</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MATERIAL U.S. FEDERAL INCOME AND TAX CONSIDERATIONS FOR NON-U.S. HOLDERS OF OUR COMMON STOCK</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1">
              <w:r>
                <w:rPr>
                  <w:rFonts w:ascii="Arial" w:cs="Arial" w:eastAsia="Arial" w:hAnsi="Arial"/>
                  <w:sz w:val="17"/>
                  <w:szCs w:val="17"/>
                  <w:u w:val="single" w:color="auto"/>
                  <w:color w:val="0000EE"/>
                </w:rPr>
                <w:t>UNDERWRITING</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LEGAL MATTERS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EXPERTS</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WHERE YOU CAN FIND ADDITIONAL INFORMATION</w:t>
              </w:r>
            </w:hyperlink>
          </w:p>
        </w:tc>
        <w:tc>
          <w:tcPr>
            <w:tcW w:w="400" w:type="dxa"/>
            <w:vAlign w:val="bottom"/>
          </w:tcPr>
          <w:p>
            <w:pPr>
              <w:jc w:val="right"/>
              <w:spacing w:after="0" w:line="189" w:lineRule="exact"/>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31"/>
        </w:trPr>
        <w:tc>
          <w:tcPr>
            <w:tcW w:w="10560" w:type="dxa"/>
            <w:vAlign w:val="bottom"/>
          </w:tcPr>
          <w:p>
            <w:pPr>
              <w:spacing w:after="0"/>
              <w:rPr>
                <w:rFonts w:ascii="Arial" w:cs="Arial" w:eastAsia="Arial" w:hAnsi="Arial"/>
                <w:sz w:val="17"/>
                <w:szCs w:val="17"/>
                <w:u w:val="single" w:color="auto"/>
                <w:color w:val="0000EE"/>
              </w:rPr>
            </w:pPr>
            <w:hyperlink w:anchor="page180">
              <w:r>
                <w:rPr>
                  <w:rFonts w:ascii="Arial" w:cs="Arial" w:eastAsia="Arial" w:hAnsi="Arial"/>
                  <w:sz w:val="17"/>
                  <w:szCs w:val="17"/>
                  <w:u w:val="single" w:color="auto"/>
                  <w:color w:val="0000EE"/>
                </w:rPr>
                <w:t>INDEX TO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0"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common stock offered hereby. Our business, financial condition, results of operations and prospects may have changed since that date.</w:t>
      </w:r>
    </w:p>
    <w:p>
      <w:pPr>
        <w:spacing w:after="0" w:line="122"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214630</wp:posOffset>
            </wp:positionV>
            <wp:extent cx="6998970" cy="5473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47306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PROSPECTUS SUMMARY</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consolidated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and our consolidated financial statements and related notes. In this prospectus, unless the context requires otherwise, references to “we,” “us,” “our,” “ALX,” “ALX Oncology,” or “the Company” refer to ALX Oncology Holdings Inc. and its subsidiaries on a combined basis.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Overview</w:t>
      </w:r>
    </w:p>
    <w:p>
      <w:pPr>
        <w:spacing w:after="0" w:line="63" w:lineRule="exact"/>
        <w:rPr>
          <w:sz w:val="20"/>
          <w:szCs w:val="20"/>
          <w:color w:val="auto"/>
        </w:rPr>
      </w:pPr>
    </w:p>
    <w:p>
      <w:pPr>
        <w:ind w:left="300" w:right="40"/>
        <w:spacing w:after="0" w:line="235"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As of October 1, 2020, we have dosed over 160 subjects with ALX148 across a range of hematologic and solid malignancies in combination with a number of leading anti-cancer agents. We plan to initiate additional studies in combination with leading anti-cancer agents. In hematologic malignancies, we have dosed the first subjects for the treatment of myelodysplastic syndromes, or MDS, and intend to advance ALX148 into clinical development for the treatment of acute myeloid leukemia, or AML, in 2021. In solid tumors, we intend to initiate Phase 2 trials of ALX148 for the treatment of first-line head and neck cancer, second line gastric/gastroesophageal junction, or GEJ, cancer and a Phase 1 trial for the treatment of breast cancer in 2021.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28" w:lineRule="exact"/>
        <w:rPr>
          <w:sz w:val="20"/>
          <w:szCs w:val="20"/>
          <w:color w:val="auto"/>
        </w:rPr>
      </w:pPr>
    </w:p>
    <w:p>
      <w:pPr>
        <w:ind w:left="300" w:right="60"/>
        <w:spacing w:after="0" w:line="236"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81" w:lineRule="exact"/>
        <w:rPr>
          <w:sz w:val="20"/>
          <w:szCs w:val="20"/>
          <w:color w:val="auto"/>
        </w:rPr>
      </w:pPr>
    </w:p>
    <w:p>
      <w:pPr>
        <w:ind w:left="300" w:right="20"/>
        <w:spacing w:after="0" w:line="242"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40"/>
          </w:cols>
          <w:pgMar w:left="320" w:top="455" w:right="6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214630</wp:posOffset>
            </wp:positionV>
            <wp:extent cx="6998970" cy="6536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00" w:right="160"/>
        <w:spacing w:after="0" w:line="253" w:lineRule="auto"/>
        <w:rPr>
          <w:sz w:val="20"/>
          <w:szCs w:val="20"/>
          <w:color w:val="auto"/>
        </w:rPr>
      </w:pPr>
      <w:r>
        <w:rPr>
          <w:rFonts w:ascii="Arial" w:cs="Arial" w:eastAsia="Arial" w:hAnsi="Arial"/>
          <w:sz w:val="17"/>
          <w:szCs w:val="17"/>
          <w:color w:val="auto"/>
        </w:rPr>
        <w:t>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165" w:lineRule="exact"/>
        <w:rPr>
          <w:sz w:val="20"/>
          <w:szCs w:val="20"/>
          <w:color w:val="auto"/>
        </w:rPr>
      </w:pPr>
    </w:p>
    <w:p>
      <w:pPr>
        <w:ind w:left="300" w:right="20"/>
        <w:spacing w:after="0"/>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signal regulatory protein alpha, or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Clinical data to date in ALX148 have not shown dose-dependent hematologic toxicities, which are characteristic of other CD47 blockers that incorporate an active Fc domain.</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Pipeline</w:t>
      </w:r>
    </w:p>
    <w:p>
      <w:pPr>
        <w:spacing w:after="0" w:line="63" w:lineRule="exact"/>
        <w:rPr>
          <w:sz w:val="20"/>
          <w:szCs w:val="20"/>
          <w:color w:val="auto"/>
        </w:rPr>
      </w:pPr>
    </w:p>
    <w:p>
      <w:pPr>
        <w:ind w:left="300" w:right="120"/>
        <w:spacing w:after="0" w:line="253"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ALX148 for the Treatment of MDS and AML</w:t>
      </w:r>
    </w:p>
    <w:p>
      <w:pPr>
        <w:spacing w:after="0" w:line="77" w:lineRule="exact"/>
        <w:rPr>
          <w:sz w:val="20"/>
          <w:szCs w:val="20"/>
          <w:color w:val="auto"/>
        </w:rPr>
      </w:pPr>
    </w:p>
    <w:p>
      <w:pPr>
        <w:ind w:left="300"/>
        <w:spacing w:after="0" w:line="246" w:lineRule="auto"/>
        <w:rPr>
          <w:sz w:val="20"/>
          <w:szCs w:val="20"/>
          <w:color w:val="auto"/>
        </w:rPr>
      </w:pPr>
      <w:r>
        <w:rPr>
          <w:rFonts w:ascii="Arial" w:cs="Arial" w:eastAsia="Arial" w:hAnsi="Arial"/>
          <w:sz w:val="17"/>
          <w:szCs w:val="17"/>
          <w:color w:val="auto"/>
        </w:rPr>
        <w:t>In October 2020, we initiated the Phase 1/2 trial of ALX148 in combination with azacitidine for the treatment of MDS, a hematologic malignancy affecting over 70,000 people in the United States. We initially explored the treatment of patients with hematologic malignancies in our ongoing Phase 1b trial of ALX148 in combination with rituximab, an anti-CD20 agent in subjects with relapsed/refractory Non-Hodgkin’s lymphoma, or NHL.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214630</wp:posOffset>
            </wp:positionV>
            <wp:extent cx="6998970" cy="535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3530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00"/>
        <w:spacing w:after="0" w:line="237" w:lineRule="auto"/>
        <w:rPr>
          <w:sz w:val="20"/>
          <w:szCs w:val="20"/>
          <w:color w:val="auto"/>
        </w:rPr>
      </w:pPr>
      <w:r>
        <w:rPr>
          <w:rFonts w:ascii="Arial" w:cs="Arial" w:eastAsia="Arial" w:hAnsi="Arial"/>
          <w:sz w:val="17"/>
          <w:szCs w:val="17"/>
          <w:color w:val="auto"/>
        </w:rPr>
        <w:t>ALX148 demonstrated a higher response rate at higher doses and as of October 1, 2020 achieved a 70.0% objective response rate, or ORR, in the highest dose (15 mg/kg once per week) cohort. We view this ORR as compelling evidence for the role of ALX148 in treating hematologic malignancies and as a favorable comparison to outcomes reported by other CD47 blocking agents in a similar patient population. Other CD47 blocking agents in development have demonstrated clinical evidence supporting the role of CD47 blockade in treating hematologic malignances, specifically in MDS, albeit with high rates of cytopenias. We have conducted preclinical studies of ALX148 combined with azacitidine, a standard of care agent for the treatment of MDS, that support our clinical development plan in MDS. Our studies and those of others show that azacitidine increases calreticulin display, an “eat me” signal, in tumor models. The addition of ALX148 to azacitidine shows increased phagocytic activity in vitro and tumor elimination in mouse models as compared to azacitidine alone. We have dosed the first subjects in our Phase 1b/2 MDS trial in the fourth quarter of 2020.</w:t>
      </w:r>
    </w:p>
    <w:p>
      <w:pPr>
        <w:spacing w:after="0" w:line="126" w:lineRule="exact"/>
        <w:rPr>
          <w:sz w:val="20"/>
          <w:szCs w:val="20"/>
          <w:color w:val="auto"/>
        </w:rPr>
      </w:pPr>
    </w:p>
    <w:p>
      <w:pPr>
        <w:ind w:left="300" w:right="20"/>
        <w:spacing w:after="0" w:line="237" w:lineRule="auto"/>
        <w:rPr>
          <w:sz w:val="20"/>
          <w:szCs w:val="20"/>
          <w:color w:val="auto"/>
        </w:rPr>
      </w:pPr>
      <w:r>
        <w:rPr>
          <w:rFonts w:ascii="Arial" w:cs="Arial" w:eastAsia="Arial" w:hAnsi="Arial"/>
          <w:sz w:val="17"/>
          <w:szCs w:val="17"/>
          <w:color w:val="auto"/>
        </w:rPr>
        <w:t>We also plan to develop ALX148 for the treatment of AML, a hematologic malignancy affecting over 35,000 people in the United States with an expected 20,000 newly diagnosed patients and over 11,000 deaths from the disease in 2020. Over half of these patients are diagnosed at age 65 or older. ALX148’s potential for the treatment of patients with AML is supported by our existing data in NHL, preclinical studies of ALX148 in combination with azacitidine or venetoclax, and clinical evidence from other CD47 blocking agents studied in AML. Combination treatment of ALX148 with azacitidine or venetoclax led to tumor elimination and prolonged survival in leukemia mouse models. Both azacitidine and venetoclax are standard of care options for patients with AML who are not candidates for intensive induction chemotherapy regimens. Consequently, we view our preclinical studies as supportive of ALX148’s potential role as a tolerable combination agent that may increase the activity of standard of care agents in an unfit, older population. We are planning to advance ALX148 into a Phase 1b/2 trial in combination venetoclax and azacitidine in the first-line treatment of subjects with AML in 2021.</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ALX148 for the Treatment of Solid Tumors</w:t>
      </w:r>
    </w:p>
    <w:p>
      <w:pPr>
        <w:spacing w:after="0" w:line="63" w:lineRule="exact"/>
        <w:rPr>
          <w:sz w:val="20"/>
          <w:szCs w:val="20"/>
          <w:color w:val="auto"/>
        </w:rPr>
      </w:pPr>
    </w:p>
    <w:p>
      <w:pPr>
        <w:ind w:left="300" w:right="40"/>
        <w:spacing w:after="0"/>
        <w:rPr>
          <w:sz w:val="20"/>
          <w:szCs w:val="20"/>
          <w:color w:val="auto"/>
        </w:rPr>
      </w:pPr>
      <w:r>
        <w:rPr>
          <w:rFonts w:ascii="Arial" w:cs="Arial" w:eastAsia="Arial" w:hAnsi="Arial"/>
          <w:sz w:val="17"/>
          <w:szCs w:val="17"/>
          <w:color w:val="auto"/>
        </w:rPr>
        <w:t>ALX148 has generated clinical data in solid tumors in various combinations, including with a leading tumor antigen targeting antibody, a leading checkpoint inhibitor and chemotherapy. We believe that ALX148 induces multiple responses that bridge innate and adaptive immunity. We are investigating ALX148 for the first-line treatment of head and neck squamous cell carcinoma, or HNSCC, for second-line treatment of human epidermal growth factor receptor 2, or HER2-positive gastric/GEJ carcinoma, and for HER2-expressing advanced breast cancer and other solid tumors. In the United States there are over 38,000 people living with metastatic HNSCC, and there are over 25,000 people living with metastatic gastric/GEJ carcinoma, and there are over 150,000 people living with metastatic breast cancer.</w:t>
      </w:r>
    </w:p>
    <w:p>
      <w:pPr>
        <w:spacing w:after="0" w:line="123" w:lineRule="exact"/>
        <w:rPr>
          <w:sz w:val="20"/>
          <w:szCs w:val="20"/>
          <w:color w:val="auto"/>
        </w:rPr>
      </w:pPr>
    </w:p>
    <w:p>
      <w:pPr>
        <w:ind w:left="300" w:right="160"/>
        <w:spacing w:after="0" w:line="235" w:lineRule="auto"/>
        <w:rPr>
          <w:sz w:val="20"/>
          <w:szCs w:val="20"/>
          <w:color w:val="auto"/>
        </w:rPr>
      </w:pPr>
      <w:r>
        <w:rPr>
          <w:rFonts w:ascii="Arial" w:cs="Arial" w:eastAsia="Arial" w:hAnsi="Arial"/>
          <w:sz w:val="17"/>
          <w:szCs w:val="17"/>
          <w:color w:val="auto"/>
        </w:rPr>
        <w:t>In Phase 1b clinical trials, ALX148 has demonstrated both objective clinical response per the Response Evaluation Criteria in Solid Tumors criteria and tolerability in combination with other broadly used cancer agents. Based on these results, the Food &amp; Drug Administration, or FDA, has granted Fast Track designation for ALX148 for both the treatment of patients with HNSCC in the first-line setting and for HER2-positive advanced gastric/GEJ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of ALX148 in solid tumors. We are planning to advance ALX148 into Phase 2 trials in subjects with HNSCC in combination with pembrolizumab, marketed as Keytruda, the market leading anti-programmed cell death protein-1, or PD-1, checkpoint inhibitor, with or without chemotherapy, in the first half of 2021. This trial will be conducted in collaboration with Merck. We are also planning to advance ALX148 into Phase 2 trials in patients with HER2-positive gastric/GEJ carcinoma in combination with trastuzumab, marketed as Herceptin, the market-leading anti-HER2 antibody, and ramucirumab and paclitaxel, the second-line standard of care, in the second half of 2021. We have also entered into a clinical trial collaboration with Zymeworks to initiate a Phase 1 trial of ALX148 in combination with Zymeworks’ HER2-targeted bispecific antibody zanidatamab for the treatment of patients with HER2-overexpressing breast cancer and other solid tumors.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214630</wp:posOffset>
            </wp:positionV>
            <wp:extent cx="6998970" cy="52076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2076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6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94" w:lineRule="exact"/>
        <w:rPr>
          <w:sz w:val="20"/>
          <w:szCs w:val="20"/>
          <w:color w:val="auto"/>
        </w:rPr>
      </w:pPr>
    </w:p>
    <w:p>
      <w:pPr>
        <w:ind w:left="1120" w:hanging="403"/>
        <w:spacing w:after="0" w:line="236"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our lead product candidate, ALX148, through clinical development for MDS and AML. </w:t>
      </w:r>
      <w:r>
        <w:rPr>
          <w:rFonts w:ascii="Arial" w:cs="Arial" w:eastAsia="Arial" w:hAnsi="Arial"/>
          <w:sz w:val="17"/>
          <w:szCs w:val="17"/>
          <w:color w:val="auto"/>
        </w:rPr>
        <w:t>We have initiated a</w:t>
      </w:r>
      <w:r>
        <w:rPr>
          <w:rFonts w:ascii="Arial" w:cs="Arial" w:eastAsia="Arial" w:hAnsi="Arial"/>
          <w:sz w:val="17"/>
          <w:szCs w:val="17"/>
          <w:b w:val="1"/>
          <w:bCs w:val="1"/>
          <w:color w:val="auto"/>
        </w:rPr>
        <w:t xml:space="preserve"> </w:t>
      </w:r>
      <w:r>
        <w:rPr>
          <w:rFonts w:ascii="Arial" w:cs="Arial" w:eastAsia="Arial" w:hAnsi="Arial"/>
          <w:sz w:val="17"/>
          <w:szCs w:val="17"/>
          <w:color w:val="auto"/>
        </w:rPr>
        <w:t>Phase 1b/2 trial of ALX148, in combination with azacitidine, for the treatment of patients with higher-risk MDS and plan to initiate a Phase 1b/2 trial in combination with venetoclax and azacitidine for the first-line treatment of patients with AML in 2021. 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higher risk MDS. Similarly, we believe ALX148 combination therapies could address the significant unmet need for more active tolerable regimens in the majority of patients with AML who are not fit for intensive induction chemotherapy. While we plan to seek accelerated approval by the FDA for the use of ALX148 in higher risk MDS, and potentially AML, and may do so opportunistically for other indications in the future, there is no assurance that this approach will be successful for these as well as other indications.</w:t>
      </w:r>
    </w:p>
    <w:p>
      <w:pPr>
        <w:spacing w:after="0" w:line="8" w:lineRule="exact"/>
        <w:rPr>
          <w:rFonts w:ascii="MS PGothic" w:cs="MS PGothic" w:eastAsia="MS PGothic" w:hAnsi="MS PGothic"/>
          <w:sz w:val="13"/>
          <w:szCs w:val="13"/>
          <w:color w:val="auto"/>
        </w:rPr>
      </w:pPr>
    </w:p>
    <w:p>
      <w:pPr>
        <w:ind w:left="1120" w:right="20" w:hanging="403"/>
        <w:spacing w:after="0" w:line="236"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other CD47 blocking approaches in solid tumors. We have generated encouraging data in subjects with HNSCC treated with ALX148 in combination with a PD-1 checkpoint inhibitor with and without chemotherapy, and in subjects with HER2-positive gastric/GEJ cancer, who have progressed on prior HER2-targeted therapy and chemotherapy, treated in combination with a HER2-targeted antibody with and without chemotherapy. The FDA has granted ALX148 Fast Track designation in first-line HNSCC and advanced HER2 positive gastric/GEJ cancer. We intend to pursue a strategy in which we will leverage the data generated from our planned Phase 2 randomized trials of ALX148 and pembrolizumab with and without chemotherapy to request from the FDA that ALX148 be a candidate for accelerated approval in the first-line treatment of HNSCC. We are also planning a Phase 2 trial of ALX148, trastuzumab and chemotherapy in second-line HER2-positive gastric/GEJ cancer to inform future paths to registration in this indication. We also plan to initiate an additional Phase 1 trial of ALX148 in patients with HER2-expressing breast cancer and other solid tumors in combination with zanidatamab.</w:t>
      </w:r>
    </w:p>
    <w:p>
      <w:pPr>
        <w:spacing w:after="0" w:line="5" w:lineRule="exact"/>
        <w:rPr>
          <w:rFonts w:ascii="MS PGothic" w:cs="MS PGothic" w:eastAsia="MS PGothic" w:hAnsi="MS PGothic"/>
          <w:sz w:val="13"/>
          <w:szCs w:val="13"/>
          <w:color w:val="auto"/>
        </w:rPr>
      </w:pPr>
    </w:p>
    <w:p>
      <w:pPr>
        <w:ind w:left="1120" w:right="40" w:hanging="403"/>
        <w:spacing w:after="0" w:line="244"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w:t>
      </w:r>
      <w:r>
        <w:rPr>
          <w:rFonts w:ascii="Arial" w:cs="Arial" w:eastAsia="Arial" w:hAnsi="Arial"/>
          <w:sz w:val="17"/>
          <w:szCs w:val="17"/>
          <w:b w:val="1"/>
          <w:bCs w:val="1"/>
          <w:color w:val="auto"/>
        </w:rPr>
        <w:t xml:space="preserve"> </w:t>
      </w:r>
      <w:r>
        <w:rPr>
          <w:rFonts w:ascii="Arial" w:cs="Arial" w:eastAsia="Arial" w:hAnsi="Arial"/>
          <w:sz w:val="17"/>
          <w:szCs w:val="17"/>
          <w:color w:val="auto"/>
        </w:rPr>
        <w:t>engage the immune system. We continue to develop a pipeline of immuno-oncology programs that represent complementary, but differentiated, approaches to engaging the innate and adaptive immune systems.</w:t>
      </w:r>
    </w:p>
    <w:p>
      <w:pPr>
        <w:spacing w:after="0" w:line="1" w:lineRule="exact"/>
        <w:rPr>
          <w:rFonts w:ascii="MS PGothic" w:cs="MS PGothic" w:eastAsia="MS PGothic" w:hAnsi="MS PGothic"/>
          <w:sz w:val="13"/>
          <w:szCs w:val="13"/>
          <w:color w:val="auto"/>
        </w:rPr>
      </w:pPr>
    </w:p>
    <w:p>
      <w:pPr>
        <w:ind w:left="1120" w:right="40" w:hanging="403"/>
        <w:spacing w:after="0" w:line="237"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Developing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may partner with other companies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complementary resources that will maximize the value of our current and future product candidates. Such partnerships may allow us to pair ALX148 and any future product candidates with other novel agents owned fully or in part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 In September 2020, we announced a clinical trial collaboration with Merck on a Phase 2 trial evaluating ALX148 in combination with pembrolizumab with and without chemotherapy in patients with head and neck cancer. In November 2020, we announced a clinical trial collaboration with Zymeworks on 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00"/>
          </w:cols>
          <w:pgMar w:left="320" w:top="455" w:right="6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214630</wp:posOffset>
            </wp:positionV>
            <wp:extent cx="6998970" cy="5584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140" w:right="480"/>
        <w:spacing w:after="0" w:line="275" w:lineRule="auto"/>
        <w:rPr>
          <w:sz w:val="20"/>
          <w:szCs w:val="20"/>
          <w:color w:val="auto"/>
        </w:rPr>
      </w:pPr>
      <w:r>
        <w:rPr>
          <w:rFonts w:ascii="Arial" w:cs="Arial" w:eastAsia="Arial" w:hAnsi="Arial"/>
          <w:sz w:val="17"/>
          <w:szCs w:val="17"/>
          <w:color w:val="auto"/>
        </w:rPr>
        <w:t>Phase 1 trial evaluating ALX148 with the HER2-targeting bispecific antibody zanidatamab in patients with advanced HER2-expressing breast cancer and other solid tumors.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60" w:lineRule="exact"/>
        <w:rPr>
          <w:sz w:val="20"/>
          <w:szCs w:val="20"/>
          <w:color w:val="auto"/>
        </w:rPr>
      </w:pPr>
    </w:p>
    <w:p>
      <w:pPr>
        <w:ind w:left="300"/>
        <w:spacing w:after="0" w:line="235"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Rinat’s (a subsidiary of Pfizer), invented fremanezumab (FDA approved in 2018), tanezumab (Biologics License Application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73" w:lineRule="exact"/>
        <w:rPr>
          <w:sz w:val="20"/>
          <w:szCs w:val="20"/>
          <w:color w:val="auto"/>
        </w:rPr>
      </w:pPr>
    </w:p>
    <w:p>
      <w:pPr>
        <w:ind w:left="300" w:right="500"/>
        <w:spacing w:after="0" w:line="275" w:lineRule="auto"/>
        <w:rPr>
          <w:sz w:val="20"/>
          <w:szCs w:val="20"/>
          <w:color w:val="auto"/>
        </w:rPr>
      </w:pPr>
      <w:r>
        <w:rPr>
          <w:rFonts w:ascii="Arial" w:cs="Arial" w:eastAsia="Arial" w:hAnsi="Arial"/>
          <w:sz w:val="17"/>
          <w:szCs w:val="17"/>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133" w:lineRule="exact"/>
        <w:rPr>
          <w:sz w:val="20"/>
          <w:szCs w:val="20"/>
          <w:color w:val="auto"/>
        </w:rPr>
      </w:pPr>
    </w:p>
    <w:p>
      <w:pPr>
        <w:ind w:left="1120" w:right="520" w:hanging="403"/>
        <w:spacing w:after="0" w:line="257"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have incurred significant net losses since our inception, and we expect to continue to incur significant net losses for the foreseeable future.</w:t>
      </w:r>
    </w:p>
    <w:p>
      <w:pPr>
        <w:spacing w:after="0" w:line="1" w:lineRule="exact"/>
        <w:rPr>
          <w:rFonts w:ascii="MS PGothic" w:cs="MS PGothic" w:eastAsia="MS PGothic" w:hAnsi="MS PGothic"/>
          <w:sz w:val="13"/>
          <w:szCs w:val="13"/>
          <w:color w:val="auto"/>
        </w:rPr>
      </w:pPr>
    </w:p>
    <w:p>
      <w:pPr>
        <w:ind w:left="1120" w:right="380" w:hanging="403"/>
        <w:spacing w:after="0" w:line="248"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will require substantial additional capital to finance our operations, such capital may not be available to us or may only be available on terms that are unfavorable to us and, in addition, our current loan agreement may restrict our ability to take on additional debt without the consent of our lenders.</w:t>
      </w:r>
    </w:p>
    <w:p>
      <w:pPr>
        <w:spacing w:after="0" w:line="1" w:lineRule="exact"/>
        <w:rPr>
          <w:rFonts w:ascii="MS PGothic" w:cs="MS PGothic" w:eastAsia="MS PGothic" w:hAnsi="MS PGothic"/>
          <w:sz w:val="13"/>
          <w:szCs w:val="13"/>
          <w:color w:val="auto"/>
        </w:rPr>
      </w:pPr>
    </w:p>
    <w:p>
      <w:pPr>
        <w:ind w:left="1120" w:hanging="403"/>
        <w:spacing w:after="0"/>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have a limited operating history and have no products approved for commercial sale.</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The price of our stock may be volatile, and you could lose all or part of your investment.</w:t>
      </w:r>
    </w:p>
    <w:p>
      <w:pPr>
        <w:spacing w:after="0" w:line="34" w:lineRule="exact"/>
        <w:rPr>
          <w:rFonts w:ascii="MS PGothic" w:cs="MS PGothic" w:eastAsia="MS PGothic" w:hAnsi="MS PGothic"/>
          <w:sz w:val="13"/>
          <w:szCs w:val="13"/>
          <w:color w:val="auto"/>
        </w:rPr>
      </w:pPr>
    </w:p>
    <w:p>
      <w:pPr>
        <w:ind w:left="1120" w:right="460" w:hanging="403"/>
        <w:spacing w:after="0" w:line="256"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are substantially dependent on the success of our lead product candidate, ALX148, which is in clinical development and which has not completed a pivotal trial.</w:t>
      </w:r>
    </w:p>
    <w:p>
      <w:pPr>
        <w:spacing w:after="0" w:line="1" w:lineRule="exact"/>
        <w:rPr>
          <w:rFonts w:ascii="MS PGothic" w:cs="MS PGothic" w:eastAsia="MS PGothic" w:hAnsi="MS PGothic"/>
          <w:sz w:val="13"/>
          <w:szCs w:val="13"/>
          <w:color w:val="auto"/>
        </w:rPr>
      </w:pPr>
    </w:p>
    <w:p>
      <w:pPr>
        <w:ind w:left="1120" w:right="520" w:hanging="403"/>
        <w:spacing w:after="0" w:line="256"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1" w:lineRule="exact"/>
        <w:rPr>
          <w:rFonts w:ascii="MS PGothic" w:cs="MS PGothic" w:eastAsia="MS PGothic" w:hAnsi="MS PGothic"/>
          <w:sz w:val="13"/>
          <w:szCs w:val="13"/>
          <w:color w:val="auto"/>
        </w:rPr>
      </w:pPr>
    </w:p>
    <w:p>
      <w:pPr>
        <w:ind w:left="1120" w:right="940" w:hanging="403"/>
        <w:spacing w:after="0" w:line="256"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Our product candidates may cause significant adverse events or other undesirable side effects when used alone or in combination with other treatments.</w:t>
      </w:r>
    </w:p>
    <w:p>
      <w:pPr>
        <w:spacing w:after="0" w:line="1" w:lineRule="exact"/>
        <w:rPr>
          <w:rFonts w:ascii="MS PGothic" w:cs="MS PGothic" w:eastAsia="MS PGothic" w:hAnsi="MS PGothic"/>
          <w:sz w:val="13"/>
          <w:szCs w:val="13"/>
          <w:color w:val="auto"/>
        </w:rPr>
      </w:pPr>
    </w:p>
    <w:p>
      <w:pPr>
        <w:ind w:left="1120" w:right="480" w:hanging="403"/>
        <w:spacing w:after="0" w:line="256"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1" w:lineRule="exact"/>
        <w:rPr>
          <w:rFonts w:ascii="MS PGothic" w:cs="MS PGothic" w:eastAsia="MS PGothic" w:hAnsi="MS PGothic"/>
          <w:sz w:val="13"/>
          <w:szCs w:val="13"/>
          <w:color w:val="auto"/>
        </w:rPr>
      </w:pPr>
    </w:p>
    <w:p>
      <w:pPr>
        <w:ind w:left="1120" w:right="300" w:hanging="403"/>
        <w:spacing w:after="0" w:line="256"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The regulatory approval processes of the FDA and comparable foreign regulatory authorities are lengthy, time-consuming and inherently unpredictable, which could lead to our inability to generate product revenue.</w:t>
      </w:r>
    </w:p>
    <w:p>
      <w:pPr>
        <w:spacing w:after="0" w:line="1" w:lineRule="exact"/>
        <w:rPr>
          <w:rFonts w:ascii="MS PGothic" w:cs="MS PGothic" w:eastAsia="MS PGothic" w:hAnsi="MS PGothic"/>
          <w:sz w:val="13"/>
          <w:szCs w:val="13"/>
          <w:color w:val="auto"/>
        </w:rPr>
      </w:pPr>
    </w:p>
    <w:p>
      <w:pPr>
        <w:ind w:left="1120" w:right="200" w:hanging="403"/>
        <w:spacing w:after="0" w:line="273"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If we are unable to obtain, maintain and enforce patent protection and other intellectual property for our product candidates and related technology, our business could be materially harmed.</w:t>
      </w: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214630</wp:posOffset>
            </wp:positionV>
            <wp:extent cx="6998970" cy="5867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120" w:hanging="403"/>
        <w:spacing w:after="0" w:line="257"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are highly dependent on our key personnel, and if we are not successful in attracting, motivating, and retaining highly qualified personnel, we may not be able to successfully implement our business strategy.</w:t>
      </w:r>
    </w:p>
    <w:p>
      <w:pPr>
        <w:spacing w:after="0" w:line="1" w:lineRule="exact"/>
        <w:rPr>
          <w:rFonts w:ascii="MS PGothic" w:cs="MS PGothic" w:eastAsia="MS PGothic" w:hAnsi="MS PGothic"/>
          <w:sz w:val="13"/>
          <w:szCs w:val="13"/>
          <w:color w:val="auto"/>
        </w:rPr>
      </w:pPr>
    </w:p>
    <w:p>
      <w:pPr>
        <w:ind w:left="1120" w:right="680" w:hanging="403"/>
        <w:spacing w:after="0" w:line="248"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Our preclinical research is conducted solely by a third party service provider, Tallac Therapeutics, Inc. (formerly known as Tollnine, Inc.), or Tallac Therapeutics, and we are dependent on Tallac Therapeutics to perform its contractual research obligations on an effective or timely basis.</w:t>
      </w:r>
    </w:p>
    <w:p>
      <w:pPr>
        <w:spacing w:after="0" w:line="1" w:lineRule="exact"/>
        <w:rPr>
          <w:rFonts w:ascii="MS PGothic" w:cs="MS PGothic" w:eastAsia="MS PGothic" w:hAnsi="MS PGothic"/>
          <w:sz w:val="13"/>
          <w:szCs w:val="13"/>
          <w:color w:val="auto"/>
        </w:rPr>
      </w:pPr>
    </w:p>
    <w:p>
      <w:pPr>
        <w:ind w:left="1120" w:right="200" w:hanging="403"/>
        <w:spacing w:after="0" w:line="256"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The novel coronavirus, or COVID-19, pandemic could adversely impact our business including our ongoing and planned clinical trials and preclinical research.</w:t>
      </w:r>
    </w:p>
    <w:p>
      <w:pPr>
        <w:spacing w:after="0" w:line="1" w:lineRule="exact"/>
        <w:rPr>
          <w:rFonts w:ascii="MS PGothic" w:cs="MS PGothic" w:eastAsia="MS PGothic" w:hAnsi="MS PGothic"/>
          <w:sz w:val="13"/>
          <w:szCs w:val="13"/>
          <w:color w:val="auto"/>
        </w:rPr>
      </w:pPr>
    </w:p>
    <w:p>
      <w:pPr>
        <w:ind w:left="1120" w:right="120" w:hanging="403"/>
        <w:spacing w:after="0" w:line="27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identified material weaknesses in our internal control over financial reporting. If remediation measures are not effective, investors may lose confidence in our financial reports.</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60" w:lineRule="exact"/>
        <w:rPr>
          <w:sz w:val="20"/>
          <w:szCs w:val="20"/>
          <w:color w:val="auto"/>
        </w:rPr>
      </w:pPr>
    </w:p>
    <w:p>
      <w:pPr>
        <w:ind w:left="300" w:right="440"/>
        <w:spacing w:after="0" w:line="275" w:lineRule="auto"/>
        <w:rPr>
          <w:sz w:val="20"/>
          <w:szCs w:val="20"/>
          <w:color w:val="auto"/>
        </w:rPr>
      </w:pPr>
      <w:r>
        <w:rPr>
          <w:rFonts w:ascii="Arial" w:cs="Arial" w:eastAsia="Arial" w:hAnsi="Arial"/>
          <w:sz w:val="17"/>
          <w:szCs w:val="17"/>
          <w:color w:val="auto"/>
        </w:rPr>
        <w:t>The following are recent developments to the clinical development of our lead candidate, ALX148, since our initial public offering in July 2020:</w:t>
      </w:r>
    </w:p>
    <w:p>
      <w:pPr>
        <w:spacing w:after="0" w:line="133" w:lineRule="exact"/>
        <w:rPr>
          <w:sz w:val="20"/>
          <w:szCs w:val="20"/>
          <w:color w:val="auto"/>
        </w:rPr>
      </w:pPr>
    </w:p>
    <w:p>
      <w:pPr>
        <w:ind w:left="1120" w:right="200" w:hanging="403"/>
        <w:spacing w:after="0" w:line="242"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In September 2020, we entered into a clinical trial collaboration with Merck to evaluate the combination of ALX148 and pembrolizumab with or without chemotherapy in two randomized Phase 2 trials for the first-line treatment of patients with metastatic or unresectable, recurrent HNSCC. One trial will investigate ALX148 in combination with pembrolizumab for subjects with PD-L1 expressing HNSCC. The other will investigate ALX148 in combination with pembrolizumab and chemotherapy regardless of PD-L1 expression.</w:t>
      </w:r>
    </w:p>
    <w:p>
      <w:pPr>
        <w:spacing w:after="0" w:line="1" w:lineRule="exact"/>
        <w:rPr>
          <w:rFonts w:ascii="MS PGothic" w:cs="MS PGothic" w:eastAsia="MS PGothic" w:hAnsi="MS PGothic"/>
          <w:sz w:val="13"/>
          <w:szCs w:val="13"/>
          <w:color w:val="auto"/>
        </w:rPr>
      </w:pPr>
    </w:p>
    <w:p>
      <w:pPr>
        <w:ind w:left="1120" w:right="220" w:hanging="403"/>
        <w:spacing w:after="0" w:line="256"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In October 2020, we dosed our first subjects in a Phase 1b/2 trial of ALX148 in combination with azacitidine for the treatment of patients with higher-risk MDS.</w:t>
      </w:r>
    </w:p>
    <w:p>
      <w:pPr>
        <w:spacing w:after="0" w:line="1" w:lineRule="exact"/>
        <w:rPr>
          <w:rFonts w:ascii="MS PGothic" w:cs="MS PGothic" w:eastAsia="MS PGothic" w:hAnsi="MS PGothic"/>
          <w:sz w:val="13"/>
          <w:szCs w:val="13"/>
          <w:color w:val="auto"/>
        </w:rPr>
      </w:pPr>
    </w:p>
    <w:p>
      <w:pPr>
        <w:jc w:val="both"/>
        <w:ind w:left="1120" w:right="140" w:hanging="403"/>
        <w:spacing w:after="0" w:line="248"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In November 2020, we announced that ALX148 in combination with trastuzumab, ramucirumab and paclitaxel achieved a 64.3% (9/14) ORR, in a Phase 1b trial for the treatment of patients with HER2-positive gastric/GEJ cancer who had progressed on prior trastuzumab, fluoropyrimidine or platinum.</w:t>
      </w:r>
    </w:p>
    <w:p>
      <w:pPr>
        <w:spacing w:after="0" w:line="1" w:lineRule="exact"/>
        <w:rPr>
          <w:rFonts w:ascii="MS PGothic" w:cs="MS PGothic" w:eastAsia="MS PGothic" w:hAnsi="MS PGothic"/>
          <w:sz w:val="13"/>
          <w:szCs w:val="13"/>
          <w:color w:val="auto"/>
        </w:rPr>
      </w:pPr>
    </w:p>
    <w:p>
      <w:pPr>
        <w:jc w:val="both"/>
        <w:ind w:left="1120" w:right="140" w:hanging="403"/>
        <w:spacing w:after="0" w:line="248"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In November 2020, we announced that ALX148 in combination with pembrolizumab, 5-fluoropyrimidine and platinum achieved a 75.0% (3/4) ORR including a complete response in a Phase 1b trial for the treatment of patients with metastatic or unresectable, recurrent HNSCC, with no prior treatment for advanced disease.</w:t>
      </w:r>
    </w:p>
    <w:p>
      <w:pPr>
        <w:spacing w:after="0" w:line="1" w:lineRule="exact"/>
        <w:rPr>
          <w:rFonts w:ascii="MS PGothic" w:cs="MS PGothic" w:eastAsia="MS PGothic" w:hAnsi="MS PGothic"/>
          <w:sz w:val="13"/>
          <w:szCs w:val="13"/>
          <w:color w:val="auto"/>
        </w:rPr>
      </w:pPr>
    </w:p>
    <w:p>
      <w:pPr>
        <w:ind w:left="1120" w:right="20" w:hanging="403"/>
        <w:spacing w:after="0" w:line="248"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In November 2020, we announced a clinical trial collaboration with Zymeworks to evaluate the combination of ALX148 with the HER2-targeting bispecific antibody zanidatamab in a Phase 1 trial for patients with advanced HER2-expressing breast cancer and other HER2-expressing solid tumors.</w:t>
      </w:r>
    </w:p>
    <w:p>
      <w:pPr>
        <w:spacing w:after="0" w:line="1" w:lineRule="exact"/>
        <w:rPr>
          <w:rFonts w:ascii="MS PGothic" w:cs="MS PGothic" w:eastAsia="MS PGothic" w:hAnsi="MS PGothic"/>
          <w:sz w:val="13"/>
          <w:szCs w:val="13"/>
          <w:color w:val="auto"/>
        </w:rPr>
      </w:pPr>
    </w:p>
    <w:p>
      <w:pPr>
        <w:ind w:left="1120" w:right="160" w:hanging="403"/>
        <w:spacing w:after="0" w:line="27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In December 2020, we announced that ALX148 in combination with rituximab achieved a 70.0% (7/10) ORR in the highest dose cohort (15 mg/kg) of the Phase 1b trial for the treatment of patients with relapsed/refractory NHL.</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Initial Public Offering (IPO)</w:t>
      </w:r>
    </w:p>
    <w:p>
      <w:pPr>
        <w:spacing w:after="0" w:line="73" w:lineRule="exact"/>
        <w:rPr>
          <w:sz w:val="20"/>
          <w:szCs w:val="20"/>
          <w:color w:val="auto"/>
        </w:rPr>
      </w:pPr>
    </w:p>
    <w:p>
      <w:pPr>
        <w:ind w:left="300" w:right="340"/>
        <w:spacing w:after="0" w:line="253" w:lineRule="auto"/>
        <w:rPr>
          <w:sz w:val="20"/>
          <w:szCs w:val="20"/>
          <w:color w:val="auto"/>
        </w:rPr>
      </w:pPr>
      <w:r>
        <w:rPr>
          <w:rFonts w:ascii="Arial" w:cs="Arial" w:eastAsia="Arial" w:hAnsi="Arial"/>
          <w:sz w:val="17"/>
          <w:szCs w:val="17"/>
          <w:color w:val="auto"/>
        </w:rPr>
        <w:t>In July 2020, we issued and sold 9,775,000 shares of common stock at a public offering price of $19.00 per share, including 1,275,000 shares sold pursuant to the underwriters’ full exercise of their option to purchase additional shares. We received aggregate net proceeds from the offering, net of underwriting discounts and commissions and offering expenses, of approximately $169.5 million.</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 and History</w:t>
      </w:r>
    </w:p>
    <w:p>
      <w:pPr>
        <w:spacing w:after="0" w:line="60" w:lineRule="exact"/>
        <w:rPr>
          <w:sz w:val="20"/>
          <w:szCs w:val="20"/>
          <w:color w:val="auto"/>
        </w:rPr>
      </w:pPr>
    </w:p>
    <w:p>
      <w:pPr>
        <w:ind w:left="300" w:right="80"/>
        <w:spacing w:after="0" w:line="246"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 reorganization effective as of the same date whereby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40"/>
          </w:cols>
          <w:pgMar w:left="320" w:top="455" w:right="6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214630</wp:posOffset>
            </wp:positionV>
            <wp:extent cx="6998970" cy="4521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45218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00" w:right="80"/>
        <w:spacing w:after="0" w:line="239" w:lineRule="auto"/>
        <w:rPr>
          <w:sz w:val="20"/>
          <w:szCs w:val="20"/>
          <w:color w:val="auto"/>
        </w:rPr>
      </w:pPr>
      <w:r>
        <w:rPr>
          <w:rFonts w:ascii="Arial" w:cs="Arial" w:eastAsia="Arial" w:hAnsi="Arial"/>
          <w:sz w:val="17"/>
          <w:szCs w:val="17"/>
          <w:color w:val="auto"/>
        </w:rPr>
        <w:t>ALX Oncology Limited became our wholly-owned subsidiary and all of the shareholders, warrantholders and optionholders of ALX Oncology Limited became our stockholders, warrantholders and optionholders, holding the same number of corresponding shares, warrants and/or options in ALX Oncology Holdings Inc. as they did in ALX Oncology Limited immediately prior to the reorganization. We present the information included in this prospectus as that of ALX Oncology Holdings Inc. unless such information refers to a date prior to April 1, 2020, in which case it will reflect that of our predecessor company. In addition, we present our capitalization information as “preferred stock” and “common stock” of ALX Oncology Holdings Inc., while we present any capitalization information from a date prior to April 1, 2020 as “preferred shares” and “ordinary shares” of ALX Oncology Limited.</w:t>
      </w:r>
    </w:p>
    <w:p>
      <w:pPr>
        <w:spacing w:after="0" w:line="122" w:lineRule="exact"/>
        <w:rPr>
          <w:sz w:val="20"/>
          <w:szCs w:val="20"/>
          <w:color w:val="auto"/>
        </w:rPr>
      </w:pPr>
    </w:p>
    <w:p>
      <w:pPr>
        <w:ind w:left="300" w:right="80"/>
        <w:spacing w:after="0" w:line="253" w:lineRule="auto"/>
        <w:rPr>
          <w:sz w:val="20"/>
          <w:szCs w:val="20"/>
          <w:color w:val="auto"/>
        </w:rPr>
      </w:pPr>
      <w:r>
        <w:rPr>
          <w:rFonts w:ascii="Arial" w:cs="Arial" w:eastAsia="Arial" w:hAnsi="Arial"/>
          <w:sz w:val="17"/>
          <w:szCs w:val="17"/>
          <w:color w:val="auto"/>
        </w:rPr>
        <w:t>Our principal executive offices are located at 866 Malcolm Road, Suite 100, Burlingame, California 94010. Our telephone number is 650-466-7125. Our website address is http://alxoncology.com. Information contained on, or that can be accessed through, our website is not incorporated by reference into this prospectus and should not be considered to be part of this prospectus.</w:t>
      </w:r>
    </w:p>
    <w:p>
      <w:pPr>
        <w:spacing w:after="0" w:line="111" w:lineRule="exact"/>
        <w:rPr>
          <w:sz w:val="20"/>
          <w:szCs w:val="20"/>
          <w:color w:val="auto"/>
        </w:rPr>
      </w:pPr>
    </w:p>
    <w:p>
      <w:pPr>
        <w:ind w:left="300" w:right="140"/>
        <w:spacing w:after="0"/>
        <w:rPr>
          <w:sz w:val="20"/>
          <w:szCs w:val="20"/>
          <w:color w:val="auto"/>
        </w:rPr>
      </w:pPr>
      <w:r>
        <w:rPr>
          <w:rFonts w:ascii="Arial" w:cs="Arial" w:eastAsia="Arial" w:hAnsi="Arial"/>
          <w:sz w:val="17"/>
          <w:szCs w:val="17"/>
          <w:color w:val="auto"/>
        </w:rPr>
        <w:t xml:space="preserve">We use ALX Oncology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60" w:lineRule="exact"/>
        <w:rPr>
          <w:sz w:val="20"/>
          <w:szCs w:val="20"/>
          <w:color w:val="auto"/>
        </w:rPr>
      </w:pPr>
    </w:p>
    <w:p>
      <w:pPr>
        <w:ind w:left="300"/>
        <w:spacing w:after="0" w:line="235"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Securities and Exchange Commission. In particular, in this prospectus, we have provided only two years of audited consolidated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40"/>
          </w:cols>
          <w:pgMar w:left="320" w:top="455" w:right="6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214630</wp:posOffset>
            </wp:positionV>
            <wp:extent cx="6998970" cy="6099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00"/>
          </w:cols>
          <w:pgMar w:left="320" w:top="455" w:right="679" w:bottom="1440" w:gutter="0" w:footer="0" w:header="0"/>
        </w:sectPr>
      </w:pPr>
    </w:p>
    <w:p>
      <w:pPr>
        <w:spacing w:after="0" w:line="35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offered</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2,000,000 shares.</w:t>
      </w:r>
    </w:p>
    <w:p>
      <w:pPr>
        <w:spacing w:after="0" w:line="211"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Underwriters’ option to purchase additional shares of 300,000 shares.</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common stock</w:t>
      </w:r>
    </w:p>
    <w:p>
      <w:pPr>
        <w:sectPr>
          <w:pgSz w:w="11900" w:h="16838" w:orient="portrait"/>
          <w:cols w:equalWidth="0" w:num="1">
            <w:col w:w="10900"/>
          </w:cols>
          <w:pgMar w:left="320" w:top="455" w:right="679" w:bottom="1440" w:gutter="0" w:footer="0" w:header="0"/>
          <w:type w:val="continuous"/>
        </w:sectPr>
      </w:pPr>
    </w:p>
    <w:p>
      <w:pPr>
        <w:spacing w:after="0" w:line="18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39,107,522 shares (or 39,407,522 shares if the underwriters exercise in full their option to purchase additional shares).</w:t>
      </w:r>
    </w:p>
    <w:p>
      <w:pPr>
        <w:spacing w:after="0" w:line="133" w:lineRule="exact"/>
        <w:rPr>
          <w:sz w:val="20"/>
          <w:szCs w:val="20"/>
          <w:color w:val="auto"/>
        </w:rPr>
      </w:pPr>
    </w:p>
    <w:p>
      <w:pPr>
        <w:sectPr>
          <w:pgSz w:w="11900" w:h="16838" w:orient="portrait"/>
          <w:cols w:equalWidth="0" w:num="2">
            <w:col w:w="4080" w:space="260"/>
            <w:col w:w="6560"/>
          </w:cols>
          <w:pgMar w:left="320" w:top="455" w:right="67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ind w:right="100"/>
        <w:spacing w:after="0" w:line="239" w:lineRule="auto"/>
        <w:rPr>
          <w:sz w:val="20"/>
          <w:szCs w:val="20"/>
          <w:color w:val="auto"/>
        </w:rPr>
      </w:pPr>
      <w:r>
        <w:rPr>
          <w:rFonts w:ascii="Arial" w:cs="Arial" w:eastAsia="Arial" w:hAnsi="Arial"/>
          <w:sz w:val="17"/>
          <w:szCs w:val="17"/>
          <w:color w:val="auto"/>
        </w:rPr>
        <w:t>We expect that the net proceeds to us from this offering will be approximately $135.6 million, or approximately $156.0 million if the underwriters exercise their option to purchase additional shares in full, based upon an assumed public offering price of $73.22 per share, which is the last reported sale price of our common stock on the Nasdaq Global Select Market on December 4, 2020 and after deducting the underwriting discounts and commissions and estimated offering expenses payable by us.</w:t>
      </w:r>
    </w:p>
    <w:p>
      <w:pPr>
        <w:spacing w:after="0" w:line="163"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4340"/>
        <w:spacing w:after="0" w:line="242"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fund the development of ALX148 through Phase 1b and Phase 2 clinical trials in several indications, as well as for working capital and other general corporate purposes. See “Use of Proceeds” on page 69 for a more complete description of the intended use of proceeds from this offering.</w:t>
      </w:r>
    </w:p>
    <w:p>
      <w:pPr>
        <w:sectPr>
          <w:pgSz w:w="11900" w:h="16838" w:orient="portrait"/>
          <w:cols w:equalWidth="0" w:num="1">
            <w:col w:w="10900"/>
          </w:cols>
          <w:pgMar w:left="320" w:top="455" w:right="679" w:bottom="1440" w:gutter="0" w:footer="0" w:header="0"/>
          <w:type w:val="continuous"/>
        </w:sectPr>
      </w:pP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right="620"/>
        <w:spacing w:after="0" w:line="253" w:lineRule="auto"/>
        <w:rPr>
          <w:sz w:val="20"/>
          <w:szCs w:val="20"/>
          <w:color w:val="auto"/>
        </w:rPr>
      </w:pPr>
      <w:r>
        <w:rPr>
          <w:rFonts w:ascii="Arial" w:cs="Arial" w:eastAsia="Arial" w:hAnsi="Arial"/>
          <w:sz w:val="17"/>
          <w:szCs w:val="17"/>
          <w:color w:val="auto"/>
        </w:rPr>
        <w:t>See “Risk Factors” beginning on page 12 and other information included in this prospectus for a discussion of factors that you should consider carefully before deciding to invest in our common stock.</w:t>
      </w:r>
    </w:p>
    <w:p>
      <w:pPr>
        <w:spacing w:after="0" w:line="151"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“ALXO”</w:t>
      </w:r>
    </w:p>
    <w:p>
      <w:pPr>
        <w:spacing w:after="0" w:line="180" w:lineRule="exact"/>
        <w:rPr>
          <w:sz w:val="20"/>
          <w:szCs w:val="20"/>
          <w:color w:val="auto"/>
        </w:rPr>
      </w:pPr>
    </w:p>
    <w:p>
      <w:pPr>
        <w:sectPr>
          <w:pgSz w:w="11900" w:h="16838" w:orient="portrait"/>
          <w:cols w:equalWidth="0" w:num="2">
            <w:col w:w="3680" w:space="660"/>
            <w:col w:w="6560"/>
          </w:cols>
          <w:pgMar w:left="320" w:top="455" w:right="679" w:bottom="1440" w:gutter="0" w:footer="0" w:header="0"/>
          <w:type w:val="continuous"/>
        </w:sectPr>
      </w:pPr>
    </w:p>
    <w:p>
      <w:pPr>
        <w:ind w:left="300" w:right="320"/>
        <w:spacing w:after="0" w:line="275" w:lineRule="auto"/>
        <w:rPr>
          <w:sz w:val="20"/>
          <w:szCs w:val="20"/>
          <w:color w:val="auto"/>
        </w:rPr>
      </w:pPr>
      <w:r>
        <w:rPr>
          <w:rFonts w:ascii="Arial" w:cs="Arial" w:eastAsia="Arial" w:hAnsi="Arial"/>
          <w:sz w:val="17"/>
          <w:szCs w:val="17"/>
          <w:color w:val="auto"/>
        </w:rPr>
        <w:t>The number of shares of our common stock to be outstanding after this offering is based on the 37,107,522 shares of our common stock outstanding as of September 30, 2020.</w:t>
      </w:r>
    </w:p>
    <w:p>
      <w:pPr>
        <w:spacing w:after="0" w:line="9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number of shares of common stock to be outstanding after this offering excludes:</w:t>
      </w:r>
    </w:p>
    <w:p>
      <w:pPr>
        <w:spacing w:after="0" w:line="196" w:lineRule="exact"/>
        <w:rPr>
          <w:sz w:val="20"/>
          <w:szCs w:val="20"/>
          <w:color w:val="auto"/>
        </w:rPr>
      </w:pPr>
    </w:p>
    <w:p>
      <w:pPr>
        <w:ind w:left="1120" w:right="440" w:hanging="403"/>
        <w:spacing w:after="0" w:line="275"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4,751,589 shares of common stock issuable upon exercise of options outstanding as of September 30, 2020, at a weighted-average exercise price of $8.09 per share;</w:t>
      </w:r>
    </w:p>
    <w:p>
      <w:pPr>
        <w:spacing w:after="0" w:line="51" w:lineRule="exact"/>
        <w:rPr>
          <w:rFonts w:ascii="MS PGothic" w:cs="MS PGothic" w:eastAsia="MS PGothic" w:hAnsi="MS PGothic"/>
          <w:sz w:val="13"/>
          <w:szCs w:val="13"/>
          <w:color w:val="auto"/>
        </w:rPr>
      </w:pPr>
    </w:p>
    <w:p>
      <w:pPr>
        <w:ind w:left="1120" w:right="380" w:hanging="403"/>
        <w:spacing w:after="0" w:line="257"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57,200 shares of common stock issuable upon exercise of options granted after September 30, 2020, at a weighted-average exercise price of $49.57 per share;</w:t>
      </w:r>
    </w:p>
    <w:p>
      <w:pPr>
        <w:spacing w:after="0" w:line="1" w:lineRule="exact"/>
        <w:rPr>
          <w:rFonts w:ascii="MS PGothic" w:cs="MS PGothic" w:eastAsia="MS PGothic" w:hAnsi="MS PGothic"/>
          <w:sz w:val="13"/>
          <w:szCs w:val="13"/>
          <w:color w:val="auto"/>
        </w:rPr>
      </w:pPr>
    </w:p>
    <w:p>
      <w:pPr>
        <w:ind w:left="1120" w:right="40" w:hanging="403"/>
        <w:spacing w:after="0" w:line="244"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2,941,162 shares of common stock reserved for issuance pursuant to future awards under our Amended and Restated 2020 Equity Incentive Plan, or the 2020 Plan, as of September 30, 2020, plus any future increases in the number of shares of common stock reserved for issuance under our 2020 Plan pursuant to provisions thereof that automatically increase the share reserve under the plan each year; and</w:t>
      </w:r>
    </w:p>
    <w:p>
      <w:pPr>
        <w:spacing w:after="0" w:line="1" w:lineRule="exact"/>
        <w:rPr>
          <w:rFonts w:ascii="MS PGothic" w:cs="MS PGothic" w:eastAsia="MS PGothic" w:hAnsi="MS PGothic"/>
          <w:sz w:val="13"/>
          <w:szCs w:val="13"/>
          <w:color w:val="auto"/>
        </w:rPr>
      </w:pPr>
    </w:p>
    <w:p>
      <w:pPr>
        <w:ind w:left="1120" w:right="20" w:hanging="403"/>
        <w:spacing w:after="0" w:line="252"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2020 Employee Stock Purchase Plan, or the ESPP, plus any future increases in the number of shares of common stock reserved for issuance under the ESPP pursuant to provisions thereof that automatically increase the share reserve under the plan each year.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00"/>
          </w:cols>
          <w:pgMar w:left="320" w:top="455" w:right="67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214630</wp:posOffset>
            </wp:positionV>
            <wp:extent cx="6998970" cy="792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7924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Unless otherwise indicated or the context otherwise requires, this prospectus reflects and assumes the following:</w:t>
      </w:r>
    </w:p>
    <w:p>
      <w:pPr>
        <w:spacing w:after="0" w:line="196" w:lineRule="exact"/>
        <w:rPr>
          <w:sz w:val="20"/>
          <w:szCs w:val="20"/>
          <w:color w:val="auto"/>
        </w:rPr>
      </w:pPr>
    </w:p>
    <w:p>
      <w:pPr>
        <w:ind w:left="1120" w:hanging="403"/>
        <w:spacing w:after="0"/>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no exercise of the outstanding options described above; and</w:t>
      </w:r>
    </w:p>
    <w:p>
      <w:pPr>
        <w:spacing w:after="0" w:line="35" w:lineRule="exact"/>
        <w:rPr>
          <w:rFonts w:ascii="MS PGothic" w:cs="MS PGothic" w:eastAsia="MS PGothic" w:hAnsi="MS PGothic"/>
          <w:sz w:val="13"/>
          <w:szCs w:val="13"/>
          <w:color w:val="auto"/>
        </w:rPr>
      </w:pPr>
    </w:p>
    <w:p>
      <w:pPr>
        <w:ind w:left="1120" w:hanging="403"/>
        <w:spacing w:after="0"/>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139"/>
          </w:cols>
          <w:pgMar w:left="320" w:top="455" w:right="1440"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214630</wp:posOffset>
            </wp:positionV>
            <wp:extent cx="6998970" cy="58077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16" w:lineRule="exact"/>
        <w:rPr>
          <w:sz w:val="20"/>
          <w:szCs w:val="20"/>
          <w:color w:val="auto"/>
        </w:rPr>
      </w:pPr>
    </w:p>
    <w:p>
      <w:pPr>
        <w:ind w:left="300"/>
        <w:spacing w:after="0" w:line="236" w:lineRule="auto"/>
        <w:rPr>
          <w:sz w:val="20"/>
          <w:szCs w:val="20"/>
          <w:color w:val="auto"/>
        </w:rPr>
      </w:pPr>
      <w:r>
        <w:rPr>
          <w:rFonts w:ascii="Arial" w:cs="Arial" w:eastAsia="Arial" w:hAnsi="Arial"/>
          <w:sz w:val="17"/>
          <w:szCs w:val="17"/>
          <w:color w:val="auto"/>
        </w:rPr>
        <w:t>The following tables summarize our consolidated financial data for the periods and as of the dates indicated. We derived the summary consolidated statements of operations and comprehensive loss data for the years ended December 31, 2018 and December 31, 2019, and consolidated balance sheet data as of December 31, 2019, from our audited consolidated financial statements included elsewhere in this prospectus. We have derived the consolidated statements of operations and comprehensive loss data for the nine months ended September 30, 2019 and September 30, 2020, and the consolidated balance sheet data as of September 30, 2020 from our unaudited interim condensed consolidated financial statements included elsewhere in this prospectus. In our opinion, these unaudited interim condensed consolidated financial statements have been prepared on a basis consistent with our audited consolidated financial statements and contain all adjustments, consisting only of normal and recurring adjustments, necessary for a fair presentation of such financial data. Our historical results are not necessarily indicative of the results that may be expected in the future. You should read the following summary consolidated financial data in conjunction with our consolidated financial statements and the related notes appearing elsewhere in this prospectus and the information in the sections titled “Selected Consolidated Financial Data” and “Management’s Discussion and Analysis of Financial Condition and Results of Operations.”</w:t>
      </w:r>
    </w:p>
    <w:p>
      <w:pPr>
        <w:spacing w:after="0" w:line="200" w:lineRule="exact"/>
        <w:rPr>
          <w:sz w:val="20"/>
          <w:szCs w:val="20"/>
          <w:color w:val="auto"/>
        </w:rPr>
      </w:pP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Statements of Operations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7"/>
        </w:trPr>
        <w:tc>
          <w:tcPr>
            <w:tcW w:w="5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Comprehensive Loss Data:</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60" w:type="dxa"/>
            <w:vAlign w:val="bottom"/>
            <w:gridSpan w:val="12"/>
          </w:tcPr>
          <w:p>
            <w:pPr>
              <w:jc w:val="right"/>
              <w:spacing w:after="0" w:line="141" w:lineRule="exact"/>
              <w:rPr>
                <w:sz w:val="20"/>
                <w:szCs w:val="20"/>
                <w:color w:val="auto"/>
              </w:rPr>
            </w:pPr>
            <w:r>
              <w:rPr>
                <w:rFonts w:ascii="Arial" w:cs="Arial" w:eastAsia="Arial" w:hAnsi="Arial"/>
                <w:sz w:val="14"/>
                <w:szCs w:val="14"/>
                <w:b w:val="1"/>
                <w:bCs w:val="1"/>
                <w:color w:val="auto"/>
              </w:rPr>
              <w:t>(in thousands, except share and per share amounts)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4"/>
          </w:tcPr>
          <w:p>
            <w:pPr>
              <w:jc w:val="center"/>
              <w:ind w:left="517"/>
              <w:spacing w:after="0"/>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2,067</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4,796</w:t>
            </w:r>
          </w:p>
        </w:tc>
        <w:tc>
          <w:tcPr>
            <w:tcW w:w="2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3,583</w:t>
            </w:r>
          </w:p>
        </w:tc>
        <w:tc>
          <w:tcPr>
            <w:tcW w:w="500" w:type="dxa"/>
            <w:vAlign w:val="bottom"/>
            <w:gridSpan w:val="2"/>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1,182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Research and development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11,270</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16,306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9,571</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16,819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tcPr>
          <w:p>
            <w:pPr>
              <w:ind w:left="480"/>
              <w:spacing w:after="0" w:line="189" w:lineRule="exact"/>
              <w:rPr>
                <w:sz w:val="20"/>
                <w:szCs w:val="20"/>
                <w:color w:val="auto"/>
              </w:rPr>
            </w:pPr>
            <w:r>
              <w:rPr>
                <w:rFonts w:ascii="Arial" w:cs="Arial" w:eastAsia="Arial" w:hAnsi="Arial"/>
                <w:sz w:val="17"/>
                <w:szCs w:val="17"/>
                <w:color w:val="auto"/>
              </w:rPr>
              <w:t>General and administrative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2,601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3,313</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2,205</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9,126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1,880</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3,257</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Pr>
          <w:p>
            <w:pPr>
              <w:ind w:left="1000"/>
              <w:spacing w:after="0"/>
              <w:rPr>
                <w:sz w:val="20"/>
                <w:szCs w:val="20"/>
                <w:color w:val="auto"/>
              </w:rPr>
            </w:pPr>
            <w:r>
              <w:rPr>
                <w:rFonts w:ascii="Arial" w:cs="Arial" w:eastAsia="Arial" w:hAnsi="Arial"/>
                <w:sz w:val="17"/>
                <w:szCs w:val="17"/>
                <w:color w:val="auto"/>
              </w:rPr>
              <w:t>Total operating expenses</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15,033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(13,684)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(19,183)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(11,450)</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(25,838)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net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(13,686)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(19,209)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(11,454)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(26,907)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(45)</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(34)</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Net loss and comprehensive loss</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(13,731)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(19,243)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(11,479)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(26,966)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(3,671)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(4,028)</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(2,957)</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(5,202)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(17,402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(23,271</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(14,436</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(32,168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22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Net loss per share attributable to common stockholders, basic and</w:t>
            </w:r>
          </w:p>
        </w:tc>
        <w:tc>
          <w:tcPr>
            <w:tcW w:w="340" w:type="dxa"/>
            <w:vAlign w:val="bottom"/>
            <w:gridSpan w:val="2"/>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CCEEFF"/>
          </w:tcPr>
          <w:p>
            <w:pPr>
              <w:jc w:val="right"/>
              <w:ind w:right="140"/>
              <w:spacing w:after="0" w:line="187" w:lineRule="exact"/>
              <w:rPr>
                <w:sz w:val="20"/>
                <w:szCs w:val="20"/>
                <w:color w:val="auto"/>
              </w:rPr>
            </w:pPr>
            <w:r>
              <w:rPr>
                <w:rFonts w:ascii="Arial" w:cs="Arial" w:eastAsia="Arial" w:hAnsi="Arial"/>
                <w:sz w:val="17"/>
                <w:szCs w:val="17"/>
                <w:color w:val="auto"/>
              </w:rPr>
              <w:t>(6.33)</w:t>
            </w:r>
          </w:p>
        </w:tc>
        <w:tc>
          <w:tcPr>
            <w:tcW w:w="320" w:type="dxa"/>
            <w:vAlign w:val="bottom"/>
            <w:gridSpan w:val="2"/>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(7.56)</w:t>
            </w:r>
          </w:p>
        </w:tc>
        <w:tc>
          <w:tcPr>
            <w:tcW w:w="320" w:type="dxa"/>
            <w:vAlign w:val="bottom"/>
            <w:gridSpan w:val="2"/>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040" w:type="dxa"/>
            <w:vAlign w:val="bottom"/>
            <w:gridSpan w:val="2"/>
            <w:vMerge w:val="restart"/>
            <w:shd w:val="clear" w:color="auto" w:fill="CCEEFF"/>
          </w:tcPr>
          <w:p>
            <w:pPr>
              <w:jc w:val="right"/>
              <w:ind w:right="120"/>
              <w:spacing w:after="0" w:line="187" w:lineRule="exact"/>
              <w:rPr>
                <w:sz w:val="20"/>
                <w:szCs w:val="20"/>
                <w:color w:val="auto"/>
              </w:rPr>
            </w:pPr>
            <w:r>
              <w:rPr>
                <w:rFonts w:ascii="Arial" w:cs="Arial" w:eastAsia="Arial" w:hAnsi="Arial"/>
                <w:sz w:val="17"/>
                <w:szCs w:val="17"/>
                <w:color w:val="auto"/>
              </w:rPr>
              <w:t>(4.72)</w:t>
            </w:r>
          </w:p>
        </w:tc>
        <w:tc>
          <w:tcPr>
            <w:tcW w:w="500" w:type="dxa"/>
            <w:vAlign w:val="bottom"/>
            <w:gridSpan w:val="2"/>
            <w:vMerge w:val="restart"/>
            <w:shd w:val="clear" w:color="auto" w:fill="CCEEFF"/>
          </w:tcPr>
          <w:p>
            <w:pPr>
              <w:jc w:val="right"/>
              <w:ind w:right="95"/>
              <w:spacing w:after="0" w:line="187" w:lineRule="exact"/>
              <w:rPr>
                <w:sz w:val="20"/>
                <w:szCs w:val="20"/>
                <w:color w:val="auto"/>
              </w:rPr>
            </w:pPr>
            <w:r>
              <w:rPr>
                <w:rFonts w:ascii="Arial" w:cs="Arial" w:eastAsia="Arial" w:hAnsi="Arial"/>
                <w:sz w:val="17"/>
                <w:szCs w:val="17"/>
                <w:color w:val="auto"/>
              </w:rPr>
              <w:t>$</w:t>
            </w:r>
          </w:p>
        </w:tc>
        <w:tc>
          <w:tcPr>
            <w:tcW w:w="800" w:type="dxa"/>
            <w:vAlign w:val="bottom"/>
            <w:gridSpan w:val="2"/>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20" w:type="dxa"/>
            <w:vAlign w:val="bottom"/>
            <w:shd w:val="clear" w:color="auto" w:fill="CCEEFF"/>
          </w:tcPr>
          <w:p>
            <w:pPr>
              <w:ind w:left="240"/>
              <w:spacing w:after="0" w:line="32" w:lineRule="exact"/>
              <w:rPr>
                <w:sz w:val="20"/>
                <w:szCs w:val="20"/>
                <w:color w:val="auto"/>
              </w:rPr>
            </w:pPr>
            <w:r>
              <w:rPr>
                <w:rFonts w:ascii="Arial" w:cs="Arial" w:eastAsia="Arial" w:hAnsi="Arial"/>
                <w:sz w:val="3"/>
                <w:szCs w:val="3"/>
                <w:color w:val="auto"/>
              </w:rPr>
              <w:t>diluted</w:t>
            </w:r>
          </w:p>
        </w:tc>
        <w:tc>
          <w:tcPr>
            <w:tcW w:w="340" w:type="dxa"/>
            <w:vAlign w:val="bottom"/>
            <w:gridSpan w:val="2"/>
            <w:vMerge w:val="continue"/>
            <w:shd w:val="clear" w:color="auto" w:fill="CCEEFF"/>
          </w:tcPr>
          <w:p>
            <w:pPr>
              <w:spacing w:after="0"/>
              <w:rPr>
                <w:sz w:val="2"/>
                <w:szCs w:val="2"/>
                <w:color w:val="auto"/>
              </w:rPr>
            </w:pPr>
          </w:p>
        </w:tc>
        <w:tc>
          <w:tcPr>
            <w:tcW w:w="1040" w:type="dxa"/>
            <w:vAlign w:val="bottom"/>
            <w:gridSpan w:val="2"/>
            <w:vMerge w:val="continue"/>
            <w:shd w:val="clear" w:color="auto" w:fill="CCEEFF"/>
          </w:tcPr>
          <w:p>
            <w:pPr>
              <w:spacing w:after="0"/>
              <w:rPr>
                <w:sz w:val="2"/>
                <w:szCs w:val="2"/>
                <w:color w:val="auto"/>
              </w:rPr>
            </w:pPr>
          </w:p>
        </w:tc>
        <w:tc>
          <w:tcPr>
            <w:tcW w:w="320" w:type="dxa"/>
            <w:vAlign w:val="bottom"/>
            <w:gridSpan w:val="2"/>
            <w:vMerge w:val="continue"/>
            <w:shd w:val="clear" w:color="auto" w:fill="CCEEFF"/>
          </w:tcPr>
          <w:p>
            <w:pPr>
              <w:spacing w:after="0"/>
              <w:rPr>
                <w:sz w:val="2"/>
                <w:szCs w:val="2"/>
                <w:color w:val="auto"/>
              </w:rPr>
            </w:pPr>
          </w:p>
        </w:tc>
        <w:tc>
          <w:tcPr>
            <w:tcW w:w="1040" w:type="dxa"/>
            <w:vAlign w:val="bottom"/>
            <w:gridSpan w:val="2"/>
            <w:vMerge w:val="continue"/>
            <w:shd w:val="clear" w:color="auto" w:fill="CCEEFF"/>
          </w:tcPr>
          <w:p>
            <w:pPr>
              <w:spacing w:after="0"/>
              <w:rPr>
                <w:sz w:val="2"/>
                <w:szCs w:val="2"/>
                <w:color w:val="auto"/>
              </w:rPr>
            </w:pPr>
          </w:p>
        </w:tc>
        <w:tc>
          <w:tcPr>
            <w:tcW w:w="320" w:type="dxa"/>
            <w:vAlign w:val="bottom"/>
            <w:gridSpan w:val="2"/>
            <w:vMerge w:val="continue"/>
            <w:shd w:val="clear" w:color="auto" w:fill="CCEEFF"/>
          </w:tcPr>
          <w:p>
            <w:pPr>
              <w:spacing w:after="0"/>
              <w:rPr>
                <w:sz w:val="2"/>
                <w:szCs w:val="2"/>
                <w:color w:val="auto"/>
              </w:rPr>
            </w:pPr>
          </w:p>
        </w:tc>
        <w:tc>
          <w:tcPr>
            <w:tcW w:w="1040" w:type="dxa"/>
            <w:vAlign w:val="bottom"/>
            <w:gridSpan w:val="2"/>
            <w:vMerge w:val="continue"/>
            <w:shd w:val="clear" w:color="auto" w:fill="CCEEFF"/>
          </w:tcPr>
          <w:p>
            <w:pPr>
              <w:spacing w:after="0"/>
              <w:rPr>
                <w:sz w:val="2"/>
                <w:szCs w:val="2"/>
                <w:color w:val="auto"/>
              </w:rPr>
            </w:pPr>
          </w:p>
        </w:tc>
        <w:tc>
          <w:tcPr>
            <w:tcW w:w="500" w:type="dxa"/>
            <w:vAlign w:val="bottom"/>
            <w:gridSpan w:val="2"/>
            <w:vMerge w:val="continue"/>
            <w:shd w:val="clear" w:color="auto" w:fill="CCEEFF"/>
          </w:tcPr>
          <w:p>
            <w:pPr>
              <w:spacing w:after="0"/>
              <w:rPr>
                <w:sz w:val="2"/>
                <w:szCs w:val="2"/>
                <w:color w:val="auto"/>
              </w:rPr>
            </w:pPr>
          </w:p>
        </w:tc>
        <w:tc>
          <w:tcPr>
            <w:tcW w:w="80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5220" w:type="dxa"/>
            <w:vAlign w:val="bottom"/>
            <w:shd w:val="clear" w:color="auto" w:fill="CCEEFF"/>
          </w:tcPr>
          <w:p>
            <w:pPr>
              <w:ind w:left="740"/>
              <w:spacing w:after="0"/>
              <w:rPr>
                <w:sz w:val="20"/>
                <w:szCs w:val="20"/>
                <w:color w:val="auto"/>
              </w:rPr>
            </w:pPr>
            <w:r>
              <w:rPr>
                <w:rFonts w:ascii="Arial" w:cs="Arial" w:eastAsia="Arial" w:hAnsi="Arial"/>
                <w:sz w:val="15"/>
                <w:szCs w:val="15"/>
                <w:color w:val="auto"/>
              </w:rPr>
              <w:t>(1)</w:t>
            </w:r>
          </w:p>
        </w:tc>
        <w:tc>
          <w:tcPr>
            <w:tcW w:w="2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7"/>
                <w:szCs w:val="17"/>
                <w:color w:val="auto"/>
              </w:rPr>
              <w:t>Weighted-average shares used to compute net loss per share</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line="187" w:lineRule="exact"/>
              <w:rPr>
                <w:sz w:val="20"/>
                <w:szCs w:val="20"/>
                <w:color w:val="auto"/>
              </w:rPr>
            </w:pPr>
            <w:r>
              <w:rPr>
                <w:rFonts w:ascii="Arial" w:cs="Arial" w:eastAsia="Arial" w:hAnsi="Arial"/>
                <w:sz w:val="17"/>
                <w:szCs w:val="17"/>
                <w:color w:val="auto"/>
                <w:w w:val="97"/>
              </w:rPr>
              <w:t>2,750,838</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line="187" w:lineRule="exact"/>
              <w:rPr>
                <w:sz w:val="20"/>
                <w:szCs w:val="20"/>
                <w:color w:val="auto"/>
              </w:rPr>
            </w:pPr>
            <w:r>
              <w:rPr>
                <w:rFonts w:ascii="Arial" w:cs="Arial" w:eastAsia="Arial" w:hAnsi="Arial"/>
                <w:sz w:val="17"/>
                <w:szCs w:val="17"/>
                <w:color w:val="auto"/>
              </w:rPr>
              <w:t>3,076,461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line="187" w:lineRule="exact"/>
              <w:rPr>
                <w:sz w:val="20"/>
                <w:szCs w:val="20"/>
                <w:color w:val="auto"/>
              </w:rPr>
            </w:pPr>
            <w:r>
              <w:rPr>
                <w:rFonts w:ascii="Arial" w:cs="Arial" w:eastAsia="Arial" w:hAnsi="Arial"/>
                <w:sz w:val="17"/>
                <w:szCs w:val="17"/>
                <w:color w:val="auto"/>
              </w:rPr>
              <w:t>3,061,082</w:t>
            </w:r>
          </w:p>
        </w:tc>
        <w:tc>
          <w:tcPr>
            <w:tcW w:w="260" w:type="dxa"/>
            <w:vAlign w:val="bottom"/>
          </w:tcPr>
          <w:p>
            <w:pPr>
              <w:spacing w:after="0"/>
              <w:rPr>
                <w:sz w:val="13"/>
                <w:szCs w:val="13"/>
                <w:color w:val="auto"/>
              </w:rPr>
            </w:pPr>
          </w:p>
        </w:tc>
        <w:tc>
          <w:tcPr>
            <w:tcW w:w="1300" w:type="dxa"/>
            <w:vAlign w:val="bottom"/>
            <w:gridSpan w:val="4"/>
            <w:vMerge w:val="restart"/>
          </w:tcPr>
          <w:p>
            <w:pPr>
              <w:jc w:val="right"/>
              <w:ind w:right="20"/>
              <w:spacing w:after="0" w:line="187" w:lineRule="exact"/>
              <w:rPr>
                <w:sz w:val="20"/>
                <w:szCs w:val="20"/>
                <w:color w:val="auto"/>
              </w:rPr>
            </w:pPr>
            <w:r>
              <w:rPr>
                <w:rFonts w:ascii="Arial" w:cs="Arial" w:eastAsia="Arial" w:hAnsi="Arial"/>
                <w:sz w:val="17"/>
                <w:szCs w:val="17"/>
                <w:color w:val="auto"/>
              </w:rPr>
              <w:t>12,052,876</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220" w:type="dxa"/>
            <w:vAlign w:val="bottom"/>
          </w:tcPr>
          <w:p>
            <w:pPr>
              <w:ind w:left="240"/>
              <w:spacing w:after="0" w:line="32" w:lineRule="exact"/>
              <w:rPr>
                <w:sz w:val="20"/>
                <w:szCs w:val="20"/>
                <w:color w:val="auto"/>
              </w:rPr>
            </w:pPr>
            <w:r>
              <w:rPr>
                <w:rFonts w:ascii="Arial" w:cs="Arial" w:eastAsia="Arial" w:hAnsi="Arial"/>
                <w:sz w:val="3"/>
                <w:szCs w:val="3"/>
                <w:color w:val="auto"/>
              </w:rPr>
              <w:t>attributable to common stockholders, basic and diluted</w:t>
            </w: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5240" w:type="dxa"/>
            <w:vAlign w:val="bottom"/>
            <w:gridSpan w:val="2"/>
          </w:tcPr>
          <w:p>
            <w:pPr>
              <w:jc w:val="right"/>
              <w:ind w:right="603"/>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700" w:right="560" w:hanging="267"/>
        <w:spacing w:after="0" w:line="291" w:lineRule="auto"/>
        <w:tabs>
          <w:tab w:leader="none" w:pos="70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See Note 12 in the notes to our audited consolidated financial statements appearing at the end of this prospectus for a description of the method used to calculate basic and diluted net loss per share.</w:t>
      </w: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40"/>
          </w:cols>
          <w:pgMar w:left="320" w:top="455" w:right="6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214630</wp:posOffset>
            </wp:positionV>
            <wp:extent cx="6998970" cy="3150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3150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300" w:type="dxa"/>
        <w:tblCellMar>
          <w:top w:w="0" w:type="dxa"/>
          <w:left w:w="0" w:type="dxa"/>
          <w:bottom w:w="0" w:type="dxa"/>
          <w:right w:w="0" w:type="dxa"/>
        </w:tblCellMar>
      </w:tblPr>
      <w:tr>
        <w:trPr>
          <w:trHeight w:val="177"/>
        </w:trPr>
        <w:tc>
          <w:tcPr>
            <w:tcW w:w="53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AS OF SEPTEMBER 30, 2020</w:t>
            </w:r>
          </w:p>
        </w:tc>
      </w:tr>
      <w:tr>
        <w:trPr>
          <w:trHeight w:val="155"/>
        </w:trPr>
        <w:tc>
          <w:tcPr>
            <w:tcW w:w="53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ACTUAL</w:t>
            </w:r>
          </w:p>
        </w:tc>
        <w:tc>
          <w:tcPr>
            <w:tcW w:w="1840" w:type="dxa"/>
            <w:vAlign w:val="bottom"/>
            <w:tcBorders>
              <w:top w:val="single" w:sz="8" w:color="auto"/>
              <w:bottom w:val="single" w:sz="8" w:color="auto"/>
            </w:tcBorders>
            <w:gridSpan w:val="2"/>
          </w:tcPr>
          <w:p>
            <w:pPr>
              <w:ind w:left="520"/>
              <w:spacing w:after="0" w:line="156" w:lineRule="exact"/>
              <w:rPr>
                <w:sz w:val="20"/>
                <w:szCs w:val="20"/>
                <w:color w:val="auto"/>
              </w:rPr>
            </w:pPr>
            <w:r>
              <w:rPr>
                <w:rFonts w:ascii="Arial" w:cs="Arial" w:eastAsia="Arial" w:hAnsi="Arial"/>
                <w:sz w:val="11"/>
                <w:szCs w:val="11"/>
                <w:b w:val="1"/>
                <w:bCs w:val="1"/>
                <w:color w:val="auto"/>
              </w:rPr>
              <w:t>AS ADJUSTED</w:t>
            </w:r>
            <w:r>
              <w:rPr>
                <w:rFonts w:ascii="Arial" w:cs="Arial" w:eastAsia="Arial" w:hAnsi="Arial"/>
                <w:sz w:val="18"/>
                <w:szCs w:val="18"/>
                <w:b w:val="1"/>
                <w:bCs w:val="1"/>
                <w:color w:val="auto"/>
                <w:vertAlign w:val="superscript"/>
              </w:rPr>
              <w:t>(1)(2)</w:t>
            </w:r>
          </w:p>
        </w:tc>
        <w:tc>
          <w:tcPr>
            <w:tcW w:w="100" w:type="dxa"/>
            <w:vAlign w:val="bottom"/>
          </w:tcPr>
          <w:p>
            <w:pPr>
              <w:spacing w:after="0"/>
              <w:rPr>
                <w:sz w:val="13"/>
                <w:szCs w:val="13"/>
                <w:color w:val="auto"/>
              </w:rPr>
            </w:pPr>
          </w:p>
        </w:tc>
      </w:tr>
      <w:tr>
        <w:trPr>
          <w:trHeight w:val="140"/>
        </w:trPr>
        <w:tc>
          <w:tcPr>
            <w:tcW w:w="5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jc w:val="center"/>
              <w:ind w:right="28"/>
              <w:spacing w:after="0" w:line="141" w:lineRule="exact"/>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7"/>
        </w:trPr>
        <w:tc>
          <w:tcPr>
            <w:tcW w:w="53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25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534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3360" w:type="dxa"/>
            <w:vAlign w:val="bottom"/>
            <w:gridSpan w:val="2"/>
          </w:tcPr>
          <w:p>
            <w:pPr>
              <w:jc w:val="right"/>
              <w:ind w:right="8"/>
              <w:spacing w:after="0" w:line="189" w:lineRule="exact"/>
              <w:rPr>
                <w:sz w:val="20"/>
                <w:szCs w:val="20"/>
                <w:color w:val="auto"/>
              </w:rPr>
            </w:pPr>
            <w:r>
              <w:rPr>
                <w:rFonts w:ascii="Arial" w:cs="Arial" w:eastAsia="Arial" w:hAnsi="Arial"/>
                <w:sz w:val="17"/>
                <w:szCs w:val="17"/>
                <w:color w:val="auto"/>
              </w:rPr>
              <w:t>$259,484</w:t>
            </w:r>
          </w:p>
        </w:tc>
        <w:tc>
          <w:tcPr>
            <w:tcW w:w="1120" w:type="dxa"/>
            <w:vAlign w:val="bottom"/>
          </w:tcPr>
          <w:p>
            <w:pPr>
              <w:ind w:left="52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395,073</w:t>
            </w:r>
          </w:p>
        </w:tc>
      </w:tr>
      <w:tr>
        <w:trPr>
          <w:trHeight w:val="189"/>
        </w:trPr>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(3)</w:t>
            </w:r>
          </w:p>
        </w:tc>
        <w:tc>
          <w:tcPr>
            <w:tcW w:w="3360" w:type="dxa"/>
            <w:vAlign w:val="bottom"/>
            <w:gridSpan w:val="2"/>
            <w:shd w:val="clear" w:color="auto" w:fill="CCEEFF"/>
          </w:tcPr>
          <w:p>
            <w:pPr>
              <w:jc w:val="right"/>
              <w:ind w:right="8"/>
              <w:spacing w:after="0" w:line="189" w:lineRule="exact"/>
              <w:rPr>
                <w:sz w:val="20"/>
                <w:szCs w:val="20"/>
                <w:color w:val="auto"/>
              </w:rPr>
            </w:pPr>
            <w:r>
              <w:rPr>
                <w:rFonts w:ascii="Arial" w:cs="Arial" w:eastAsia="Arial" w:hAnsi="Arial"/>
                <w:sz w:val="17"/>
                <w:szCs w:val="17"/>
                <w:color w:val="auto"/>
              </w:rPr>
              <w:t>255,207</w:t>
            </w:r>
          </w:p>
        </w:tc>
        <w:tc>
          <w:tcPr>
            <w:tcW w:w="1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390,796</w:t>
            </w:r>
          </w:p>
        </w:tc>
      </w:tr>
      <w:tr>
        <w:trPr>
          <w:trHeight w:val="189"/>
        </w:trPr>
        <w:tc>
          <w:tcPr>
            <w:tcW w:w="534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3360" w:type="dxa"/>
            <w:vAlign w:val="bottom"/>
            <w:gridSpan w:val="2"/>
          </w:tcPr>
          <w:p>
            <w:pPr>
              <w:jc w:val="right"/>
              <w:ind w:right="8"/>
              <w:spacing w:after="0" w:line="189" w:lineRule="exact"/>
              <w:rPr>
                <w:sz w:val="20"/>
                <w:szCs w:val="20"/>
                <w:color w:val="auto"/>
              </w:rPr>
            </w:pPr>
            <w:r>
              <w:rPr>
                <w:rFonts w:ascii="Arial" w:cs="Arial" w:eastAsia="Arial" w:hAnsi="Arial"/>
                <w:sz w:val="17"/>
                <w:szCs w:val="17"/>
                <w:color w:val="auto"/>
              </w:rPr>
              <w:t>262,449</w:t>
            </w:r>
          </w:p>
        </w:tc>
        <w:tc>
          <w:tcPr>
            <w:tcW w:w="1120" w:type="dxa"/>
            <w:vAlign w:val="bottom"/>
          </w:tcPr>
          <w:p>
            <w:pPr>
              <w:spacing w:after="0"/>
              <w:rPr>
                <w:sz w:val="16"/>
                <w:szCs w:val="16"/>
                <w:color w:val="auto"/>
              </w:rPr>
            </w:pPr>
          </w:p>
        </w:tc>
        <w:tc>
          <w:tcPr>
            <w:tcW w:w="82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398,038</w:t>
            </w:r>
          </w:p>
        </w:tc>
      </w:tr>
      <w:tr>
        <w:trPr>
          <w:trHeight w:val="189"/>
        </w:trPr>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3360" w:type="dxa"/>
            <w:vAlign w:val="bottom"/>
            <w:gridSpan w:val="2"/>
            <w:shd w:val="clear" w:color="auto" w:fill="CCEEFF"/>
          </w:tcPr>
          <w:p>
            <w:pPr>
              <w:jc w:val="right"/>
              <w:ind w:right="8"/>
              <w:spacing w:after="0" w:line="189" w:lineRule="exact"/>
              <w:rPr>
                <w:sz w:val="20"/>
                <w:szCs w:val="20"/>
                <w:color w:val="auto"/>
              </w:rPr>
            </w:pPr>
            <w:r>
              <w:rPr>
                <w:rFonts w:ascii="Arial" w:cs="Arial" w:eastAsia="Arial" w:hAnsi="Arial"/>
                <w:sz w:val="17"/>
                <w:szCs w:val="17"/>
                <w:color w:val="auto"/>
              </w:rPr>
              <w:t>10,433</w:t>
            </w:r>
          </w:p>
        </w:tc>
        <w:tc>
          <w:tcPr>
            <w:tcW w:w="1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10,433</w:t>
            </w:r>
          </w:p>
        </w:tc>
        <w:tc>
          <w:tcPr>
            <w:tcW w:w="100" w:type="dxa"/>
            <w:vAlign w:val="bottom"/>
            <w:shd w:val="clear" w:color="auto" w:fill="CCEEFF"/>
          </w:tcPr>
          <w:p>
            <w:pPr>
              <w:spacing w:after="0"/>
              <w:rPr>
                <w:sz w:val="16"/>
                <w:szCs w:val="16"/>
                <w:color w:val="auto"/>
              </w:rPr>
            </w:pPr>
          </w:p>
        </w:tc>
      </w:tr>
      <w:tr>
        <w:trPr>
          <w:trHeight w:val="189"/>
        </w:trPr>
        <w:tc>
          <w:tcPr>
            <w:tcW w:w="5340" w:type="dxa"/>
            <w:vAlign w:val="bottom"/>
          </w:tcPr>
          <w:p>
            <w:pPr>
              <w:spacing w:after="0" w:line="189" w:lineRule="exact"/>
              <w:rPr>
                <w:sz w:val="20"/>
                <w:szCs w:val="20"/>
                <w:color w:val="auto"/>
              </w:rPr>
            </w:pPr>
            <w:r>
              <w:rPr>
                <w:rFonts w:ascii="Arial" w:cs="Arial" w:eastAsia="Arial" w:hAnsi="Arial"/>
                <w:sz w:val="17"/>
                <w:szCs w:val="17"/>
                <w:color w:val="auto"/>
              </w:rPr>
              <w:t>Accumulated deficit</w:t>
            </w:r>
          </w:p>
        </w:tc>
        <w:tc>
          <w:tcPr>
            <w:tcW w:w="33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(99,748)</w:t>
            </w:r>
          </w:p>
        </w:tc>
        <w:tc>
          <w:tcPr>
            <w:tcW w:w="112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(99,748)</w:t>
            </w:r>
          </w:p>
        </w:tc>
      </w:tr>
      <w:tr>
        <w:trPr>
          <w:trHeight w:val="189"/>
        </w:trPr>
        <w:tc>
          <w:tcPr>
            <w:tcW w:w="5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stockholders’ equity</w:t>
            </w:r>
          </w:p>
        </w:tc>
        <w:tc>
          <w:tcPr>
            <w:tcW w:w="3360" w:type="dxa"/>
            <w:vAlign w:val="bottom"/>
            <w:gridSpan w:val="2"/>
            <w:shd w:val="clear" w:color="auto" w:fill="CCEEFF"/>
          </w:tcPr>
          <w:p>
            <w:pPr>
              <w:jc w:val="right"/>
              <w:ind w:right="8"/>
              <w:spacing w:after="0" w:line="189" w:lineRule="exact"/>
              <w:rPr>
                <w:sz w:val="20"/>
                <w:szCs w:val="20"/>
                <w:color w:val="auto"/>
              </w:rPr>
            </w:pPr>
            <w:r>
              <w:rPr>
                <w:rFonts w:ascii="Arial" w:cs="Arial" w:eastAsia="Arial" w:hAnsi="Arial"/>
                <w:sz w:val="17"/>
                <w:szCs w:val="17"/>
                <w:color w:val="auto"/>
              </w:rPr>
              <w:t>252,016</w:t>
            </w:r>
          </w:p>
        </w:tc>
        <w:tc>
          <w:tcPr>
            <w:tcW w:w="1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387,605</w:t>
            </w:r>
          </w:p>
        </w:tc>
      </w:tr>
    </w:tbl>
    <w:p>
      <w:pPr>
        <w:spacing w:after="0" w:line="243" w:lineRule="exact"/>
        <w:rPr>
          <w:sz w:val="20"/>
          <w:szCs w:val="20"/>
          <w:color w:val="auto"/>
        </w:rPr>
      </w:pPr>
    </w:p>
    <w:p>
      <w:pPr>
        <w:ind w:left="700" w:right="120" w:hanging="267"/>
        <w:spacing w:after="0" w:line="250" w:lineRule="auto"/>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as adjusted balance sheet data in the table above reflects adjustments for the sale and issuance by us of 2,000,000 shares of our common stock in this offering, at an assumed public offering price of $73.22 per share, which is the last reported sale price of our common stock on the Nasdaq Global Select Market on December 4, 2020, and after deducting the underwriting discounts and commissions and estimated offering expenses payable by us.</w:t>
      </w:r>
    </w:p>
    <w:p>
      <w:pPr>
        <w:ind w:left="700" w:right="60" w:hanging="267"/>
        <w:spacing w:after="0" w:line="245" w:lineRule="auto"/>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Each $1.00 increase or decrease in the assumed public offering price of $73.22 per share, which is the last reported sale price of our common stock on the Nasdaq Global Select Market on December 4, 2020, would increase or decrease, as applicable, each of our as adjusted cash and cash equivalents, total assets and total stockholders’ equity by $1.9 million, assuming the number of shares offered by us, as set forth on the cover page of this prospectus, remains the same and after deducting the underwriting discounts and commissions and estimated offering expenses payable by us. Each increase or decrease of 1.0 million shares in the number of shares of common stock offered by us would increase or decrease, as applicable, each of our as adjusted cash and cash equivalents, total assets and total stockholders’ equity by approximately $68.1 million, assuming the public offering price remains the same, and after deducting the underwriting discounts and commissions and estimated offering expenses payable by us.</w:t>
      </w:r>
    </w:p>
    <w:p>
      <w:pPr>
        <w:spacing w:after="0" w:line="6" w:lineRule="exact"/>
        <w:rPr>
          <w:rFonts w:ascii="Arial" w:cs="Arial" w:eastAsia="Arial" w:hAnsi="Arial"/>
          <w:sz w:val="14"/>
          <w:szCs w:val="14"/>
          <w:color w:val="auto"/>
        </w:rPr>
      </w:pPr>
    </w:p>
    <w:p>
      <w:pPr>
        <w:ind w:left="700" w:right="120" w:hanging="267"/>
        <w:spacing w:after="0" w:line="291" w:lineRule="auto"/>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40"/>
          </w:cols>
          <w:pgMar w:left="32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right="220"/>
        <w:spacing w:after="0" w:line="23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the section titled “Management’s Discussion and Analysis of Financial Condition and Results of Operations” in this prospectus,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Summary</w:t>
      </w:r>
    </w:p>
    <w:p>
      <w:pPr>
        <w:spacing w:after="0" w:line="62" w:lineRule="exact"/>
        <w:rPr>
          <w:sz w:val="20"/>
          <w:szCs w:val="20"/>
          <w:color w:val="auto"/>
        </w:rPr>
      </w:pPr>
    </w:p>
    <w:p>
      <w:pPr>
        <w:ind w:left="120" w:right="100"/>
        <w:spacing w:after="0" w:line="285" w:lineRule="auto"/>
        <w:rPr>
          <w:sz w:val="20"/>
          <w:szCs w:val="20"/>
          <w:color w:val="auto"/>
        </w:rPr>
      </w:pPr>
      <w:r>
        <w:rPr>
          <w:rFonts w:ascii="Arial" w:cs="Arial" w:eastAsia="Arial" w:hAnsi="Arial"/>
          <w:sz w:val="17"/>
          <w:szCs w:val="17"/>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114" w:lineRule="exact"/>
        <w:rPr>
          <w:sz w:val="20"/>
          <w:szCs w:val="20"/>
          <w:color w:val="auto"/>
        </w:rPr>
      </w:pPr>
    </w:p>
    <w:p>
      <w:pPr>
        <w:ind w:left="980" w:right="880" w:hanging="432"/>
        <w:spacing w:after="0" w:line="257"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We have incurred significant net losses since our inception, and we expect to continue to incur significant net losses for the foreseeable future;</w:t>
      </w:r>
    </w:p>
    <w:p>
      <w:pPr>
        <w:spacing w:after="0" w:line="1" w:lineRule="exact"/>
        <w:rPr>
          <w:rFonts w:ascii="MS PGothic" w:cs="MS PGothic" w:eastAsia="MS PGothic" w:hAnsi="MS PGothic"/>
          <w:sz w:val="13"/>
          <w:szCs w:val="13"/>
          <w:color w:val="auto"/>
        </w:rPr>
      </w:pPr>
    </w:p>
    <w:p>
      <w:pPr>
        <w:ind w:left="980" w:right="20" w:hanging="432"/>
        <w:spacing w:after="0" w:line="248"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We will require substantial additional capital to finance our operations, such capital may not be available to us or may only be available on terms that are unfavorable to us and, in addition, our current loan agreement may restrict our ability to take on additional debt without the consent of our lenders;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We have a limited operating history and have no products approved for commercial sale;</w:t>
      </w:r>
    </w:p>
    <w:p>
      <w:pPr>
        <w:spacing w:after="0" w:line="113"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The price of our stock may be volatile, and you could lose all or part of your investment;</w:t>
      </w:r>
    </w:p>
    <w:p>
      <w:pPr>
        <w:spacing w:after="0" w:line="35" w:lineRule="exact"/>
        <w:rPr>
          <w:rFonts w:ascii="MS PGothic" w:cs="MS PGothic" w:eastAsia="MS PGothic" w:hAnsi="MS PGothic"/>
          <w:sz w:val="13"/>
          <w:szCs w:val="13"/>
          <w:color w:val="auto"/>
        </w:rPr>
      </w:pPr>
    </w:p>
    <w:p>
      <w:pPr>
        <w:ind w:left="980" w:hanging="432"/>
        <w:spacing w:after="0" w:line="256"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We are substantially dependent on the success of our lead product candidate, ALX148, which is in clinical development and which has not completed a pivotal trial;</w:t>
      </w:r>
    </w:p>
    <w:p>
      <w:pPr>
        <w:spacing w:after="0" w:line="1" w:lineRule="exact"/>
        <w:rPr>
          <w:rFonts w:ascii="MS PGothic" w:cs="MS PGothic" w:eastAsia="MS PGothic" w:hAnsi="MS PGothic"/>
          <w:sz w:val="13"/>
          <w:szCs w:val="13"/>
          <w:color w:val="auto"/>
        </w:rPr>
      </w:pPr>
    </w:p>
    <w:p>
      <w:pPr>
        <w:ind w:left="980" w:right="140" w:hanging="432"/>
        <w:spacing w:after="0" w:line="256"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1" w:lineRule="exact"/>
        <w:rPr>
          <w:rFonts w:ascii="MS PGothic" w:cs="MS PGothic" w:eastAsia="MS PGothic" w:hAnsi="MS PGothic"/>
          <w:sz w:val="13"/>
          <w:szCs w:val="13"/>
          <w:color w:val="auto"/>
        </w:rPr>
      </w:pPr>
    </w:p>
    <w:p>
      <w:pPr>
        <w:ind w:left="980" w:right="340" w:hanging="432"/>
        <w:spacing w:after="0" w:line="256"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Our product candidates may cause significant adverse events or other undesirable side effects when used alone or in combination with other treatments;</w:t>
      </w:r>
    </w:p>
    <w:p>
      <w:pPr>
        <w:spacing w:after="0" w:line="1" w:lineRule="exact"/>
        <w:rPr>
          <w:rFonts w:ascii="MS PGothic" w:cs="MS PGothic" w:eastAsia="MS PGothic" w:hAnsi="MS PGothic"/>
          <w:sz w:val="13"/>
          <w:szCs w:val="13"/>
          <w:color w:val="auto"/>
        </w:rPr>
      </w:pPr>
    </w:p>
    <w:p>
      <w:pPr>
        <w:ind w:left="980" w:right="840" w:hanging="432"/>
        <w:spacing w:after="0" w:line="256"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1" w:lineRule="exact"/>
        <w:rPr>
          <w:rFonts w:ascii="MS PGothic" w:cs="MS PGothic" w:eastAsia="MS PGothic" w:hAnsi="MS PGothic"/>
          <w:sz w:val="13"/>
          <w:szCs w:val="13"/>
          <w:color w:val="auto"/>
        </w:rPr>
      </w:pPr>
    </w:p>
    <w:p>
      <w:pPr>
        <w:ind w:left="980" w:right="660" w:hanging="432"/>
        <w:spacing w:after="0" w:line="256"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The regulatory approval processes of the FDA and comparable foreign regulatory authorities are lengthy, time-consuming and inherently unpredictable, which could lead to our inability to generate product revenue;</w:t>
      </w:r>
    </w:p>
    <w:p>
      <w:pPr>
        <w:spacing w:after="0" w:line="1" w:lineRule="exact"/>
        <w:rPr>
          <w:rFonts w:ascii="MS PGothic" w:cs="MS PGothic" w:eastAsia="MS PGothic" w:hAnsi="MS PGothic"/>
          <w:sz w:val="13"/>
          <w:szCs w:val="13"/>
          <w:color w:val="auto"/>
        </w:rPr>
      </w:pPr>
    </w:p>
    <w:p>
      <w:pPr>
        <w:ind w:left="980" w:right="560" w:hanging="432"/>
        <w:spacing w:after="0" w:line="256"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If we are unable to obtain, maintain and enforce patent protection and other intellectual property for our product candidates and related technology, our business could be materially harmed;</w:t>
      </w:r>
    </w:p>
    <w:p>
      <w:pPr>
        <w:spacing w:after="0" w:line="1" w:lineRule="exact"/>
        <w:rPr>
          <w:rFonts w:ascii="MS PGothic" w:cs="MS PGothic" w:eastAsia="MS PGothic" w:hAnsi="MS PGothic"/>
          <w:sz w:val="13"/>
          <w:szCs w:val="13"/>
          <w:color w:val="auto"/>
        </w:rPr>
      </w:pPr>
    </w:p>
    <w:p>
      <w:pPr>
        <w:ind w:left="980" w:right="360" w:hanging="432"/>
        <w:spacing w:after="0" w:line="256"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We are highly dependent on our key personnel, and if we are not successful in attracting, motivating, and retaining highly qualified personnel, we may not be able to successfully implement our business strategy;</w:t>
      </w:r>
    </w:p>
    <w:p>
      <w:pPr>
        <w:spacing w:after="0" w:line="1" w:lineRule="exact"/>
        <w:rPr>
          <w:rFonts w:ascii="MS PGothic" w:cs="MS PGothic" w:eastAsia="MS PGothic" w:hAnsi="MS PGothic"/>
          <w:sz w:val="13"/>
          <w:szCs w:val="13"/>
          <w:color w:val="auto"/>
        </w:rPr>
      </w:pPr>
    </w:p>
    <w:p>
      <w:pPr>
        <w:ind w:left="980" w:right="340" w:hanging="432"/>
        <w:spacing w:after="0" w:line="248"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Our preclinical research is conducted solely by a third party service provider, Tallac Therapeutics, Inc. (formerly known as Tollnine, Inc.), or Tallac Therapeutics, and we are dependent on Tallac Therapeutics to perform its contractual research obligations on an effective or timely basis;</w:t>
      </w:r>
    </w:p>
    <w:p>
      <w:pPr>
        <w:spacing w:after="0" w:line="1" w:lineRule="exact"/>
        <w:rPr>
          <w:rFonts w:ascii="MS PGothic" w:cs="MS PGothic" w:eastAsia="MS PGothic" w:hAnsi="MS PGothic"/>
          <w:sz w:val="13"/>
          <w:szCs w:val="13"/>
          <w:color w:val="auto"/>
        </w:rPr>
      </w:pPr>
    </w:p>
    <w:p>
      <w:pPr>
        <w:ind w:left="980" w:right="140" w:hanging="432"/>
        <w:spacing w:after="0" w:line="256"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The novel coronavirus, or COVID-19, pandemic could adversely impact our business including our ongoing and planned clinical trials and preclinical research; and</w:t>
      </w:r>
    </w:p>
    <w:p>
      <w:pPr>
        <w:spacing w:after="0" w:line="1" w:lineRule="exact"/>
        <w:rPr>
          <w:rFonts w:ascii="MS PGothic" w:cs="MS PGothic" w:eastAsia="MS PGothic" w:hAnsi="MS PGothic"/>
          <w:sz w:val="13"/>
          <w:szCs w:val="13"/>
          <w:color w:val="auto"/>
        </w:rPr>
      </w:pPr>
    </w:p>
    <w:p>
      <w:pPr>
        <w:ind w:left="980" w:right="460" w:hanging="432"/>
        <w:spacing w:after="0" w:line="273"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We have identified material weaknesses in our internal control over financial reporting. If remediation measures are not effective, investors may lose confidence in our financial reports.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62" w:lineRule="exact"/>
        <w:rPr>
          <w:sz w:val="20"/>
          <w:szCs w:val="20"/>
          <w:color w:val="auto"/>
        </w:rPr>
      </w:pPr>
    </w:p>
    <w:p>
      <w:pPr>
        <w:ind w:left="120" w:right="940"/>
        <w:spacing w:after="0" w:line="285" w:lineRule="auto"/>
        <w:rPr>
          <w:sz w:val="20"/>
          <w:szCs w:val="20"/>
          <w:color w:val="auto"/>
        </w:rPr>
      </w:pPr>
      <w:r>
        <w:rPr>
          <w:rFonts w:ascii="Arial" w:cs="Arial" w:eastAsia="Arial" w:hAnsi="Arial"/>
          <w:sz w:val="17"/>
          <w:szCs w:val="17"/>
          <w:b w:val="1"/>
          <w:bCs w:val="1"/>
          <w:i w:val="1"/>
          <w:iCs w:val="1"/>
          <w:color w:val="auto"/>
        </w:rPr>
        <w:t>We have incurred significant net losses since our inception, and we expect to continue to incur significant net losses for the foreseeable future.</w:t>
      </w:r>
    </w:p>
    <w:p>
      <w:pPr>
        <w:spacing w:after="0" w:line="74"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to date and have financed our operations principally through private placements of our convertible preferred stock.</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Our net loss was $19.2 million for the year ended December 31, 2019 and $11.5 million and $27.0 million for the nine months ended September 30, 2019 and 2020, respectively. As of September 30, 2020, we had an accumulated deficit of $99.7 million. We have devoted substantially all of our resources and efforts to research and development. Our lead product candidate, ALX148,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22" w:lineRule="exact"/>
        <w:rPr>
          <w:sz w:val="20"/>
          <w:szCs w:val="20"/>
          <w:color w:val="auto"/>
        </w:rPr>
      </w:pPr>
    </w:p>
    <w:p>
      <w:pPr>
        <w:ind w:left="120" w:right="140"/>
        <w:spacing w:after="0" w:line="242"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23" w:lineRule="exact"/>
        <w:rPr>
          <w:sz w:val="20"/>
          <w:szCs w:val="20"/>
          <w:color w:val="auto"/>
        </w:rPr>
      </w:pPr>
    </w:p>
    <w:p>
      <w:pPr>
        <w:jc w:val="both"/>
        <w:ind w:left="120" w:right="60"/>
        <w:spacing w:after="0" w:line="258"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97"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ALX148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U.S. Food and Drug Administration, or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also expect to incur additional costs associated with operating as a public company and comply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September 30, 2020, we had cash and cash equivalents of $259.5 million. Based on our current operating plan, we believe that the proceeds from this offering, together with our existing cash and cash equivalents, will be sufficient to fund our operations through 2024. Our estimate as to how long we expect the net proceeds from our offering, together with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23" w:lineRule="exact"/>
        <w:rPr>
          <w:sz w:val="20"/>
          <w:szCs w:val="20"/>
          <w:color w:val="auto"/>
        </w:rPr>
      </w:pPr>
    </w:p>
    <w:p>
      <w:pPr>
        <w:ind w:left="120" w:right="60"/>
        <w:spacing w:after="0"/>
        <w:rPr>
          <w:sz w:val="20"/>
          <w:szCs w:val="20"/>
          <w:color w:val="auto"/>
        </w:rPr>
      </w:pPr>
      <w:r>
        <w:rPr>
          <w:rFonts w:ascii="Arial" w:cs="Arial" w:eastAsia="Arial" w:hAnsi="Arial"/>
          <w:sz w:val="17"/>
          <w:szCs w:val="17"/>
          <w:color w:val="auto"/>
        </w:rPr>
        <w:t>We plan to use the net proceeds from this offering to advance the clinical development of ALX148,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ALX148 and our other programs will require a significant amount of capital. The net proceeds from this offering, together with our current cash and cash equivalents on hand, may not be sufficient to fund all of the actions that are necessary to complete the development of ALX148 or our other programs.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We expect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In addition, our Loan and Security Agreement, or the Loan Agreement, with Silicon Valley Bank, or SVB, and WestRiver Innovation Lending Fund VIII, LP, or WestRiver, and collectively, the Lenders, restricts our ability to incur additional indebtedness without the consent of the Lenders.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27" w:lineRule="exact"/>
        <w:rPr>
          <w:sz w:val="20"/>
          <w:szCs w:val="20"/>
          <w:color w:val="auto"/>
        </w:rPr>
      </w:pPr>
    </w:p>
    <w:p>
      <w:pPr>
        <w:ind w:left="120" w:right="320"/>
        <w:spacing w:after="0" w:line="253" w:lineRule="auto"/>
        <w:rPr>
          <w:sz w:val="20"/>
          <w:szCs w:val="20"/>
          <w:color w:val="auto"/>
        </w:rPr>
      </w:pPr>
      <w:r>
        <w:rPr>
          <w:rFonts w:ascii="Arial" w:cs="Arial" w:eastAsia="Arial" w:hAnsi="Arial"/>
          <w:sz w:val="17"/>
          <w:szCs w:val="17"/>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13" w:lineRule="exact"/>
        <w:rPr>
          <w:sz w:val="20"/>
          <w:szCs w:val="20"/>
          <w:color w:val="auto"/>
        </w:rPr>
      </w:pPr>
    </w:p>
    <w:p>
      <w:pPr>
        <w:ind w:left="120" w:right="20"/>
        <w:spacing w:after="0" w:line="285" w:lineRule="auto"/>
        <w:rPr>
          <w:sz w:val="20"/>
          <w:szCs w:val="20"/>
          <w:color w:val="auto"/>
        </w:rPr>
      </w:pPr>
      <w:r>
        <w:rPr>
          <w:rFonts w:ascii="Arial" w:cs="Arial" w:eastAsia="Arial" w:hAnsi="Arial"/>
          <w:sz w:val="17"/>
          <w:szCs w:val="17"/>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74"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a Phase 1 clinical trial of ALX148.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w:t>
      </w:r>
    </w:p>
    <w:p>
      <w:pPr>
        <w:spacing w:after="0" w:line="123"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96" w:lineRule="exact"/>
        <w:rPr>
          <w:sz w:val="20"/>
          <w:szCs w:val="20"/>
          <w:color w:val="auto"/>
        </w:rPr>
      </w:pPr>
    </w:p>
    <w:p>
      <w:pPr>
        <w:ind w:left="120"/>
        <w:spacing w:after="0" w:line="285" w:lineRule="auto"/>
        <w:rPr>
          <w:sz w:val="20"/>
          <w:szCs w:val="20"/>
          <w:color w:val="auto"/>
        </w:rPr>
      </w:pPr>
      <w:r>
        <w:rPr>
          <w:rFonts w:ascii="Arial" w:cs="Arial" w:eastAsia="Arial" w:hAnsi="Arial"/>
          <w:sz w:val="17"/>
          <w:szCs w:val="17"/>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74" w:lineRule="exact"/>
        <w:rPr>
          <w:sz w:val="20"/>
          <w:szCs w:val="20"/>
          <w:color w:val="auto"/>
        </w:rPr>
      </w:pPr>
    </w:p>
    <w:p>
      <w:pPr>
        <w:ind w:left="120" w:right="120"/>
        <w:spacing w:after="0" w:line="242" w:lineRule="auto"/>
        <w:rPr>
          <w:sz w:val="20"/>
          <w:szCs w:val="20"/>
          <w:color w:val="auto"/>
        </w:rPr>
      </w:pPr>
      <w:r>
        <w:rPr>
          <w:rFonts w:ascii="Arial" w:cs="Arial" w:eastAsia="Arial" w:hAnsi="Arial"/>
          <w:sz w:val="17"/>
          <w:szCs w:val="17"/>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162" w:lineRule="exact"/>
        <w:rPr>
          <w:sz w:val="20"/>
          <w:szCs w:val="20"/>
          <w:color w:val="auto"/>
        </w:rPr>
      </w:pPr>
    </w:p>
    <w:p>
      <w:pPr>
        <w:ind w:left="980" w:right="180" w:hanging="432"/>
        <w:spacing w:after="0" w:line="257"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successful and timely completion of preclinical and clinical development of our lead product candidate, ALX148, and our other future product candidates;</w:t>
      </w:r>
    </w:p>
    <w:p>
      <w:pPr>
        <w:spacing w:after="0" w:line="1" w:lineRule="exact"/>
        <w:rPr>
          <w:rFonts w:ascii="MS PGothic" w:cs="MS PGothic" w:eastAsia="MS PGothic" w:hAnsi="MS PGothic"/>
          <w:sz w:val="13"/>
          <w:szCs w:val="13"/>
          <w:color w:val="auto"/>
        </w:rPr>
      </w:pPr>
    </w:p>
    <w:p>
      <w:pPr>
        <w:ind w:left="980" w:right="320" w:hanging="432"/>
        <w:spacing w:after="0" w:line="256"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establishing and maintaining relationships with CROs and clinical sites for the clinical development of ALX148 and our other future product candidates;</w:t>
      </w:r>
    </w:p>
    <w:p>
      <w:pPr>
        <w:spacing w:after="0" w:line="1" w:lineRule="exact"/>
        <w:rPr>
          <w:rFonts w:ascii="MS PGothic" w:cs="MS PGothic" w:eastAsia="MS PGothic" w:hAnsi="MS PGothic"/>
          <w:sz w:val="13"/>
          <w:szCs w:val="13"/>
          <w:color w:val="auto"/>
        </w:rPr>
      </w:pPr>
    </w:p>
    <w:p>
      <w:pPr>
        <w:ind w:left="980" w:right="500" w:hanging="432"/>
        <w:spacing w:after="0" w:line="27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timely receipt of marketing approvals from applicable regulatory authorities for any product candidates for which we successfully complete clinical development;</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40"/>
          </w:cols>
          <w:pgMar w:left="32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extent of any required post-marketing approval commitments to applicable regulatory authorities;</w:t>
      </w:r>
    </w:p>
    <w:p>
      <w:pPr>
        <w:spacing w:after="0" w:line="35" w:lineRule="exact"/>
        <w:rPr>
          <w:rFonts w:ascii="MS PGothic" w:cs="MS PGothic" w:eastAsia="MS PGothic" w:hAnsi="MS PGothic"/>
          <w:sz w:val="13"/>
          <w:szCs w:val="13"/>
          <w:color w:val="auto"/>
        </w:rPr>
      </w:pPr>
    </w:p>
    <w:p>
      <w:pPr>
        <w:ind w:left="980" w:right="20" w:hanging="432"/>
        <w:spacing w:after="0" w:line="248"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developing an efficient and scalable manufacturing process for ALX148 and any future product candidates, including establishing and maintaining commercially viable supply and manufacturing relationships with third parties to obtain finished products that are appropriately packaged for sale;</w:t>
      </w:r>
    </w:p>
    <w:p>
      <w:pPr>
        <w:spacing w:after="0" w:line="1" w:lineRule="exact"/>
        <w:rPr>
          <w:rFonts w:ascii="MS PGothic" w:cs="MS PGothic" w:eastAsia="MS PGothic" w:hAnsi="MS PGothic"/>
          <w:sz w:val="13"/>
          <w:szCs w:val="13"/>
          <w:color w:val="auto"/>
        </w:rPr>
      </w:pPr>
    </w:p>
    <w:p>
      <w:pPr>
        <w:ind w:left="980" w:right="20" w:hanging="432"/>
        <w:spacing w:after="0" w:line="248"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1" w:lineRule="exact"/>
        <w:rPr>
          <w:rFonts w:ascii="MS PGothic" w:cs="MS PGothic" w:eastAsia="MS PGothic" w:hAnsi="MS PGothic"/>
          <w:sz w:val="13"/>
          <w:szCs w:val="13"/>
          <w:color w:val="auto"/>
        </w:rPr>
      </w:pPr>
    </w:p>
    <w:p>
      <w:pPr>
        <w:ind w:left="980" w:right="200" w:hanging="432"/>
        <w:spacing w:after="0" w:line="256"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successful commercial launch following any marketing approval, including the development of a commercial infrastructure, whether in-house or with one or more collaborators;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 continued acceptable safety profile following any marketing approval;</w:t>
      </w:r>
    </w:p>
    <w:p>
      <w:pPr>
        <w:spacing w:after="0" w:line="34" w:lineRule="exact"/>
        <w:rPr>
          <w:rFonts w:ascii="MS PGothic" w:cs="MS PGothic" w:eastAsia="MS PGothic" w:hAnsi="MS PGothic"/>
          <w:sz w:val="13"/>
          <w:szCs w:val="13"/>
          <w:color w:val="auto"/>
        </w:rPr>
      </w:pPr>
    </w:p>
    <w:p>
      <w:pPr>
        <w:ind w:left="980" w:hanging="432"/>
        <w:spacing w:after="0" w:line="256"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commercial acceptance of ALX148 and any future product candidates as viable treatment options by patients, the medical community and third-party payors;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obtaining favorable coverage and adequate reimbursement by third-party payors for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addressing any competing therapies and technological and market developments;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identifying, assessing, acquiring and developing new product candidates;</w:t>
      </w:r>
    </w:p>
    <w:p>
      <w:pPr>
        <w:spacing w:after="0" w:line="34" w:lineRule="exact"/>
        <w:rPr>
          <w:rFonts w:ascii="MS PGothic" w:cs="MS PGothic" w:eastAsia="MS PGothic" w:hAnsi="MS PGothic"/>
          <w:sz w:val="13"/>
          <w:szCs w:val="13"/>
          <w:color w:val="auto"/>
        </w:rPr>
      </w:pPr>
    </w:p>
    <w:p>
      <w:pPr>
        <w:ind w:left="980" w:right="220" w:hanging="432"/>
        <w:spacing w:after="0" w:line="256"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obtaining, maintaining and expanding patent protection, trade secret protection and regulatory exclusivity, both in the United States and internationally;</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protecting our rights in our intellectual property portfolio, including our licensed intellectual property;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defending against third-party interference or infringement claims, if any;</w:t>
      </w:r>
    </w:p>
    <w:p>
      <w:pPr>
        <w:spacing w:after="0" w:line="34" w:lineRule="exact"/>
        <w:rPr>
          <w:rFonts w:ascii="MS PGothic" w:cs="MS PGothic" w:eastAsia="MS PGothic" w:hAnsi="MS PGothic"/>
          <w:sz w:val="13"/>
          <w:szCs w:val="13"/>
          <w:color w:val="auto"/>
        </w:rPr>
      </w:pPr>
    </w:p>
    <w:p>
      <w:pPr>
        <w:ind w:left="980" w:right="160" w:hanging="432"/>
        <w:spacing w:after="0" w:line="256"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entering into, on favorable terms, any collaboration, licensing or other arrangements that may be necessary or desirable to develop, manufacture or commercialize our product candidates;</w:t>
      </w:r>
    </w:p>
    <w:p>
      <w:pPr>
        <w:spacing w:after="0" w:line="1" w:lineRule="exact"/>
        <w:rPr>
          <w:rFonts w:ascii="MS PGothic" w:cs="MS PGothic" w:eastAsia="MS PGothic" w:hAnsi="MS PGothic"/>
          <w:sz w:val="13"/>
          <w:szCs w:val="13"/>
          <w:color w:val="auto"/>
        </w:rPr>
      </w:pPr>
    </w:p>
    <w:p>
      <w:pPr>
        <w:ind w:left="980" w:right="160" w:hanging="432"/>
        <w:spacing w:after="0" w:line="256"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negotiating favorable terms in any collaboration, licensing or other arrangements that may be necessary to develop, manufacture or commercialize our product candidate; and</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attracting, hiring and retaining qualified personnel.</w:t>
      </w:r>
    </w:p>
    <w:p>
      <w:pPr>
        <w:spacing w:after="0" w:line="154"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62" w:lineRule="exact"/>
        <w:rPr>
          <w:sz w:val="20"/>
          <w:szCs w:val="20"/>
          <w:color w:val="auto"/>
        </w:rPr>
      </w:pPr>
    </w:p>
    <w:p>
      <w:pPr>
        <w:ind w:left="120" w:right="20"/>
        <w:spacing w:after="0" w:line="258"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ALX148, which is in clinical development and which has not completed a pivotal trial. If we do not obtain regulatory approval for and successfully commercialize ALX148 in one or more indications, or we experience significant delays in doing so, we may never generate any revenue or become profitable.</w:t>
      </w:r>
    </w:p>
    <w:p>
      <w:pPr>
        <w:spacing w:after="0" w:line="97"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ALX148, in our ongoing clinical trials. As a result, our business currently depends heavily on the successful development, regulatory approval and, if approved, commercialization of ALX148 in one or more of these indications, such as myelodysplastic syndromes, or MDS, acute myeloid leukemia, or AML, head and neck squamous cell carcinoma, or HNSCC, or gastric/gastroesophageal junction, or GEJ, carcinoma. We cannot be certain that ALX148 will receive regulatory approval or will be successfully commercialized even if it receives regulatory approval. The research, testing, manufacturing, safety, efficacy and potency, labeling, approval, sale, marketing and distribution of ALX148 is, and will remain, subject to comprehensive regulation by the FDA and similar foreign regulatory authorities. Our failure to timely complete clinical trials, obtain regulatory approval or, if approved, commercialize ALX148 or any of our future product candidates, would materially harm our business, financial condition and results of operations. We are not permitted to market or promote ALX148, or any other product candidate, before we receive marketing approval from the FDA and comparable foreign regulatory authorities, and we may never receive such marketing approvals. If we do not receive marketing approvals for ALX148, we may not be able to continue our operations.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60"/>
          </w:cols>
          <w:pgMar w:left="320" w:top="455" w:right="5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105"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122"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ALX148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28" w:lineRule="exact"/>
        <w:rPr>
          <w:sz w:val="20"/>
          <w:szCs w:val="20"/>
          <w:color w:val="auto"/>
        </w:rPr>
      </w:pPr>
    </w:p>
    <w:p>
      <w:pPr>
        <w:ind w:left="120" w:right="220"/>
        <w:spacing w:after="0" w:line="285"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74" w:lineRule="exact"/>
        <w:rPr>
          <w:sz w:val="20"/>
          <w:szCs w:val="20"/>
          <w:color w:val="auto"/>
        </w:rPr>
      </w:pPr>
    </w:p>
    <w:p>
      <w:pPr>
        <w:ind w:left="120" w:right="80"/>
        <w:spacing w:after="0" w:line="23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preclinical development and then extensive clinical trials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12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do not know whether our future clinical trials will begin on time or enroll subjects on time or whether our ongoing and/or future clinical trials will be completed on schedule or at all. Clinical trials can be delayed for a variety of reasons, including delays related to:</w:t>
      </w:r>
    </w:p>
    <w:p>
      <w:pPr>
        <w:spacing w:after="0" w:line="133"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obtaining approval to commence a clinical trial;</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reaching agreement on acceptable terms with prospective CROs and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obtaining institutional review board approval at each clinical trial site;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adding necessary new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recruiting suitable subjects to participate in a trial; failing in having clinical trial sites or subjects comply with trial protocols;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suffering clinical trial sites or subjects dropping out of trials;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manufacturing sufficient quantities of product candidate for use in clinical trials.</w:t>
      </w:r>
    </w:p>
    <w:p>
      <w:pPr>
        <w:spacing w:after="0" w:line="154"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receipt of marketing approval or our ability to commercialize our product candidates, including:</w:t>
      </w:r>
    </w:p>
    <w:p>
      <w:pPr>
        <w:spacing w:after="0" w:line="133" w:lineRule="exact"/>
        <w:rPr>
          <w:sz w:val="20"/>
          <w:szCs w:val="20"/>
          <w:color w:val="auto"/>
        </w:rPr>
      </w:pPr>
    </w:p>
    <w:p>
      <w:pPr>
        <w:ind w:left="5540" w:right="2360" w:hanging="4992"/>
        <w:spacing w:after="0" w:line="455" w:lineRule="auto"/>
        <w:tabs>
          <w:tab w:leader="none" w:pos="986"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 xml:space="preserve">receipt of feedback from regulatory authorities that requires us to modify the design of our clinical trials; </w:t>
      </w:r>
      <w:r>
        <w:rPr>
          <w:rFonts w:ascii="Arial" w:cs="Arial" w:eastAsia="Arial" w:hAnsi="Arial"/>
          <w:sz w:val="16"/>
          <w:szCs w:val="16"/>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980" w:right="920" w:hanging="432"/>
        <w:spacing w:after="0" w:line="257"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negative or inconclusive clinical trial results that may require us to conduct additional clinical trials or abandon certain drug development programs;</w:t>
      </w:r>
    </w:p>
    <w:p>
      <w:pPr>
        <w:spacing w:after="0" w:line="1" w:lineRule="exact"/>
        <w:rPr>
          <w:rFonts w:ascii="MS PGothic" w:cs="MS PGothic" w:eastAsia="MS PGothic" w:hAnsi="MS PGothic"/>
          <w:sz w:val="13"/>
          <w:szCs w:val="13"/>
          <w:color w:val="auto"/>
        </w:rPr>
      </w:pPr>
    </w:p>
    <w:p>
      <w:pPr>
        <w:ind w:left="980" w:right="420" w:hanging="432"/>
        <w:spacing w:after="0" w:line="256"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number of subjects required for clinical trials being larger than anticipated, enrollment in these clinical trials being slower than anticipated or subjects dropping out of these clinical trials at a higher rate than anticipated;</w:t>
      </w:r>
    </w:p>
    <w:p>
      <w:pPr>
        <w:spacing w:after="0" w:line="1" w:lineRule="exact"/>
        <w:rPr>
          <w:rFonts w:ascii="MS PGothic" w:cs="MS PGothic" w:eastAsia="MS PGothic" w:hAnsi="MS PGothic"/>
          <w:sz w:val="13"/>
          <w:szCs w:val="13"/>
          <w:color w:val="auto"/>
        </w:rPr>
      </w:pPr>
    </w:p>
    <w:p>
      <w:pPr>
        <w:ind w:left="980" w:right="100" w:hanging="432"/>
        <w:spacing w:after="0" w:line="256"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delays in clinical trials due to outbreaks or public health crises, such as the COVID-19 pandemic, that impact both trial site operations and subject selection;</w:t>
      </w:r>
    </w:p>
    <w:p>
      <w:pPr>
        <w:spacing w:after="0" w:line="1" w:lineRule="exact"/>
        <w:rPr>
          <w:rFonts w:ascii="MS PGothic" w:cs="MS PGothic" w:eastAsia="MS PGothic" w:hAnsi="MS PGothic"/>
          <w:sz w:val="13"/>
          <w:szCs w:val="13"/>
          <w:color w:val="auto"/>
        </w:rPr>
      </w:pPr>
    </w:p>
    <w:p>
      <w:pPr>
        <w:ind w:left="980" w:right="140" w:hanging="432"/>
        <w:spacing w:after="0" w:line="256"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third-party contractors failing to comply with regulatory requirements or meet their contractual obligations to us in a timely manner, or at all;</w:t>
      </w:r>
    </w:p>
    <w:p>
      <w:pPr>
        <w:spacing w:after="0" w:line="1" w:lineRule="exact"/>
        <w:rPr>
          <w:rFonts w:ascii="MS PGothic" w:cs="MS PGothic" w:eastAsia="MS PGothic" w:hAnsi="MS PGothic"/>
          <w:sz w:val="13"/>
          <w:szCs w:val="13"/>
          <w:color w:val="auto"/>
        </w:rPr>
      </w:pPr>
    </w:p>
    <w:p>
      <w:pPr>
        <w:ind w:left="980" w:right="520" w:hanging="432"/>
        <w:spacing w:after="0" w:line="256"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cost of clinical trials of our product candidates are greater than anticipated;</w:t>
      </w:r>
    </w:p>
    <w:p>
      <w:pPr>
        <w:spacing w:after="0" w:line="34" w:lineRule="exact"/>
        <w:rPr>
          <w:rFonts w:ascii="MS PGothic" w:cs="MS PGothic" w:eastAsia="MS PGothic" w:hAnsi="MS PGothic"/>
          <w:sz w:val="13"/>
          <w:szCs w:val="13"/>
          <w:color w:val="auto"/>
        </w:rPr>
      </w:pPr>
    </w:p>
    <w:p>
      <w:pPr>
        <w:ind w:left="980" w:right="200" w:hanging="432"/>
        <w:spacing w:after="0" w:line="256"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supply or quality of our product candidates or other materials necessary to conduct clinical trials of our product candidates being insufficient or inadequate; and</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regulators revising the requirements for approving our product candidates.</w:t>
      </w:r>
    </w:p>
    <w:p>
      <w:pPr>
        <w:spacing w:after="0" w:line="154" w:lineRule="exact"/>
        <w:rPr>
          <w:sz w:val="20"/>
          <w:szCs w:val="20"/>
          <w:color w:val="auto"/>
        </w:rPr>
      </w:pPr>
    </w:p>
    <w:p>
      <w:pPr>
        <w:ind w:left="120" w:right="320"/>
        <w:spacing w:after="0" w:line="253" w:lineRule="auto"/>
        <w:rPr>
          <w:sz w:val="20"/>
          <w:szCs w:val="20"/>
          <w:color w:val="auto"/>
        </w:rPr>
      </w:pPr>
      <w:r>
        <w:rPr>
          <w:rFonts w:ascii="Arial" w:cs="Arial" w:eastAsia="Arial" w:hAnsi="Arial"/>
          <w:sz w:val="17"/>
          <w:szCs w:val="17"/>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11"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In December 2020, the FDA verbally informed us, that given our planned initiation of two Phase 2 HNSCC clinical trials that could be potentially registrational, they require completion of a routine non-clinical safety study that we currently have in process. The FDA noted that for any drug development program moving swiftly through development, this non-clinical study is still required prior to the initiation of a clinical trial that could be considered pivotal. We are allowed to initiate both Phase 2 HNSCC clinical trials with the enrollment capped at a total of 50 subjects treated with ALX148 across both trials (excluding safety lead-in cohorts) pending acceptance of the non-clinical safety study report. We expect to provide the required report to the FDA prior to reaching the 50-patient enrollment cap. While this cap on enrollment is defined as a partial clinical hold, no delays are anticipated in our current clinical trial timelines. Delays in our clinical trials may result in increased development costs for our product candidates and jeopardize our ability to obtain marketing approval for the sale of our drugs.</w:t>
      </w:r>
    </w:p>
    <w:p>
      <w:pPr>
        <w:spacing w:after="0" w:line="123" w:lineRule="exact"/>
        <w:rPr>
          <w:sz w:val="20"/>
          <w:szCs w:val="20"/>
          <w:color w:val="auto"/>
        </w:rPr>
      </w:pPr>
    </w:p>
    <w:p>
      <w:pPr>
        <w:ind w:left="120" w:right="560"/>
        <w:spacing w:after="0" w:line="275" w:lineRule="auto"/>
        <w:rPr>
          <w:sz w:val="20"/>
          <w:szCs w:val="20"/>
          <w:color w:val="auto"/>
        </w:rPr>
      </w:pPr>
      <w:r>
        <w:rPr>
          <w:rFonts w:ascii="Arial" w:cs="Arial" w:eastAsia="Arial" w:hAnsi="Arial"/>
          <w:sz w:val="17"/>
          <w:szCs w:val="17"/>
          <w:color w:val="auto"/>
        </w:rPr>
        <w:t>We do not know whether any clinical trials we may conduct will demonstrate consistent or adequate safety, purity and efficacy and potency sufficient to obtain marketing approval or our product candidates or to market our drugs after any such approval.</w:t>
      </w:r>
    </w:p>
    <w:p>
      <w:pPr>
        <w:spacing w:after="0" w:line="94" w:lineRule="exact"/>
        <w:rPr>
          <w:sz w:val="20"/>
          <w:szCs w:val="20"/>
          <w:color w:val="auto"/>
        </w:rPr>
      </w:pPr>
    </w:p>
    <w:p>
      <w:pPr>
        <w:ind w:left="120" w:right="380"/>
        <w:spacing w:after="0" w:line="285"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subjects in clinical trials and/or retention of subjects in clinical trials, our regulatory submissions or receipt of necessary marketing approvals could be delayed or prevented.</w:t>
      </w:r>
    </w:p>
    <w:p>
      <w:pPr>
        <w:spacing w:after="0" w:line="74" w:lineRule="exact"/>
        <w:rPr>
          <w:sz w:val="20"/>
          <w:szCs w:val="20"/>
          <w:color w:val="auto"/>
        </w:rPr>
      </w:pPr>
    </w:p>
    <w:p>
      <w:pPr>
        <w:ind w:left="120" w:right="240"/>
        <w:spacing w:after="0" w:line="246"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ALX148 are focused on indications with small patient populations, our ability to enroll eligible subjects may be limited or may result in slower enrollment than we anticipate.</w:t>
      </w:r>
    </w:p>
    <w:p>
      <w:pPr>
        <w:spacing w:after="0" w:line="117"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Enrollment of subjects in our clinical trials may be delayed or limited if our clinical trial sites limit their onsite staff or temporarily close as a result of the COVID-19 pandemic. In addition, subjects may not be able to visit clinical trial sites for dosing or data collection purposes due to limitations on travel and physical distancing imposed or recommended by federal or state governments or subjects’ reluctance to visit the clinical trial sites during the pandemic. The drop-out rates in our clinical trials may be increased during the pandemic. Subjects who enroll in our clinical trials and then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122"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Subject enrollment may also be affected if our competitors have ongoing clinical trials for product candidates that are under development for the same indications as our product candidates, and patients who would otherwise be</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eligible for our clinical trials instead enroll in clinical trials of our competitors’ product candidates. Subject enrollment may also be affected by other factors, including:</w:t>
      </w:r>
    </w:p>
    <w:p>
      <w:pPr>
        <w:spacing w:after="0" w:line="133" w:lineRule="exact"/>
        <w:rPr>
          <w:sz w:val="20"/>
          <w:szCs w:val="20"/>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size and nature of the patient population;</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severity of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availability and efficacy or potency of approved drugs for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patient eligibility criteria for the trial in question;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perceived risks and benefits of the product candidate under study;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efforts to facilitate timely enrollment in clinical trials by us and the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patient referral practices of physicians;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ability to monitor subjects adequately during and after the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proximity of clinical trial sites to prospective subjects;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risk of subjects enrolled in clinical trials dropping out before completion; and</w:t>
      </w:r>
    </w:p>
    <w:p>
      <w:pPr>
        <w:spacing w:after="0" w:line="34" w:lineRule="exact"/>
        <w:rPr>
          <w:rFonts w:ascii="MS PGothic" w:cs="MS PGothic" w:eastAsia="MS PGothic" w:hAnsi="MS PGothic"/>
          <w:sz w:val="13"/>
          <w:szCs w:val="13"/>
          <w:color w:val="auto"/>
        </w:rPr>
      </w:pPr>
    </w:p>
    <w:p>
      <w:pPr>
        <w:ind w:left="980" w:right="600" w:hanging="432"/>
        <w:spacing w:after="0" w:line="273"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inability or delay in enrollment of subjects due to a variety of reasons, including outbreaks and public health crises, such as the COVID-19 pandemic.</w:t>
      </w:r>
    </w:p>
    <w:p>
      <w:pPr>
        <w:spacing w:after="0" w:line="94"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7"/>
          <w:szCs w:val="17"/>
          <w:color w:val="auto"/>
        </w:rPr>
        <w:t>Our inability to enroll a sufficient number of subjects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13" w:lineRule="exact"/>
        <w:rPr>
          <w:sz w:val="20"/>
          <w:szCs w:val="20"/>
          <w:color w:val="auto"/>
        </w:rPr>
      </w:pPr>
    </w:p>
    <w:p>
      <w:pPr>
        <w:ind w:left="120" w:right="40"/>
        <w:spacing w:after="0" w:line="285"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7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126" w:lineRule="exact"/>
        <w:rPr>
          <w:sz w:val="20"/>
          <w:szCs w:val="20"/>
          <w:color w:val="auto"/>
        </w:rPr>
      </w:pPr>
    </w:p>
    <w:p>
      <w:pPr>
        <w:ind w:left="120" w:right="40"/>
        <w:spacing w:after="0" w:line="258" w:lineRule="auto"/>
        <w:rPr>
          <w:sz w:val="20"/>
          <w:szCs w:val="20"/>
          <w:color w:val="auto"/>
        </w:rPr>
      </w:pPr>
      <w:r>
        <w:rPr>
          <w:rFonts w:ascii="Arial" w:cs="Arial" w:eastAsia="Arial" w:hAnsi="Arial"/>
          <w:sz w:val="17"/>
          <w:szCs w:val="17"/>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97" w:lineRule="exact"/>
        <w:rPr>
          <w:sz w:val="20"/>
          <w:szCs w:val="20"/>
          <w:color w:val="auto"/>
        </w:rPr>
      </w:pPr>
    </w:p>
    <w:p>
      <w:pPr>
        <w:ind w:left="120" w:right="300"/>
        <w:spacing w:after="0" w:line="275" w:lineRule="auto"/>
        <w:rPr>
          <w:sz w:val="20"/>
          <w:szCs w:val="20"/>
          <w:color w:val="auto"/>
        </w:rPr>
      </w:pPr>
      <w:r>
        <w:rPr>
          <w:rFonts w:ascii="Arial" w:cs="Arial" w:eastAsia="Arial" w:hAnsi="Arial"/>
          <w:sz w:val="17"/>
          <w:szCs w:val="17"/>
          <w:color w:val="auto"/>
        </w:rPr>
        <w:t>If ALX148 or any of our other product candidates are associated with undesirable side effects or have unexpected characteristics in preclinical studies or clinical trials when used alone or in combination with other approved</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each of the trial cohorts in our ALX148 combination clinical trials with pembrolizumab, trastuzumab and rituximab in a heavily pre-treated group of subjects who are typical participants in early stage cancer trials and are often hematologically fragile at baseline. Subjects in our ALX148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ALX148 or any of our future product candidates, including in combination therapy, may prevent us from achieving or maintaining market acceptance of the affected product candidate and may harm our business, financial condition and prospects significantly.</w:t>
      </w:r>
    </w:p>
    <w:p>
      <w:pPr>
        <w:spacing w:after="0" w:line="125" w:lineRule="exact"/>
        <w:rPr>
          <w:sz w:val="20"/>
          <w:szCs w:val="20"/>
          <w:color w:val="auto"/>
        </w:rPr>
      </w:pPr>
    </w:p>
    <w:p>
      <w:pPr>
        <w:ind w:left="120" w:right="560"/>
        <w:spacing w:after="0" w:line="285"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we do.</w:t>
      </w:r>
    </w:p>
    <w:p>
      <w:pPr>
        <w:spacing w:after="0" w:line="74"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22"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Apexigen, Arch Therapeutics, Bristol Myers Squibb, Gilead Sciences (through its acquisition of Forty Seven), I-Mab, Innovent, Kahr, Novimmune, OSE Immunotherapeutics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22" w:lineRule="exact"/>
        <w:rPr>
          <w:sz w:val="20"/>
          <w:szCs w:val="20"/>
          <w:color w:val="auto"/>
        </w:rPr>
      </w:pPr>
    </w:p>
    <w:p>
      <w:pPr>
        <w:ind w:left="120" w:right="40"/>
        <w:spacing w:after="0"/>
        <w:rPr>
          <w:sz w:val="20"/>
          <w:szCs w:val="20"/>
          <w:color w:val="auto"/>
        </w:rPr>
      </w:pPr>
      <w:r>
        <w:rPr>
          <w:rFonts w:ascii="Arial" w:cs="Arial" w:eastAsia="Arial" w:hAnsi="Arial"/>
          <w:sz w:val="17"/>
          <w:szCs w:val="17"/>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ALX148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23" w:lineRule="exact"/>
        <w:rPr>
          <w:sz w:val="20"/>
          <w:szCs w:val="20"/>
          <w:color w:val="auto"/>
        </w:rPr>
      </w:pPr>
    </w:p>
    <w:p>
      <w:pPr>
        <w:ind w:left="120" w:right="40"/>
        <w:spacing w:after="0" w:line="239"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124" w:lineRule="exact"/>
        <w:rPr>
          <w:sz w:val="20"/>
          <w:szCs w:val="20"/>
          <w:color w:val="auto"/>
        </w:rPr>
      </w:pPr>
    </w:p>
    <w:p>
      <w:pPr>
        <w:ind w:left="120" w:right="160"/>
        <w:spacing w:after="0" w:line="285" w:lineRule="auto"/>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 and oversight.</w:t>
      </w:r>
    </w:p>
    <w:p>
      <w:pPr>
        <w:spacing w:after="0" w:line="74"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126"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163" w:lineRule="exact"/>
        <w:rPr>
          <w:sz w:val="20"/>
          <w:szCs w:val="20"/>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delays in or the rejection of product approvals;</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restrictions on the products, manufacturers or manufacturing process;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warning or untitled letters;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civil and criminal penalties;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injunctions;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suspension or withdrawal of regulatory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product seizures, detentions or import bans;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voluntary or mandatory product recalls and publicity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total or partial suspension of production;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imposition of restrictions on operations, including costly new manufacturing requirements.</w:t>
      </w:r>
    </w:p>
    <w:p>
      <w:pPr>
        <w:spacing w:after="0" w:line="154"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occurrence of any of these sanctions, enforcement actions or penalties described above may inhibit our ability to commercialize our product candidates, even if approved, and generate revenue.</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jc w:val="both"/>
        <w:ind w:left="120" w:right="80"/>
        <w:spacing w:after="0" w:line="258" w:lineRule="auto"/>
        <w:rPr>
          <w:sz w:val="20"/>
          <w:szCs w:val="20"/>
          <w:color w:val="auto"/>
        </w:rPr>
      </w:pPr>
      <w:r>
        <w:rPr>
          <w:rFonts w:ascii="Arial" w:cs="Arial" w:eastAsia="Arial" w:hAnsi="Arial"/>
          <w:sz w:val="17"/>
          <w:szCs w:val="17"/>
          <w:b w:val="1"/>
          <w:bCs w:val="1"/>
          <w:i w:val="1"/>
          <w:iCs w:val="1"/>
          <w:color w:val="auto"/>
        </w:rPr>
        <w:t>We rely on Tallac Therapeutics, a third-party service provider, to conduct substantially all of our preclinical research activities. If Tallac Therapeutics does not successfully carry out its contractual duties or meet expected deadlines, there may be disruptions or delays to our development pipeline and our business could be substantially harmed.</w:t>
      </w:r>
    </w:p>
    <w:p>
      <w:pPr>
        <w:spacing w:after="0" w:line="97"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do not have the ability to independently conduct our preclinical research activities as we rely on a third-party service provider to conduct all of our preclinical research activities. Effective as of July 1, 2020, we transferred all of our preclinical research capabilities and nine of our employees, including our former Chief Scientific Officer, Dr. Hong Wan,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 For additional information regarding our arrangements with Tallac Therapeutics, please see “Certain Relationships and Related-Party Transactions—Tallac Therapeutics Agreements.”</w:t>
      </w:r>
    </w:p>
    <w:p>
      <w:pPr>
        <w:spacing w:after="0" w:line="122" w:lineRule="exact"/>
        <w:rPr>
          <w:sz w:val="20"/>
          <w:szCs w:val="20"/>
          <w:color w:val="auto"/>
        </w:rPr>
      </w:pPr>
    </w:p>
    <w:p>
      <w:pPr>
        <w:ind w:left="120" w:right="260"/>
        <w:spacing w:after="0" w:line="242"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delayed or terminated, and there may be disruptions or delays to our development pipeline. As a result, our product candidate research and development efforts may be delayed or harmed, and our costs could increase and our future ability to generate revenues could be delayed.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Further, Tallac Therapeutics’ employees are not our employees, and we will not be able to control, other than by contract, the amount of resources, including time, that they devote to our preclinical research efforts and studies. If Tallac Therapeutics fails to devote sufficient resources to the research and development of our preclinical research programs and studies, or if its performance is substandard, it may delay or compromise the prospects for approval and commercialization of any product candidates that we develop.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123"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If our relationship with Tallac Therapeutics terminates, we may not be able to enter into arrangements with alternative providers or do so in a timely manner or on commercially reasonable terms. If the Tallac Services Agreement is terminated, replacing Tallac Therapeutics or adding additional preclinical research providers will involve additional costs and divert our management’s time and focus. In addition, there is a natural transition period when a new service provider commences work. As a result, delays may occur, which can materially impact our ability to meet our desired preclinical timelines. Since Tallac Therapeutics is an early-stage company with a limited operating history, it may face challenges to its business and cease to operate, and we may need to engage replacement service providers on an accelerated timeline and on even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123"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right="140"/>
        <w:spacing w:after="0" w:line="249"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105"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122"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31" w:lineRule="exact"/>
        <w:rPr>
          <w:sz w:val="20"/>
          <w:szCs w:val="20"/>
          <w:color w:val="auto"/>
        </w:rPr>
      </w:pPr>
    </w:p>
    <w:p>
      <w:pPr>
        <w:ind w:left="120" w:right="540"/>
        <w:spacing w:after="0" w:line="253" w:lineRule="auto"/>
        <w:rPr>
          <w:sz w:val="20"/>
          <w:szCs w:val="20"/>
          <w:color w:val="auto"/>
        </w:rPr>
      </w:pPr>
      <w:r>
        <w:rPr>
          <w:rFonts w:ascii="Arial" w:cs="Arial" w:eastAsia="Arial" w:hAnsi="Arial"/>
          <w:sz w:val="17"/>
          <w:szCs w:val="17"/>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11"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111" w:lineRule="exact"/>
        <w:rPr>
          <w:sz w:val="20"/>
          <w:szCs w:val="20"/>
          <w:color w:val="auto"/>
        </w:rPr>
      </w:pPr>
    </w:p>
    <w:p>
      <w:pPr>
        <w:ind w:left="120" w:right="220"/>
        <w:spacing w:after="0" w:line="25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Material modifications in the methods of product candidate manufacturing or formulation may result in additional costs or delay.</w:t>
      </w:r>
    </w:p>
    <w:p>
      <w:pPr>
        <w:spacing w:after="0" w:line="154" w:lineRule="exact"/>
        <w:rPr>
          <w:sz w:val="20"/>
          <w:szCs w:val="20"/>
          <w:color w:val="auto"/>
        </w:rPr>
      </w:pPr>
    </w:p>
    <w:p>
      <w:pPr>
        <w:ind w:left="120" w:right="340"/>
        <w:spacing w:after="0" w:line="246" w:lineRule="auto"/>
        <w:rPr>
          <w:sz w:val="20"/>
          <w:szCs w:val="20"/>
          <w:color w:val="auto"/>
        </w:rPr>
      </w:pPr>
      <w:r>
        <w:rPr>
          <w:rFonts w:ascii="Arial" w:cs="Arial" w:eastAsia="Arial" w:hAnsi="Arial"/>
          <w:sz w:val="17"/>
          <w:szCs w:val="17"/>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Lack of third-party combination drugs may materially and adversely affect demand for our product candidates.</w:t>
      </w:r>
    </w:p>
    <w:p>
      <w:pPr>
        <w:spacing w:after="0" w:line="154"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Our product candidates may be administered in combination with drugs of other pharmaceutical companies as one regimen. In addition, we plan to use third-party drugs in our development and clinical trials as controls for our studies, such as our current plans to conduct Phase 2 clinical trials of ALX148 in combination with pembrolizumab for HNSCC and trastuzumab for gastric/GEJ carcinoma. As a result, both the results of our clinical trials and the sales of our drugs may be affected by the availability of these third-party drugs. For instance, we entered into clinical trial collaboration and supply agreements with Merck and Zymeworks, pursuant to which Merck and Zymeworks will supply doses of pembrolizumab and zanidatamab, respectively, for use in certain of our clinical trials. If these agreements are terminated before our trials are completed, we may need to find another source of pembrolizumab or zanidatamab in order to continue our trial.</w:t>
      </w:r>
    </w:p>
    <w:p>
      <w:pPr>
        <w:spacing w:after="0" w:line="122" w:lineRule="exact"/>
        <w:rPr>
          <w:sz w:val="20"/>
          <w:szCs w:val="20"/>
          <w:color w:val="auto"/>
        </w:rPr>
      </w:pPr>
    </w:p>
    <w:p>
      <w:pPr>
        <w:ind w:left="120" w:right="100"/>
        <w:spacing w:after="0" w:line="242" w:lineRule="auto"/>
        <w:rPr>
          <w:sz w:val="20"/>
          <w:szCs w:val="20"/>
          <w:color w:val="auto"/>
        </w:rPr>
      </w:pPr>
      <w:r>
        <w:rPr>
          <w:rFonts w:ascii="Arial" w:cs="Arial" w:eastAsia="Arial" w:hAnsi="Arial"/>
          <w:sz w:val="17"/>
          <w:szCs w:val="17"/>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123"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105"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28" w:lineRule="exact"/>
        <w:rPr>
          <w:sz w:val="20"/>
          <w:szCs w:val="20"/>
          <w:color w:val="auto"/>
        </w:rPr>
      </w:pPr>
    </w:p>
    <w:p>
      <w:pPr>
        <w:ind w:left="120" w:right="60"/>
        <w:spacing w:after="0" w:line="246" w:lineRule="auto"/>
        <w:rPr>
          <w:sz w:val="20"/>
          <w:szCs w:val="20"/>
          <w:color w:val="auto"/>
        </w:rPr>
      </w:pPr>
      <w:r>
        <w:rPr>
          <w:rFonts w:ascii="Arial" w:cs="Arial" w:eastAsia="Arial" w:hAnsi="Arial"/>
          <w:sz w:val="17"/>
          <w:szCs w:val="17"/>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40"/>
          </w:cols>
          <w:pgMar w:left="32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300"/>
        <w:spacing w:after="0" w:line="253" w:lineRule="auto"/>
        <w:rPr>
          <w:sz w:val="20"/>
          <w:szCs w:val="20"/>
          <w:color w:val="auto"/>
        </w:rPr>
      </w:pPr>
      <w:r>
        <w:rPr>
          <w:rFonts w:ascii="Arial" w:cs="Arial" w:eastAsia="Arial" w:hAnsi="Arial"/>
          <w:sz w:val="17"/>
          <w:szCs w:val="17"/>
          <w:color w:val="auto"/>
        </w:rPr>
        <w:t>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111"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Our business also may be implicated if any of our CROs violates fraud and abuse or false claims laws and regulations or healthcare privacy and security laws.</w:t>
      </w:r>
    </w:p>
    <w:p>
      <w:pPr>
        <w:spacing w:after="0" w:line="92"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129" w:lineRule="exact"/>
        <w:rPr>
          <w:sz w:val="20"/>
          <w:szCs w:val="20"/>
          <w:color w:val="auto"/>
        </w:rPr>
      </w:pPr>
    </w:p>
    <w:p>
      <w:pPr>
        <w:ind w:left="120" w:right="20"/>
        <w:spacing w:after="0" w:line="285" w:lineRule="auto"/>
        <w:rPr>
          <w:sz w:val="20"/>
          <w:szCs w:val="20"/>
          <w:color w:val="auto"/>
        </w:rPr>
      </w:pPr>
      <w:r>
        <w:rPr>
          <w:rFonts w:ascii="Arial" w:cs="Arial" w:eastAsia="Arial" w:hAnsi="Arial"/>
          <w:sz w:val="17"/>
          <w:szCs w:val="17"/>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74" w:lineRule="exact"/>
        <w:rPr>
          <w:sz w:val="20"/>
          <w:szCs w:val="20"/>
          <w:color w:val="auto"/>
        </w:rPr>
      </w:pPr>
    </w:p>
    <w:p>
      <w:pPr>
        <w:ind w:left="120" w:right="40"/>
        <w:spacing w:after="0" w:line="246"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ALX148 and any other product candidates, if any are approved, will depend on a number of factors, including, among others:</w:t>
      </w:r>
    </w:p>
    <w:p>
      <w:pPr>
        <w:spacing w:after="0" w:line="157" w:lineRule="exact"/>
        <w:rPr>
          <w:sz w:val="20"/>
          <w:szCs w:val="20"/>
          <w:color w:val="auto"/>
        </w:rPr>
      </w:pPr>
    </w:p>
    <w:p>
      <w:pPr>
        <w:ind w:left="980" w:right="160" w:hanging="432"/>
        <w:spacing w:after="0" w:line="257"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ability of ALX148 and our other product candidates to treat cancer or other applicable targeted diseases, as compared with other available drugs, treatments or therapies;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timing of market introduction of the product candidate as well as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clinical indications for which a product candidate is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approval of other new therapies for the same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prevalence and severity of any adverse side effects associated with ALX148 and our other product candidates;</w:t>
      </w:r>
    </w:p>
    <w:p>
      <w:pPr>
        <w:spacing w:after="0" w:line="34" w:lineRule="exact"/>
        <w:rPr>
          <w:rFonts w:ascii="MS PGothic" w:cs="MS PGothic" w:eastAsia="MS PGothic" w:hAnsi="MS PGothic"/>
          <w:sz w:val="13"/>
          <w:szCs w:val="13"/>
          <w:color w:val="auto"/>
        </w:rPr>
      </w:pPr>
    </w:p>
    <w:p>
      <w:pPr>
        <w:ind w:left="980" w:hanging="432"/>
        <w:spacing w:after="0" w:line="256"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limitations or warnings contained in the labeling approved for ALX148 or our other product candidates by the FDA or foreign regulatory authorities;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34" w:lineRule="exact"/>
        <w:rPr>
          <w:rFonts w:ascii="MS PGothic" w:cs="MS PGothic" w:eastAsia="MS PGothic" w:hAnsi="MS PGothic"/>
          <w:sz w:val="13"/>
          <w:szCs w:val="13"/>
          <w:color w:val="auto"/>
        </w:rPr>
      </w:pPr>
    </w:p>
    <w:p>
      <w:pPr>
        <w:ind w:left="980" w:right="260" w:hanging="432"/>
        <w:spacing w:after="0" w:line="256"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size of the target patient population and the willingness of the target patient population to try new therapies and of physicians to prescribe these therapies;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strength and effectiveness of marketing and distribution support and timing of market introduction of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publicity for our product candidates and competing products and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pricing and cost-effectiveness in relation to alternative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relative convenience and ease of administration;</w:t>
      </w:r>
    </w:p>
    <w:p>
      <w:pPr>
        <w:spacing w:after="0" w:line="34" w:lineRule="exact"/>
        <w:rPr>
          <w:rFonts w:ascii="MS PGothic" w:cs="MS PGothic" w:eastAsia="MS PGothic" w:hAnsi="MS PGothic"/>
          <w:sz w:val="13"/>
          <w:szCs w:val="13"/>
          <w:color w:val="auto"/>
        </w:rPr>
      </w:pPr>
    </w:p>
    <w:p>
      <w:pPr>
        <w:ind w:left="980" w:right="640" w:hanging="432"/>
        <w:spacing w:after="0" w:line="256"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our ability to obtain sufficient third-party coverage or reimbursement, and the willingness of patients to pay out-of-pocket in the absence of third-party coverage; and</w:t>
      </w:r>
    </w:p>
    <w:p>
      <w:pPr>
        <w:spacing w:after="0" w:line="1" w:lineRule="exact"/>
        <w:rPr>
          <w:rFonts w:ascii="MS PGothic" w:cs="MS PGothic" w:eastAsia="MS PGothic" w:hAnsi="MS PGothic"/>
          <w:sz w:val="13"/>
          <w:szCs w:val="13"/>
          <w:color w:val="auto"/>
        </w:rPr>
      </w:pPr>
    </w:p>
    <w:p>
      <w:pPr>
        <w:ind w:left="980" w:hanging="432"/>
        <w:spacing w:after="0" w:line="27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likelihood that the FDA or any foreign regulatory authority may impose additional requirements that limit the promotion, advertising, distribution or sales of our product candidates.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ALX148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23"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94" w:lineRule="exact"/>
        <w:rPr>
          <w:sz w:val="20"/>
          <w:szCs w:val="20"/>
          <w:color w:val="auto"/>
        </w:rPr>
      </w:pPr>
    </w:p>
    <w:p>
      <w:pPr>
        <w:ind w:left="120" w:right="20"/>
        <w:spacing w:after="0" w:line="285" w:lineRule="auto"/>
        <w:rPr>
          <w:sz w:val="20"/>
          <w:szCs w:val="20"/>
          <w:color w:val="auto"/>
        </w:rPr>
      </w:pPr>
      <w:r>
        <w:rPr>
          <w:rFonts w:ascii="Arial" w:cs="Arial" w:eastAsia="Arial" w:hAnsi="Arial"/>
          <w:sz w:val="17"/>
          <w:szCs w:val="17"/>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74" w:lineRule="exact"/>
        <w:rPr>
          <w:sz w:val="20"/>
          <w:szCs w:val="20"/>
          <w:color w:val="auto"/>
        </w:rPr>
      </w:pPr>
    </w:p>
    <w:p>
      <w:pPr>
        <w:ind w:left="120" w:right="60"/>
        <w:spacing w:after="0" w:line="253" w:lineRule="auto"/>
        <w:rPr>
          <w:sz w:val="20"/>
          <w:szCs w:val="20"/>
          <w:color w:val="auto"/>
        </w:rPr>
      </w:pPr>
      <w:r>
        <w:rPr>
          <w:rFonts w:ascii="Arial" w:cs="Arial" w:eastAsia="Arial" w:hAnsi="Arial"/>
          <w:sz w:val="17"/>
          <w:szCs w:val="17"/>
          <w:color w:val="auto"/>
        </w:rPr>
        <w:t>We currently have no marketing and sales organization and we have never commercialized a product candidate. To achieve commercial success of our product candidates, if any are approved, we will have to develop our own sales, marketing and supply capabilities or outsource these activities to a third party.</w:t>
      </w:r>
    </w:p>
    <w:p>
      <w:pPr>
        <w:spacing w:after="0" w:line="111"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122"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market opportunities for the product candidates we develop, if approved, may be limited to certain smaller patient subsets.</w:t>
      </w:r>
    </w:p>
    <w:p>
      <w:pPr>
        <w:spacing w:after="0" w:line="154" w:lineRule="exact"/>
        <w:rPr>
          <w:sz w:val="20"/>
          <w:szCs w:val="20"/>
          <w:color w:val="auto"/>
        </w:rPr>
      </w:pPr>
    </w:p>
    <w:p>
      <w:pPr>
        <w:ind w:left="120" w:right="220"/>
        <w:spacing w:after="0" w:line="253"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FDA, may require us to narrow our indications to smaller patient subsets, and the number of patients in such subsets may turn out to be lower than expected.</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105"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Our lead product candidate, ALX148, is at an early stage of clinical development and not all adverse effects can be predicted or anticipated. Unforeseen side effects from ALX148 or any of our future product candidates may arise at any time during clinical development or, if approved by regulatory authorities, after the approved drug product has been marketed. Any undesirable or unacceptable side effects of ALX148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123"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Even if any of our product candidates receive marketing approval, if we or others later identify undesirable or unacceptable side effects caused by such products:</w:t>
      </w:r>
    </w:p>
    <w:p>
      <w:pPr>
        <w:spacing w:after="0" w:line="133" w:lineRule="exact"/>
        <w:rPr>
          <w:sz w:val="20"/>
          <w:szCs w:val="20"/>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us to take our approved product off the market;</w:t>
      </w:r>
    </w:p>
    <w:p>
      <w:pPr>
        <w:spacing w:after="0" w:line="35" w:lineRule="exact"/>
        <w:rPr>
          <w:rFonts w:ascii="MS PGothic" w:cs="MS PGothic" w:eastAsia="MS PGothic" w:hAnsi="MS PGothic"/>
          <w:sz w:val="13"/>
          <w:szCs w:val="13"/>
          <w:color w:val="auto"/>
        </w:rPr>
      </w:pPr>
    </w:p>
    <w:p>
      <w:pPr>
        <w:ind w:left="980" w:right="140" w:hanging="432"/>
        <w:spacing w:after="0" w:line="256"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the addition of labeling statements, specific warnings, contraindication, precaution or field alerts to physicians and pharmacies;</w:t>
      </w:r>
    </w:p>
    <w:p>
      <w:pPr>
        <w:spacing w:after="0" w:line="1" w:lineRule="exact"/>
        <w:rPr>
          <w:rFonts w:ascii="MS PGothic" w:cs="MS PGothic" w:eastAsia="MS PGothic" w:hAnsi="MS PGothic"/>
          <w:sz w:val="13"/>
          <w:szCs w:val="13"/>
          <w:color w:val="auto"/>
        </w:rPr>
      </w:pPr>
    </w:p>
    <w:p>
      <w:pPr>
        <w:ind w:left="980" w:right="260" w:hanging="432"/>
        <w:spacing w:after="0" w:line="256"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we may be required to change the way the product is administered, limit the patient population who can use the product or conduct additional clinical trials;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we may be subject to limitations on how we may promote the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sales of the product may decrease significantly;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we may be subject to litigation or product liability claims;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our reputation may suffer.</w:t>
      </w:r>
    </w:p>
    <w:p>
      <w:pPr>
        <w:spacing w:after="0" w:line="154" w:lineRule="exact"/>
        <w:rPr>
          <w:sz w:val="20"/>
          <w:szCs w:val="20"/>
          <w:color w:val="auto"/>
        </w:rPr>
      </w:pPr>
    </w:p>
    <w:p>
      <w:pPr>
        <w:ind w:left="120" w:right="340"/>
        <w:spacing w:after="0" w:line="253"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13" w:lineRule="exact"/>
        <w:rPr>
          <w:sz w:val="20"/>
          <w:szCs w:val="20"/>
          <w:color w:val="auto"/>
        </w:rPr>
      </w:pPr>
    </w:p>
    <w:p>
      <w:pPr>
        <w:ind w:left="120" w:right="200"/>
        <w:spacing w:after="0" w:line="285" w:lineRule="auto"/>
        <w:rPr>
          <w:sz w:val="20"/>
          <w:szCs w:val="20"/>
          <w:color w:val="auto"/>
        </w:rPr>
      </w:pPr>
      <w:r>
        <w:rPr>
          <w:rFonts w:ascii="Arial" w:cs="Arial" w:eastAsia="Arial" w:hAnsi="Arial"/>
          <w:sz w:val="17"/>
          <w:szCs w:val="17"/>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74"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00"/>
          </w:cols>
          <w:pgMar w:left="320" w:top="455" w:right="4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11" w:lineRule="exact"/>
        <w:rPr>
          <w:sz w:val="20"/>
          <w:szCs w:val="20"/>
          <w:color w:val="auto"/>
        </w:rPr>
      </w:pPr>
    </w:p>
    <w:p>
      <w:pPr>
        <w:ind w:left="120" w:right="140"/>
        <w:spacing w:after="0"/>
        <w:rPr>
          <w:sz w:val="20"/>
          <w:szCs w:val="20"/>
          <w:color w:val="auto"/>
        </w:rPr>
      </w:pPr>
      <w:r>
        <w:rPr>
          <w:rFonts w:ascii="Arial" w:cs="Arial" w:eastAsia="Arial" w:hAnsi="Arial"/>
          <w:sz w:val="17"/>
          <w:szCs w:val="17"/>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23"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163" w:lineRule="exact"/>
        <w:rPr>
          <w:sz w:val="20"/>
          <w:szCs w:val="20"/>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demand for any products for which we may obtain regulatory approval;</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our ability to set a price that we believe is fair for our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coverage and adequate reimbursement for a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w:t>
      </w:r>
    </w:p>
    <w:p>
      <w:pPr>
        <w:spacing w:after="0" w:line="154"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62" w:lineRule="exact"/>
        <w:rPr>
          <w:sz w:val="20"/>
          <w:szCs w:val="20"/>
          <w:color w:val="auto"/>
        </w:rPr>
      </w:pPr>
    </w:p>
    <w:p>
      <w:pPr>
        <w:ind w:left="120" w:right="580"/>
        <w:spacing w:after="0" w:line="285"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74"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00"/>
          </w:cols>
          <w:pgMar w:left="320" w:top="455"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80"/>
        <w:spacing w:after="0" w:line="253" w:lineRule="auto"/>
        <w:rPr>
          <w:sz w:val="20"/>
          <w:szCs w:val="20"/>
          <w:color w:val="auto"/>
        </w:rPr>
      </w:pPr>
      <w:r>
        <w:rPr>
          <w:rFonts w:ascii="Arial" w:cs="Arial" w:eastAsia="Arial" w:hAnsi="Arial"/>
          <w:sz w:val="17"/>
          <w:szCs w:val="17"/>
          <w:color w:val="auto"/>
        </w:rPr>
        <w:t>compliance with cGMPs and cGCP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151"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the drug;</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withdrawal of the drug from the market or voluntary or mandatory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adverse publicity, fines, warning letters or holds on clinical trials;</w:t>
      </w:r>
    </w:p>
    <w:p>
      <w:pPr>
        <w:spacing w:after="0" w:line="34" w:lineRule="exact"/>
        <w:rPr>
          <w:rFonts w:ascii="MS PGothic" w:cs="MS PGothic" w:eastAsia="MS PGothic" w:hAnsi="MS PGothic"/>
          <w:sz w:val="13"/>
          <w:szCs w:val="13"/>
          <w:color w:val="auto"/>
        </w:rPr>
      </w:pPr>
    </w:p>
    <w:p>
      <w:pPr>
        <w:ind w:left="980" w:right="840" w:hanging="432"/>
        <w:spacing w:after="0" w:line="256"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refusal by the FDA or any other applicable regulatory authority to approve pending applications or supplements to approved applications filed by us, or suspension or revocation of product license approvals;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drug product seizure or detention, or refusal to permit the import or export of product candidates;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4"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125"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105"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ALX148 or any product candidates we may seek to develop in the future will 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96" w:lineRule="exact"/>
        <w:rPr>
          <w:sz w:val="20"/>
          <w:szCs w:val="20"/>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the design, implementation or results of our clinical trials;</w:t>
      </w:r>
    </w:p>
    <w:p>
      <w:pPr>
        <w:spacing w:after="0" w:line="35" w:lineRule="exact"/>
        <w:rPr>
          <w:rFonts w:ascii="MS PGothic" w:cs="MS PGothic" w:eastAsia="MS PGothic" w:hAnsi="MS PGothic"/>
          <w:sz w:val="13"/>
          <w:szCs w:val="13"/>
          <w:color w:val="auto"/>
        </w:rPr>
      </w:pPr>
    </w:p>
    <w:p>
      <w:pPr>
        <w:ind w:left="980" w:right="100" w:hanging="432"/>
        <w:spacing w:after="0" w:line="252"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980" w:right="40" w:hanging="432"/>
        <w:spacing w:after="0" w:line="257"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population studied in the clinical program may not be sufficiently broad or representative to assure efficacy and potency and safety in the full population for which we seek approval;</w:t>
      </w:r>
    </w:p>
    <w:p>
      <w:pPr>
        <w:spacing w:after="0" w:line="1" w:lineRule="exact"/>
        <w:rPr>
          <w:rFonts w:ascii="MS PGothic" w:cs="MS PGothic" w:eastAsia="MS PGothic" w:hAnsi="MS PGothic"/>
          <w:sz w:val="13"/>
          <w:szCs w:val="13"/>
          <w:color w:val="auto"/>
        </w:rPr>
      </w:pPr>
    </w:p>
    <w:p>
      <w:pPr>
        <w:ind w:left="980" w:right="460" w:hanging="432"/>
        <w:spacing w:after="0" w:line="256"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our interpretation of data from preclinical studies or clinical trials;</w:t>
      </w:r>
    </w:p>
    <w:p>
      <w:pPr>
        <w:spacing w:after="0" w:line="1" w:lineRule="exact"/>
        <w:rPr>
          <w:rFonts w:ascii="MS PGothic" w:cs="MS PGothic" w:eastAsia="MS PGothic" w:hAnsi="MS PGothic"/>
          <w:sz w:val="13"/>
          <w:szCs w:val="13"/>
          <w:color w:val="auto"/>
        </w:rPr>
      </w:pPr>
    </w:p>
    <w:p>
      <w:pPr>
        <w:ind w:left="980" w:right="180" w:hanging="432"/>
        <w:spacing w:after="0" w:line="256"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1" w:lineRule="exact"/>
        <w:rPr>
          <w:rFonts w:ascii="MS PGothic" w:cs="MS PGothic" w:eastAsia="MS PGothic" w:hAnsi="MS PGothic"/>
          <w:sz w:val="13"/>
          <w:szCs w:val="13"/>
          <w:color w:val="auto"/>
        </w:rPr>
      </w:pPr>
    </w:p>
    <w:p>
      <w:pPr>
        <w:ind w:left="980" w:right="80" w:hanging="432"/>
        <w:spacing w:after="0" w:line="256"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we may be unable to demonstrate to the FDA or comparable international regulatory authorities that a product candidate’s risk-benefit ratio for its proposed indication is acceptable;</w:t>
      </w:r>
    </w:p>
    <w:p>
      <w:pPr>
        <w:spacing w:after="0" w:line="1" w:lineRule="exact"/>
        <w:rPr>
          <w:rFonts w:ascii="MS PGothic" w:cs="MS PGothic" w:eastAsia="MS PGothic" w:hAnsi="MS PGothic"/>
          <w:sz w:val="13"/>
          <w:szCs w:val="13"/>
          <w:color w:val="auto"/>
        </w:rPr>
      </w:pPr>
    </w:p>
    <w:p>
      <w:pPr>
        <w:ind w:left="980" w:right="440" w:hanging="432"/>
        <w:spacing w:after="0" w:line="256"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1" w:lineRule="exact"/>
        <w:rPr>
          <w:rFonts w:ascii="MS PGothic" w:cs="MS PGothic" w:eastAsia="MS PGothic" w:hAnsi="MS PGothic"/>
          <w:sz w:val="13"/>
          <w:szCs w:val="13"/>
          <w:color w:val="auto"/>
        </w:rPr>
      </w:pPr>
    </w:p>
    <w:p>
      <w:pPr>
        <w:ind w:left="980" w:right="400" w:hanging="432"/>
        <w:spacing w:after="0" w:line="27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approval policies or regulations of the FDA or international foreign regulatory authorities may significantly change in a manner rendering our clinical data insufficient for approval.</w:t>
      </w:r>
    </w:p>
    <w:p>
      <w:pPr>
        <w:spacing w:after="0" w:line="94"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117" w:lineRule="exact"/>
        <w:rPr>
          <w:sz w:val="20"/>
          <w:szCs w:val="20"/>
          <w:color w:val="auto"/>
        </w:rPr>
      </w:pPr>
    </w:p>
    <w:p>
      <w:pPr>
        <w:ind w:left="120" w:right="40"/>
        <w:spacing w:after="0"/>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25" w:lineRule="exact"/>
        <w:rPr>
          <w:sz w:val="20"/>
          <w:szCs w:val="20"/>
          <w:color w:val="auto"/>
        </w:rPr>
      </w:pPr>
    </w:p>
    <w:p>
      <w:pPr>
        <w:ind w:left="120" w:right="340"/>
        <w:spacing w:after="0" w:line="285" w:lineRule="auto"/>
        <w:rPr>
          <w:sz w:val="20"/>
          <w:szCs w:val="20"/>
          <w:color w:val="auto"/>
        </w:rPr>
      </w:pPr>
      <w:r>
        <w:rPr>
          <w:rFonts w:ascii="Arial" w:cs="Arial" w:eastAsia="Arial" w:hAnsi="Arial"/>
          <w:sz w:val="17"/>
          <w:szCs w:val="17"/>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74"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In February 2020, the FDA granted Fast Track designations to ALX148 for first-line HNSCC and for second-line treatment of advanced human epidermal growth factor receptor 2, or HER2-positive gastric/GEJ carcinoma.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ALX148,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25" w:lineRule="exact"/>
        <w:rPr>
          <w:sz w:val="20"/>
          <w:szCs w:val="20"/>
          <w:color w:val="auto"/>
        </w:rPr>
      </w:pPr>
    </w:p>
    <w:p>
      <w:pPr>
        <w:ind w:left="120" w:right="140"/>
        <w:spacing w:after="0" w:line="285" w:lineRule="auto"/>
        <w:rPr>
          <w:sz w:val="20"/>
          <w:szCs w:val="20"/>
          <w:color w:val="auto"/>
        </w:rPr>
      </w:pPr>
      <w:r>
        <w:rPr>
          <w:rFonts w:ascii="Arial" w:cs="Arial" w:eastAsia="Arial" w:hAnsi="Arial"/>
          <w:sz w:val="17"/>
          <w:szCs w:val="17"/>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We may seek Orphan Drug Designation for certain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40"/>
          </w:cols>
          <w:pgMar w:left="32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128" w:lineRule="exact"/>
        <w:rPr>
          <w:sz w:val="20"/>
          <w:szCs w:val="20"/>
          <w:color w:val="auto"/>
        </w:rPr>
      </w:pPr>
    </w:p>
    <w:p>
      <w:pPr>
        <w:ind w:left="120" w:right="400"/>
        <w:spacing w:after="0" w:line="285"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74" w:lineRule="exact"/>
        <w:rPr>
          <w:sz w:val="20"/>
          <w:szCs w:val="20"/>
          <w:color w:val="auto"/>
        </w:rPr>
      </w:pPr>
    </w:p>
    <w:p>
      <w:pPr>
        <w:ind w:left="120" w:right="100"/>
        <w:spacing w:after="0" w:line="242"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5"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62" w:lineRule="exact"/>
        <w:rPr>
          <w:sz w:val="20"/>
          <w:szCs w:val="20"/>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demand for our drugs, if we obtain regulatory approval;</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our ability to receive or set a price that we believe is fair for our drugs;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availability of capital.</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March 2020, the U.S. Supreme Court agreed to hear the case, and arguments were held in November 2020, although it is unclear when a decision will be made. It is unclear how such litigation and other efforts to repeal and replace the ACA will impact the ACA and our business. Complying with any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new legislation or reversing changes implemented under the ACA could be time-intensive and expensive, resulting in a material adverse effect on our business.</w:t>
      </w:r>
    </w:p>
    <w:p>
      <w:pPr>
        <w:spacing w:after="0" w:line="92"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in response to the COVID-19 pandemic, resulting in a material adverse effect on our business. For example, on August 6, 2020, the Trump administration issued another executive order that instructs the federal government to 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w:t>
      </w:r>
    </w:p>
    <w:p>
      <w:pPr>
        <w:spacing w:after="0" w:line="127"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Medicare Part D beneficiary monthly out-of-pocket expenses, and place limits on pharmaceutical price increases.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out-of-pocket costs of drug products paid by consumers. The HHS has solicited feedback on some of these measures and, at the same, has implemented others under its existing authority. For example, in May 2019, CMS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they would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3"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21" w:lineRule="exact"/>
        <w:rPr>
          <w:sz w:val="20"/>
          <w:szCs w:val="20"/>
          <w:color w:val="auto"/>
        </w:rPr>
      </w:pPr>
    </w:p>
    <w:p>
      <w:pPr>
        <w:ind w:left="120" w:right="180"/>
        <w:spacing w:after="0" w:line="246"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420"/>
        <w:spacing w:after="0" w:line="246" w:lineRule="auto"/>
        <w:rPr>
          <w:sz w:val="20"/>
          <w:szCs w:val="20"/>
          <w:color w:val="auto"/>
        </w:rPr>
      </w:pPr>
      <w:r>
        <w:rPr>
          <w:rFonts w:ascii="Arial" w:cs="Arial" w:eastAsia="Arial" w:hAnsi="Arial"/>
          <w:sz w:val="17"/>
          <w:szCs w:val="17"/>
          <w:color w:val="auto"/>
        </w:rPr>
        <w:t>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117" w:lineRule="exact"/>
        <w:rPr>
          <w:sz w:val="20"/>
          <w:szCs w:val="20"/>
          <w:color w:val="auto"/>
        </w:rPr>
      </w:pPr>
    </w:p>
    <w:p>
      <w:pPr>
        <w:ind w:left="120" w:right="80"/>
        <w:spacing w:after="0" w:line="239"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122"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particularly in light of the recent presidential election,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23" w:lineRule="exact"/>
        <w:rPr>
          <w:sz w:val="20"/>
          <w:szCs w:val="20"/>
          <w:color w:val="auto"/>
        </w:rPr>
      </w:pPr>
    </w:p>
    <w:p>
      <w:pPr>
        <w:jc w:val="both"/>
        <w:ind w:left="120" w:right="300"/>
        <w:spacing w:after="0" w:line="249" w:lineRule="auto"/>
        <w:rPr>
          <w:sz w:val="20"/>
          <w:szCs w:val="20"/>
          <w:color w:val="auto"/>
        </w:rPr>
      </w:pPr>
      <w:r>
        <w:rPr>
          <w:rFonts w:ascii="Arial" w:cs="Arial" w:eastAsia="Arial" w:hAnsi="Arial"/>
          <w:sz w:val="17"/>
          <w:szCs w:val="17"/>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05" w:lineRule="exact"/>
        <w:rPr>
          <w:sz w:val="20"/>
          <w:szCs w:val="20"/>
          <w:color w:val="auto"/>
        </w:rPr>
      </w:pPr>
    </w:p>
    <w:p>
      <w:pPr>
        <w:jc w:val="both"/>
        <w:ind w:left="120" w:right="100"/>
        <w:spacing w:after="0" w:line="241" w:lineRule="auto"/>
        <w:rPr>
          <w:sz w:val="20"/>
          <w:szCs w:val="20"/>
          <w:color w:val="auto"/>
        </w:rPr>
      </w:pPr>
      <w:r>
        <w:rPr>
          <w:rFonts w:ascii="Arial" w:cs="Arial" w:eastAsia="Arial" w:hAnsi="Arial"/>
          <w:sz w:val="17"/>
          <w:szCs w:val="17"/>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w:t>
      </w:r>
    </w:p>
    <w:p>
      <w:pPr>
        <w:ind w:left="120" w:right="300"/>
        <w:spacing w:after="0" w:line="235" w:lineRule="auto"/>
        <w:rPr>
          <w:sz w:val="20"/>
          <w:szCs w:val="20"/>
          <w:color w:val="auto"/>
        </w:rPr>
      </w:pPr>
      <w:r>
        <w:rPr>
          <w:rFonts w:ascii="Arial" w:cs="Arial" w:eastAsia="Arial" w:hAnsi="Arial"/>
          <w:sz w:val="17"/>
          <w:szCs w:val="17"/>
          <w:color w:val="auto"/>
        </w:rPr>
        <w:t>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161" w:lineRule="exact"/>
        <w:rPr>
          <w:sz w:val="20"/>
          <w:szCs w:val="20"/>
          <w:color w:val="auto"/>
        </w:rPr>
      </w:pPr>
    </w:p>
    <w:p>
      <w:pPr>
        <w:ind w:left="980" w:right="6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w:t>
      </w:r>
    </w:p>
    <w:p>
      <w:pPr>
        <w:spacing w:after="0" w:line="2" w:lineRule="exact"/>
        <w:rPr>
          <w:rFonts w:ascii="MS PGothic" w:cs="MS PGothic" w:eastAsia="MS PGothic" w:hAnsi="MS PGothic"/>
          <w:sz w:val="13"/>
          <w:szCs w:val="13"/>
          <w:color w:val="auto"/>
        </w:rPr>
      </w:pPr>
    </w:p>
    <w:p>
      <w:pPr>
        <w:ind w:left="980" w:hanging="432"/>
        <w:spacing w:after="0" w:line="245"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civil False Claims Act, or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FCA. The criminal FCA provides for criminal penalties for submitting false claims, including imprisonment and criminal fines.</w:t>
      </w:r>
    </w:p>
    <w:p>
      <w:pPr>
        <w:spacing w:after="0" w:line="35" w:lineRule="exact"/>
        <w:rPr>
          <w:sz w:val="20"/>
          <w:szCs w:val="20"/>
          <w:color w:val="auto"/>
        </w:rPr>
      </w:pPr>
    </w:p>
    <w:p>
      <w:pPr>
        <w:ind w:left="980" w:right="40" w:hanging="432"/>
        <w:spacing w:after="0" w:line="241"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4" w:lineRule="exact"/>
        <w:rPr>
          <w:rFonts w:ascii="MS PGothic" w:cs="MS PGothic" w:eastAsia="MS PGothic" w:hAnsi="MS PGothic"/>
          <w:sz w:val="13"/>
          <w:szCs w:val="13"/>
          <w:color w:val="auto"/>
        </w:rPr>
      </w:pPr>
    </w:p>
    <w:p>
      <w:pPr>
        <w:ind w:left="980" w:right="60" w:hanging="432"/>
        <w:spacing w:after="0" w:line="241"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U.S. federal Health Insurance Portability and Accountability Act of 1996,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4"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7"/>
          <w:szCs w:val="17"/>
          <w:i w:val="1"/>
          <w:iCs w:val="1"/>
          <w:color w:val="auto"/>
        </w:rPr>
        <w:t>i.e.</w:t>
      </w:r>
      <w:r>
        <w:rPr>
          <w:rFonts w:ascii="Arial" w:cs="Arial" w:eastAsia="Arial" w:hAnsi="Arial"/>
          <w:sz w:val="17"/>
          <w:szCs w:val="17"/>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1" w:lineRule="exact"/>
        <w:rPr>
          <w:rFonts w:ascii="MS PGothic" w:cs="MS PGothic" w:eastAsia="MS PGothic" w:hAnsi="MS PGothic"/>
          <w:sz w:val="13"/>
          <w:szCs w:val="13"/>
          <w:color w:val="auto"/>
        </w:rPr>
      </w:pPr>
    </w:p>
    <w:p>
      <w:pPr>
        <w:ind w:left="980" w:right="120" w:hanging="432"/>
        <w:spacing w:after="0" w:line="256"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U.S. Federal Food, Drug and Cosmetic Act prohibits, among other things, the adulteration or misbranding of drugs, biologics and medical devices.</w:t>
      </w:r>
    </w:p>
    <w:p>
      <w:pPr>
        <w:spacing w:after="0" w:line="1" w:lineRule="exact"/>
        <w:rPr>
          <w:rFonts w:ascii="MS PGothic" w:cs="MS PGothic" w:eastAsia="MS PGothic" w:hAnsi="MS PGothic"/>
          <w:sz w:val="13"/>
          <w:szCs w:val="13"/>
          <w:color w:val="auto"/>
        </w:rPr>
      </w:pPr>
    </w:p>
    <w:p>
      <w:pPr>
        <w:ind w:left="980" w:right="140" w:hanging="432"/>
        <w:spacing w:after="0" w:line="237"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under the Physician Payments Sunshine Act to physician assistants, nurse practitioners and other mid-level practitioners, with reporting requirements beginning in 2022 for payments made or ownership or investment interests held in 2021.</w:t>
      </w:r>
    </w:p>
    <w:p>
      <w:pPr>
        <w:spacing w:after="0" w:line="4" w:lineRule="exact"/>
        <w:rPr>
          <w:rFonts w:ascii="MS PGothic" w:cs="MS PGothic" w:eastAsia="MS PGothic" w:hAnsi="MS PGothic"/>
          <w:sz w:val="13"/>
          <w:szCs w:val="13"/>
          <w:color w:val="auto"/>
        </w:rPr>
      </w:pPr>
    </w:p>
    <w:p>
      <w:pPr>
        <w:ind w:left="980" w:right="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1" w:lineRule="exact"/>
        <w:rPr>
          <w:rFonts w:ascii="MS PGothic" w:cs="MS PGothic" w:eastAsia="MS PGothic" w:hAnsi="MS PGothic"/>
          <w:sz w:val="13"/>
          <w:szCs w:val="13"/>
          <w:color w:val="auto"/>
        </w:rPr>
      </w:pPr>
    </w:p>
    <w:p>
      <w:pPr>
        <w:ind w:left="980" w:right="80" w:hanging="432"/>
        <w:spacing w:after="0" w:line="242"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000" w:right="200"/>
        <w:spacing w:after="0" w:line="242" w:lineRule="auto"/>
        <w:rPr>
          <w:sz w:val="20"/>
          <w:szCs w:val="20"/>
          <w:color w:val="auto"/>
        </w:rPr>
      </w:pPr>
      <w:r>
        <w:rPr>
          <w:rFonts w:ascii="Arial" w:cs="Arial" w:eastAsia="Arial" w:hAnsi="Arial"/>
          <w:sz w:val="17"/>
          <w:szCs w:val="17"/>
          <w:color w:val="auto"/>
        </w:rPr>
        <w:t>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 w:lineRule="exact"/>
        <w:rPr>
          <w:sz w:val="20"/>
          <w:szCs w:val="20"/>
          <w:color w:val="auto"/>
        </w:rPr>
      </w:pPr>
    </w:p>
    <w:p>
      <w:pPr>
        <w:ind w:left="980" w:right="400" w:hanging="432"/>
        <w:spacing w:after="0" w:line="27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European and other foreign law equivalents of each of the laws also impose legal requirements, including reporting requirements detailing interactions with and payments to healthcare providers.</w:t>
      </w:r>
    </w:p>
    <w:p>
      <w:pPr>
        <w:spacing w:after="0" w:line="9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133" w:lineRule="exact"/>
        <w:rPr>
          <w:sz w:val="20"/>
          <w:szCs w:val="20"/>
          <w:color w:val="auto"/>
        </w:rPr>
      </w:pPr>
    </w:p>
    <w:p>
      <w:pPr>
        <w:jc w:val="both"/>
        <w:ind w:left="120" w:right="440"/>
        <w:spacing w:after="0" w:line="258" w:lineRule="auto"/>
        <w:rPr>
          <w:sz w:val="20"/>
          <w:szCs w:val="20"/>
          <w:color w:val="auto"/>
        </w:rPr>
      </w:pPr>
      <w:r>
        <w:rPr>
          <w:rFonts w:ascii="Arial" w:cs="Arial" w:eastAsia="Arial" w:hAnsi="Arial"/>
          <w:sz w:val="17"/>
          <w:szCs w:val="17"/>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9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130" w:lineRule="exact"/>
        <w:rPr>
          <w:sz w:val="20"/>
          <w:szCs w:val="20"/>
          <w:color w:val="auto"/>
        </w:rPr>
      </w:pPr>
    </w:p>
    <w:p>
      <w:pPr>
        <w:ind w:left="120" w:right="640"/>
        <w:spacing w:after="0" w:line="285" w:lineRule="auto"/>
        <w:rPr>
          <w:sz w:val="20"/>
          <w:szCs w:val="20"/>
          <w:color w:val="auto"/>
        </w:rPr>
      </w:pPr>
      <w:r>
        <w:rPr>
          <w:rFonts w:ascii="Arial" w:cs="Arial" w:eastAsia="Arial" w:hAnsi="Arial"/>
          <w:sz w:val="17"/>
          <w:szCs w:val="17"/>
          <w:b w:val="1"/>
          <w:bCs w:val="1"/>
          <w:i w:val="1"/>
          <w:iCs w:val="1"/>
          <w:color w:val="auto"/>
        </w:rPr>
        <w:t>If we do not comply with laws regulating the protection of the environment and health and human safety, our business could be adversely affected.</w:t>
      </w:r>
    </w:p>
    <w:p>
      <w:pPr>
        <w:spacing w:after="0" w:line="74" w:lineRule="exact"/>
        <w:rPr>
          <w:sz w:val="20"/>
          <w:szCs w:val="20"/>
          <w:color w:val="auto"/>
        </w:rPr>
      </w:pPr>
    </w:p>
    <w:p>
      <w:pPr>
        <w:ind w:left="120" w:right="60"/>
        <w:spacing w:after="0" w:line="246"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00"/>
          </w:cols>
          <w:pgMar w:left="320" w:top="455" w:right="4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124"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05" w:lineRule="exact"/>
        <w:rPr>
          <w:sz w:val="20"/>
          <w:szCs w:val="20"/>
          <w:color w:val="auto"/>
        </w:rPr>
      </w:pPr>
    </w:p>
    <w:p>
      <w:pPr>
        <w:ind w:left="120" w:right="80"/>
        <w:spacing w:after="0"/>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 Disruptions at the FDA and other agencies, such as recent furloughs or government shutdowns, may also slow the time necessary for new drugs to be reviewed and/or approved by necessary government agencies, which would adversely affect our business.</w:t>
      </w:r>
    </w:p>
    <w:p>
      <w:pPr>
        <w:spacing w:after="0" w:line="125" w:lineRule="exact"/>
        <w:rPr>
          <w:sz w:val="20"/>
          <w:szCs w:val="20"/>
          <w:color w:val="auto"/>
        </w:rPr>
      </w:pPr>
    </w:p>
    <w:p>
      <w:pPr>
        <w:ind w:left="120"/>
        <w:spacing w:after="0" w:line="258" w:lineRule="auto"/>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9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Our business activities may be subject to the U.S.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00"/>
        <w:spacing w:after="0" w:line="246" w:lineRule="auto"/>
        <w:rPr>
          <w:sz w:val="20"/>
          <w:szCs w:val="20"/>
          <w:color w:val="auto"/>
        </w:rPr>
      </w:pPr>
      <w:r>
        <w:rPr>
          <w:rFonts w:ascii="Arial" w:cs="Arial" w:eastAsia="Arial" w:hAnsi="Arial"/>
          <w:sz w:val="17"/>
          <w:szCs w:val="17"/>
          <w:color w:val="auto"/>
        </w:rPr>
        <w:t>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17" w:lineRule="exact"/>
        <w:rPr>
          <w:sz w:val="20"/>
          <w:szCs w:val="20"/>
          <w:color w:val="auto"/>
        </w:rPr>
      </w:pPr>
    </w:p>
    <w:p>
      <w:pPr>
        <w:ind w:left="120" w:right="60"/>
        <w:spacing w:after="0" w:line="242" w:lineRule="auto"/>
        <w:rPr>
          <w:sz w:val="20"/>
          <w:szCs w:val="20"/>
          <w:color w:val="auto"/>
        </w:rPr>
      </w:pPr>
      <w:r>
        <w:rPr>
          <w:rFonts w:ascii="Arial" w:cs="Arial" w:eastAsia="Arial" w:hAnsi="Arial"/>
          <w:sz w:val="17"/>
          <w:szCs w:val="17"/>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123" w:lineRule="exact"/>
        <w:rPr>
          <w:sz w:val="20"/>
          <w:szCs w:val="20"/>
          <w:color w:val="auto"/>
        </w:rPr>
      </w:pPr>
    </w:p>
    <w:p>
      <w:pPr>
        <w:ind w:left="120" w:right="100"/>
        <w:spacing w:after="0" w:line="285" w:lineRule="auto"/>
        <w:rPr>
          <w:sz w:val="20"/>
          <w:szCs w:val="20"/>
          <w:color w:val="auto"/>
        </w:rPr>
      </w:pPr>
      <w:r>
        <w:rPr>
          <w:rFonts w:ascii="Arial" w:cs="Arial" w:eastAsia="Arial" w:hAnsi="Arial"/>
          <w:sz w:val="17"/>
          <w:szCs w:val="17"/>
          <w:b w:val="1"/>
          <w:bCs w:val="1"/>
          <w:i w:val="1"/>
          <w:iCs w:val="1"/>
          <w:color w:val="auto"/>
        </w:rPr>
        <w:t>Data collection under European and U.S. laws is governed by restrictive regulations addressing the collection, use, processing and, in the case of Europe, cross-border transfer, of personal information.</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in part,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67"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European data protection laws also generally prohibit the transfer of personal data from Europe, including the European Economic Area,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recently invalidated by a decision of the European Union’s highest court. The same decision also cast doubt on the ability to use one of the primary alternatives to the Privacy Shield, namely, the European Commission’s Standard Contractual Clauses, to lawfully transfer personal data from Europe to the United States and most other countries. At present, there are few if any viable alternatives to the Privacy Shield and the Standard Contractual Clauses. To the extent that we were to rely on the EU-U.S. Privacy Shield Framework or the Standard Contractual Clauses, we will not be able to do so in the future, which could increase our costs and limit our ability to process personal data from the EU.</w:t>
      </w:r>
    </w:p>
    <w:p>
      <w:pPr>
        <w:spacing w:after="0" w:line="126"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Further, Brexit has created uncertainty with regard to data protection regulation in the UK.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UK, including the GDPR, after which the GDPR will be converted into UK law. Beginning in 2021, the UK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Additionally, a new privacy law, the California Privacy Rights Act, or the CPRA, was approved by California voters in the election on November 3, 2020. The CPRA will modify the CCPA significantly, potentially resulting in further uncertainty and requiring us to incur additional costs and expenses in an effort to comply. As we expand our operations, preclinical studies and clinical trials, the CCPA and CPRA may increase our compliance costs and potential liability. Other states are beginning to consider and pass similar laws.</w:t>
      </w:r>
    </w:p>
    <w:p>
      <w:pPr>
        <w:spacing w:after="0" w:line="123" w:lineRule="exact"/>
        <w:rPr>
          <w:sz w:val="20"/>
          <w:szCs w:val="20"/>
          <w:color w:val="auto"/>
        </w:rPr>
      </w:pPr>
    </w:p>
    <w:p>
      <w:pPr>
        <w:ind w:left="120" w:right="100"/>
        <w:spacing w:after="0"/>
        <w:rPr>
          <w:sz w:val="20"/>
          <w:szCs w:val="20"/>
          <w:color w:val="auto"/>
        </w:rPr>
      </w:pPr>
      <w:r>
        <w:rPr>
          <w:rFonts w:ascii="Arial" w:cs="Arial" w:eastAsia="Arial" w:hAnsi="Arial"/>
          <w:sz w:val="17"/>
          <w:szCs w:val="17"/>
          <w:color w:val="auto"/>
        </w:rPr>
        <w:t>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62" w:lineRule="exact"/>
        <w:rPr>
          <w:sz w:val="20"/>
          <w:szCs w:val="20"/>
          <w:color w:val="auto"/>
        </w:rPr>
      </w:pPr>
    </w:p>
    <w:p>
      <w:pPr>
        <w:ind w:left="120" w:right="380"/>
        <w:spacing w:after="0" w:line="285" w:lineRule="auto"/>
        <w:rPr>
          <w:sz w:val="20"/>
          <w:szCs w:val="20"/>
          <w:color w:val="auto"/>
        </w:rPr>
      </w:pPr>
      <w:r>
        <w:rPr>
          <w:rFonts w:ascii="Arial" w:cs="Arial" w:eastAsia="Arial" w:hAnsi="Arial"/>
          <w:sz w:val="17"/>
          <w:szCs w:val="17"/>
          <w:b w:val="1"/>
          <w:bCs w:val="1"/>
          <w:i w:val="1"/>
          <w:iCs w:val="1"/>
          <w:color w:val="auto"/>
        </w:rPr>
        <w:t>If we are unable to obtain, maintain and enforce patent protection for our product candidates and related technology, our business could be materially harmed.</w:t>
      </w:r>
    </w:p>
    <w:p>
      <w:pPr>
        <w:spacing w:after="0" w:line="2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31" w:lineRule="exact"/>
        <w:rPr>
          <w:sz w:val="20"/>
          <w:szCs w:val="20"/>
          <w:color w:val="auto"/>
        </w:rPr>
      </w:pPr>
    </w:p>
    <w:p>
      <w:pPr>
        <w:ind w:left="120" w:right="100"/>
        <w:spacing w:after="0"/>
        <w:rPr>
          <w:sz w:val="20"/>
          <w:szCs w:val="20"/>
          <w:color w:val="auto"/>
        </w:rPr>
      </w:pPr>
      <w:r>
        <w:rPr>
          <w:rFonts w:ascii="Arial" w:cs="Arial" w:eastAsia="Arial" w:hAnsi="Arial"/>
          <w:sz w:val="17"/>
          <w:szCs w:val="17"/>
          <w:color w:val="auto"/>
        </w:rPr>
        <w:t>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claims we ultimately get allowed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60"/>
        <w:spacing w:after="0" w:line="253" w:lineRule="auto"/>
        <w:rPr>
          <w:sz w:val="20"/>
          <w:szCs w:val="20"/>
          <w:color w:val="auto"/>
        </w:rPr>
      </w:pPr>
      <w:r>
        <w:rPr>
          <w:rFonts w:ascii="Arial" w:cs="Arial" w:eastAsia="Arial" w:hAnsi="Arial"/>
          <w:sz w:val="17"/>
          <w:szCs w:val="17"/>
          <w:color w:val="auto"/>
        </w:rPr>
        <w:t xml:space="preserve">narrowed, invalidated, circumvented or deemed unenforceable and such third parties may gain rights to such patents. We could also become involved in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opposition or derivation proceedings challenging our patent rights or the patent rights of others.</w:t>
      </w:r>
    </w:p>
    <w:p>
      <w:pPr>
        <w:spacing w:after="0" w:line="11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31" w:lineRule="exact"/>
        <w:rPr>
          <w:sz w:val="20"/>
          <w:szCs w:val="20"/>
          <w:color w:val="auto"/>
        </w:rPr>
      </w:pPr>
    </w:p>
    <w:p>
      <w:pPr>
        <w:ind w:left="120" w:right="40"/>
        <w:spacing w:after="0" w:line="239" w:lineRule="auto"/>
        <w:rPr>
          <w:sz w:val="20"/>
          <w:szCs w:val="20"/>
          <w:color w:val="auto"/>
        </w:rPr>
      </w:pPr>
      <w:r>
        <w:rPr>
          <w:rFonts w:ascii="Arial" w:cs="Arial" w:eastAsia="Arial" w:hAnsi="Arial"/>
          <w:sz w:val="17"/>
          <w:szCs w:val="17"/>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54"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00"/>
        <w:spacing w:after="0" w:line="239" w:lineRule="auto"/>
        <w:rPr>
          <w:sz w:val="20"/>
          <w:szCs w:val="20"/>
          <w:color w:val="auto"/>
        </w:rPr>
      </w:pPr>
      <w:r>
        <w:rPr>
          <w:rFonts w:ascii="Arial" w:cs="Arial" w:eastAsia="Arial" w:hAnsi="Arial"/>
          <w:sz w:val="17"/>
          <w:szCs w:val="17"/>
          <w:color w:val="auto"/>
        </w:rPr>
        <w:t>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24" w:lineRule="exact"/>
        <w:rPr>
          <w:sz w:val="20"/>
          <w:szCs w:val="20"/>
          <w:color w:val="auto"/>
        </w:rPr>
      </w:pPr>
    </w:p>
    <w:p>
      <w:pPr>
        <w:jc w:val="both"/>
        <w:ind w:left="120" w:right="60"/>
        <w:spacing w:after="0" w:line="258"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97"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28" w:lineRule="exact"/>
        <w:rPr>
          <w:sz w:val="20"/>
          <w:szCs w:val="20"/>
          <w:color w:val="auto"/>
        </w:rPr>
      </w:pPr>
    </w:p>
    <w:p>
      <w:pPr>
        <w:ind w:left="120" w:right="180"/>
        <w:spacing w:after="0" w:line="285" w:lineRule="auto"/>
        <w:rPr>
          <w:sz w:val="20"/>
          <w:szCs w:val="20"/>
          <w:color w:val="auto"/>
        </w:rPr>
      </w:pPr>
      <w:r>
        <w:rPr>
          <w:rFonts w:ascii="Arial" w:cs="Arial" w:eastAsia="Arial" w:hAnsi="Arial"/>
          <w:sz w:val="17"/>
          <w:szCs w:val="17"/>
          <w:b w:val="1"/>
          <w:bCs w:val="1"/>
          <w:i w:val="1"/>
          <w:iCs w:val="1"/>
          <w:color w:val="auto"/>
        </w:rPr>
        <w:t>Changes in patent laws or patent jurisprudence could diminish the value of patents in general, thereby impairing our ability to protect our product candidates.</w:t>
      </w:r>
    </w:p>
    <w:p>
      <w:pPr>
        <w:spacing w:after="0" w:line="74" w:lineRule="exact"/>
        <w:rPr>
          <w:sz w:val="20"/>
          <w:szCs w:val="20"/>
          <w:color w:val="auto"/>
        </w:rPr>
      </w:pPr>
    </w:p>
    <w:p>
      <w:pPr>
        <w:ind w:left="120" w:right="200"/>
        <w:spacing w:after="0" w:line="239"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22"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22" w:lineRule="exact"/>
        <w:rPr>
          <w:sz w:val="20"/>
          <w:szCs w:val="20"/>
          <w:color w:val="auto"/>
        </w:rPr>
      </w:pPr>
    </w:p>
    <w:p>
      <w:pPr>
        <w:jc w:val="both"/>
        <w:ind w:left="120"/>
        <w:spacing w:after="0" w:line="253"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7"/>
          <w:szCs w:val="17"/>
          <w:i w:val="1"/>
          <w:iCs w:val="1"/>
          <w:color w:val="auto"/>
        </w:rPr>
        <w:t>e.g.</w:t>
      </w:r>
      <w:r>
        <w:rPr>
          <w:rFonts w:ascii="Arial" w:cs="Arial" w:eastAsia="Arial" w:hAnsi="Arial"/>
          <w:sz w:val="17"/>
          <w:szCs w:val="17"/>
          <w:color w:val="auto"/>
        </w:rPr>
        <w:t>, via post-grant reviews or</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40"/>
          </w:cols>
          <w:pgMar w:left="320" w:top="455" w:right="4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jc w:val="both"/>
        <w:ind w:left="120" w:right="80"/>
        <w:spacing w:after="0" w:line="253" w:lineRule="auto"/>
        <w:rPr>
          <w:sz w:val="20"/>
          <w:szCs w:val="20"/>
          <w:color w:val="auto"/>
        </w:rPr>
      </w:pP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reviews). Because of a lower evidentiary standard in USPTO proceedings compared to the evidentiary standard in U.S. federal court</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65"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Accordingly, a third party may attempt to use the USPTO procedures to invalidate our patent claims that would not have been invalidated if first challenged by the third party as a defendant in a district court action.</w:t>
      </w:r>
    </w:p>
    <w:p>
      <w:pPr>
        <w:spacing w:after="0" w:line="92" w:lineRule="exact"/>
        <w:rPr>
          <w:sz w:val="20"/>
          <w:szCs w:val="20"/>
          <w:color w:val="auto"/>
        </w:rPr>
      </w:pPr>
    </w:p>
    <w:p>
      <w:pPr>
        <w:jc w:val="both"/>
        <w:ind w:left="120" w:right="380"/>
        <w:spacing w:after="0" w:line="253" w:lineRule="auto"/>
        <w:rPr>
          <w:sz w:val="20"/>
          <w:szCs w:val="20"/>
          <w:color w:val="auto"/>
        </w:rPr>
      </w:pPr>
      <w:r>
        <w:rPr>
          <w:rFonts w:ascii="Arial" w:cs="Arial" w:eastAsia="Arial" w:hAnsi="Arial"/>
          <w:sz w:val="17"/>
          <w:szCs w:val="17"/>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patents covering one or more of our product candidates could be found invalid or unenforceable if challenged.</w:t>
      </w:r>
    </w:p>
    <w:p>
      <w:pPr>
        <w:spacing w:after="0" w:line="154"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23"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080"/>
          </w:cols>
          <w:pgMar w:left="320" w:top="455" w:right="4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protection, prosecution, assertion and defense for some of our product candidates may be dependent on third parties.</w:t>
      </w:r>
    </w:p>
    <w:p>
      <w:pPr>
        <w:spacing w:after="0" w:line="154"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128" w:lineRule="exact"/>
        <w:rPr>
          <w:sz w:val="20"/>
          <w:szCs w:val="20"/>
          <w:color w:val="auto"/>
        </w:rPr>
      </w:pPr>
    </w:p>
    <w:p>
      <w:pPr>
        <w:ind w:left="120" w:right="420"/>
        <w:spacing w:after="0" w:line="285"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7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32"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harmed. Adequate remedies may not exist in the event of unauthorized use or disclosure of our proprietary information.</w:t>
      </w:r>
    </w:p>
    <w:p>
      <w:pPr>
        <w:spacing w:after="0" w:line="158" w:lineRule="exact"/>
        <w:rPr>
          <w:sz w:val="20"/>
          <w:szCs w:val="20"/>
          <w:color w:val="auto"/>
        </w:rPr>
      </w:pPr>
    </w:p>
    <w:p>
      <w:pPr>
        <w:ind w:left="120" w:right="220"/>
        <w:spacing w:after="0" w:line="285"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and trade secrets, which could be expensive, time-consuming and unsuccessful.</w:t>
      </w:r>
    </w:p>
    <w:p>
      <w:pPr>
        <w:spacing w:after="0" w:line="74"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127"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21"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The following are examples of litigation and other adversarial proceedings or disputes that we could become a party to involving our patents or patents licensed to us:</w:t>
      </w:r>
    </w:p>
    <w:p>
      <w:pPr>
        <w:spacing w:after="0" w:line="133" w:lineRule="exact"/>
        <w:rPr>
          <w:sz w:val="20"/>
          <w:szCs w:val="20"/>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we may initiate litigation or other proceedings against third parties to enforce our patent and trade secret rights;</w:t>
      </w:r>
    </w:p>
    <w:p>
      <w:pPr>
        <w:spacing w:after="0" w:line="35" w:lineRule="exact"/>
        <w:rPr>
          <w:rFonts w:ascii="MS PGothic" w:cs="MS PGothic" w:eastAsia="MS PGothic" w:hAnsi="MS PGothic"/>
          <w:sz w:val="13"/>
          <w:szCs w:val="13"/>
          <w:color w:val="auto"/>
        </w:rPr>
      </w:pPr>
    </w:p>
    <w:p>
      <w:pPr>
        <w:ind w:left="980" w:right="700" w:hanging="432"/>
        <w:spacing w:after="0" w:line="256"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1" w:lineRule="exact"/>
        <w:rPr>
          <w:rFonts w:ascii="MS PGothic" w:cs="MS PGothic" w:eastAsia="MS PGothic" w:hAnsi="MS PGothic"/>
          <w:sz w:val="13"/>
          <w:szCs w:val="13"/>
          <w:color w:val="auto"/>
        </w:rPr>
      </w:pPr>
    </w:p>
    <w:p>
      <w:pPr>
        <w:ind w:left="980" w:right="420" w:hanging="432"/>
        <w:spacing w:after="0" w:line="256"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1" w:lineRule="exact"/>
        <w:rPr>
          <w:rFonts w:ascii="MS PGothic" w:cs="MS PGothic" w:eastAsia="MS PGothic" w:hAnsi="MS PGothic"/>
          <w:sz w:val="13"/>
          <w:szCs w:val="13"/>
          <w:color w:val="auto"/>
        </w:rPr>
      </w:pPr>
    </w:p>
    <w:p>
      <w:pPr>
        <w:ind w:left="980" w:right="120" w:hanging="432"/>
        <w:spacing w:after="0" w:line="248"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1" w:lineRule="exact"/>
        <w:rPr>
          <w:rFonts w:ascii="MS PGothic" w:cs="MS PGothic" w:eastAsia="MS PGothic" w:hAnsi="MS PGothic"/>
          <w:sz w:val="13"/>
          <w:szCs w:val="13"/>
          <w:color w:val="auto"/>
        </w:rPr>
      </w:pPr>
    </w:p>
    <w:p>
      <w:pPr>
        <w:ind w:left="980" w:hanging="432"/>
        <w:spacing w:after="0" w:line="252"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00"/>
          </w:cols>
          <w:pgMar w:left="320" w:top="455" w:right="4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125" w:lineRule="exact"/>
        <w:rPr>
          <w:sz w:val="20"/>
          <w:szCs w:val="20"/>
          <w:color w:val="auto"/>
        </w:rPr>
      </w:pPr>
    </w:p>
    <w:p>
      <w:pPr>
        <w:ind w:left="120" w:right="80"/>
        <w:spacing w:after="0" w:line="285"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7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 We may become involved in lawsuits to protect or enforce our patents and trade secrets, which could be expensive, time consuming and unsuccessful.”</w:t>
      </w:r>
    </w:p>
    <w:p>
      <w:pPr>
        <w:spacing w:after="0" w:line="129" w:lineRule="exact"/>
        <w:rPr>
          <w:sz w:val="20"/>
          <w:szCs w:val="20"/>
          <w:color w:val="auto"/>
        </w:rPr>
      </w:pPr>
    </w:p>
    <w:p>
      <w:pPr>
        <w:ind w:left="120" w:right="260"/>
        <w:spacing w:after="0" w:line="285" w:lineRule="auto"/>
        <w:rPr>
          <w:sz w:val="20"/>
          <w:szCs w:val="20"/>
          <w:color w:val="auto"/>
        </w:rPr>
      </w:pPr>
      <w:r>
        <w:rPr>
          <w:rFonts w:ascii="Arial" w:cs="Arial" w:eastAsia="Arial" w:hAnsi="Arial"/>
          <w:sz w:val="17"/>
          <w:szCs w:val="17"/>
          <w:b w:val="1"/>
          <w:bCs w:val="1"/>
          <w:i w:val="1"/>
          <w:iCs w:val="1"/>
          <w:color w:val="auto"/>
        </w:rPr>
        <w:t>Our commercial success depends significantly on our ability to operate without infringing the patents and other proprietary rights of third parties.</w:t>
      </w:r>
    </w:p>
    <w:p>
      <w:pPr>
        <w:spacing w:after="0" w:line="74" w:lineRule="exact"/>
        <w:rPr>
          <w:sz w:val="20"/>
          <w:szCs w:val="20"/>
          <w:color w:val="auto"/>
        </w:rPr>
      </w:pPr>
    </w:p>
    <w:p>
      <w:pPr>
        <w:ind w:left="120" w:right="140"/>
        <w:spacing w:after="0" w:line="246"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117" w:lineRule="exact"/>
        <w:rPr>
          <w:sz w:val="20"/>
          <w:szCs w:val="20"/>
          <w:color w:val="auto"/>
        </w:rPr>
      </w:pPr>
    </w:p>
    <w:p>
      <w:pPr>
        <w:ind w:left="120" w:right="60"/>
        <w:spacing w:after="0" w:line="244" w:lineRule="auto"/>
        <w:rPr>
          <w:sz w:val="20"/>
          <w:szCs w:val="20"/>
          <w:color w:val="auto"/>
        </w:rPr>
      </w:pPr>
      <w:r>
        <w:rPr>
          <w:rFonts w:ascii="Arial" w:cs="Arial" w:eastAsia="Arial" w:hAnsi="Arial"/>
          <w:sz w:val="17"/>
          <w:szCs w:val="17"/>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pathways, and others that are based on entirely different approaches. These patents and applications could potentially be construed to cover our product candidates and their use. For example, we are aware of a U.S. patent application owned by University Health Network, or UHN, and The Hospital for Sick Children that may encompass certain therapies for the treatment of cancer using polypeptides comprising soluble human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This patent application relates to the treatment of cancer with polypeptides comprising soluble human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Trillium Therapeutics, our competitor, has an exclusive license to the U.S. patent application, and the USPTO has issued a notice of allowance with respect to the patent application. The European counterpart patent (EP 2 429 574) was revoked by the European Patent Office and UHN and The Hospital for Sick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40"/>
          </w:cols>
          <w:pgMar w:left="32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Children have appealed the decision. The patent claims under the U.S. patent, if granted, and the European patent, if the appeal by UHN and The Hospital for Sick Children is successful, could potentially limit our ability to pursue ALX148 in certain new indications or geographies in the future. However, we believe that we do not infringe claims listed in the allowed U.S. patent application.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22" w:lineRule="exact"/>
        <w:rPr>
          <w:sz w:val="20"/>
          <w:szCs w:val="20"/>
          <w:color w:val="auto"/>
        </w:rPr>
      </w:pPr>
    </w:p>
    <w:p>
      <w:pPr>
        <w:ind w:left="120" w:right="80"/>
        <w:spacing w:after="0" w:line="239"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122" w:lineRule="exact"/>
        <w:rPr>
          <w:sz w:val="20"/>
          <w:szCs w:val="20"/>
          <w:color w:val="auto"/>
        </w:rPr>
      </w:pPr>
    </w:p>
    <w:p>
      <w:pPr>
        <w:ind w:left="120" w:right="160"/>
        <w:spacing w:after="0" w:line="246" w:lineRule="auto"/>
        <w:rPr>
          <w:sz w:val="20"/>
          <w:szCs w:val="20"/>
          <w:color w:val="auto"/>
        </w:rPr>
      </w:pPr>
      <w:r>
        <w:rPr>
          <w:rFonts w:ascii="Arial" w:cs="Arial" w:eastAsia="Arial" w:hAnsi="Arial"/>
          <w:sz w:val="17"/>
          <w:szCs w:val="17"/>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intellectual property rights will not necessarily provide us with competitive advantages.</w:t>
      </w:r>
    </w:p>
    <w:p>
      <w:pPr>
        <w:spacing w:after="0" w:line="154" w:lineRule="exact"/>
        <w:rPr>
          <w:sz w:val="20"/>
          <w:szCs w:val="20"/>
          <w:color w:val="auto"/>
        </w:rPr>
      </w:pPr>
    </w:p>
    <w:p>
      <w:pPr>
        <w:ind w:left="120" w:right="300"/>
        <w:spacing w:after="0" w:line="275"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33" w:lineRule="exact"/>
        <w:rPr>
          <w:sz w:val="20"/>
          <w:szCs w:val="20"/>
          <w:color w:val="auto"/>
        </w:rPr>
      </w:pPr>
    </w:p>
    <w:p>
      <w:pPr>
        <w:ind w:left="980" w:right="200" w:hanging="432"/>
        <w:spacing w:after="0" w:line="257"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others may be able to make products that are similar to our product candidates but that are not covered by the claims of the patents that we own or have exclusively licensed;</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others may independently develop similar or alternative technologies without infringing our intellectual property rights;</w:t>
      </w:r>
    </w:p>
    <w:p>
      <w:pPr>
        <w:spacing w:after="0" w:line="34" w:lineRule="exact"/>
        <w:rPr>
          <w:rFonts w:ascii="MS PGothic" w:cs="MS PGothic" w:eastAsia="MS PGothic" w:hAnsi="MS PGothic"/>
          <w:sz w:val="13"/>
          <w:szCs w:val="13"/>
          <w:color w:val="auto"/>
        </w:rPr>
      </w:pPr>
    </w:p>
    <w:p>
      <w:pPr>
        <w:ind w:left="980" w:right="280" w:hanging="432"/>
        <w:spacing w:after="0" w:line="256"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issued patents that we own or have exclusively licensed may not provide us with competitive advantages, or may be held invalid or unenforceable, as a result of legal challenges by our competitors;</w:t>
      </w:r>
    </w:p>
    <w:p>
      <w:pPr>
        <w:spacing w:after="0" w:line="1" w:lineRule="exact"/>
        <w:rPr>
          <w:rFonts w:ascii="MS PGothic" w:cs="MS PGothic" w:eastAsia="MS PGothic" w:hAnsi="MS PGothic"/>
          <w:sz w:val="13"/>
          <w:szCs w:val="13"/>
          <w:color w:val="auto"/>
        </w:rPr>
      </w:pPr>
    </w:p>
    <w:p>
      <w:pPr>
        <w:ind w:left="980" w:right="140" w:hanging="432"/>
        <w:spacing w:after="0" w:line="248"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1" w:lineRule="exact"/>
        <w:rPr>
          <w:rFonts w:ascii="MS PGothic" w:cs="MS PGothic" w:eastAsia="MS PGothic" w:hAnsi="MS PGothic"/>
          <w:sz w:val="13"/>
          <w:szCs w:val="13"/>
          <w:color w:val="auto"/>
        </w:rPr>
      </w:pPr>
    </w:p>
    <w:p>
      <w:pPr>
        <w:ind w:left="980" w:right="120" w:hanging="432"/>
        <w:spacing w:after="0" w:line="256"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we may fail to develop additional proprietary technologies that are patentable;</w:t>
      </w:r>
    </w:p>
    <w:p>
      <w:pPr>
        <w:spacing w:after="0" w:line="34" w:lineRule="exact"/>
        <w:rPr>
          <w:rFonts w:ascii="MS PGothic" w:cs="MS PGothic" w:eastAsia="MS PGothic" w:hAnsi="MS PGothic"/>
          <w:sz w:val="13"/>
          <w:szCs w:val="13"/>
          <w:color w:val="auto"/>
        </w:rPr>
      </w:pPr>
    </w:p>
    <w:p>
      <w:pPr>
        <w:ind w:left="980" w:right="260" w:hanging="432"/>
        <w:spacing w:after="0" w:line="256"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 w:lineRule="exact"/>
        <w:rPr>
          <w:rFonts w:ascii="MS PGothic" w:cs="MS PGothic" w:eastAsia="MS PGothic" w:hAnsi="MS PGothic"/>
          <w:sz w:val="13"/>
          <w:szCs w:val="13"/>
          <w:color w:val="auto"/>
        </w:rPr>
      </w:pPr>
    </w:p>
    <w:p>
      <w:pPr>
        <w:ind w:left="980" w:right="260" w:hanging="432"/>
        <w:spacing w:after="0" w:line="27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patents of others may have an adverse effect on our business, for example by preventing us from marketing one or more of our product candidates for one or more indications.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 aforementioned threats to our competitive advantage could have a material adverse effect on our business.</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right="480"/>
        <w:spacing w:after="0" w:line="285" w:lineRule="auto"/>
        <w:rPr>
          <w:sz w:val="20"/>
          <w:szCs w:val="20"/>
          <w:color w:val="auto"/>
        </w:rPr>
      </w:pPr>
      <w:r>
        <w:rPr>
          <w:rFonts w:ascii="Arial" w:cs="Arial" w:eastAsia="Arial" w:hAnsi="Arial"/>
          <w:sz w:val="17"/>
          <w:szCs w:val="17"/>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74"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8" w:lineRule="exact"/>
        <w:rPr>
          <w:sz w:val="20"/>
          <w:szCs w:val="20"/>
          <w:color w:val="auto"/>
        </w:rPr>
      </w:pPr>
    </w:p>
    <w:p>
      <w:pPr>
        <w:ind w:left="120" w:right="300"/>
        <w:spacing w:after="0" w:line="285" w:lineRule="auto"/>
        <w:rPr>
          <w:sz w:val="20"/>
          <w:szCs w:val="20"/>
          <w:color w:val="auto"/>
        </w:rPr>
      </w:pPr>
      <w:r>
        <w:rPr>
          <w:rFonts w:ascii="Arial" w:cs="Arial" w:eastAsia="Arial" w:hAnsi="Arial"/>
          <w:sz w:val="17"/>
          <w:szCs w:val="17"/>
          <w:b w:val="1"/>
          <w:bCs w:val="1"/>
          <w:i w:val="1"/>
          <w:iCs w:val="1"/>
          <w:color w:val="auto"/>
        </w:rPr>
        <w:t>Our rights to develop and commercialize our product candidates may be subject, in part, to the terms and conditions of agreements with others.</w:t>
      </w:r>
    </w:p>
    <w:p>
      <w:pPr>
        <w:spacing w:after="0" w:line="74" w:lineRule="exact"/>
        <w:rPr>
          <w:sz w:val="20"/>
          <w:szCs w:val="20"/>
          <w:color w:val="auto"/>
        </w:rPr>
      </w:pPr>
    </w:p>
    <w:p>
      <w:pPr>
        <w:ind w:left="120" w:right="60"/>
        <w:spacing w:after="0" w:line="242" w:lineRule="auto"/>
        <w:rPr>
          <w:sz w:val="20"/>
          <w:szCs w:val="20"/>
          <w:color w:val="auto"/>
        </w:rPr>
      </w:pPr>
      <w:r>
        <w:rPr>
          <w:rFonts w:ascii="Arial" w:cs="Arial" w:eastAsia="Arial" w:hAnsi="Arial"/>
          <w:sz w:val="17"/>
          <w:szCs w:val="17"/>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21"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2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right="100"/>
        <w:spacing w:after="0" w:line="258" w:lineRule="auto"/>
        <w:rPr>
          <w:sz w:val="20"/>
          <w:szCs w:val="20"/>
          <w:color w:val="auto"/>
        </w:rPr>
      </w:pPr>
      <w:r>
        <w:rPr>
          <w:rFonts w:ascii="Arial" w:cs="Arial" w:eastAsia="Arial" w:hAnsi="Arial"/>
          <w:sz w:val="17"/>
          <w:szCs w:val="17"/>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97" w:lineRule="exact"/>
        <w:rPr>
          <w:sz w:val="20"/>
          <w:szCs w:val="20"/>
          <w:color w:val="auto"/>
        </w:rPr>
      </w:pPr>
    </w:p>
    <w:p>
      <w:pPr>
        <w:ind w:left="120" w:right="120"/>
        <w:spacing w:after="0" w:line="237"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Moreover, disputes may arise regarding intellectual property subject to a collaboration agreement, including:</w:t>
      </w:r>
    </w:p>
    <w:p>
      <w:pPr>
        <w:spacing w:after="0" w:line="196" w:lineRule="exact"/>
        <w:rPr>
          <w:sz w:val="20"/>
          <w:szCs w:val="20"/>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scope of the option or license rights granted under the agreement and other interpretation-related issues;</w:t>
      </w:r>
    </w:p>
    <w:p>
      <w:pPr>
        <w:spacing w:after="0" w:line="35" w:lineRule="exact"/>
        <w:rPr>
          <w:rFonts w:ascii="MS PGothic" w:cs="MS PGothic" w:eastAsia="MS PGothic" w:hAnsi="MS PGothic"/>
          <w:sz w:val="13"/>
          <w:szCs w:val="13"/>
          <w:color w:val="auto"/>
        </w:rPr>
      </w:pPr>
    </w:p>
    <w:p>
      <w:pPr>
        <w:ind w:left="980" w:right="40" w:hanging="432"/>
        <w:spacing w:after="0" w:line="256"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extent to which our technology and processes infringe on intellectual property of the collaborator that is not subject to the option or license rights granted under the agreement;</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sublicensing of patent and other rights under our collaborative development relationships;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diligence obligations under the agreement and what activities satisfy those diligence obligations;</w:t>
      </w:r>
    </w:p>
    <w:p>
      <w:pPr>
        <w:spacing w:after="0" w:line="34" w:lineRule="exact"/>
        <w:rPr>
          <w:rFonts w:ascii="MS PGothic" w:cs="MS PGothic" w:eastAsia="MS PGothic" w:hAnsi="MS PGothic"/>
          <w:sz w:val="13"/>
          <w:szCs w:val="13"/>
          <w:color w:val="auto"/>
        </w:rPr>
      </w:pPr>
    </w:p>
    <w:p>
      <w:pPr>
        <w:ind w:left="980" w:right="480" w:hanging="432"/>
        <w:spacing w:after="0" w:line="256"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inventorship and ownership of inventions and know-how resulting from the joint creation or use of intellectual property by our collaborators and us and our other partners; and</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priority of invention of patented technology.</w:t>
      </w:r>
    </w:p>
    <w:p>
      <w:pPr>
        <w:spacing w:after="0" w:line="15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w:t>
      </w:r>
    </w:p>
    <w:p>
      <w:pPr>
        <w:spacing w:after="0" w:line="62" w:lineRule="exact"/>
        <w:rPr>
          <w:sz w:val="20"/>
          <w:szCs w:val="20"/>
          <w:color w:val="auto"/>
        </w:rPr>
      </w:pPr>
    </w:p>
    <w:p>
      <w:pPr>
        <w:ind w:left="120" w:right="140"/>
        <w:spacing w:after="0" w:line="285" w:lineRule="auto"/>
        <w:rPr>
          <w:sz w:val="20"/>
          <w:szCs w:val="20"/>
          <w:color w:val="auto"/>
        </w:rPr>
      </w:pPr>
      <w:r>
        <w:rPr>
          <w:rFonts w:ascii="Arial" w:cs="Arial" w:eastAsia="Arial" w:hAnsi="Arial"/>
          <w:sz w:val="17"/>
          <w:szCs w:val="17"/>
          <w:b w:val="1"/>
          <w:bCs w:val="1"/>
          <w:i w:val="1"/>
          <w:iCs w:val="1"/>
          <w:color w:val="auto"/>
        </w:rPr>
        <w:t>In order to successfully implement our plans and strategies, we will need to grow the size of our organization, and we may experience difficulties in managing this growth.</w:t>
      </w:r>
    </w:p>
    <w:p>
      <w:pPr>
        <w:spacing w:after="0" w:line="20" w:lineRule="exact"/>
        <w:rPr>
          <w:sz w:val="20"/>
          <w:szCs w:val="20"/>
          <w:color w:val="auto"/>
        </w:rPr>
      </w:pPr>
    </w:p>
    <w:p>
      <w:pPr>
        <w:ind w:left="120" w:right="220"/>
        <w:spacing w:after="0" w:line="246" w:lineRule="auto"/>
        <w:rPr>
          <w:sz w:val="20"/>
          <w:szCs w:val="20"/>
          <w:color w:val="auto"/>
        </w:rPr>
      </w:pPr>
      <w:r>
        <w:rPr>
          <w:rFonts w:ascii="Arial" w:cs="Arial" w:eastAsia="Arial" w:hAnsi="Arial"/>
          <w:sz w:val="17"/>
          <w:szCs w:val="17"/>
          <w:color w:val="auto"/>
        </w:rPr>
        <w:t>As of September 30, 2020, we had 18 employees, including 8 employees engaged in research and development. In order to successfully implement our development and commercialization plans and strategies, and as we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157" w:lineRule="exact"/>
        <w:rPr>
          <w:sz w:val="20"/>
          <w:szCs w:val="20"/>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identifying, recruiting, integrating, maintaining and motivating additional employees;</w:t>
      </w:r>
    </w:p>
    <w:p>
      <w:pPr>
        <w:spacing w:after="0" w:line="35" w:lineRule="exact"/>
        <w:rPr>
          <w:rFonts w:ascii="MS PGothic" w:cs="MS PGothic" w:eastAsia="MS PGothic" w:hAnsi="MS PGothic"/>
          <w:sz w:val="13"/>
          <w:szCs w:val="13"/>
          <w:color w:val="auto"/>
        </w:rPr>
      </w:pPr>
    </w:p>
    <w:p>
      <w:pPr>
        <w:ind w:left="980" w:right="140" w:hanging="432"/>
        <w:spacing w:after="0" w:line="256"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managing our internal development efforts effectively, including the clinical and FDA review process for ALX148 and any other future product candidates, while complying with any contractual obligations to contractors and other third parties we may have; and</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improving our operational, financial and management controls, reporting systems and procedures.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00"/>
        <w:spacing w:after="0" w:line="246" w:lineRule="auto"/>
        <w:rPr>
          <w:sz w:val="20"/>
          <w:szCs w:val="20"/>
          <w:color w:val="auto"/>
        </w:rPr>
      </w:pPr>
      <w:r>
        <w:rPr>
          <w:rFonts w:ascii="Arial" w:cs="Arial" w:eastAsia="Arial" w:hAnsi="Arial"/>
          <w:sz w:val="17"/>
          <w:szCs w:val="17"/>
          <w:color w:val="auto"/>
        </w:rPr>
        <w:t>Our future financial performance and our ability to successfully develop and, if approved, commercialize ALX148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17"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ALX148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23"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If we are not able to effectively expand our organization by hiring new employees and/or engaging additional third-party service providers, we may not be able to successfully implement the tasks necessary to further develop and commercialize ALX148 and other future product candidates and, accordingly, may not achieve our research, development and commercialization goals.</w:t>
      </w:r>
    </w:p>
    <w:p>
      <w:pPr>
        <w:spacing w:after="0" w:line="113" w:lineRule="exact"/>
        <w:rPr>
          <w:sz w:val="20"/>
          <w:szCs w:val="20"/>
          <w:color w:val="auto"/>
        </w:rPr>
      </w:pPr>
    </w:p>
    <w:p>
      <w:pPr>
        <w:ind w:left="120" w:right="420"/>
        <w:spacing w:after="0" w:line="285" w:lineRule="auto"/>
        <w:rPr>
          <w:sz w:val="20"/>
          <w:szCs w:val="20"/>
          <w:color w:val="auto"/>
        </w:rPr>
      </w:pPr>
      <w:r>
        <w:rPr>
          <w:rFonts w:ascii="Arial" w:cs="Arial" w:eastAsia="Arial" w:hAnsi="Arial"/>
          <w:sz w:val="17"/>
          <w:szCs w:val="17"/>
          <w:b w:val="1"/>
          <w:bCs w:val="1"/>
          <w:i w:val="1"/>
          <w:iCs w:val="1"/>
          <w:color w:val="auto"/>
        </w:rPr>
        <w:t>Our product candidates are based on a novel technology, which makes it difficult to predict the time and cost of product candidate development.</w:t>
      </w:r>
    </w:p>
    <w:p>
      <w:pPr>
        <w:spacing w:after="0" w:line="74" w:lineRule="exact"/>
        <w:rPr>
          <w:sz w:val="20"/>
          <w:szCs w:val="20"/>
          <w:color w:val="auto"/>
        </w:rPr>
      </w:pPr>
    </w:p>
    <w:p>
      <w:pPr>
        <w:ind w:left="120" w:right="120"/>
        <w:spacing w:after="0"/>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ALX148,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125" w:lineRule="exact"/>
        <w:rPr>
          <w:sz w:val="20"/>
          <w:szCs w:val="20"/>
          <w:color w:val="auto"/>
        </w:rPr>
      </w:pPr>
    </w:p>
    <w:p>
      <w:pPr>
        <w:ind w:left="120" w:right="460"/>
        <w:spacing w:after="0" w:line="285" w:lineRule="auto"/>
        <w:rPr>
          <w:sz w:val="20"/>
          <w:szCs w:val="20"/>
          <w:color w:val="auto"/>
        </w:rPr>
      </w:pPr>
      <w:r>
        <w:rPr>
          <w:rFonts w:ascii="Arial" w:cs="Arial" w:eastAsia="Arial" w:hAnsi="Arial"/>
          <w:sz w:val="17"/>
          <w:szCs w:val="17"/>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74"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21"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26" w:lineRule="exact"/>
        <w:rPr>
          <w:sz w:val="20"/>
          <w:szCs w:val="20"/>
          <w:color w:val="auto"/>
        </w:rPr>
      </w:pPr>
    </w:p>
    <w:p>
      <w:pPr>
        <w:ind w:left="120" w:right="780"/>
        <w:spacing w:after="0" w:line="275" w:lineRule="auto"/>
        <w:rPr>
          <w:sz w:val="20"/>
          <w:szCs w:val="20"/>
          <w:color w:val="auto"/>
        </w:rPr>
      </w:pPr>
      <w:r>
        <w:rPr>
          <w:rFonts w:ascii="Arial" w:cs="Arial" w:eastAsia="Arial" w:hAnsi="Arial"/>
          <w:sz w:val="17"/>
          <w:szCs w:val="17"/>
          <w:color w:val="auto"/>
        </w:rPr>
        <w:t>Many of the other biotechnology companies that we compete against for qualified personnel have considerably more financial and other resources, different risk profiles and a more extended history in the industry than we do. They</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40"/>
          </w:cols>
          <w:pgMar w:left="32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124" w:lineRule="exact"/>
        <w:rPr>
          <w:sz w:val="20"/>
          <w:szCs w:val="20"/>
          <w:color w:val="auto"/>
        </w:rPr>
      </w:pPr>
    </w:p>
    <w:p>
      <w:pPr>
        <w:ind w:left="120" w:right="200"/>
        <w:spacing w:after="0" w:line="285" w:lineRule="auto"/>
        <w:rPr>
          <w:sz w:val="20"/>
          <w:szCs w:val="20"/>
          <w:color w:val="auto"/>
        </w:rPr>
      </w:pPr>
      <w:r>
        <w:rPr>
          <w:rFonts w:ascii="Arial" w:cs="Arial" w:eastAsia="Arial" w:hAnsi="Arial"/>
          <w:sz w:val="17"/>
          <w:szCs w:val="17"/>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74" w:lineRule="exact"/>
        <w:rPr>
          <w:sz w:val="20"/>
          <w:szCs w:val="20"/>
          <w:color w:val="auto"/>
        </w:rPr>
      </w:pPr>
    </w:p>
    <w:p>
      <w:pPr>
        <w:ind w:left="120" w:right="100"/>
        <w:spacing w:after="0" w:line="239" w:lineRule="auto"/>
        <w:rPr>
          <w:sz w:val="20"/>
          <w:szCs w:val="20"/>
          <w:color w:val="auto"/>
        </w:rPr>
      </w:pPr>
      <w:r>
        <w:rPr>
          <w:rFonts w:ascii="Arial" w:cs="Arial" w:eastAsia="Arial" w:hAnsi="Arial"/>
          <w:sz w:val="17"/>
          <w:szCs w:val="17"/>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163" w:lineRule="exact"/>
        <w:rPr>
          <w:sz w:val="20"/>
          <w:szCs w:val="20"/>
          <w:color w:val="auto"/>
        </w:rPr>
      </w:pPr>
    </w:p>
    <w:p>
      <w:pPr>
        <w:ind w:left="980" w:right="280" w:hanging="432"/>
        <w:spacing w:after="0" w:line="249"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w:t>
      </w: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failure by us to obtain and maintain regulatory approvals for the use of our products in various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rejection or qualification of foreign clinical trial data by the competent authorities of other countries;</w:t>
      </w:r>
    </w:p>
    <w:p>
      <w:pPr>
        <w:spacing w:after="0" w:line="34" w:lineRule="exact"/>
        <w:rPr>
          <w:rFonts w:ascii="MS PGothic" w:cs="MS PGothic" w:eastAsia="MS PGothic" w:hAnsi="MS PGothic"/>
          <w:sz w:val="13"/>
          <w:szCs w:val="13"/>
          <w:color w:val="auto"/>
        </w:rPr>
      </w:pPr>
    </w:p>
    <w:p>
      <w:pPr>
        <w:ind w:left="980" w:right="620" w:hanging="432"/>
        <w:spacing w:after="0" w:line="256"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complexities and difficulties in obtaining, maintaining, protecting and enforcing our intellectual property, including as a result of potentially relevant third-party patent rights;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difficulties in staffing and managing foreign operations;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limits in our ability to penetrate international markets;</w:t>
      </w:r>
    </w:p>
    <w:p>
      <w:pPr>
        <w:spacing w:after="0" w:line="34" w:lineRule="exact"/>
        <w:rPr>
          <w:rFonts w:ascii="MS PGothic" w:cs="MS PGothic" w:eastAsia="MS PGothic" w:hAnsi="MS PGothic"/>
          <w:sz w:val="13"/>
          <w:szCs w:val="13"/>
          <w:color w:val="auto"/>
        </w:rPr>
      </w:pPr>
    </w:p>
    <w:p>
      <w:pPr>
        <w:ind w:left="980" w:hanging="432"/>
        <w:spacing w:after="0" w:line="256"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financial risks, such as longer payment cycles, difficulty collecting accounts receivable, the impact of local and regional financial crises on demand and payment for our drugs;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exposure to foreign currency exchange rate fluctuations;</w:t>
      </w:r>
    </w:p>
    <w:p>
      <w:pPr>
        <w:spacing w:after="0" w:line="34" w:lineRule="exact"/>
        <w:rPr>
          <w:rFonts w:ascii="MS PGothic" w:cs="MS PGothic" w:eastAsia="MS PGothic" w:hAnsi="MS PGothic"/>
          <w:sz w:val="13"/>
          <w:szCs w:val="13"/>
          <w:color w:val="auto"/>
        </w:rPr>
      </w:pPr>
    </w:p>
    <w:p>
      <w:pPr>
        <w:ind w:left="980" w:right="500" w:hanging="432"/>
        <w:spacing w:after="0" w:line="256"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political and economic instability, including wars, terrorism and political unrest, boycotts, curtailment of trade and other business restrictions;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natural disasters, outbreaks or public health crises, such as the COVID-19 pandemic;</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certain expenses including, among others, expenses for travel, translation and insurance; and</w:t>
      </w:r>
    </w:p>
    <w:p>
      <w:pPr>
        <w:spacing w:after="0" w:line="34" w:lineRule="exact"/>
        <w:rPr>
          <w:rFonts w:ascii="MS PGothic" w:cs="MS PGothic" w:eastAsia="MS PGothic" w:hAnsi="MS PGothic"/>
          <w:sz w:val="13"/>
          <w:szCs w:val="13"/>
          <w:color w:val="auto"/>
        </w:rPr>
      </w:pPr>
    </w:p>
    <w:p>
      <w:pPr>
        <w:jc w:val="both"/>
        <w:ind w:left="980" w:right="300" w:hanging="432"/>
        <w:spacing w:after="0" w:line="27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these factors could harm our future international expansion and operations and, consequently, our results of operations.</w:t>
      </w:r>
    </w:p>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00"/>
          </w:cols>
          <w:pgMar w:left="320" w:top="455" w:right="4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right="560"/>
        <w:spacing w:after="0" w:line="258" w:lineRule="auto"/>
        <w:rPr>
          <w:sz w:val="20"/>
          <w:szCs w:val="20"/>
          <w:color w:val="auto"/>
        </w:rPr>
      </w:pPr>
      <w:r>
        <w:rPr>
          <w:rFonts w:ascii="Arial" w:cs="Arial" w:eastAsia="Arial" w:hAnsi="Arial"/>
          <w:sz w:val="17"/>
          <w:szCs w:val="17"/>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97"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22" w:lineRule="exact"/>
        <w:rPr>
          <w:sz w:val="20"/>
          <w:szCs w:val="20"/>
          <w:color w:val="auto"/>
        </w:rPr>
      </w:pPr>
    </w:p>
    <w:p>
      <w:pPr>
        <w:ind w:left="120" w:right="60"/>
        <w:spacing w:after="0"/>
        <w:rPr>
          <w:sz w:val="20"/>
          <w:szCs w:val="20"/>
          <w:color w:val="auto"/>
        </w:rPr>
      </w:pPr>
      <w:r>
        <w:rPr>
          <w:rFonts w:ascii="Arial" w:cs="Arial" w:eastAsia="Arial" w:hAnsi="Arial"/>
          <w:sz w:val="17"/>
          <w:szCs w:val="17"/>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25" w:lineRule="exact"/>
        <w:rPr>
          <w:sz w:val="20"/>
          <w:szCs w:val="20"/>
          <w:color w:val="auto"/>
        </w:rPr>
      </w:pPr>
    </w:p>
    <w:p>
      <w:pPr>
        <w:ind w:left="120" w:right="60"/>
        <w:spacing w:after="0" w:line="285" w:lineRule="auto"/>
        <w:rPr>
          <w:sz w:val="20"/>
          <w:szCs w:val="20"/>
          <w:color w:val="auto"/>
        </w:rPr>
      </w:pPr>
      <w:r>
        <w:rPr>
          <w:rFonts w:ascii="Arial" w:cs="Arial" w:eastAsia="Arial" w:hAnsi="Arial"/>
          <w:sz w:val="17"/>
          <w:szCs w:val="17"/>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7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23" w:lineRule="exact"/>
        <w:rPr>
          <w:sz w:val="20"/>
          <w:szCs w:val="20"/>
          <w:color w:val="auto"/>
        </w:rPr>
      </w:pPr>
    </w:p>
    <w:p>
      <w:pPr>
        <w:ind w:left="120" w:right="180"/>
        <w:spacing w:after="0" w:line="246" w:lineRule="auto"/>
        <w:rPr>
          <w:sz w:val="20"/>
          <w:szCs w:val="20"/>
          <w:color w:val="auto"/>
        </w:rPr>
      </w:pPr>
      <w:r>
        <w:rPr>
          <w:rFonts w:ascii="Arial" w:cs="Arial" w:eastAsia="Arial" w:hAnsi="Arial"/>
          <w:sz w:val="17"/>
          <w:szCs w:val="17"/>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117" w:lineRule="exact"/>
        <w:rPr>
          <w:sz w:val="20"/>
          <w:szCs w:val="20"/>
          <w:color w:val="auto"/>
        </w:rPr>
      </w:pPr>
    </w:p>
    <w:p>
      <w:pPr>
        <w:ind w:left="120" w:right="80"/>
        <w:spacing w:after="0" w:line="239" w:lineRule="auto"/>
        <w:rPr>
          <w:sz w:val="20"/>
          <w:szCs w:val="20"/>
          <w:color w:val="auto"/>
        </w:rPr>
      </w:pPr>
      <w:r>
        <w:rPr>
          <w:rFonts w:ascii="Arial" w:cs="Arial" w:eastAsia="Arial" w:hAnsi="Arial"/>
          <w:sz w:val="17"/>
          <w:szCs w:val="17"/>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122"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Because we have limited financial and managerial resources, we focus on research programs that we identify for specific indications. As a result, we may forego or delay pursuit of opportunities with other product candidates or for</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400"/>
        <w:spacing w:after="0" w:line="275" w:lineRule="auto"/>
        <w:rPr>
          <w:sz w:val="20"/>
          <w:szCs w:val="20"/>
          <w:color w:val="auto"/>
        </w:rPr>
      </w:pPr>
      <w:r>
        <w:rPr>
          <w:rFonts w:ascii="Arial" w:cs="Arial" w:eastAsia="Arial" w:hAnsi="Arial"/>
          <w:sz w:val="17"/>
          <w:szCs w:val="17"/>
          <w:color w:val="auto"/>
        </w:rPr>
        <w:t>other indications that later prove to have greater commercial potential. Our resource allocation decisions may cause us to fail to capitalize on viable commercial therapies or profitable market opportunities.</w:t>
      </w:r>
    </w:p>
    <w:p>
      <w:pPr>
        <w:spacing w:after="0" w:line="92" w:lineRule="exact"/>
        <w:rPr>
          <w:sz w:val="20"/>
          <w:szCs w:val="20"/>
          <w:color w:val="auto"/>
        </w:rPr>
      </w:pPr>
    </w:p>
    <w:p>
      <w:pPr>
        <w:ind w:left="120" w:right="160"/>
        <w:spacing w:after="0" w:line="246" w:lineRule="auto"/>
        <w:rPr>
          <w:sz w:val="20"/>
          <w:szCs w:val="20"/>
          <w:color w:val="auto"/>
        </w:rPr>
      </w:pPr>
      <w:r>
        <w:rPr>
          <w:rFonts w:ascii="Arial" w:cs="Arial" w:eastAsia="Arial" w:hAnsi="Arial"/>
          <w:sz w:val="17"/>
          <w:szCs w:val="17"/>
          <w:color w:val="auto"/>
        </w:rPr>
        <w:t>Our spending on current and future research and development programs, such as ALX148,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19" w:lineRule="exact"/>
        <w:rPr>
          <w:sz w:val="20"/>
          <w:szCs w:val="20"/>
          <w:color w:val="auto"/>
        </w:rPr>
      </w:pPr>
    </w:p>
    <w:p>
      <w:pPr>
        <w:ind w:left="120" w:right="740"/>
        <w:spacing w:after="0" w:line="285" w:lineRule="auto"/>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clinical trials and preclinical research.</w:t>
      </w:r>
    </w:p>
    <w:p>
      <w:pPr>
        <w:spacing w:after="0" w:line="74"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In December 2019, COVID-19 was reported to have surfaced in Wuhan, China. Since then, the virus has spread to most other countries across the world, including all 50 states within the United States, resulting in the World Health Organization characterizing COVID-19 as a pandemic. As a result of measures imposed by the governments in affected regions, many commercial activities, businesses and schools have been suspended as part of quarantines and other measures intended to contain this pandemic. The extent to which the COVID-19 pandemic ultimately impacts our business will depend on future developments, which are highly uncertain and cannot be predicted, such as the duration of the outbreak,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to spread around the globe, we may experience disruptions that could severely impact our business, current and planned clinical trials and preclinical research, including:</w:t>
      </w:r>
    </w:p>
    <w:p>
      <w:pPr>
        <w:spacing w:after="0" w:line="166" w:lineRule="exact"/>
        <w:rPr>
          <w:sz w:val="20"/>
          <w:szCs w:val="20"/>
          <w:color w:val="auto"/>
        </w:rPr>
      </w:pPr>
    </w:p>
    <w:p>
      <w:pPr>
        <w:ind w:left="980" w:right="100" w:hanging="432"/>
        <w:spacing w:after="0" w:line="257"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delays or difficulties in enrolling and retaining subjects, particularly elderly subjects, who are at a higher risk of severe illness or death from COVID-19, in our ongoing clinical trial of ALX148 and our future clinical trials;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difficulties interpreting data from our clinical trials due to the possible effects of COVID-19 on subjects;</w:t>
      </w:r>
    </w:p>
    <w:p>
      <w:pPr>
        <w:spacing w:after="0" w:line="34" w:lineRule="exact"/>
        <w:rPr>
          <w:rFonts w:ascii="MS PGothic" w:cs="MS PGothic" w:eastAsia="MS PGothic" w:hAnsi="MS PGothic"/>
          <w:sz w:val="13"/>
          <w:szCs w:val="13"/>
          <w:color w:val="auto"/>
        </w:rPr>
      </w:pPr>
    </w:p>
    <w:p>
      <w:pPr>
        <w:ind w:left="980" w:hanging="432"/>
        <w:spacing w:after="0" w:line="256"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clinical trials;</w:t>
      </w:r>
    </w:p>
    <w:p>
      <w:pPr>
        <w:spacing w:after="0" w:line="1" w:lineRule="exact"/>
        <w:rPr>
          <w:rFonts w:ascii="MS PGothic" w:cs="MS PGothic" w:eastAsia="MS PGothic" w:hAnsi="MS PGothic"/>
          <w:sz w:val="13"/>
          <w:szCs w:val="13"/>
          <w:color w:val="auto"/>
        </w:rPr>
      </w:pPr>
    </w:p>
    <w:p>
      <w:pPr>
        <w:ind w:left="980" w:right="140" w:hanging="432"/>
        <w:spacing w:after="0" w:line="256"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interruption of key clinical trial activities, such as clinical trial site monitoring, due to limitations on travel imposed or recommended by federal or state governments, employers and others;</w:t>
      </w:r>
    </w:p>
    <w:p>
      <w:pPr>
        <w:spacing w:after="0" w:line="1" w:lineRule="exact"/>
        <w:rPr>
          <w:rFonts w:ascii="MS PGothic" w:cs="MS PGothic" w:eastAsia="MS PGothic" w:hAnsi="MS PGothic"/>
          <w:sz w:val="13"/>
          <w:szCs w:val="13"/>
          <w:color w:val="auto"/>
        </w:rPr>
      </w:pPr>
    </w:p>
    <w:p>
      <w:pPr>
        <w:ind w:left="980" w:right="60" w:hanging="432"/>
        <w:spacing w:after="0" w:line="248"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1" w:lineRule="exact"/>
        <w:rPr>
          <w:rFonts w:ascii="MS PGothic" w:cs="MS PGothic" w:eastAsia="MS PGothic" w:hAnsi="MS PGothic"/>
          <w:sz w:val="13"/>
          <w:szCs w:val="13"/>
          <w:color w:val="auto"/>
        </w:rPr>
      </w:pPr>
    </w:p>
    <w:p>
      <w:pPr>
        <w:ind w:left="980" w:right="240" w:hanging="432"/>
        <w:spacing w:after="0" w:line="256"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interruptions, difficulties or delays arising in our existing operations and company culture as a result of all of our employees working remotely, including those hired during the COVID-19 pandemic;</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delays in receiving approval from regulatory authorities to initiate our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interruptions in preclinical studies due to restricted or limited operations at the CROs conducting such studies;</w:t>
      </w:r>
    </w:p>
    <w:p>
      <w:pPr>
        <w:spacing w:after="0" w:line="34" w:lineRule="exact"/>
        <w:rPr>
          <w:rFonts w:ascii="MS PGothic" w:cs="MS PGothic" w:eastAsia="MS PGothic" w:hAnsi="MS PGothic"/>
          <w:sz w:val="13"/>
          <w:szCs w:val="13"/>
          <w:color w:val="auto"/>
        </w:rPr>
      </w:pPr>
    </w:p>
    <w:p>
      <w:pPr>
        <w:ind w:left="980" w:right="180" w:hanging="432"/>
        <w:spacing w:after="0" w:line="256"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interruptions or delays in the operations of the FDA or other domestic or foreign regulatory authorities, which may impact review and approval timelines;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delays in receiving the supplies, materials and services needed to conduct clinical trials and preclinical research;</w:t>
      </w:r>
    </w:p>
    <w:p>
      <w:pPr>
        <w:spacing w:after="0" w:line="34" w:lineRule="exact"/>
        <w:rPr>
          <w:rFonts w:ascii="MS PGothic" w:cs="MS PGothic" w:eastAsia="MS PGothic" w:hAnsi="MS PGothic"/>
          <w:sz w:val="13"/>
          <w:szCs w:val="13"/>
          <w:color w:val="auto"/>
        </w:rPr>
      </w:pPr>
    </w:p>
    <w:p>
      <w:pPr>
        <w:ind w:left="980" w:right="540" w:hanging="432"/>
        <w:spacing w:after="0" w:line="256"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which may result in unexpected costs or require us to discontinue the clinical trial altogether;</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interruptions or delays to our development pipeline;</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980" w:right="100" w:hanging="432"/>
        <w:spacing w:after="0" w:line="257"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delays in necessary interactions with regulators, ethics committees and other important agencies and contractors due to limitations in employee resources or forced furlough of government or contractor personnel; and</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refusal of the FDA to accept data from clinical trials in affected geographies outside of the United States.</w:t>
      </w:r>
    </w:p>
    <w:p>
      <w:pPr>
        <w:spacing w:after="0" w:line="1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are still assessing the impact that the COVID-19 pandemic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or due to shutdowns that may be requested or mandated by federal, state and local governmental authorities. For example, on March 16, 2020, San Mateo County, where our headquarters are located, issued a “shelter-in-place” order, effective March 17, 2020, and on March 19, 2020, the Executive Department of the State of California issued Executive Order N-33-20, ordering all individuals in the State of California to stay home or at their place of residence except as needed to maintain continuity of operations of the federal critical infrastructure sectors. Although San Mateo County and the State of California subsequently took steps toward reopening businesses, the State of California recently placed San Mateo County on its monitoring list due to an increase in the rate of COVID-19 cases in the county, reversing the reopening of many workplaces. In August 2020, California implemented the Blueprint for a Safer Economy, which uses COVID-19 case rates and test positivity rates in each county to determine the extent to which businesses may reopen. Under the Blueprint for a Safer Economy, most business operations in San Mateo County, where our primary operations are located, remain restricted. As a result of such state orders, the majority of our employees are currently telecommuting, which may impact certain of our operations over the near term and long term.</w:t>
      </w:r>
    </w:p>
    <w:p>
      <w:pPr>
        <w:spacing w:after="0" w:line="13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Additionally, certain third parties with whom we engage or may engage, including collaborators, contract organizations, third-party manufacturers, suppliers, clinical trial sites, regulators and other third parties are similarly adjusting their operations and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there could be delays in the procurement of materials or manufacturing supply chains for one or more of our product candidates, which could delay or otherwise impact our preclinical studies and our planned clinical trials. Additionally, all of our preclinical studies are conducted by CROs, which could be discontinued or delayed as a result of the pandemic. It is also likely that the disproportionate impact of COVID-19 on hospitals and clinical sites will have an impact on recruitment and retention for our planned clinical trials. CROs have also made certain adjustments to the operation of such trials in an effort to ensure the monitoring and safety of patients and minimize risks to trial integrity during the pandemic in accordance with the guidance issued by the FDA and may need to make further adjustments in the future that could impact the timing or enrollment of our clinical trials. Many of these adjustments are new and untested, may not be effective, may increase costs and may have unforeseen effects on the enrollment, progress and completion of these trials and the findings from these trials. While we are currently continuing our clinical trials and preclinical studies, we may experience delays in the completion of our clinical trials, preclinical activities and subject enrollment, may need to suspend our clinical trials and may encounter other negative impacts to such trials due to the effects of the COVID-19 pandemic.</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Further, as a result of the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w:t>
      </w: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description of how the individual’s participation was altered; and analyses and corresponding discussions that address the impact of implemented contingency measures (</w:t>
      </w:r>
      <w:r>
        <w:rPr>
          <w:rFonts w:ascii="Arial" w:cs="Arial" w:eastAsia="Arial" w:hAnsi="Arial"/>
          <w:sz w:val="17"/>
          <w:szCs w:val="17"/>
          <w:i w:val="1"/>
          <w:iCs w:val="1"/>
          <w:color w:val="auto"/>
        </w:rPr>
        <w:t>e.g.</w:t>
      </w:r>
      <w:r>
        <w:rPr>
          <w:rFonts w:ascii="Arial" w:cs="Arial" w:eastAsia="Arial" w:hAnsi="Arial"/>
          <w:sz w:val="17"/>
          <w:szCs w:val="17"/>
          <w:color w:val="auto"/>
        </w:rPr>
        <w:t>,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21" w:lineRule="exact"/>
        <w:rPr>
          <w:sz w:val="20"/>
          <w:szCs w:val="20"/>
          <w:color w:val="auto"/>
        </w:rPr>
      </w:pPr>
    </w:p>
    <w:p>
      <w:pPr>
        <w:ind w:left="120" w:right="20"/>
        <w:spacing w:after="0" w:line="253" w:lineRule="auto"/>
        <w:rPr>
          <w:sz w:val="20"/>
          <w:szCs w:val="20"/>
          <w:color w:val="auto"/>
        </w:rPr>
      </w:pPr>
      <w:r>
        <w:rPr>
          <w:rFonts w:ascii="Arial" w:cs="Arial" w:eastAsia="Arial" w:hAnsi="Arial"/>
          <w:sz w:val="17"/>
          <w:szCs w:val="17"/>
          <w:color w:val="auto"/>
        </w:rPr>
        <w:t>The COVID-19 pandemic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1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section and in this “Risk Factors” section.</w:t>
      </w:r>
    </w:p>
    <w:p>
      <w:pPr>
        <w:spacing w:after="0" w:line="94" w:lineRule="exact"/>
        <w:rPr>
          <w:sz w:val="20"/>
          <w:szCs w:val="20"/>
          <w:color w:val="auto"/>
        </w:rPr>
      </w:pPr>
    </w:p>
    <w:p>
      <w:pPr>
        <w:ind w:left="120" w:right="40"/>
        <w:spacing w:after="0" w:line="249" w:lineRule="auto"/>
        <w:rPr>
          <w:sz w:val="20"/>
          <w:szCs w:val="20"/>
          <w:color w:val="auto"/>
        </w:rPr>
      </w:pPr>
      <w:r>
        <w:rPr>
          <w:rFonts w:ascii="Arial" w:cs="Arial" w:eastAsia="Arial" w:hAnsi="Arial"/>
          <w:sz w:val="17"/>
          <w:szCs w:val="17"/>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105"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We may seek to enter into collaborations, licenses and other similar arrangements for the development or commercialization of our product candidates, due to capital costs required to develop or commercialize the product candidate in such markets.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22" w:lineRule="exact"/>
        <w:rPr>
          <w:sz w:val="20"/>
          <w:szCs w:val="20"/>
          <w:color w:val="auto"/>
        </w:rPr>
      </w:pPr>
    </w:p>
    <w:p>
      <w:pPr>
        <w:ind w:left="120" w:right="80"/>
        <w:spacing w:after="0"/>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acquire businesses or assets and we may not realize the benefits of such acquisitions.</w:t>
      </w:r>
    </w:p>
    <w:p>
      <w:pPr>
        <w:spacing w:after="0" w:line="154"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7"/>
          <w:szCs w:val="17"/>
          <w:color w:val="auto"/>
        </w:rPr>
        <w:t>We may acquire businesses or assets or create joint ventures with third parties that we believe may complement our existing product candidates. We may not be able to realize the benefit of acquiring such businesses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117"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Also, the anticipated benefit of any joint venture or acquisition may not materialize or such joint venture or acquisition may be prohibited. The Loan Agreement which governs our term loan limits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25" w:lineRule="exact"/>
        <w:rPr>
          <w:sz w:val="20"/>
          <w:szCs w:val="20"/>
          <w:color w:val="auto"/>
        </w:rPr>
      </w:pPr>
    </w:p>
    <w:p>
      <w:pPr>
        <w:jc w:val="both"/>
        <w:ind w:left="120" w:right="60"/>
        <w:spacing w:after="0" w:line="258" w:lineRule="auto"/>
        <w:rPr>
          <w:sz w:val="20"/>
          <w:szCs w:val="20"/>
          <w:color w:val="auto"/>
        </w:rPr>
      </w:pPr>
      <w:r>
        <w:rPr>
          <w:rFonts w:ascii="Arial" w:cs="Arial" w:eastAsia="Arial" w:hAnsi="Arial"/>
          <w:sz w:val="17"/>
          <w:szCs w:val="17"/>
          <w:b w:val="1"/>
          <w:bCs w:val="1"/>
          <w:i w:val="1"/>
          <w:iCs w:val="1"/>
          <w:color w:val="auto"/>
        </w:rPr>
        <w:t>The terms of our Loan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97"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 The $6.0 million in term loans under the Loan Agreement bear interest at a floating per annum interest rate equal to the greater of 7.0% or 2.0% plus the prime rate as reported in The Wall Street Journal. We are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23" w:lineRule="exact"/>
        <w:rPr>
          <w:sz w:val="20"/>
          <w:szCs w:val="20"/>
          <w:color w:val="auto"/>
        </w:rPr>
      </w:pPr>
    </w:p>
    <w:p>
      <w:pPr>
        <w:ind w:left="120" w:right="80"/>
        <w:spacing w:after="0"/>
        <w:rPr>
          <w:sz w:val="20"/>
          <w:szCs w:val="20"/>
          <w:color w:val="auto"/>
        </w:rPr>
      </w:pPr>
      <w:r>
        <w:rPr>
          <w:rFonts w:ascii="Arial" w:cs="Arial" w:eastAsia="Arial" w:hAnsi="Arial"/>
          <w:sz w:val="17"/>
          <w:szCs w:val="17"/>
          <w:color w:val="auto"/>
        </w:rPr>
        <w:t>The Loan Agreement contains customary affirmative and negative covenants, indemnification provisions and events of default. The affirmative covenants include, among others, covenants requiring us and our subsidiaries to maintain legal existence and good standing, deliver certain financial reports, keep inventory in good and marketable condition, timely file tax returns and reports, maintain insurance, maintain operating accounts and maintain certain intellectual property rights. The negative covenants include, among others, restrictions on transferring or licensing our assets, changing our business, engaging in mergers or acquisitions, incurring additional indebtedness, paying dividends or making other distributions and creating other liens on our assets, in each case subject to customary exceptions.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080"/>
          </w:cols>
          <w:pgMar w:left="320" w:top="455" w:right="49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Lenders could declare a default under the Loan Agreement upon the occurrence of any event that the Lenders interpret as a material adverse change as defined under the Loan Agreement,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54"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subsequent shifts in our stock ownership, some of which are outside our control. As of December 31, 2019, we had net operating loss carryforwards for U.S. state income tax purposes of approximately $30.9 million, and our ability to utilize those net operating loss carryforwards could be limited by an “ownership change” as described above, which could result in increased tax liability to our company.</w:t>
      </w:r>
    </w:p>
    <w:p>
      <w:pPr>
        <w:spacing w:after="0" w:line="122"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As of December 31, 2019, we had Irish net operating loss carryforwards of approximately $4.0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do not know whether an active, liquid and orderly trading market will be sustained for our common stock.</w:t>
      </w:r>
    </w:p>
    <w:p>
      <w:pPr>
        <w:spacing w:after="0" w:line="100" w:lineRule="exact"/>
        <w:rPr>
          <w:sz w:val="20"/>
          <w:szCs w:val="20"/>
          <w:color w:val="auto"/>
        </w:rPr>
      </w:pPr>
    </w:p>
    <w:p>
      <w:pPr>
        <w:jc w:val="both"/>
        <w:ind w:left="120" w:right="200"/>
        <w:spacing w:after="0" w:line="246" w:lineRule="auto"/>
        <w:rPr>
          <w:sz w:val="20"/>
          <w:szCs w:val="20"/>
          <w:color w:val="auto"/>
        </w:rPr>
      </w:pPr>
      <w:r>
        <w:rPr>
          <w:rFonts w:ascii="Arial" w:cs="Arial" w:eastAsia="Arial" w:hAnsi="Arial"/>
          <w:sz w:val="17"/>
          <w:szCs w:val="17"/>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119" w:lineRule="exact"/>
        <w:rPr>
          <w:sz w:val="20"/>
          <w:szCs w:val="20"/>
          <w:color w:val="auto"/>
        </w:rPr>
      </w:pPr>
    </w:p>
    <w:p>
      <w:pPr>
        <w:ind w:left="120" w:right="80"/>
        <w:spacing w:after="0" w:line="285" w:lineRule="auto"/>
        <w:rPr>
          <w:sz w:val="20"/>
          <w:szCs w:val="20"/>
          <w:color w:val="auto"/>
        </w:rPr>
      </w:pPr>
      <w:r>
        <w:rPr>
          <w:rFonts w:ascii="Arial" w:cs="Arial" w:eastAsia="Arial" w:hAnsi="Arial"/>
          <w:sz w:val="17"/>
          <w:szCs w:val="17"/>
          <w:b w:val="1"/>
          <w:bCs w:val="1"/>
          <w:i w:val="1"/>
          <w:iCs w:val="1"/>
          <w:color w:val="auto"/>
        </w:rPr>
        <w:t>Investors in this offering will pay a much higher price than the book value of our common stock and therefore you will incur immediate and substantial dilution of your investment.</w:t>
      </w:r>
    </w:p>
    <w:p>
      <w:pPr>
        <w:spacing w:after="0" w:line="74" w:lineRule="exact"/>
        <w:rPr>
          <w:sz w:val="20"/>
          <w:szCs w:val="20"/>
          <w:color w:val="auto"/>
        </w:rPr>
      </w:pPr>
    </w:p>
    <w:p>
      <w:pPr>
        <w:ind w:left="120" w:right="460"/>
        <w:spacing w:after="0" w:line="275" w:lineRule="auto"/>
        <w:rPr>
          <w:sz w:val="20"/>
          <w:szCs w:val="20"/>
          <w:color w:val="auto"/>
        </w:rPr>
      </w:pPr>
      <w:r>
        <w:rPr>
          <w:rFonts w:ascii="Arial" w:cs="Arial" w:eastAsia="Arial" w:hAnsi="Arial"/>
          <w:sz w:val="17"/>
          <w:szCs w:val="17"/>
          <w:color w:val="auto"/>
        </w:rPr>
        <w:t>The public offering price of our common stock in this offering will be substantially higher than the net tangible book value per common share based on the total value of our tangible assets less our total liabilities immediately following</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this offering. Therefore, if you purchase common stock in this offering, you will experience immediate and substantial dilution of approximately $63.31 per share, representing the difference between our as adjusted net tangible book value per share after giving effect to this offering at the assumed public offering price of $73.22 per share, which is the last reported sale price of our common stock on the Nasdaq Global Select Market on December 4, 2020. As of September 30, 2020, we had outstanding stock options to purchase 4,751,589 shares of our common stock, some of which have exercise prices below the initial public offering price. In addition, following this offering, purchasers in this offering will have contributed approximately 28.8% of the total gross consideration paid by stockholders to us to purchase shares of our common stock, but will own only approximately 5.1% of the shares of common stock outstanding immediately after this offering. Furthermore, if the underwriters exercise their option to purchase additional shares, or outstanding options and warrants are exercised, you could experience further dilution. For a further description of the dilution that you will experience immediately after this offering, see the section titled “Dilution.”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154"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are beyond our control. We priced our initial public offering at $19.00 per share on July 16, 2020 and our common stock reached a high of $88.90 per share on November 23, 2020 and a low of $28.01 per share on July 23, 2020. On December 4, 2020, the last reported sale price of our common stock was $73.22 per share. In addition to those discussed in this “Risk Factors” section and elsewhere in this prospectus, the following factors may cause the market price of our common stock to fluctuate:</w:t>
      </w:r>
    </w:p>
    <w:p>
      <w:pPr>
        <w:spacing w:after="0" w:line="162" w:lineRule="exact"/>
        <w:rPr>
          <w:sz w:val="20"/>
          <w:szCs w:val="20"/>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results and timing of our preclinical studies and clinical trials and studies and trials of our competitors;</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failure or discontinuation of any of our development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issues in manufacturing our product candidates or any future approved products;</w:t>
      </w:r>
    </w:p>
    <w:p>
      <w:pPr>
        <w:spacing w:after="0" w:line="34" w:lineRule="exact"/>
        <w:rPr>
          <w:rFonts w:ascii="MS PGothic" w:cs="MS PGothic" w:eastAsia="MS PGothic" w:hAnsi="MS PGothic"/>
          <w:sz w:val="13"/>
          <w:szCs w:val="13"/>
          <w:color w:val="auto"/>
        </w:rPr>
      </w:pPr>
    </w:p>
    <w:p>
      <w:pPr>
        <w:ind w:left="980" w:right="460" w:hanging="432"/>
        <w:spacing w:after="0" w:line="256"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regulatory developments or enforcement in the United States and foreign countries with respect to our product candidates or our competitors’ products;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competition from existing products or new products that may emerge;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our growth and development relative to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developments or disputes concerning patents or other proprietary rights;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introduction of new product candidates or technological innovations by us or our competitors;</w:t>
      </w:r>
    </w:p>
    <w:p>
      <w:pPr>
        <w:spacing w:after="0" w:line="34" w:lineRule="exact"/>
        <w:rPr>
          <w:rFonts w:ascii="MS PGothic" w:cs="MS PGothic" w:eastAsia="MS PGothic" w:hAnsi="MS PGothic"/>
          <w:sz w:val="13"/>
          <w:szCs w:val="13"/>
          <w:color w:val="auto"/>
        </w:rPr>
      </w:pPr>
    </w:p>
    <w:p>
      <w:pPr>
        <w:ind w:left="980" w:right="80" w:hanging="432"/>
        <w:spacing w:after="0" w:line="256"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announcements by us, our future strategic partners or our competitors of significant acquisitions, strategic partnerships, joint ventures or capital commitments;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estimates or recommendations by securities analysts, if any cover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fluctuations in the valuation of companies perceived by investors to be comparable to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public concern over our product candidates or any future approved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litigation;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future sales of our common stock by us, our insiders or our other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expiration of market stand-off or lock-up agreements;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share price and volume fluctuations attributable to inconsistent trading volume levels of our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additions or departures of key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changes in the structure of health care payment systems in the United States or overseas;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failure of any of our product candidates, if approved, to achieve commercial success;</w:t>
      </w:r>
    </w:p>
    <w:p>
      <w:pPr>
        <w:spacing w:after="0" w:line="34" w:lineRule="exact"/>
        <w:rPr>
          <w:rFonts w:ascii="MS PGothic" w:cs="MS PGothic" w:eastAsia="MS PGothic" w:hAnsi="MS PGothic"/>
          <w:sz w:val="13"/>
          <w:szCs w:val="13"/>
          <w:color w:val="auto"/>
        </w:rPr>
      </w:pPr>
    </w:p>
    <w:p>
      <w:pPr>
        <w:ind w:left="980" w:right="800" w:hanging="432"/>
        <w:spacing w:after="0" w:line="256"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economic and other external factors such as macroeconomic, disasters, crises or health matters, including the impact of the COVID-19 pandemic;</w:t>
      </w:r>
    </w:p>
    <w:p>
      <w:pPr>
        <w:spacing w:after="0" w:line="1" w:lineRule="exact"/>
        <w:rPr>
          <w:rFonts w:ascii="MS PGothic" w:cs="MS PGothic" w:eastAsia="MS PGothic" w:hAnsi="MS PGothic"/>
          <w:sz w:val="13"/>
          <w:szCs w:val="13"/>
          <w:color w:val="auto"/>
        </w:rPr>
      </w:pPr>
    </w:p>
    <w:p>
      <w:pPr>
        <w:ind w:left="980" w:right="20" w:hanging="432"/>
        <w:spacing w:after="0" w:line="256"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period-to-period fluctuations in our financial condition and results of operations, including the timing of payment or receipt of any future milestone or other payments under commercialization or licensing agreements;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announcements or expectations of additional financing efforts;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overall fluctuations in U.S. equity markets, general market conditions and market conditions for biotechnology stocks; and</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other factors that may be unanticipated or out of our control.</w:t>
      </w:r>
    </w:p>
    <w:p>
      <w:pPr>
        <w:spacing w:after="0" w:line="154"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In addition, the stock market has recently experienced significant volatility, particularly with respect to biotechnology and other life sciences company stocks as a result of the COVID-19 pandemic and the U.S. presidential election.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123"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common stock.</w:t>
      </w:r>
    </w:p>
    <w:p>
      <w:pPr>
        <w:spacing w:after="0" w:line="94" w:lineRule="exact"/>
        <w:rPr>
          <w:sz w:val="20"/>
          <w:szCs w:val="20"/>
          <w:color w:val="auto"/>
        </w:rPr>
      </w:pPr>
    </w:p>
    <w:p>
      <w:pPr>
        <w:ind w:left="120" w:right="440"/>
        <w:spacing w:after="0" w:line="285"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74" w:lineRule="exact"/>
        <w:rPr>
          <w:sz w:val="20"/>
          <w:szCs w:val="20"/>
          <w:color w:val="auto"/>
        </w:rPr>
      </w:pPr>
    </w:p>
    <w:p>
      <w:pPr>
        <w:ind w:left="120" w:right="80"/>
        <w:spacing w:after="0" w:line="242" w:lineRule="auto"/>
        <w:rPr>
          <w:sz w:val="20"/>
          <w:szCs w:val="20"/>
          <w:color w:val="auto"/>
        </w:rPr>
      </w:pPr>
      <w:r>
        <w:rPr>
          <w:rFonts w:ascii="Arial" w:cs="Arial" w:eastAsia="Arial" w:hAnsi="Arial"/>
          <w:sz w:val="17"/>
          <w:szCs w:val="17"/>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21" w:lineRule="exact"/>
        <w:rPr>
          <w:sz w:val="20"/>
          <w:szCs w:val="20"/>
          <w:color w:val="auto"/>
        </w:rPr>
      </w:pPr>
    </w:p>
    <w:p>
      <w:pPr>
        <w:ind w:left="120" w:right="80"/>
        <w:spacing w:after="0" w:line="246"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1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Furthermore, our operating results may fluctuate due to a variety of other factors, many of which are outside of our control and may be difficult to predict, including the following:</w:t>
      </w:r>
    </w:p>
    <w:p>
      <w:pPr>
        <w:spacing w:after="0" w:line="133" w:lineRule="exact"/>
        <w:rPr>
          <w:sz w:val="20"/>
          <w:szCs w:val="20"/>
          <w:color w:val="auto"/>
        </w:rPr>
      </w:pPr>
    </w:p>
    <w:p>
      <w:pPr>
        <w:ind w:left="980" w:right="180" w:hanging="432"/>
        <w:spacing w:after="0" w:line="257"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ability to enroll subjects in clinical trials and the timing of enrollment;</w:t>
      </w:r>
    </w:p>
    <w:p>
      <w:pPr>
        <w:spacing w:after="0" w:line="34" w:lineRule="exact"/>
        <w:rPr>
          <w:rFonts w:ascii="MS PGothic" w:cs="MS PGothic" w:eastAsia="MS PGothic" w:hAnsi="MS PGothic"/>
          <w:sz w:val="13"/>
          <w:szCs w:val="13"/>
          <w:color w:val="auto"/>
        </w:rPr>
      </w:pPr>
    </w:p>
    <w:p>
      <w:pPr>
        <w:ind w:left="980" w:right="20" w:hanging="432"/>
        <w:spacing w:after="0" w:line="248"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expenditures that we will or may incur to acquire or develop additional product candidates and technologies or other assets;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timing and outcomes of clinical trials for ALX148, and any of our other product candidates, or competing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need to conduct unanticipated clinical trials or trials that are larger or more complex than anticipated;</w:t>
      </w:r>
    </w:p>
    <w:p>
      <w:pPr>
        <w:spacing w:after="0" w:line="34" w:lineRule="exact"/>
        <w:rPr>
          <w:rFonts w:ascii="MS PGothic" w:cs="MS PGothic" w:eastAsia="MS PGothic" w:hAnsi="MS PGothic"/>
          <w:sz w:val="13"/>
          <w:szCs w:val="13"/>
          <w:color w:val="auto"/>
        </w:rPr>
      </w:pPr>
    </w:p>
    <w:p>
      <w:pPr>
        <w:ind w:left="980" w:right="540" w:hanging="432"/>
        <w:spacing w:after="0" w:line="256"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competition from existing and potential future products that compete with ALX148 and any of our other product candidates, and changes in the competitive landscape of our industry, including consolidation among our competitors or partners;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any delays in regulatory review or approval of ALX148 or any of our other product candidates;</w:t>
      </w:r>
    </w:p>
    <w:p>
      <w:pPr>
        <w:spacing w:after="0" w:line="34" w:lineRule="exact"/>
        <w:rPr>
          <w:rFonts w:ascii="MS PGothic" w:cs="MS PGothic" w:eastAsia="MS PGothic" w:hAnsi="MS PGothic"/>
          <w:sz w:val="13"/>
          <w:szCs w:val="13"/>
          <w:color w:val="auto"/>
        </w:rPr>
      </w:pPr>
    </w:p>
    <w:p>
      <w:pPr>
        <w:ind w:left="980" w:right="60" w:hanging="432"/>
        <w:spacing w:after="0" w:line="256"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level of demand for ALX148 and any of our other product candidates, if approved, which may fluctuate significantly and be difficult to predict;</w:t>
      </w:r>
    </w:p>
    <w:p>
      <w:pPr>
        <w:spacing w:after="0" w:line="1" w:lineRule="exact"/>
        <w:rPr>
          <w:rFonts w:ascii="MS PGothic" w:cs="MS PGothic" w:eastAsia="MS PGothic" w:hAnsi="MS PGothic"/>
          <w:sz w:val="13"/>
          <w:szCs w:val="13"/>
          <w:color w:val="auto"/>
        </w:rPr>
      </w:pPr>
    </w:p>
    <w:p>
      <w:pPr>
        <w:ind w:left="980" w:right="60" w:hanging="432"/>
        <w:spacing w:after="0" w:line="27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risk/benefit profile, cost and reimbursement policies with respect to our product candidates, if approved, and existing and potential future products that compete with ALX148 and any of our other product candidates;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980" w:right="340" w:hanging="432"/>
        <w:spacing w:after="0" w:line="257"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ability to commercialize ALX148 and any of our other product candidates, if approved, inside and outside of the United States, either independently or working with third parties;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ability to establish and maintain collaborations, licensing or other arrangements;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ability to adequately support future growth;</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potential unforeseen business disruptions that increase our costs or expenses;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future accounting pronouncements or changes in our accounting policies;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COVID-19 pandemic;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changing and volatile global economic and political environment.</w:t>
      </w:r>
    </w:p>
    <w:p>
      <w:pPr>
        <w:spacing w:after="0" w:line="154" w:lineRule="exact"/>
        <w:rPr>
          <w:sz w:val="20"/>
          <w:szCs w:val="20"/>
          <w:color w:val="auto"/>
        </w:rPr>
      </w:pPr>
    </w:p>
    <w:p>
      <w:pPr>
        <w:ind w:left="120" w:right="80"/>
        <w:spacing w:after="0" w:line="239" w:lineRule="auto"/>
        <w:rPr>
          <w:sz w:val="20"/>
          <w:szCs w:val="20"/>
          <w:color w:val="auto"/>
        </w:rPr>
      </w:pPr>
      <w:r>
        <w:rPr>
          <w:rFonts w:ascii="Arial" w:cs="Arial" w:eastAsia="Arial" w:hAnsi="Arial"/>
          <w:sz w:val="17"/>
          <w:szCs w:val="17"/>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54"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w:t>
      </w:r>
    </w:p>
    <w:p>
      <w:pPr>
        <w:spacing w:after="0" w:line="11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As of November 1, 2020, we had 37,107,522 shares of our common stock outstanding. Of these shares, only the shares sold in our initial public offering by us (other than the shares purchased in our initial public offering by holders of 5% or more of our capital stock and the company directed shares purchased in our initial public offering by a director or an officer of the company) are currently freely tradable without restriction in the public market. The remaining 30,541,522 shares are currently prohibited without the permission of the underwriters of our initial public offering or otherwise restricted under securities laws, market standoff agreements entered into by our stockholders with us or lock-up agreements entered into by our directors, officers and stockholders with the underwriters. However, subject to applicable securities law restrictions and excluding shares of restricted stock that will remain unvested, some of these shares will be able to be sold in the public market beginning January 13, 2021, which is the 180th day after the date of our initial public offering.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27" w:lineRule="exact"/>
        <w:rPr>
          <w:sz w:val="20"/>
          <w:szCs w:val="20"/>
          <w:color w:val="auto"/>
        </w:rPr>
      </w:pPr>
    </w:p>
    <w:p>
      <w:pPr>
        <w:ind w:left="120" w:right="120"/>
        <w:spacing w:after="0" w:line="246" w:lineRule="auto"/>
        <w:rPr>
          <w:sz w:val="20"/>
          <w:szCs w:val="20"/>
          <w:color w:val="auto"/>
        </w:rPr>
      </w:pPr>
      <w:r>
        <w:rPr>
          <w:rFonts w:ascii="Arial" w:cs="Arial" w:eastAsia="Arial" w:hAnsi="Arial"/>
          <w:sz w:val="17"/>
          <w:szCs w:val="17"/>
          <w:color w:val="auto"/>
        </w:rPr>
        <w:t>In addition, on July 17, 2020, we filed a registration statement on Form S-8 to register 3,563,962 shares of our common stock reserved for future issuance under our equity compensation plans. As a result, shares registered under this registration statement on Form S-8 will be available for sale in the public market subject to the satisfaction of applicable vesting arrangements and the exercise of such options, the lock-up arrangements described above and, in the case of our affiliates, the restrictions of Rule 144.</w:t>
      </w:r>
    </w:p>
    <w:p>
      <w:pPr>
        <w:spacing w:after="0" w:line="117"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Moreover, holders of an aggregate of 24,429,399 shares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121"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 connection with this offering, our executive officers, directors and certain of our stockholders affiliated with certain of our directors entered into lock-up agreements with the underwriters under which they have agreed, subject</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to specific exceptions, not to sell, directly or indirectly, any shares of common stock without the permission of Jefferies LLC, Credit Suisse Securities (USA) LLC and Piper Sandler &amp; Co. for a period of 90 days following the date of this offering. We refer to such period as the lock-up period. When the lock-up period expires, we and our securityholders subject to a lock-up agreement will be able to sell our shares in the public market. In addition, the underwriters may, in their sole discretion, release all or some portion of the shares subject to lock-up agreements at any time and for any reason.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124" w:lineRule="exact"/>
        <w:rPr>
          <w:sz w:val="20"/>
          <w:szCs w:val="20"/>
          <w:color w:val="auto"/>
        </w:rPr>
      </w:pPr>
    </w:p>
    <w:p>
      <w:pPr>
        <w:ind w:left="120" w:right="140"/>
        <w:spacing w:after="0" w:line="285"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share price and trading volume could decline.</w:t>
      </w:r>
    </w:p>
    <w:p>
      <w:pPr>
        <w:spacing w:after="0" w:line="74" w:lineRule="exact"/>
        <w:rPr>
          <w:sz w:val="20"/>
          <w:szCs w:val="20"/>
          <w:color w:val="auto"/>
        </w:rPr>
      </w:pPr>
    </w:p>
    <w:p>
      <w:pPr>
        <w:ind w:left="120" w:right="80"/>
        <w:spacing w:after="0"/>
        <w:rPr>
          <w:sz w:val="20"/>
          <w:szCs w:val="20"/>
          <w:color w:val="auto"/>
        </w:rPr>
      </w:pPr>
      <w:r>
        <w:rPr>
          <w:rFonts w:ascii="Arial" w:cs="Arial" w:eastAsia="Arial" w:hAnsi="Arial"/>
          <w:sz w:val="17"/>
          <w:szCs w:val="17"/>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125" w:lineRule="exact"/>
        <w:rPr>
          <w:sz w:val="20"/>
          <w:szCs w:val="20"/>
          <w:color w:val="auto"/>
        </w:rPr>
      </w:pPr>
    </w:p>
    <w:p>
      <w:pPr>
        <w:ind w:left="120" w:right="60"/>
        <w:spacing w:after="0" w:line="285" w:lineRule="auto"/>
        <w:rPr>
          <w:sz w:val="20"/>
          <w:szCs w:val="20"/>
          <w:color w:val="auto"/>
        </w:rPr>
      </w:pPr>
      <w:r>
        <w:rPr>
          <w:rFonts w:ascii="Arial" w:cs="Arial" w:eastAsia="Arial" w:hAnsi="Arial"/>
          <w:sz w:val="17"/>
          <w:szCs w:val="17"/>
          <w:b w:val="1"/>
          <w:bCs w:val="1"/>
          <w:i w:val="1"/>
          <w:iCs w:val="1"/>
          <w:color w:val="auto"/>
        </w:rPr>
        <w:t>We have incurred and will continue to incur significant increased costs and management resources as a result of operating as a public company.</w:t>
      </w:r>
    </w:p>
    <w:p>
      <w:pPr>
        <w:spacing w:after="0" w:line="74" w:lineRule="exact"/>
        <w:rPr>
          <w:sz w:val="20"/>
          <w:szCs w:val="20"/>
          <w:color w:val="auto"/>
        </w:rPr>
      </w:pPr>
    </w:p>
    <w:p>
      <w:pPr>
        <w:ind w:left="120" w:right="80"/>
        <w:spacing w:after="0"/>
        <w:rPr>
          <w:sz w:val="20"/>
          <w:szCs w:val="20"/>
          <w:color w:val="auto"/>
        </w:rPr>
      </w:pPr>
      <w:r>
        <w:rPr>
          <w:rFonts w:ascii="Arial" w:cs="Arial" w:eastAsia="Arial" w:hAnsi="Arial"/>
          <w:sz w:val="17"/>
          <w:szCs w:val="17"/>
          <w:color w:val="auto"/>
        </w:rPr>
        <w:t>We have incurred and will continue to incur significant legal, accounting, compliance and other expenses as a public company and these expenses may increase even more after we are no longer an “emerging growth company.” Our management and other personnel need to devote a substantial amount of time and incur significant expense in connection with compliance initiatives. For example, as a public company, we must adopt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12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In addition, we anticipate implementing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22"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initial public offering, we increased our directors’ and officers’ insurance coverage, which substantially increased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right="360"/>
        <w:spacing w:after="0" w:line="285"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7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our initial public offering, although, if we have more than $1.07 billion in annual revenue, if the market value of our common stock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stock less attractive if we choose to rely on these exemptions. In addition, the JOBS Act provides that an emerging growth company can take advantage of an extended transition period for complying with new or revised accounting standards. We have elected to use this extended transition period. As a result, our condensed consolidated financial statements may not be comparable to companies that comply with the new or revised accounting standards as of public company effective dates. If some investors find our common stock less attractive as a result of any of our reliance on these exemptions, there may be a less active trading market for our common stock and our share price may be more volatile.</w:t>
      </w:r>
    </w:p>
    <w:p>
      <w:pPr>
        <w:spacing w:after="0" w:line="128" w:lineRule="exact"/>
        <w:rPr>
          <w:sz w:val="20"/>
          <w:szCs w:val="20"/>
          <w:color w:val="auto"/>
        </w:rPr>
      </w:pPr>
    </w:p>
    <w:p>
      <w:pPr>
        <w:ind w:left="120" w:right="140"/>
        <w:spacing w:after="0" w:line="285" w:lineRule="auto"/>
        <w:rPr>
          <w:sz w:val="20"/>
          <w:szCs w:val="20"/>
          <w:color w:val="auto"/>
        </w:rPr>
      </w:pPr>
      <w:r>
        <w:rPr>
          <w:rFonts w:ascii="Arial" w:cs="Arial" w:eastAsia="Arial" w:hAnsi="Arial"/>
          <w:sz w:val="17"/>
          <w:szCs w:val="17"/>
          <w:b w:val="1"/>
          <w:bCs w:val="1"/>
          <w:i w:val="1"/>
          <w:iCs w:val="1"/>
          <w:color w:val="auto"/>
        </w:rPr>
        <w:t>Our management team will have broad discretion to use the net proceeds from this offering and its investment of these proceeds may not yield a favorable return.</w:t>
      </w:r>
    </w:p>
    <w:p>
      <w:pPr>
        <w:spacing w:after="0" w:line="7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and royalties on sales of any future approved product. Accordingly, we will have broad discretion in using these proceeds. Until the net proceeds are used, they may be placed in investments that do not produce significant income or that may lose.</w:t>
      </w:r>
    </w:p>
    <w:p>
      <w:pPr>
        <w:spacing w:after="0" w:line="125" w:lineRule="exact"/>
        <w:rPr>
          <w:sz w:val="20"/>
          <w:szCs w:val="20"/>
          <w:color w:val="auto"/>
        </w:rPr>
      </w:pPr>
    </w:p>
    <w:p>
      <w:pPr>
        <w:ind w:left="120" w:right="40"/>
        <w:spacing w:after="0" w:line="285"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74" w:lineRule="exact"/>
        <w:rPr>
          <w:sz w:val="20"/>
          <w:szCs w:val="20"/>
          <w:color w:val="auto"/>
        </w:rPr>
      </w:pPr>
    </w:p>
    <w:p>
      <w:pPr>
        <w:ind w:left="120" w:right="360"/>
        <w:spacing w:after="0" w:line="275" w:lineRule="auto"/>
        <w:rPr>
          <w:sz w:val="20"/>
          <w:szCs w:val="20"/>
          <w:color w:val="auto"/>
        </w:rPr>
      </w:pPr>
      <w:r>
        <w:rPr>
          <w:rFonts w:ascii="Arial" w:cs="Arial" w:eastAsia="Arial" w:hAnsi="Arial"/>
          <w:sz w:val="17"/>
          <w:szCs w:val="17"/>
          <w:color w:val="auto"/>
        </w:rPr>
        <w:t>As of November 1, 2020, our executive officers, directors, holders of 5% or more of our capital stock and their respective affiliates beneficially owned approximately 63.7% of our outstanding voting stock.</w:t>
      </w:r>
    </w:p>
    <w:p>
      <w:pPr>
        <w:spacing w:after="0" w:line="92"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right="420"/>
        <w:spacing w:after="0" w:line="285" w:lineRule="auto"/>
        <w:rPr>
          <w:sz w:val="20"/>
          <w:szCs w:val="20"/>
          <w:color w:val="auto"/>
        </w:rPr>
      </w:pPr>
      <w:r>
        <w:rPr>
          <w:rFonts w:ascii="Arial" w:cs="Arial" w:eastAsia="Arial" w:hAnsi="Arial"/>
          <w:sz w:val="17"/>
          <w:szCs w:val="17"/>
          <w:b w:val="1"/>
          <w:bCs w:val="1"/>
          <w:i w:val="1"/>
          <w:iCs w:val="1"/>
          <w:color w:val="auto"/>
        </w:rPr>
        <w:t>We do not anticipate paying cash dividends and, accordingly, stockholders must rely on share appreciation for any return on their investment.</w:t>
      </w:r>
    </w:p>
    <w:p>
      <w:pPr>
        <w:spacing w:after="0" w:line="74" w:lineRule="exact"/>
        <w:rPr>
          <w:sz w:val="20"/>
          <w:szCs w:val="20"/>
          <w:color w:val="auto"/>
        </w:rPr>
      </w:pPr>
    </w:p>
    <w:p>
      <w:pPr>
        <w:ind w:left="120" w:right="80"/>
        <w:spacing w:after="0" w:line="242" w:lineRule="auto"/>
        <w:rPr>
          <w:sz w:val="20"/>
          <w:szCs w:val="20"/>
          <w:color w:val="auto"/>
        </w:rPr>
      </w:pPr>
      <w:r>
        <w:rPr>
          <w:rFonts w:ascii="Arial" w:cs="Arial" w:eastAsia="Arial" w:hAnsi="Arial"/>
          <w:sz w:val="17"/>
          <w:szCs w:val="17"/>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In addition, the Loan Agreement restricts our ability to pay dividends or make other distributions. As a result, capital appreciation, if any, of our common stock will be your sole source of gain on your investment for the foreseeable future. Investors seeking cash dividends should not invest in our common stock.</w:t>
      </w:r>
    </w:p>
    <w:p>
      <w:pPr>
        <w:spacing w:after="0" w:line="123" w:lineRule="exact"/>
        <w:rPr>
          <w:sz w:val="20"/>
          <w:szCs w:val="20"/>
          <w:color w:val="auto"/>
        </w:rPr>
      </w:pPr>
    </w:p>
    <w:p>
      <w:pPr>
        <w:ind w:left="120" w:right="180"/>
        <w:spacing w:after="0" w:line="285"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74"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24" w:lineRule="exact"/>
        <w:rPr>
          <w:sz w:val="20"/>
          <w:szCs w:val="20"/>
          <w:color w:val="auto"/>
        </w:rPr>
      </w:pPr>
    </w:p>
    <w:p>
      <w:pPr>
        <w:ind w:left="120" w:right="60"/>
        <w:spacing w:after="0" w:line="285"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74"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will:</w:t>
      </w:r>
    </w:p>
    <w:p>
      <w:pPr>
        <w:spacing w:after="0" w:line="157" w:lineRule="exact"/>
        <w:rPr>
          <w:sz w:val="20"/>
          <w:szCs w:val="20"/>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establish that our board of directors is divided into three classes, with each class serving staggered three-year terms;</w:t>
      </w:r>
    </w:p>
    <w:p>
      <w:pPr>
        <w:spacing w:after="0" w:line="35" w:lineRule="exact"/>
        <w:rPr>
          <w:rFonts w:ascii="MS PGothic" w:cs="MS PGothic" w:eastAsia="MS PGothic" w:hAnsi="MS PGothic"/>
          <w:sz w:val="13"/>
          <w:szCs w:val="13"/>
          <w:color w:val="auto"/>
        </w:rPr>
      </w:pPr>
    </w:p>
    <w:p>
      <w:pPr>
        <w:ind w:left="980" w:right="320" w:hanging="432"/>
        <w:spacing w:after="0" w:line="256"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provide that our directors may only be removed for cause;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eliminate cumulative voting in the election of directors;</w:t>
      </w:r>
    </w:p>
    <w:p>
      <w:pPr>
        <w:spacing w:after="0" w:line="34" w:lineRule="exact"/>
        <w:rPr>
          <w:rFonts w:ascii="MS PGothic" w:cs="MS PGothic" w:eastAsia="MS PGothic" w:hAnsi="MS PGothic"/>
          <w:sz w:val="13"/>
          <w:szCs w:val="13"/>
          <w:color w:val="auto"/>
        </w:rPr>
      </w:pPr>
    </w:p>
    <w:p>
      <w:pPr>
        <w:ind w:left="980" w:right="560" w:hanging="432"/>
        <w:spacing w:after="0" w:line="256"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issue shares of convertible preferred stock and determine the price and other terms of those shares, including preferences and voting rights, without stockholder approval;</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provide our board of directors with the exclusive right to elect a director to fill a vacancy or newly created directorship;</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permit stockholders to only take actions at a duly called annual or special meeting and not by written consent;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prohibit stockholders from calling a special meeting of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amend the bylaws; and</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00"/>
          </w:cols>
          <w:pgMar w:left="320" w:top="455" w:right="4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980" w:right="200" w:hanging="432"/>
        <w:spacing w:after="0" w:line="275"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require the affirmative vote of at least 66 2/3% or more of the outstanding shares of common stock to amend many of the provisions described above.</w:t>
      </w:r>
    </w:p>
    <w:p>
      <w:pPr>
        <w:spacing w:after="0" w:line="92"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17"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13" w:lineRule="exact"/>
        <w:rPr>
          <w:sz w:val="20"/>
          <w:szCs w:val="20"/>
          <w:color w:val="auto"/>
        </w:rPr>
      </w:pPr>
    </w:p>
    <w:p>
      <w:pPr>
        <w:ind w:left="120" w:right="400"/>
        <w:spacing w:after="0" w:line="258" w:lineRule="auto"/>
        <w:rPr>
          <w:sz w:val="20"/>
          <w:szCs w:val="20"/>
          <w:color w:val="auto"/>
        </w:rPr>
      </w:pPr>
      <w:r>
        <w:rPr>
          <w:rFonts w:ascii="Arial" w:cs="Arial" w:eastAsia="Arial" w:hAnsi="Arial"/>
          <w:sz w:val="17"/>
          <w:szCs w:val="17"/>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97" w:lineRule="exact"/>
        <w:rPr>
          <w:sz w:val="20"/>
          <w:szCs w:val="20"/>
          <w:color w:val="auto"/>
        </w:rPr>
      </w:pPr>
    </w:p>
    <w:p>
      <w:pPr>
        <w:ind w:left="120" w:right="20"/>
        <w:spacing w:after="0" w:line="242"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162" w:lineRule="exact"/>
        <w:rPr>
          <w:sz w:val="20"/>
          <w:szCs w:val="20"/>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any derivative action or proceeding brought on behalf of us;</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any action asserting a claim of breach of a fiduciary duty;</w:t>
      </w:r>
    </w:p>
    <w:p>
      <w:pPr>
        <w:spacing w:after="0" w:line="34" w:lineRule="exact"/>
        <w:rPr>
          <w:rFonts w:ascii="MS PGothic" w:cs="MS PGothic" w:eastAsia="MS PGothic" w:hAnsi="MS PGothic"/>
          <w:sz w:val="13"/>
          <w:szCs w:val="13"/>
          <w:color w:val="auto"/>
        </w:rPr>
      </w:pPr>
    </w:p>
    <w:p>
      <w:pPr>
        <w:ind w:left="980" w:right="300" w:hanging="432"/>
        <w:spacing w:after="0" w:line="256"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that is governed by the internal affairs doctrine.</w:t>
      </w:r>
    </w:p>
    <w:p>
      <w:pPr>
        <w:spacing w:after="0" w:line="154" w:lineRule="exact"/>
        <w:rPr>
          <w:sz w:val="20"/>
          <w:szCs w:val="20"/>
          <w:color w:val="auto"/>
        </w:rPr>
      </w:pPr>
    </w:p>
    <w:p>
      <w:pPr>
        <w:ind w:left="120" w:right="500"/>
        <w:spacing w:after="0" w:line="275" w:lineRule="auto"/>
        <w:rPr>
          <w:sz w:val="20"/>
          <w:szCs w:val="20"/>
          <w:color w:val="auto"/>
        </w:rPr>
      </w:pPr>
      <w:r>
        <w:rPr>
          <w:rFonts w:ascii="Arial" w:cs="Arial" w:eastAsia="Arial" w:hAnsi="Arial"/>
          <w:sz w:val="17"/>
          <w:szCs w:val="17"/>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92"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92"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25" w:lineRule="exact"/>
        <w:rPr>
          <w:sz w:val="20"/>
          <w:szCs w:val="20"/>
          <w:color w:val="auto"/>
        </w:rPr>
      </w:pPr>
    </w:p>
    <w:p>
      <w:pPr>
        <w:ind w:left="120" w:right="220"/>
        <w:spacing w:after="0" w:line="285"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our remediation measures are not effective, we may not be able to report our financial condition or results of operations accurately or on a timely basis.</w:t>
      </w:r>
    </w:p>
    <w:p>
      <w:pPr>
        <w:spacing w:after="0" w:line="7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SOX. During our review and testing, we may identify deficiencies and be unable to remediate them before we must</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provide the required reports. In connection with the audit of our consolidated financial statements for each of the years ended December 31, 2018 and December 31, 2019, we and our independent registered public accounting firm identified material weaknesses in 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 the year ended December 31, 2019, (i) and (ii) remained unremediated.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During the first, second and third quarters of 2020, we have undertaken specific remediation actions to address the control deficiencies in our financial reporting. We have established more robust processes related to the review of complex accounting transactions, preparation of account reconciliations and review of journal entries which are outlined elsewhere in this prospectus.</w:t>
      </w:r>
    </w:p>
    <w:p>
      <w:pPr>
        <w:spacing w:after="0" w:line="122"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While we have begun taking measures and plan to continue to take measures to design and implement an effective control environment, we cannot assure you that the measures we have taken to date, and are continuing to implement, will be sufficient to remediate or prevent future material weaknesses. 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25" w:lineRule="exact"/>
        <w:rPr>
          <w:sz w:val="20"/>
          <w:szCs w:val="20"/>
          <w:color w:val="auto"/>
        </w:rPr>
      </w:pPr>
    </w:p>
    <w:p>
      <w:pPr>
        <w:ind w:left="120" w:right="680"/>
        <w:spacing w:after="0" w:line="285"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controls and procedures, are designed to prevent fraud. Any failure to implement required new or improved controls, or difficulties encountered in</w:t>
      </w:r>
    </w:p>
    <w:p>
      <w:pPr>
        <w:ind w:left="120"/>
        <w:spacing w:after="0" w:line="232" w:lineRule="auto"/>
        <w:rPr>
          <w:sz w:val="20"/>
          <w:szCs w:val="20"/>
          <w:color w:val="auto"/>
        </w:rPr>
      </w:pPr>
      <w:r>
        <w:rPr>
          <w:rFonts w:ascii="Arial" w:cs="Arial" w:eastAsia="Arial" w:hAnsi="Arial"/>
          <w:sz w:val="17"/>
          <w:szCs w:val="17"/>
          <w:color w:val="auto"/>
        </w:rPr>
        <w:t>their implementation, could cause us to fail to meet our reporting obligations. In addition, any testing by us conducted in connection with</w:t>
      </w:r>
    </w:p>
    <w:p>
      <w:pPr>
        <w:ind w:left="120"/>
        <w:spacing w:after="0" w:line="232" w:lineRule="auto"/>
        <w:rPr>
          <w:sz w:val="20"/>
          <w:szCs w:val="20"/>
          <w:color w:val="auto"/>
        </w:rPr>
      </w:pPr>
      <w:r>
        <w:rPr>
          <w:rFonts w:ascii="Arial" w:cs="Arial" w:eastAsia="Arial" w:hAnsi="Arial"/>
          <w:sz w:val="17"/>
          <w:szCs w:val="17"/>
          <w:color w:val="auto"/>
        </w:rPr>
        <w:t>Section 404(a) of SOX or any subsequent testing by our independent registered public accounting firm in connection with Section 404(b) of SOX,</w:t>
      </w:r>
    </w:p>
    <w:p>
      <w:pPr>
        <w:ind w:left="120"/>
        <w:spacing w:after="0" w:line="232" w:lineRule="auto"/>
        <w:rPr>
          <w:sz w:val="20"/>
          <w:szCs w:val="20"/>
          <w:color w:val="auto"/>
        </w:rPr>
      </w:pPr>
      <w:r>
        <w:rPr>
          <w:rFonts w:ascii="Arial" w:cs="Arial" w:eastAsia="Arial" w:hAnsi="Arial"/>
          <w:sz w:val="17"/>
          <w:szCs w:val="17"/>
          <w:color w:val="auto"/>
        </w:rPr>
        <w:t>may reveal deficiencies in our internal controls over financial reporting that are deemed to be significant deficiencies or material weaknesses or</w:t>
      </w:r>
    </w:p>
    <w:p>
      <w:pPr>
        <w:ind w:left="120"/>
        <w:spacing w:after="0" w:line="232" w:lineRule="auto"/>
        <w:rPr>
          <w:sz w:val="20"/>
          <w:szCs w:val="20"/>
          <w:color w:val="auto"/>
        </w:rPr>
      </w:pPr>
      <w:r>
        <w:rPr>
          <w:rFonts w:ascii="Arial" w:cs="Arial" w:eastAsia="Arial" w:hAnsi="Arial"/>
          <w:sz w:val="17"/>
          <w:szCs w:val="17"/>
          <w:color w:val="auto"/>
        </w:rPr>
        <w:t>that may require prospective or retroactive changes to our consolidated financial statements or identify other areas for further attention or</w:t>
      </w:r>
    </w:p>
    <w:p>
      <w:pPr>
        <w:ind w:left="120"/>
        <w:spacing w:after="0" w:line="232" w:lineRule="auto"/>
        <w:rPr>
          <w:sz w:val="20"/>
          <w:szCs w:val="20"/>
          <w:color w:val="auto"/>
        </w:rPr>
      </w:pPr>
      <w:r>
        <w:rPr>
          <w:rFonts w:ascii="Arial" w:cs="Arial" w:eastAsia="Arial" w:hAnsi="Arial"/>
          <w:sz w:val="17"/>
          <w:szCs w:val="17"/>
          <w:color w:val="auto"/>
        </w:rPr>
        <w:t>improvement. As discussed above, we have identified material weaknesses in the past which we are in the process of remedying. However, our</w:t>
      </w:r>
    </w:p>
    <w:p>
      <w:pPr>
        <w:ind w:left="120"/>
        <w:spacing w:after="0" w:line="232" w:lineRule="auto"/>
        <w:rPr>
          <w:sz w:val="20"/>
          <w:szCs w:val="20"/>
          <w:color w:val="auto"/>
        </w:rPr>
      </w:pPr>
      <w:r>
        <w:rPr>
          <w:rFonts w:ascii="Arial" w:cs="Arial" w:eastAsia="Arial" w:hAnsi="Arial"/>
          <w:sz w:val="17"/>
          <w:szCs w:val="17"/>
          <w:color w:val="auto"/>
        </w:rPr>
        <w:t>efforts to remediate previous material weaknesses may not be effective or prevent any future deficiency in our internal control over financial</w:t>
      </w:r>
    </w:p>
    <w:p>
      <w:pPr>
        <w:ind w:left="120"/>
        <w:spacing w:after="0" w:line="232" w:lineRule="auto"/>
        <w:rPr>
          <w:sz w:val="20"/>
          <w:szCs w:val="20"/>
          <w:color w:val="auto"/>
        </w:rPr>
      </w:pPr>
      <w:r>
        <w:rPr>
          <w:rFonts w:ascii="Arial" w:cs="Arial" w:eastAsia="Arial" w:hAnsi="Arial"/>
          <w:sz w:val="17"/>
          <w:szCs w:val="17"/>
          <w:color w:val="auto"/>
        </w:rPr>
        <w:t>reporting. Inferior internal controls could also cause investors to lose confidence in our reported financial information, which could have a negative</w:t>
      </w:r>
    </w:p>
    <w:p>
      <w:pPr>
        <w:ind w:left="120"/>
        <w:spacing w:after="0"/>
        <w:rPr>
          <w:sz w:val="20"/>
          <w:szCs w:val="20"/>
          <w:color w:val="auto"/>
        </w:rPr>
      </w:pPr>
      <w:r>
        <w:rPr>
          <w:rFonts w:ascii="Arial" w:cs="Arial" w:eastAsia="Arial" w:hAnsi="Arial"/>
          <w:sz w:val="17"/>
          <w:szCs w:val="17"/>
          <w:color w:val="auto"/>
        </w:rPr>
        <w:t>effect on the trading price of our common stock.</w:t>
      </w:r>
    </w:p>
    <w:p>
      <w:pPr>
        <w:spacing w:after="0" w:line="134" w:lineRule="exact"/>
        <w:rPr>
          <w:sz w:val="20"/>
          <w:szCs w:val="20"/>
          <w:color w:val="auto"/>
        </w:rPr>
      </w:pPr>
    </w:p>
    <w:p>
      <w:pPr>
        <w:ind w:left="120" w:right="20"/>
        <w:spacing w:after="0" w:line="242" w:lineRule="auto"/>
        <w:rPr>
          <w:sz w:val="20"/>
          <w:szCs w:val="20"/>
          <w:color w:val="auto"/>
        </w:rPr>
      </w:pPr>
      <w:r>
        <w:rPr>
          <w:rFonts w:ascii="Arial" w:cs="Arial" w:eastAsia="Arial" w:hAnsi="Arial"/>
          <w:sz w:val="17"/>
          <w:szCs w:val="17"/>
          <w:color w:val="auto"/>
        </w:rPr>
        <w:t>In connection with our evaluation of our internal controls over financial reporting, we expect to upgrade our finance and accounting systems and team. If we are unable to accomplish these objectives in a timely and effective manner, our ability to comply with the financial reporting requirements and other rules that apply to reporting companies could be adversely impacted. Any failure to maintain effective internal control over financial reporting could have a material adverse effect on our business, financial condition and results of operations and the trading price of our common stock.</w:t>
      </w:r>
    </w:p>
    <w:p>
      <w:pPr>
        <w:spacing w:after="0" w:line="121" w:lineRule="exact"/>
        <w:rPr>
          <w:sz w:val="20"/>
          <w:szCs w:val="20"/>
          <w:color w:val="auto"/>
        </w:rPr>
      </w:pPr>
    </w:p>
    <w:p>
      <w:pPr>
        <w:ind w:left="120" w:right="200"/>
        <w:spacing w:after="0" w:line="242" w:lineRule="auto"/>
        <w:rPr>
          <w:sz w:val="20"/>
          <w:szCs w:val="20"/>
          <w:color w:val="auto"/>
        </w:rPr>
      </w:pPr>
      <w:r>
        <w:rPr>
          <w:rFonts w:ascii="Arial" w:cs="Arial" w:eastAsia="Arial" w:hAnsi="Arial"/>
          <w:sz w:val="17"/>
          <w:szCs w:val="17"/>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660"/>
        <w:spacing w:after="0" w:line="275" w:lineRule="auto"/>
        <w:rPr>
          <w:sz w:val="20"/>
          <w:szCs w:val="20"/>
          <w:color w:val="auto"/>
        </w:rPr>
      </w:pPr>
      <w:r>
        <w:rPr>
          <w:rFonts w:ascii="Arial" w:cs="Arial" w:eastAsia="Arial" w:hAnsi="Arial"/>
          <w:sz w:val="17"/>
          <w:szCs w:val="17"/>
          <w:color w:val="auto"/>
        </w:rPr>
        <w:t>an “emerging growth company” under the JOBS Act, our independent registered public accounting firm will not be required to attest to the effectiveness of our internal controls over financial reporting pursuant to Section 404(b).</w:t>
      </w:r>
    </w:p>
    <w:p>
      <w:pPr>
        <w:spacing w:after="0" w:line="92"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1" w:lineRule="exact"/>
        <w:rPr>
          <w:sz w:val="20"/>
          <w:szCs w:val="20"/>
          <w:color w:val="auto"/>
        </w:rPr>
      </w:pPr>
    </w:p>
    <w:p>
      <w:pPr>
        <w:ind w:left="120" w:right="260"/>
        <w:spacing w:after="0" w:line="253" w:lineRule="auto"/>
        <w:rPr>
          <w:sz w:val="20"/>
          <w:szCs w:val="20"/>
          <w:color w:val="auto"/>
        </w:rPr>
      </w:pPr>
      <w:r>
        <w:rPr>
          <w:rFonts w:ascii="Arial" w:cs="Arial" w:eastAsia="Arial" w:hAnsi="Arial"/>
          <w:sz w:val="17"/>
          <w:szCs w:val="17"/>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consolidated financial statement restatements and require us to incur the expense of remediation.</w:t>
      </w:r>
    </w:p>
    <w:p>
      <w:pPr>
        <w:spacing w:after="0" w:line="113" w:lineRule="exact"/>
        <w:rPr>
          <w:sz w:val="20"/>
          <w:szCs w:val="20"/>
          <w:color w:val="auto"/>
        </w:rPr>
      </w:pPr>
    </w:p>
    <w:p>
      <w:pPr>
        <w:ind w:left="120" w:right="380"/>
        <w:spacing w:after="0" w:line="285" w:lineRule="auto"/>
        <w:rPr>
          <w:sz w:val="20"/>
          <w:szCs w:val="20"/>
          <w:color w:val="auto"/>
        </w:rPr>
      </w:pPr>
      <w:r>
        <w:rPr>
          <w:rFonts w:ascii="Arial" w:cs="Arial" w:eastAsia="Arial" w:hAnsi="Arial"/>
          <w:sz w:val="17"/>
          <w:szCs w:val="17"/>
          <w:b w:val="1"/>
          <w:bCs w:val="1"/>
          <w:i w:val="1"/>
          <w:iCs w:val="1"/>
          <w:color w:val="auto"/>
        </w:rPr>
        <w:t>Participation in this offering by our existing stockholders and/or their affiliated entities may reduce the public float for our common stock.</w:t>
      </w:r>
    </w:p>
    <w:p>
      <w:pPr>
        <w:spacing w:after="0" w:line="74" w:lineRule="exact"/>
        <w:rPr>
          <w:sz w:val="20"/>
          <w:szCs w:val="20"/>
          <w:color w:val="auto"/>
        </w:rPr>
      </w:pPr>
    </w:p>
    <w:p>
      <w:pPr>
        <w:ind w:left="120" w:right="180"/>
        <w:spacing w:after="0" w:line="242" w:lineRule="auto"/>
        <w:rPr>
          <w:sz w:val="20"/>
          <w:szCs w:val="20"/>
          <w:color w:val="auto"/>
        </w:rPr>
      </w:pPr>
      <w:r>
        <w:rPr>
          <w:rFonts w:ascii="Arial" w:cs="Arial" w:eastAsia="Arial" w:hAnsi="Arial"/>
          <w:sz w:val="17"/>
          <w:szCs w:val="17"/>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23" w:lineRule="exact"/>
        <w:rPr>
          <w:sz w:val="20"/>
          <w:szCs w:val="20"/>
          <w:color w:val="auto"/>
        </w:rPr>
      </w:pPr>
    </w:p>
    <w:p>
      <w:pPr>
        <w:ind w:left="120" w:right="180"/>
        <w:spacing w:after="0" w:line="285" w:lineRule="auto"/>
        <w:rPr>
          <w:sz w:val="20"/>
          <w:szCs w:val="20"/>
          <w:color w:val="auto"/>
        </w:rPr>
      </w:pPr>
      <w:r>
        <w:rPr>
          <w:rFonts w:ascii="Arial" w:cs="Arial" w:eastAsia="Arial" w:hAnsi="Arial"/>
          <w:sz w:val="17"/>
          <w:szCs w:val="17"/>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74" w:lineRule="exact"/>
        <w:rPr>
          <w:sz w:val="20"/>
          <w:szCs w:val="20"/>
          <w:color w:val="auto"/>
        </w:rPr>
      </w:pPr>
    </w:p>
    <w:p>
      <w:pPr>
        <w:ind w:left="120" w:right="120"/>
        <w:spacing w:after="0" w:line="237" w:lineRule="auto"/>
        <w:rPr>
          <w:sz w:val="20"/>
          <w:szCs w:val="20"/>
          <w:color w:val="auto"/>
        </w:rPr>
      </w:pPr>
      <w:r>
        <w:rPr>
          <w:rFonts w:ascii="Arial" w:cs="Arial" w:eastAsia="Arial" w:hAnsi="Arial"/>
          <w:sz w:val="17"/>
          <w:szCs w:val="17"/>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Risks</w:t>
      </w:r>
    </w:p>
    <w:p>
      <w:pPr>
        <w:spacing w:after="0" w:line="62" w:lineRule="exact"/>
        <w:rPr>
          <w:sz w:val="20"/>
          <w:szCs w:val="20"/>
          <w:color w:val="auto"/>
        </w:rPr>
      </w:pPr>
    </w:p>
    <w:p>
      <w:pPr>
        <w:ind w:left="120" w:right="580"/>
        <w:spacing w:after="0" w:line="258" w:lineRule="auto"/>
        <w:rPr>
          <w:sz w:val="20"/>
          <w:szCs w:val="20"/>
          <w:color w:val="auto"/>
        </w:rPr>
      </w:pPr>
      <w:r>
        <w:rPr>
          <w:rFonts w:ascii="Arial" w:cs="Arial" w:eastAsia="Arial" w:hAnsi="Arial"/>
          <w:sz w:val="17"/>
          <w:szCs w:val="17"/>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97" w:lineRule="exact"/>
        <w:rPr>
          <w:sz w:val="20"/>
          <w:szCs w:val="20"/>
          <w:color w:val="auto"/>
        </w:rPr>
      </w:pPr>
    </w:p>
    <w:p>
      <w:pPr>
        <w:ind w:left="120" w:right="80"/>
        <w:spacing w:after="0" w:line="239" w:lineRule="auto"/>
        <w:rPr>
          <w:sz w:val="20"/>
          <w:szCs w:val="20"/>
          <w:color w:val="auto"/>
        </w:rPr>
      </w:pPr>
      <w:r>
        <w:rPr>
          <w:rFonts w:ascii="Arial" w:cs="Arial" w:eastAsia="Arial" w:hAnsi="Arial"/>
          <w:sz w:val="17"/>
          <w:szCs w:val="17"/>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40"/>
          </w:cols>
          <w:pgMar w:left="320" w:top="455" w:right="4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60"/>
        <w:spacing w:after="0"/>
        <w:rPr>
          <w:sz w:val="20"/>
          <w:szCs w:val="20"/>
          <w:color w:val="auto"/>
        </w:rPr>
      </w:pPr>
      <w:r>
        <w:rPr>
          <w:rFonts w:ascii="Arial" w:cs="Arial" w:eastAsia="Arial" w:hAnsi="Arial"/>
          <w:sz w:val="17"/>
          <w:szCs w:val="17"/>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disruptions could seriously harm our future revenue and financial condition and increase our costs and expenses.</w:t>
      </w:r>
    </w:p>
    <w:p>
      <w:pPr>
        <w:spacing w:after="0" w:line="154"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22"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disruptions and delays or incur financial damages as a result of system failures or security breaches.</w:t>
      </w:r>
    </w:p>
    <w:p>
      <w:pPr>
        <w:spacing w:after="0" w:line="154"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or security breach that causes interruptions in our own or in third-party service providers’ operations could result in a material disruption of our drug discovery and development programs. A system failure or security breach that causes the loss of clinical trial data from completed or future clinical trials could result in delays in our regulatory approval efforts and significantly increase our costs in order to recover or reproduce the lost data. In addition, to the extent that any disruption or security breach results in a loss or damage to our data or applications or inappropriate disclosure of confidential or proprietary information,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could also cause us to incur additional costs to remedy the damages that arise from such disruption, failure or security breach.</w:t>
      </w:r>
    </w:p>
    <w:p>
      <w:pPr>
        <w:spacing w:after="0" w:line="122" w:lineRule="exact"/>
        <w:rPr>
          <w:sz w:val="20"/>
          <w:szCs w:val="20"/>
          <w:color w:val="auto"/>
        </w:rPr>
      </w:pPr>
    </w:p>
    <w:p>
      <w:pPr>
        <w:ind w:left="120" w:right="40"/>
        <w:spacing w:after="0" w:line="246" w:lineRule="auto"/>
        <w:rPr>
          <w:sz w:val="20"/>
          <w:szCs w:val="20"/>
          <w:color w:val="auto"/>
        </w:rPr>
      </w:pPr>
      <w:r>
        <w:rPr>
          <w:rFonts w:ascii="Arial" w:cs="Arial" w:eastAsia="Arial" w:hAnsi="Arial"/>
          <w:sz w:val="17"/>
          <w:szCs w:val="17"/>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54"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11" w:lineRule="exact"/>
        <w:rPr>
          <w:sz w:val="20"/>
          <w:szCs w:val="20"/>
          <w:color w:val="auto"/>
        </w:rPr>
      </w:pPr>
    </w:p>
    <w:p>
      <w:pPr>
        <w:jc w:val="both"/>
        <w:ind w:left="120" w:right="140"/>
        <w:spacing w:after="0" w:line="246" w:lineRule="auto"/>
        <w:rPr>
          <w:sz w:val="20"/>
          <w:szCs w:val="20"/>
          <w:color w:val="auto"/>
        </w:rPr>
      </w:pPr>
      <w:r>
        <w:rPr>
          <w:rFonts w:ascii="Arial" w:cs="Arial" w:eastAsia="Arial" w:hAnsi="Arial"/>
          <w:sz w:val="17"/>
          <w:szCs w:val="17"/>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54"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060"/>
          </w:cols>
          <w:pgMar w:left="320" w:top="455" w:right="51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6" w:lineRule="exact"/>
        <w:rPr>
          <w:sz w:val="20"/>
          <w:szCs w:val="20"/>
          <w:color w:val="auto"/>
        </w:rPr>
      </w:pPr>
    </w:p>
    <w:p>
      <w:pPr>
        <w:ind w:left="120" w:right="40"/>
        <w:spacing w:after="0" w:line="239"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22"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51" w:lineRule="exact"/>
        <w:rPr>
          <w:sz w:val="20"/>
          <w:szCs w:val="20"/>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financial performance;</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sufficiency of our existing cash to fund our future operating expenses and capital expenditure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34" w:lineRule="exact"/>
        <w:rPr>
          <w:rFonts w:ascii="MS PGothic" w:cs="MS PGothic" w:eastAsia="MS PGothic" w:hAnsi="MS PGothic"/>
          <w:sz w:val="13"/>
          <w:szCs w:val="13"/>
          <w:color w:val="auto"/>
        </w:rPr>
      </w:pPr>
    </w:p>
    <w:p>
      <w:pPr>
        <w:ind w:left="980" w:right="240" w:hanging="432"/>
        <w:spacing w:after="0" w:line="256"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plans relating to commercializing our product candidates, if approved, including the geographic areas of focus and our ability to grow a sales team;</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implementation of our strategic plans for our business and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size of the market opportunity for our product candidates in each of the diseases we target;</w:t>
      </w:r>
    </w:p>
    <w:p>
      <w:pPr>
        <w:spacing w:after="0" w:line="34" w:lineRule="exact"/>
        <w:rPr>
          <w:rFonts w:ascii="MS PGothic" w:cs="MS PGothic" w:eastAsia="MS PGothic" w:hAnsi="MS PGothic"/>
          <w:sz w:val="13"/>
          <w:szCs w:val="13"/>
          <w:color w:val="auto"/>
        </w:rPr>
      </w:pPr>
    </w:p>
    <w:p>
      <w:pPr>
        <w:jc w:val="both"/>
        <w:ind w:left="980" w:right="260" w:hanging="432"/>
        <w:spacing w:after="0" w:line="248"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reliance on third parties to conduct preclinical research activities, and for the manufacture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beneficial characteristics, safety, efficacy and therapeutic effects of our product candidates;</w:t>
      </w:r>
    </w:p>
    <w:p>
      <w:pPr>
        <w:spacing w:after="0" w:line="34" w:lineRule="exact"/>
        <w:rPr>
          <w:rFonts w:ascii="MS PGothic" w:cs="MS PGothic" w:eastAsia="MS PGothic" w:hAnsi="MS PGothic"/>
          <w:sz w:val="13"/>
          <w:szCs w:val="13"/>
          <w:color w:val="auto"/>
        </w:rPr>
      </w:pPr>
    </w:p>
    <w:p>
      <w:pPr>
        <w:ind w:left="980" w:right="180" w:hanging="432"/>
        <w:spacing w:after="0" w:line="256"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estimates of the number of patients in the United States who suffer from the diseases we target and the number of subjects that will enroll in our clinical trials;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progress and focus of our current and future clinical trials, and the reporting of data from those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ability to advance product candidates into and successfully complete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ability of our clinical trials to demonstrate the safety and efficacy of our product candidates, and other positive results;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our industry, including competing product candidates and therapies;</w:t>
      </w:r>
    </w:p>
    <w:p>
      <w:pPr>
        <w:spacing w:after="0" w:line="34" w:lineRule="exact"/>
        <w:rPr>
          <w:rFonts w:ascii="MS PGothic" w:cs="MS PGothic" w:eastAsia="MS PGothic" w:hAnsi="MS PGothic"/>
          <w:sz w:val="13"/>
          <w:szCs w:val="13"/>
          <w:color w:val="auto"/>
        </w:rPr>
      </w:pPr>
    </w:p>
    <w:p>
      <w:pPr>
        <w:ind w:left="980" w:right="300" w:hanging="432"/>
        <w:spacing w:after="0" w:line="256"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plans relating to the further development and manufacturing of our product candidates, including additional indications that we may pursue;</w:t>
      </w:r>
    </w:p>
    <w:p>
      <w:pPr>
        <w:spacing w:after="0" w:line="1" w:lineRule="exact"/>
        <w:rPr>
          <w:rFonts w:ascii="MS PGothic" w:cs="MS PGothic" w:eastAsia="MS PGothic" w:hAnsi="MS PGothic"/>
          <w:sz w:val="13"/>
          <w:szCs w:val="13"/>
          <w:color w:val="auto"/>
        </w:rPr>
      </w:pPr>
    </w:p>
    <w:p>
      <w:pPr>
        <w:ind w:left="980" w:right="260" w:hanging="432"/>
        <w:spacing w:after="0" w:line="256"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ability to obtain, and negotiate favorable terms of, any collaboration, licensing or other arrangements that may be necessary or desirable to develop, manufacture or commercialize our product candidates;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existing regulations and regulatory developments in the United States and other jurisdictions;</w:t>
      </w:r>
    </w:p>
    <w:p>
      <w:pPr>
        <w:spacing w:after="0" w:line="34" w:lineRule="exact"/>
        <w:rPr>
          <w:rFonts w:ascii="MS PGothic" w:cs="MS PGothic" w:eastAsia="MS PGothic" w:hAnsi="MS PGothic"/>
          <w:sz w:val="13"/>
          <w:szCs w:val="13"/>
          <w:color w:val="auto"/>
        </w:rPr>
      </w:pPr>
    </w:p>
    <w:p>
      <w:pPr>
        <w:ind w:left="980" w:right="300" w:hanging="432"/>
        <w:spacing w:after="0" w:line="256"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potential and ability to successfully manufacture and supply our product candidates for clinical trials and for commercial use, if approved;</w:t>
      </w:r>
    </w:p>
    <w:p>
      <w:pPr>
        <w:spacing w:after="0" w:line="1" w:lineRule="exact"/>
        <w:rPr>
          <w:rFonts w:ascii="MS PGothic" w:cs="MS PGothic" w:eastAsia="MS PGothic" w:hAnsi="MS PGothic"/>
          <w:sz w:val="13"/>
          <w:szCs w:val="13"/>
          <w:color w:val="auto"/>
        </w:rPr>
      </w:pPr>
    </w:p>
    <w:p>
      <w:pPr>
        <w:ind w:left="980" w:right="280" w:hanging="432"/>
        <w:spacing w:after="0" w:line="256"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continued reliance on third parties to conduct additional clinical trials of our product candidates, and for the manufacture of our product candidates;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080"/>
          </w:cols>
          <w:pgMar w:left="320" w:top="455" w:right="49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980" w:right="340" w:hanging="432"/>
        <w:spacing w:after="0" w:line="257"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including our technology platform and product candidates;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impact of the COVID-19 pandemic on our business;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period during which we will qualify as an emerging growth company under the JOBS Act;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anticipated use of our existing cash and cash equivalents and the proceeds from this offering.</w:t>
      </w:r>
    </w:p>
    <w:p>
      <w:pPr>
        <w:spacing w:after="0" w:line="154" w:lineRule="exact"/>
        <w:rPr>
          <w:sz w:val="20"/>
          <w:szCs w:val="20"/>
          <w:color w:val="auto"/>
        </w:rPr>
      </w:pPr>
    </w:p>
    <w:p>
      <w:pPr>
        <w:ind w:left="120" w:right="220"/>
        <w:spacing w:after="0" w:line="237"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26"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100"/>
          </w:cols>
          <w:pgMar w:left="320" w:top="455" w:right="4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 INDUSTRY AND OTHER DATA</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020"/>
          </w:cols>
          <w:pgMar w:left="320" w:top="455" w:right="5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left="120" w:right="100"/>
        <w:spacing w:after="0" w:line="246" w:lineRule="auto"/>
        <w:rPr>
          <w:sz w:val="20"/>
          <w:szCs w:val="20"/>
          <w:color w:val="auto"/>
        </w:rPr>
      </w:pPr>
      <w:r>
        <w:rPr>
          <w:rFonts w:ascii="Arial" w:cs="Arial" w:eastAsia="Arial" w:hAnsi="Arial"/>
          <w:sz w:val="17"/>
          <w:szCs w:val="17"/>
          <w:color w:val="auto"/>
        </w:rPr>
        <w:t>We expect that the net proceeds from our issuance and sale of shares of our common stock in this offering will be approximately $135.6 million, or approximately $156.0 million if the underwriters exercise their option to purchase additional shares in full, based on an assumed offering price of $73.22 per share, which is the last reported sale price of our common stock on the Nasdaq Global Select Market on December 4, 2020, and after deducting the underwriting discounts and commissions and estimated offering expenses payable by us.</w:t>
      </w:r>
    </w:p>
    <w:p>
      <w:pPr>
        <w:spacing w:after="0" w:line="117" w:lineRule="exact"/>
        <w:rPr>
          <w:sz w:val="20"/>
          <w:szCs w:val="20"/>
          <w:color w:val="auto"/>
        </w:rPr>
      </w:pPr>
    </w:p>
    <w:p>
      <w:pPr>
        <w:ind w:left="120" w:right="80"/>
        <w:spacing w:after="0" w:line="239" w:lineRule="auto"/>
        <w:rPr>
          <w:sz w:val="20"/>
          <w:szCs w:val="20"/>
          <w:color w:val="auto"/>
        </w:rPr>
      </w:pPr>
      <w:r>
        <w:rPr>
          <w:rFonts w:ascii="Arial" w:cs="Arial" w:eastAsia="Arial" w:hAnsi="Arial"/>
          <w:sz w:val="17"/>
          <w:szCs w:val="17"/>
          <w:color w:val="auto"/>
        </w:rPr>
        <w:t>Each $1.00 increase or decrease in the assumed public offering price of $73.22 per share, which is the last reported sale price of our shares of common stock on the Nasdaq Global Select Market on December 4, 2020, would increase or decrease, as applicable, the aggregate net proceeds to us from this offering by approximately $1.9 million, assuming the number of shares offered by us, as set forth on the cover page of this prospectus, remains the same and after deducting the underwriting discounts and commissions and estimated offering expenses payable by us. Similarly, each increase or decrease of 1.0 million shares in the number of shares offered by us would increase or decrease, as applicable, the net proceeds to us from this offering by approximately $68.1 million, assuming that the assumed public offering price remains the same, and after deducting the underwriting discounts and commissions and estimated offering expenses payable by us.</w:t>
      </w:r>
    </w:p>
    <w:p>
      <w:pPr>
        <w:spacing w:after="0" w:line="12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and facilitate our future access to the public capital markets.</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intend to use the net proceeds, together with our existing cash and cash equivalents, from the offering as follows:</w:t>
      </w:r>
    </w:p>
    <w:p>
      <w:pPr>
        <w:spacing w:after="0" w:line="196" w:lineRule="exact"/>
        <w:rPr>
          <w:sz w:val="20"/>
          <w:szCs w:val="20"/>
          <w:color w:val="auto"/>
        </w:rPr>
      </w:pPr>
    </w:p>
    <w:p>
      <w:pPr>
        <w:ind w:left="980" w:right="780" w:hanging="432"/>
        <w:spacing w:after="0" w:line="257"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approximately $50.0 million to advance the clinical development of ALX148 through initiation and completion of our Phase 2 combination clinical trials in HNSCC and gastric/GEJ;</w:t>
      </w:r>
    </w:p>
    <w:p>
      <w:pPr>
        <w:spacing w:after="0" w:line="1" w:lineRule="exact"/>
        <w:rPr>
          <w:rFonts w:ascii="MS PGothic" w:cs="MS PGothic" w:eastAsia="MS PGothic" w:hAnsi="MS PGothic"/>
          <w:sz w:val="13"/>
          <w:szCs w:val="13"/>
          <w:color w:val="auto"/>
        </w:rPr>
      </w:pPr>
    </w:p>
    <w:p>
      <w:pPr>
        <w:ind w:left="980" w:right="540" w:hanging="432"/>
        <w:spacing w:after="0" w:line="256"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approximately $30.0 million to advance the clinical development of ALX148 through initiation and completion of our Phase 1b/2 combination clinical trial in MDS;</w:t>
      </w:r>
    </w:p>
    <w:p>
      <w:pPr>
        <w:spacing w:after="0" w:line="1" w:lineRule="exact"/>
        <w:rPr>
          <w:rFonts w:ascii="MS PGothic" w:cs="MS PGothic" w:eastAsia="MS PGothic" w:hAnsi="MS PGothic"/>
          <w:sz w:val="13"/>
          <w:szCs w:val="13"/>
          <w:color w:val="auto"/>
        </w:rPr>
      </w:pPr>
    </w:p>
    <w:p>
      <w:pPr>
        <w:ind w:left="980" w:right="540" w:hanging="432"/>
        <w:spacing w:after="0" w:line="256"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approximately $20.0 million to advance the clinical development of ALX148 through initiation and completion of our Phase 1b/2 combination clinical trial in AML;</w:t>
      </w:r>
    </w:p>
    <w:p>
      <w:pPr>
        <w:spacing w:after="0" w:line="1" w:lineRule="exact"/>
        <w:rPr>
          <w:rFonts w:ascii="MS PGothic" w:cs="MS PGothic" w:eastAsia="MS PGothic" w:hAnsi="MS PGothic"/>
          <w:sz w:val="13"/>
          <w:szCs w:val="13"/>
          <w:color w:val="auto"/>
        </w:rPr>
      </w:pPr>
    </w:p>
    <w:p>
      <w:pPr>
        <w:ind w:left="980" w:right="360" w:hanging="432"/>
        <w:spacing w:after="0" w:line="256"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approximately $75.0 million to advance the clinical development of ALX148 and potentially initiate clinical trials for additional solid tumor indications including colorectal, lung, breast and gastric cancer, if there are compelling clinical data;</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approximately $25.0 million for manufacturing activities related to chemistry, manufacturing and controls, or CMC, activities;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approximately $10.0 million for current and proposed collaborations and investigator sponsored trials;</w:t>
      </w:r>
    </w:p>
    <w:p>
      <w:pPr>
        <w:spacing w:after="0" w:line="34" w:lineRule="exact"/>
        <w:rPr>
          <w:rFonts w:ascii="MS PGothic" w:cs="MS PGothic" w:eastAsia="MS PGothic" w:hAnsi="MS PGothic"/>
          <w:sz w:val="13"/>
          <w:szCs w:val="13"/>
          <w:color w:val="auto"/>
        </w:rPr>
      </w:pPr>
    </w:p>
    <w:p>
      <w:pPr>
        <w:jc w:val="both"/>
        <w:ind w:left="980" w:right="300" w:hanging="432"/>
        <w:spacing w:after="0" w:line="248"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approximately $7.0 million to pay off our outstanding term loan (for more information regarding our term loan, see “Management’s Discussion and Analysis of Financial Condition and Results of Operations—Liquidity and Capital Resources; Plan of Operations— Silicon Valley Bank and WestRiver Group Loan and Security Agreement”); and</w:t>
      </w:r>
    </w:p>
    <w:p>
      <w:pPr>
        <w:spacing w:after="0" w:line="1" w:lineRule="exact"/>
        <w:rPr>
          <w:rFonts w:ascii="MS PGothic" w:cs="MS PGothic" w:eastAsia="MS PGothic" w:hAnsi="MS PGothic"/>
          <w:sz w:val="13"/>
          <w:szCs w:val="13"/>
          <w:color w:val="auto"/>
        </w:rPr>
      </w:pPr>
    </w:p>
    <w:p>
      <w:pPr>
        <w:ind w:left="980" w:right="340" w:hanging="432"/>
        <w:spacing w:after="0" w:line="273"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the remainder for other development work associated with advancing ALX148 and for working capital and other general corporate purposes.</w:t>
      </w:r>
    </w:p>
    <w:p>
      <w:pPr>
        <w:spacing w:after="0" w:line="94"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Pending the specific use of net proceeds as described in this prospectus, we intend to invest the net proceeds to us from this offering in short and intermediate-term investment grade instruments, certificates of deposit or guaranteed obligations of the U.S. government in accordance with our investment policy.</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23" w:lineRule="exact"/>
        <w:rPr>
          <w:sz w:val="20"/>
          <w:szCs w:val="20"/>
          <w:color w:val="auto"/>
        </w:rPr>
      </w:pPr>
    </w:p>
    <w:p>
      <w:pPr>
        <w:ind w:left="120" w:right="720"/>
        <w:spacing w:after="0" w:line="275" w:lineRule="auto"/>
        <w:rPr>
          <w:sz w:val="20"/>
          <w:szCs w:val="20"/>
          <w:color w:val="auto"/>
        </w:rPr>
      </w:pPr>
      <w:r>
        <w:rPr>
          <w:rFonts w:ascii="Arial" w:cs="Arial" w:eastAsia="Arial" w:hAnsi="Arial"/>
          <w:sz w:val="17"/>
          <w:szCs w:val="17"/>
          <w:color w:val="auto"/>
        </w:rPr>
        <w:t>The net proceeds from this offering, together with our existing cash and cash equivalents, may not be sufficient for us to fund our clinical programs, and we may need to raise additional capital to achieve our business objectives.</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00"/>
          </w:cols>
          <w:pgMar w:left="320" w:top="455" w:right="4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Based on current business plans, we believe that the net proceeds from this offering, together with our existing cash and cash equivalents, will be sufficient to fund our planned operations through 2024.</w:t>
      </w:r>
    </w:p>
    <w:p>
      <w:pPr>
        <w:spacing w:after="0" w:line="92"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 In addition, the terms of our Loan Agreement place certain limitations on the amount of cash dividends we can pay.</w:t>
      </w:r>
    </w:p>
    <w:p>
      <w:pPr>
        <w:spacing w:after="0" w:line="12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900"/>
          </w:cols>
          <w:pgMar w:left="320" w:top="455" w:right="67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our cash and cash equivalents and our capitalization as of September 30, 2020:</w:t>
      </w:r>
    </w:p>
    <w:p>
      <w:pPr>
        <w:spacing w:after="0" w:line="196" w:lineRule="exact"/>
        <w:rPr>
          <w:sz w:val="20"/>
          <w:szCs w:val="20"/>
          <w:color w:val="auto"/>
        </w:rPr>
      </w:pPr>
    </w:p>
    <w:p>
      <w:pPr>
        <w:ind w:left="980" w:hanging="432"/>
        <w:spacing w:after="0"/>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on an actual basis;</w:t>
      </w:r>
    </w:p>
    <w:p>
      <w:pPr>
        <w:spacing w:after="0" w:line="35" w:lineRule="exact"/>
        <w:rPr>
          <w:rFonts w:ascii="MS PGothic" w:cs="MS PGothic" w:eastAsia="MS PGothic" w:hAnsi="MS PGothic"/>
          <w:sz w:val="13"/>
          <w:szCs w:val="13"/>
          <w:color w:val="auto"/>
        </w:rPr>
      </w:pPr>
    </w:p>
    <w:p>
      <w:pPr>
        <w:jc w:val="both"/>
        <w:ind w:left="980" w:right="220" w:hanging="432"/>
        <w:spacing w:after="0" w:line="252"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an as adjusted basis to give effect to the sale and issuance of shares of our common stock by us in this offering, an assumed public offering price of $73.22 per share, which is the last reported sale price of our common stock on the Nasdaq Global Select Market on December 4, 2020, and after deducting underwriting discounts and commissions and estimated offering expenses payable by us.</w:t>
      </w:r>
    </w:p>
    <w:p>
      <w:pPr>
        <w:spacing w:after="0" w:line="112"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The as adjusted information set forth in the table below is illustrative only and will be adjusted based on the actual public offering price and other terms of this offering determined at pricing.</w:t>
      </w:r>
    </w:p>
    <w:p>
      <w:pPr>
        <w:spacing w:after="0" w:line="92" w:lineRule="exact"/>
        <w:rPr>
          <w:sz w:val="20"/>
          <w:szCs w:val="20"/>
          <w:color w:val="auto"/>
        </w:rPr>
      </w:pPr>
    </w:p>
    <w:p>
      <w:pPr>
        <w:ind w:left="120" w:right="440"/>
        <w:spacing w:after="0" w:line="253" w:lineRule="auto"/>
        <w:rPr>
          <w:sz w:val="20"/>
          <w:szCs w:val="20"/>
          <w:color w:val="auto"/>
        </w:rPr>
      </w:pPr>
      <w:r>
        <w:rPr>
          <w:rFonts w:ascii="Arial" w:cs="Arial" w:eastAsia="Arial" w:hAnsi="Arial"/>
          <w:sz w:val="17"/>
          <w:szCs w:val="17"/>
          <w:color w:val="auto"/>
        </w:rPr>
        <w:t>You should read this information in conjunction with our financial statements and the related notes and the sections titled “Selected Financial Data” and “Management’s Discussion and Analysis of Financial Condition and Results of Operations” that are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AS OF SEPTEMBER 30, 2020</w:t>
            </w:r>
          </w:p>
        </w:tc>
        <w:tc>
          <w:tcPr>
            <w:tcW w:w="0" w:type="dxa"/>
            <w:vAlign w:val="bottom"/>
          </w:tcPr>
          <w:p>
            <w:pPr>
              <w:spacing w:after="0"/>
              <w:rPr>
                <w:sz w:val="1"/>
                <w:szCs w:val="1"/>
                <w:color w:val="auto"/>
              </w:rPr>
            </w:pPr>
          </w:p>
        </w:tc>
      </w:tr>
      <w:tr>
        <w:trPr>
          <w:trHeight w:val="155"/>
        </w:trPr>
        <w:tc>
          <w:tcPr>
            <w:tcW w:w="8440" w:type="dxa"/>
            <w:vAlign w:val="bottom"/>
          </w:tcPr>
          <w:p>
            <w:pPr>
              <w:spacing w:after="0"/>
              <w:rPr>
                <w:sz w:val="13"/>
                <w:szCs w:val="13"/>
                <w:color w:val="auto"/>
              </w:rPr>
            </w:pPr>
          </w:p>
        </w:tc>
        <w:tc>
          <w:tcPr>
            <w:tcW w:w="840" w:type="dxa"/>
            <w:vAlign w:val="bottom"/>
            <w:tcBorders>
              <w:top w:val="single" w:sz="8" w:color="auto"/>
              <w:bottom w:val="single" w:sz="8" w:color="auto"/>
            </w:tcBorders>
            <w:gridSpan w:val="3"/>
          </w:tcPr>
          <w:p>
            <w:pPr>
              <w:jc w:val="right"/>
              <w:ind w:right="160"/>
              <w:spacing w:after="0" w:line="155" w:lineRule="exact"/>
              <w:rPr>
                <w:sz w:val="20"/>
                <w:szCs w:val="20"/>
                <w:color w:val="auto"/>
              </w:rPr>
            </w:pPr>
            <w:r>
              <w:rPr>
                <w:rFonts w:ascii="Arial" w:cs="Arial" w:eastAsia="Arial" w:hAnsi="Arial"/>
                <w:sz w:val="14"/>
                <w:szCs w:val="14"/>
                <w:b w:val="1"/>
                <w:bCs w:val="1"/>
                <w:color w:val="auto"/>
              </w:rPr>
              <w:t>ACTUAL</w:t>
            </w:r>
          </w:p>
        </w:tc>
        <w:tc>
          <w:tcPr>
            <w:tcW w:w="3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gridSpan w:val="2"/>
          </w:tcPr>
          <w:p>
            <w:pPr>
              <w:jc w:val="right"/>
              <w:spacing w:after="0" w:line="156" w:lineRule="exact"/>
              <w:rPr>
                <w:sz w:val="20"/>
                <w:szCs w:val="20"/>
                <w:color w:val="auto"/>
              </w:rPr>
            </w:pPr>
            <w:r>
              <w:rPr>
                <w:rFonts w:ascii="Arial" w:cs="Arial" w:eastAsia="Arial" w:hAnsi="Arial"/>
                <w:sz w:val="11"/>
                <w:szCs w:val="11"/>
                <w:b w:val="1"/>
                <w:bCs w:val="1"/>
                <w:color w:val="auto"/>
              </w:rPr>
              <w:t>AS ADJUSTED</w:t>
            </w:r>
            <w:r>
              <w:rPr>
                <w:rFonts w:ascii="Arial" w:cs="Arial" w:eastAsia="Arial" w:hAnsi="Arial"/>
                <w:sz w:val="18"/>
                <w:szCs w:val="18"/>
                <w:b w:val="1"/>
                <w:bCs w:val="1"/>
                <w:color w:val="auto"/>
                <w:vertAlign w:val="superscript"/>
              </w:rPr>
              <w:t>(1)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49"/>
              <w:spacing w:after="0" w:line="141" w:lineRule="exact"/>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(in thousands, except share and</w:t>
            </w:r>
          </w:p>
        </w:tc>
        <w:tc>
          <w:tcPr>
            <w:tcW w:w="0" w:type="dxa"/>
            <w:vAlign w:val="bottom"/>
          </w:tcPr>
          <w:p>
            <w:pPr>
              <w:spacing w:after="0"/>
              <w:rPr>
                <w:sz w:val="1"/>
                <w:szCs w:val="1"/>
                <w:color w:val="auto"/>
              </w:rPr>
            </w:pPr>
          </w:p>
        </w:tc>
      </w:tr>
      <w:tr>
        <w:trPr>
          <w:trHeight w:val="177"/>
        </w:trPr>
        <w:tc>
          <w:tcPr>
            <w:tcW w:w="8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per share amounts)</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259,484</w:t>
            </w:r>
          </w:p>
        </w:tc>
        <w:tc>
          <w:tcPr>
            <w:tcW w:w="900" w:type="dxa"/>
            <w:vAlign w:val="bottom"/>
            <w:gridSpan w:val="2"/>
            <w:shd w:val="clear" w:color="auto" w:fill="CCEEFF"/>
          </w:tcPr>
          <w:p>
            <w:pPr>
              <w:jc w:val="center"/>
              <w:ind w:right="9"/>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395,073</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7"/>
                <w:szCs w:val="17"/>
                <w:color w:val="auto"/>
              </w:rPr>
              <w:t>Term loan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40" w:type="dxa"/>
            <w:vAlign w:val="bottom"/>
            <w:vMerge w:val="continue"/>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5,760</w:t>
            </w:r>
          </w:p>
        </w:tc>
        <w:tc>
          <w:tcPr>
            <w:tcW w:w="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540" w:type="dxa"/>
            <w:vAlign w:val="bottom"/>
          </w:tcPr>
          <w:p>
            <w:pPr>
              <w:jc w:val="center"/>
              <w:ind w:right="369"/>
              <w:spacing w:after="0" w:line="183"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7"/>
                <w:szCs w:val="17"/>
                <w:color w:val="auto"/>
              </w:rPr>
              <w:t>5,760</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Stockholders’ equity:</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440" w:type="dxa"/>
            <w:vAlign w:val="bottom"/>
          </w:tcPr>
          <w:p>
            <w:pPr>
              <w:ind w:left="500"/>
              <w:spacing w:after="0" w:line="161" w:lineRule="exact"/>
              <w:rPr>
                <w:sz w:val="20"/>
                <w:szCs w:val="20"/>
                <w:color w:val="auto"/>
              </w:rPr>
            </w:pPr>
            <w:r>
              <w:rPr>
                <w:rFonts w:ascii="Arial" w:cs="Arial" w:eastAsia="Arial" w:hAnsi="Arial"/>
                <w:sz w:val="17"/>
                <w:szCs w:val="17"/>
                <w:color w:val="auto"/>
              </w:rPr>
              <w:t>Preferred stock, par value $0.001 per share; 100,000,000 shares authorized, no shares issued or</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440" w:type="dxa"/>
            <w:vAlign w:val="bottom"/>
          </w:tcPr>
          <w:p>
            <w:pPr>
              <w:ind w:left="760"/>
              <w:spacing w:after="0"/>
              <w:rPr>
                <w:sz w:val="20"/>
                <w:szCs w:val="20"/>
                <w:color w:val="auto"/>
              </w:rPr>
            </w:pPr>
            <w:r>
              <w:rPr>
                <w:rFonts w:ascii="Arial" w:cs="Arial" w:eastAsia="Arial" w:hAnsi="Arial"/>
                <w:sz w:val="17"/>
                <w:szCs w:val="17"/>
                <w:color w:val="auto"/>
              </w:rPr>
              <w:t>outstanding, actual and as adjusted</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1"/>
        </w:trPr>
        <w:tc>
          <w:tcPr>
            <w:tcW w:w="8440" w:type="dxa"/>
            <w:vAlign w:val="bottom"/>
            <w:shd w:val="clear" w:color="auto" w:fill="CCEEFF"/>
          </w:tcPr>
          <w:p>
            <w:pPr>
              <w:ind w:left="500"/>
              <w:spacing w:after="0" w:line="161" w:lineRule="exact"/>
              <w:rPr>
                <w:sz w:val="20"/>
                <w:szCs w:val="20"/>
                <w:color w:val="auto"/>
              </w:rPr>
            </w:pPr>
            <w:r>
              <w:rPr>
                <w:rFonts w:ascii="Arial" w:cs="Arial" w:eastAsia="Arial" w:hAnsi="Arial"/>
                <w:sz w:val="17"/>
                <w:szCs w:val="17"/>
                <w:color w:val="auto"/>
              </w:rPr>
              <w:t>Common stock, par value $0.001 per share; 1,000,000,000 shares authorized, 37,107,522 shares</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issued and outstanding, actual; 1,000,000,000 shares authorized, 39,107,522 shares issued and</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4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outstanding, as adjusted</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89"/>
        </w:trPr>
        <w:tc>
          <w:tcPr>
            <w:tcW w:w="8440" w:type="dxa"/>
            <w:vAlign w:val="bottom"/>
          </w:tcPr>
          <w:p>
            <w:pPr>
              <w:ind w:left="500"/>
              <w:spacing w:after="0" w:line="189" w:lineRule="exact"/>
              <w:rPr>
                <w:sz w:val="20"/>
                <w:szCs w:val="20"/>
                <w:color w:val="auto"/>
              </w:rPr>
            </w:pPr>
            <w:r>
              <w:rPr>
                <w:rFonts w:ascii="Arial" w:cs="Arial" w:eastAsia="Arial" w:hAnsi="Arial"/>
                <w:sz w:val="17"/>
                <w:szCs w:val="17"/>
                <w:color w:val="auto"/>
              </w:rPr>
              <w:t>Additional paid-in capital</w:t>
            </w:r>
          </w:p>
        </w:tc>
        <w:tc>
          <w:tcPr>
            <w:tcW w:w="120" w:type="dxa"/>
            <w:vAlign w:val="bottom"/>
          </w:tcPr>
          <w:p>
            <w:pPr>
              <w:spacing w:after="0"/>
              <w:rPr>
                <w:sz w:val="16"/>
                <w:szCs w:val="16"/>
                <w:color w:val="auto"/>
              </w:rPr>
            </w:pPr>
          </w:p>
        </w:tc>
        <w:tc>
          <w:tcPr>
            <w:tcW w:w="7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351,727</w:t>
            </w: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487,314</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Accumulated deficit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(99,748)</w:t>
            </w: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(99,748)</w:t>
            </w:r>
          </w:p>
        </w:tc>
        <w:tc>
          <w:tcPr>
            <w:tcW w:w="0" w:type="dxa"/>
            <w:vAlign w:val="bottom"/>
          </w:tcPr>
          <w:p>
            <w:pPr>
              <w:spacing w:after="0"/>
              <w:rPr>
                <w:sz w:val="1"/>
                <w:szCs w:val="1"/>
                <w:color w:val="auto"/>
              </w:rPr>
            </w:pPr>
          </w:p>
        </w:tc>
      </w:tr>
      <w:tr>
        <w:trPr>
          <w:trHeight w:val="203"/>
        </w:trPr>
        <w:tc>
          <w:tcPr>
            <w:tcW w:w="8440" w:type="dxa"/>
            <w:vAlign w:val="bottom"/>
          </w:tcPr>
          <w:p>
            <w:pPr>
              <w:ind w:left="1000"/>
              <w:spacing w:after="0"/>
              <w:rPr>
                <w:sz w:val="20"/>
                <w:szCs w:val="20"/>
                <w:color w:val="auto"/>
              </w:rPr>
            </w:pPr>
            <w:r>
              <w:rPr>
                <w:rFonts w:ascii="Arial" w:cs="Arial" w:eastAsia="Arial" w:hAnsi="Arial"/>
                <w:sz w:val="17"/>
                <w:szCs w:val="17"/>
                <w:color w:val="auto"/>
              </w:rPr>
              <w:t>Total stockholders’ equity</w:t>
            </w: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252,016</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387,605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ind w:left="1500"/>
              <w:spacing w:after="0" w:line="189" w:lineRule="exact"/>
              <w:rPr>
                <w:sz w:val="20"/>
                <w:szCs w:val="20"/>
                <w:color w:val="auto"/>
              </w:rPr>
            </w:pPr>
            <w:r>
              <w:rPr>
                <w:rFonts w:ascii="Arial" w:cs="Arial" w:eastAsia="Arial" w:hAnsi="Arial"/>
                <w:sz w:val="17"/>
                <w:szCs w:val="17"/>
                <w:color w:val="auto"/>
              </w:rPr>
              <w:t>Total capitalization</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252,016</w:t>
            </w:r>
          </w:p>
        </w:tc>
        <w:tc>
          <w:tcPr>
            <w:tcW w:w="900" w:type="dxa"/>
            <w:vAlign w:val="bottom"/>
            <w:gridSpan w:val="2"/>
            <w:shd w:val="clear" w:color="auto" w:fill="CCEEFF"/>
          </w:tcPr>
          <w:p>
            <w:pPr>
              <w:jc w:val="center"/>
              <w:ind w:right="9"/>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387,605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1" w:lineRule="exact"/>
        <w:rPr>
          <w:sz w:val="20"/>
          <w:szCs w:val="20"/>
          <w:color w:val="auto"/>
        </w:rPr>
      </w:pPr>
    </w:p>
    <w:p>
      <w:pPr>
        <w:ind w:left="540" w:right="80" w:hanging="276"/>
        <w:spacing w:after="0" w:line="249"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Each $1.00 increase or decrease in the assumed public offering price of $73.22 per share, which is the last reported sale price of our common stock on the Nasdaq Global Select Market on December 4, 2020, would increase or decrease, as applicable, each of our as adjusted cash and cash equivalents, additional paid-in-capital, total stockholders’ equity and total capitalization by $1.9 million, assuming the number of shares offered by us, as set forth on the cover page of this prospectus, remains the same and after deducting the underwriting discounts and commissions and estimated offering expenses payable by us. Each increase or decrease of 1.0 million shares in the number of shares of common stock offered by us would increase or decrease, as applicable, each of our as adjusted cash and cash equivalents, additional paid-in capital, total stockholders’ equity and total capitalization by approximately $68.1 million, assuming the public offering price remains the same, and after deducting the underwriting discounts and commissions and estimated offering expenses payable by us.</w:t>
      </w:r>
    </w:p>
    <w:p>
      <w:pPr>
        <w:spacing w:after="0" w:line="112"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number of shares of our common stock to be outstanding after this offering, as adjusted in the table above, is based on 37,107,522 shares of our common stock outstanding as of September 30, 2020 and excludes:</w:t>
      </w:r>
    </w:p>
    <w:p>
      <w:pPr>
        <w:spacing w:after="0" w:line="133" w:lineRule="exact"/>
        <w:rPr>
          <w:sz w:val="20"/>
          <w:szCs w:val="20"/>
          <w:color w:val="auto"/>
        </w:rPr>
      </w:pPr>
    </w:p>
    <w:p>
      <w:pPr>
        <w:ind w:left="980" w:right="140" w:hanging="432"/>
        <w:spacing w:after="0" w:line="257" w:lineRule="auto"/>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4,751,589 shares of common stock, issuable upon exercise of options outstanding as of September 30, 2020, at a weighted-average exercise price of $8.09 per share;</w:t>
      </w:r>
    </w:p>
    <w:p>
      <w:pPr>
        <w:spacing w:after="0" w:line="1" w:lineRule="exact"/>
        <w:rPr>
          <w:rFonts w:ascii="MS PGothic" w:cs="MS PGothic" w:eastAsia="MS PGothic" w:hAnsi="MS PGothic"/>
          <w:sz w:val="13"/>
          <w:szCs w:val="13"/>
          <w:color w:val="auto"/>
        </w:rPr>
      </w:pPr>
    </w:p>
    <w:p>
      <w:pPr>
        <w:ind w:left="980" w:right="80" w:hanging="432"/>
        <w:spacing w:after="0" w:line="273" w:lineRule="auto"/>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57,200 shares of common stock issuable upon exercise of options granted after September 30, 2020, at a weighted-average exercise price of $49.57 per share;</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140"/>
          </w:cols>
          <w:pgMar w:left="320" w:top="455" w:right="4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980" w:right="20" w:hanging="432"/>
        <w:spacing w:after="0" w:line="244"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2,941,162 shares of common stock reserved for issuance pursuant to future awards under our Amended and Restated 2020 Equity Incentive Plan, or the 2020 Plan, as of September 30, 2020, plus any future increases in the number of shares of common stock reserved for issuance under our 2020 Plan pursuant to provisions thereof that automatically increase the share reserve under the plan each year; and</w:t>
      </w:r>
    </w:p>
    <w:p>
      <w:pPr>
        <w:spacing w:after="0" w:line="2" w:lineRule="exact"/>
        <w:rPr>
          <w:rFonts w:ascii="MS PGothic" w:cs="MS PGothic" w:eastAsia="MS PGothic" w:hAnsi="MS PGothic"/>
          <w:sz w:val="13"/>
          <w:szCs w:val="13"/>
          <w:color w:val="auto"/>
        </w:rPr>
      </w:pPr>
    </w:p>
    <w:p>
      <w:pPr>
        <w:ind w:left="980" w:hanging="432"/>
        <w:spacing w:after="0" w:line="252"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Employee Stock Purchase Plan, or the ESPP, plus any future increases in the number of shares of common stock reserved for issuance under the ESPP pursuant to provisions thereof that automatically increase the share reserve under the plan each year.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16"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immediately after this offering.</w:t>
      </w:r>
    </w:p>
    <w:p>
      <w:pPr>
        <w:spacing w:after="0" w:line="111"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Our historical net tangible book value as of September 30, 2020 was $252.0 million, or $6.79 per share of our common stock. Our historical net tangible book value per share is determined by dividing our total tangible assets less total liabilities by the actual number of outstanding shares of our common stock.</w:t>
      </w:r>
    </w:p>
    <w:p>
      <w:pPr>
        <w:spacing w:after="0" w:line="111"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After giving further effect to our sale of 2,000,000 shares of common stock in this offering at an assumed public offering price of $73.22 per share, which is the last reported sale price of our common stock on the Nasdaq Global Select Market on December 4, 2020, and after deducting the underwriting discounts and commissions and estimated offering expenses payable by us, our as adjusted net tangible book value as of September 30, 2020 would have been approximately $387.6 million, or approximately $9.91 per share. This represents an immediate increase in as adjusted net tangible book value of $3.12 per share to our existing stockholders and an immediate dilution in as adjusted net tangible book value of approximately $63.31 per share to new investors purchasing common stock in this offering. Dilution per share to new investors purchasing common stock in this offering is determined by subtracting as adjusted net tangible book value per share after this offering from the assumed public offering price per share paid by new investors.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9260" w:type="dxa"/>
            <w:vAlign w:val="bottom"/>
            <w:shd w:val="clear" w:color="auto" w:fill="CCEEFF"/>
          </w:tcPr>
          <w:p>
            <w:pPr>
              <w:spacing w:after="0"/>
              <w:rPr>
                <w:sz w:val="20"/>
                <w:szCs w:val="20"/>
                <w:color w:val="auto"/>
              </w:rPr>
            </w:pPr>
            <w:r>
              <w:rPr>
                <w:rFonts w:ascii="Arial" w:cs="Arial" w:eastAsia="Arial" w:hAnsi="Arial"/>
                <w:sz w:val="17"/>
                <w:szCs w:val="17"/>
                <w:color w:val="auto"/>
              </w:rPr>
              <w:t>Assumed public offering price per share</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73.22</w:t>
            </w:r>
          </w:p>
        </w:tc>
      </w:tr>
      <w:tr>
        <w:trPr>
          <w:trHeight w:val="189"/>
        </w:trPr>
        <w:tc>
          <w:tcPr>
            <w:tcW w:w="9260" w:type="dxa"/>
            <w:vAlign w:val="bottom"/>
          </w:tcPr>
          <w:p>
            <w:pPr>
              <w:ind w:left="500"/>
              <w:spacing w:after="0" w:line="189" w:lineRule="exact"/>
              <w:rPr>
                <w:sz w:val="20"/>
                <w:szCs w:val="20"/>
                <w:color w:val="auto"/>
              </w:rPr>
            </w:pPr>
            <w:r>
              <w:rPr>
                <w:rFonts w:ascii="Arial" w:cs="Arial" w:eastAsia="Arial" w:hAnsi="Arial"/>
                <w:sz w:val="17"/>
                <w:szCs w:val="17"/>
                <w:color w:val="auto"/>
              </w:rPr>
              <w:t>Historical net tangible book value per share as of September 30, 2020</w:t>
            </w:r>
          </w:p>
        </w:tc>
        <w:tc>
          <w:tcPr>
            <w:tcW w:w="8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w w:val="98"/>
              </w:rPr>
              <w:t>$6.79</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92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Increase in net tangible book value per share attributable to new investors in this offering</w:t>
            </w:r>
          </w:p>
        </w:tc>
        <w:tc>
          <w:tcPr>
            <w:tcW w:w="8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3.12</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9260" w:type="dxa"/>
            <w:vAlign w:val="bottom"/>
          </w:tcPr>
          <w:p>
            <w:pPr>
              <w:spacing w:after="0"/>
              <w:rPr>
                <w:sz w:val="20"/>
                <w:szCs w:val="20"/>
                <w:color w:val="auto"/>
              </w:rPr>
            </w:pPr>
            <w:r>
              <w:rPr>
                <w:rFonts w:ascii="Arial" w:cs="Arial" w:eastAsia="Arial" w:hAnsi="Arial"/>
                <w:sz w:val="17"/>
                <w:szCs w:val="17"/>
                <w:color w:val="auto"/>
              </w:rPr>
              <w:t>As adjusted net tangible book value per share after this offering</w:t>
            </w:r>
          </w:p>
        </w:tc>
        <w:tc>
          <w:tcPr>
            <w:tcW w:w="4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w:t>
            </w:r>
          </w:p>
        </w:tc>
        <w:tc>
          <w:tcPr>
            <w:tcW w:w="60" w:type="dxa"/>
            <w:vAlign w:val="bottom"/>
          </w:tcPr>
          <w:p>
            <w:pPr>
              <w:spacing w:after="0"/>
              <w:rPr>
                <w:sz w:val="17"/>
                <w:szCs w:val="17"/>
                <w:color w:val="auto"/>
              </w:rPr>
            </w:pPr>
          </w:p>
        </w:tc>
      </w:tr>
      <w:tr>
        <w:trPr>
          <w:trHeight w:val="189"/>
        </w:trPr>
        <w:tc>
          <w:tcPr>
            <w:tcW w:w="9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per share to new investors purchasing shares in this offering</w:t>
            </w:r>
          </w:p>
        </w:tc>
        <w:tc>
          <w:tcPr>
            <w:tcW w:w="110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63.31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3"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Each $1.00 increase or decrease in the assumed public offering price of $73.22 per share, which is the last reported sale price of our shares of common stock on the Nasdaq Global Select Market on December 4, 2020, would increase or decrease, as applicable, our as adjusted net tangible book value as of September 30, 2020 after this offering by approximately $1.9 million, or approximately $0.05 per share, and would decrease or increase, as applicable, dilution to investors in this offering by approximately $0.95 per share, assuming the number of shares offered by us, as set forth on the cover page of this prospectus, remains the same and after deducting the underwriting discounts and commissions and estimated offering expenses payable by us. We may also increase or decrease the number of shares we are offering. An increase or decrease of 1.0 million shares in the number of shares we are offering would increase or decrease, as applicable, our as adjusted net tangible book value as of September 30, 2020 after this offering by approximately $68.1 million, or approximately $1.45 per share or $1.53 per share, respectively, and would decrease or increase, as applicable, dilution to investors in this offering by approximately $1.45 per share or $1.53 per share, respectively, assuming that the assumed public offering price remains the same, and after deducting the underwriting discounts and commissions and estimated offering expenses payable by us.</w:t>
      </w:r>
    </w:p>
    <w:p>
      <w:pPr>
        <w:spacing w:after="0" w:line="127"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If the underwriters fully exercise their option to purchase additional shares at an assumed public offering price of $73.22 per share, which is the last reported sale price of our common stock on the Nasdaq Global Select Market on December 4, 2020, as adjusted net tangible book value after this offering would increase to approximately $10.35 per share, and there would be an immediate dilution of approximately $62.87 per share to new investors.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40"/>
          </w:cols>
          <w:pgMar w:left="320" w:top="455" w:right="4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40"/>
        <w:spacing w:after="0" w:line="242" w:lineRule="auto"/>
        <w:rPr>
          <w:sz w:val="20"/>
          <w:szCs w:val="20"/>
          <w:color w:val="auto"/>
        </w:rPr>
      </w:pPr>
      <w:r>
        <w:rPr>
          <w:rFonts w:ascii="Arial" w:cs="Arial" w:eastAsia="Arial" w:hAnsi="Arial"/>
          <w:sz w:val="17"/>
          <w:szCs w:val="17"/>
          <w:color w:val="auto"/>
        </w:rPr>
        <w:t>The following table summarizes, on an as adjusted basis, as of September 30, 2020, the difference between the number of shares of common stock purchased from us, the total consideration paid, and the weighted-average price per share paid, by existing stockholders and by new investors in this offering, at an assumed public offering price of $73.22 per share, which is the last reported sale price of our shares of common stock on The Nasdaq Global Select Market on December 4, 2020, and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26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SHARES PURCHASED</w:t>
            </w:r>
          </w:p>
        </w:tc>
        <w:tc>
          <w:tcPr>
            <w:tcW w:w="180" w:type="dxa"/>
            <w:vAlign w:val="bottom"/>
          </w:tcPr>
          <w:p>
            <w:pPr>
              <w:spacing w:after="0"/>
              <w:rPr>
                <w:sz w:val="14"/>
                <w:szCs w:val="14"/>
                <w:color w:val="auto"/>
              </w:rPr>
            </w:pPr>
          </w:p>
        </w:tc>
        <w:tc>
          <w:tcPr>
            <w:tcW w:w="242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TOTAL CONSIDERATION</w:t>
            </w:r>
          </w:p>
        </w:tc>
        <w:tc>
          <w:tcPr>
            <w:tcW w:w="160" w:type="dxa"/>
            <w:vAlign w:val="bottom"/>
          </w:tcPr>
          <w:p>
            <w:pPr>
              <w:spacing w:after="0"/>
              <w:rPr>
                <w:sz w:val="14"/>
                <w:szCs w:val="14"/>
                <w:color w:val="auto"/>
              </w:rPr>
            </w:pPr>
          </w:p>
        </w:tc>
        <w:tc>
          <w:tcPr>
            <w:tcW w:w="92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83"/>
        </w:trPr>
        <w:tc>
          <w:tcPr>
            <w:tcW w:w="5080" w:type="dxa"/>
            <w:vAlign w:val="bottom"/>
          </w:tcPr>
          <w:p>
            <w:pPr>
              <w:spacing w:after="0"/>
              <w:rPr>
                <w:sz w:val="7"/>
                <w:szCs w:val="7"/>
                <w:color w:val="auto"/>
              </w:rPr>
            </w:pPr>
          </w:p>
        </w:tc>
        <w:tc>
          <w:tcPr>
            <w:tcW w:w="226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59"/>
        </w:trPr>
        <w:tc>
          <w:tcPr>
            <w:tcW w:w="508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508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PERCENT</w:t>
            </w:r>
          </w:p>
        </w:tc>
        <w:tc>
          <w:tcPr>
            <w:tcW w:w="180" w:type="dxa"/>
            <w:vAlign w:val="bottom"/>
          </w:tcPr>
          <w:p>
            <w:pPr>
              <w:spacing w:after="0"/>
              <w:rPr>
                <w:sz w:val="15"/>
                <w:szCs w:val="15"/>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PERCENT</w:t>
            </w:r>
          </w:p>
        </w:tc>
        <w:tc>
          <w:tcPr>
            <w:tcW w:w="16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50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Existing stockholders before this offering</w:t>
            </w:r>
          </w:p>
        </w:tc>
        <w:tc>
          <w:tcPr>
            <w:tcW w:w="9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80" w:type="dxa"/>
            <w:vAlign w:val="bottom"/>
            <w:vMerge w:val="continue"/>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37,107,522</w:t>
            </w:r>
          </w:p>
        </w:tc>
        <w:tc>
          <w:tcPr>
            <w:tcW w:w="360" w:type="dxa"/>
            <w:vAlign w:val="bottom"/>
            <w:vMerge w:val="continue"/>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color w:val="auto"/>
              </w:rPr>
              <w:t>94.9%</w:t>
            </w:r>
          </w:p>
        </w:tc>
        <w:tc>
          <w:tcPr>
            <w:tcW w:w="180" w:type="dxa"/>
            <w:vAlign w:val="bottom"/>
            <w:vMerge w:val="continue"/>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$362,770,656</w:t>
            </w:r>
          </w:p>
        </w:tc>
        <w:tc>
          <w:tcPr>
            <w:tcW w:w="360" w:type="dxa"/>
            <w:vAlign w:val="bottom"/>
            <w:vMerge w:val="continue"/>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color w:val="auto"/>
              </w:rPr>
              <w:t>71.2%</w:t>
            </w:r>
          </w:p>
        </w:tc>
        <w:tc>
          <w:tcPr>
            <w:tcW w:w="1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9.78</w:t>
            </w:r>
          </w:p>
        </w:tc>
        <w:tc>
          <w:tcPr>
            <w:tcW w:w="0" w:type="dxa"/>
            <w:vAlign w:val="bottom"/>
          </w:tcPr>
          <w:p>
            <w:pPr>
              <w:spacing w:after="0"/>
              <w:rPr>
                <w:sz w:val="1"/>
                <w:szCs w:val="1"/>
                <w:color w:val="auto"/>
              </w:rPr>
            </w:pPr>
          </w:p>
        </w:tc>
      </w:tr>
      <w:tr>
        <w:trPr>
          <w:trHeight w:val="189"/>
        </w:trPr>
        <w:tc>
          <w:tcPr>
            <w:tcW w:w="5080" w:type="dxa"/>
            <w:vAlign w:val="bottom"/>
          </w:tcPr>
          <w:p>
            <w:pPr>
              <w:spacing w:after="0" w:line="189" w:lineRule="exact"/>
              <w:rPr>
                <w:sz w:val="20"/>
                <w:szCs w:val="20"/>
                <w:color w:val="auto"/>
              </w:rPr>
            </w:pPr>
            <w:r>
              <w:rPr>
                <w:rFonts w:ascii="Arial" w:cs="Arial" w:eastAsia="Arial" w:hAnsi="Arial"/>
                <w:sz w:val="17"/>
                <w:szCs w:val="17"/>
                <w:color w:val="auto"/>
              </w:rPr>
              <w:t>Investors participating in this offering</w:t>
            </w:r>
          </w:p>
        </w:tc>
        <w:tc>
          <w:tcPr>
            <w:tcW w:w="12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2,000,000</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5.1</w:t>
            </w:r>
          </w:p>
        </w:tc>
        <w:tc>
          <w:tcPr>
            <w:tcW w:w="160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146,440,000</w:t>
            </w:r>
          </w:p>
        </w:tc>
        <w:tc>
          <w:tcPr>
            <w:tcW w:w="10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28.8</w:t>
            </w:r>
          </w:p>
        </w:tc>
        <w:tc>
          <w:tcPr>
            <w:tcW w:w="32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73.22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0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w:t>
            </w:r>
          </w:p>
        </w:tc>
        <w:tc>
          <w:tcPr>
            <w:tcW w:w="12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39,107,522</w:t>
            </w:r>
          </w:p>
        </w:tc>
        <w:tc>
          <w:tcPr>
            <w:tcW w:w="10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100%</w:t>
            </w:r>
          </w:p>
        </w:tc>
        <w:tc>
          <w:tcPr>
            <w:tcW w:w="16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509,210,656</w:t>
            </w:r>
          </w:p>
        </w:tc>
        <w:tc>
          <w:tcPr>
            <w:tcW w:w="10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0" w:right="40"/>
        <w:spacing w:after="0"/>
        <w:rPr>
          <w:sz w:val="20"/>
          <w:szCs w:val="20"/>
          <w:color w:val="auto"/>
        </w:rPr>
      </w:pPr>
      <w:r>
        <w:rPr>
          <w:rFonts w:ascii="Arial" w:cs="Arial" w:eastAsia="Arial" w:hAnsi="Arial"/>
          <w:sz w:val="17"/>
          <w:szCs w:val="17"/>
          <w:color w:val="auto"/>
        </w:rPr>
        <w:t>The dilution information discussed above is illustrative only and will change based on the actual offering price, the number of shares we sell and other terms of this offering that will be determined at pricing. The table above assumes no exercise of the underwriters’ option to purchase additional shares in this offering. If the underwriters’ option to purchase additional shares is exercised in full, the number of shares of our common stock held by existing stockholders would be reduced to 94.2% of the total number of shares of our common stock outstanding after this offering, and the number of shares of common stock held by new investors participating in the offering would be increased to 5.8% of the total number of shares outstanding after this offering.</w:t>
      </w:r>
    </w:p>
    <w:p>
      <w:pPr>
        <w:spacing w:after="0" w:line="123" w:lineRule="exact"/>
        <w:rPr>
          <w:sz w:val="20"/>
          <w:szCs w:val="20"/>
          <w:color w:val="auto"/>
        </w:rPr>
      </w:pPr>
    </w:p>
    <w:p>
      <w:pPr>
        <w:ind w:left="120" w:right="520"/>
        <w:spacing w:after="0" w:line="275" w:lineRule="auto"/>
        <w:rPr>
          <w:sz w:val="20"/>
          <w:szCs w:val="20"/>
          <w:color w:val="auto"/>
        </w:rPr>
      </w:pPr>
      <w:r>
        <w:rPr>
          <w:rFonts w:ascii="Arial" w:cs="Arial" w:eastAsia="Arial" w:hAnsi="Arial"/>
          <w:sz w:val="17"/>
          <w:szCs w:val="17"/>
          <w:color w:val="auto"/>
        </w:rPr>
        <w:t>The foregoing tables and calculations (other than the historical net tangible book value calculations) are based on 37,107,522 shares of our common stock outstanding as of September 30, 2020, and excludes:</w:t>
      </w:r>
    </w:p>
    <w:p>
      <w:pPr>
        <w:spacing w:after="0" w:line="133" w:lineRule="exact"/>
        <w:rPr>
          <w:sz w:val="20"/>
          <w:szCs w:val="20"/>
          <w:color w:val="auto"/>
        </w:rPr>
      </w:pPr>
    </w:p>
    <w:p>
      <w:pPr>
        <w:ind w:left="980" w:right="140" w:hanging="432"/>
        <w:spacing w:after="0" w:line="257"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4,751,589 shares of common stock, issuable upon exercise of options outstanding as of September 30, 2020, at a weighted-average exercise price of $8.09 per share;</w:t>
      </w:r>
    </w:p>
    <w:p>
      <w:pPr>
        <w:spacing w:after="0" w:line="1" w:lineRule="exact"/>
        <w:rPr>
          <w:rFonts w:ascii="MS PGothic" w:cs="MS PGothic" w:eastAsia="MS PGothic" w:hAnsi="MS PGothic"/>
          <w:sz w:val="13"/>
          <w:szCs w:val="13"/>
          <w:color w:val="auto"/>
        </w:rPr>
      </w:pPr>
    </w:p>
    <w:p>
      <w:pPr>
        <w:ind w:left="980" w:right="80" w:hanging="432"/>
        <w:spacing w:after="0" w:line="256"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57,200 shares of common stock issuable upon exercise of options granted after September 30, 2020, at a weighted-average exercise price of $49.57 per share;</w:t>
      </w:r>
    </w:p>
    <w:p>
      <w:pPr>
        <w:spacing w:after="0" w:line="1" w:lineRule="exact"/>
        <w:rPr>
          <w:rFonts w:ascii="MS PGothic" w:cs="MS PGothic" w:eastAsia="MS PGothic" w:hAnsi="MS PGothic"/>
          <w:sz w:val="13"/>
          <w:szCs w:val="13"/>
          <w:color w:val="auto"/>
        </w:rPr>
      </w:pPr>
    </w:p>
    <w:p>
      <w:pPr>
        <w:jc w:val="both"/>
        <w:ind w:left="980" w:right="80" w:hanging="432"/>
        <w:spacing w:after="0" w:line="248"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2,941,162 shares of common stock reserved for issuance pursuant to future awards under our 2020 Plan, as of September 30, 2020, plus any future increases in the number of shares of common stock reserved for issuance under our 2020 Plan pursuant to provisions thereof that automatically increase the share reserve under the plan each year; and</w:t>
      </w:r>
    </w:p>
    <w:p>
      <w:pPr>
        <w:spacing w:after="0" w:line="1" w:lineRule="exact"/>
        <w:rPr>
          <w:rFonts w:ascii="MS PGothic" w:cs="MS PGothic" w:eastAsia="MS PGothic" w:hAnsi="MS PGothic"/>
          <w:sz w:val="13"/>
          <w:szCs w:val="13"/>
          <w:color w:val="auto"/>
        </w:rPr>
      </w:pPr>
    </w:p>
    <w:p>
      <w:pPr>
        <w:ind w:left="980" w:right="200" w:hanging="432"/>
        <w:spacing w:after="0" w:line="252"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ESPP, plus any future increases in the number of shares of common stock reserved for issuance under the ESPP pursuant to provisions thereof that automatically increase the share reserve under the plan each year.</w:t>
      </w:r>
    </w:p>
    <w:p>
      <w:pPr>
        <w:spacing w:after="0" w:line="112"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To the extent that any outstanding options are exercised or new options are issued under the equity benefit plans, or we issue additional shares of common stock or convertible securities in the future, there will be further dilution to investors participating in this offering.</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140"/>
          </w:cols>
          <w:pgMar w:left="320" w:top="455" w:right="4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16"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The following tables set forth our selected consolidated financial data for the periods and as of the dates indicated. We derived our consolidated statements of operations and comprehensive loss data for the years ended December 31, 2018 and December 31, 2019, and our consolidated balance sheet data as of December 31, 2018 and December 31, 2019, from our audited consolidated financial statements included elsewhere in this prospectus. The consolidated statements of operations and comprehensive loss data for the nine months ended September 30, 2019 and September 30, 2020, and the consolidated balance sheet data as of September 30, 2020 have been derived from our unaudited interim condensed consolidated financial statements included elsewhere in this prospectus. In our opinion, these unaudited interim condensed consolidated financial statements have been prepared on a basis consistent with our audited consolidated financial statements and contain all adjustments, consisting only of normal and recurring adjustments, necessary for a fair presentation of such consolidated financial data. Our historical results are not necessarily indicative of the results that may be expected in the future. You should read the following selected consolidated financial data in conjunction with our consolidated financial statements and related notes included elsewhere in this prospectus and the information in the section titled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23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Operations and Comprehensive Loss</w:t>
            </w:r>
          </w:p>
        </w:tc>
        <w:tc>
          <w:tcPr>
            <w:tcW w:w="120" w:type="dxa"/>
            <w:vAlign w:val="bottom"/>
          </w:tcPr>
          <w:p>
            <w:pPr>
              <w:spacing w:after="0"/>
              <w:rPr>
                <w:sz w:val="15"/>
                <w:szCs w:val="15"/>
                <w:color w:val="auto"/>
              </w:rPr>
            </w:pPr>
          </w:p>
        </w:tc>
        <w:tc>
          <w:tcPr>
            <w:tcW w:w="2500" w:type="dxa"/>
            <w:vAlign w:val="bottom"/>
            <w:gridSpan w:val="7"/>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2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7"/>
        </w:trPr>
        <w:tc>
          <w:tcPr>
            <w:tcW w:w="598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598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gridSpan w:val="11"/>
          </w:tcPr>
          <w:p>
            <w:pPr>
              <w:jc w:val="right"/>
              <w:spacing w:after="0" w:line="141" w:lineRule="exact"/>
              <w:rPr>
                <w:sz w:val="20"/>
                <w:szCs w:val="20"/>
                <w:color w:val="auto"/>
              </w:rPr>
            </w:pPr>
            <w:r>
              <w:rPr>
                <w:rFonts w:ascii="Arial" w:cs="Arial" w:eastAsia="Arial" w:hAnsi="Arial"/>
                <w:sz w:val="14"/>
                <w:szCs w:val="14"/>
                <w:b w:val="1"/>
                <w:bCs w:val="1"/>
                <w:color w:val="auto"/>
              </w:rPr>
              <w:t>(in thousands, except share and per share amounts)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2,067</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4,796</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3,583</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1,182</w:t>
            </w:r>
          </w:p>
        </w:tc>
        <w:tc>
          <w:tcPr>
            <w:tcW w:w="0" w:type="dxa"/>
            <w:vAlign w:val="bottom"/>
          </w:tcPr>
          <w:p>
            <w:pPr>
              <w:spacing w:after="0"/>
              <w:rPr>
                <w:sz w:val="1"/>
                <w:szCs w:val="1"/>
                <w:color w:val="auto"/>
              </w:rPr>
            </w:pP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000"/>
              <w:spacing w:after="0" w:line="189" w:lineRule="exact"/>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11,270</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16,306</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9,571</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16,819</w:t>
            </w:r>
          </w:p>
        </w:tc>
        <w:tc>
          <w:tcPr>
            <w:tcW w:w="0" w:type="dxa"/>
            <w:vAlign w:val="bottom"/>
          </w:tcPr>
          <w:p>
            <w:pPr>
              <w:spacing w:after="0"/>
              <w:rPr>
                <w:sz w:val="1"/>
                <w:szCs w:val="1"/>
                <w:color w:val="auto"/>
              </w:rPr>
            </w:pPr>
          </w:p>
        </w:tc>
      </w:tr>
      <w:tr>
        <w:trPr>
          <w:trHeight w:val="189"/>
        </w:trPr>
        <w:tc>
          <w:tcPr>
            <w:tcW w:w="5980" w:type="dxa"/>
            <w:vAlign w:val="bottom"/>
          </w:tcPr>
          <w:p>
            <w:pPr>
              <w:ind w:left="1000"/>
              <w:spacing w:after="0" w:line="189" w:lineRule="exact"/>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6"/>
                <w:szCs w:val="16"/>
                <w:color w:val="auto"/>
              </w:rPr>
            </w:pPr>
          </w:p>
        </w:tc>
        <w:tc>
          <w:tcPr>
            <w:tcW w:w="1020" w:type="dxa"/>
            <w:vAlign w:val="bottom"/>
            <w:gridSpan w:val="3"/>
          </w:tcPr>
          <w:p>
            <w:pPr>
              <w:jc w:val="right"/>
              <w:ind w:right="260"/>
              <w:spacing w:after="0" w:line="189" w:lineRule="exact"/>
              <w:rPr>
                <w:sz w:val="20"/>
                <w:szCs w:val="20"/>
                <w:color w:val="auto"/>
              </w:rPr>
            </w:pPr>
            <w:r>
              <w:rPr>
                <w:rFonts w:ascii="Arial" w:cs="Arial" w:eastAsia="Arial" w:hAnsi="Arial"/>
                <w:sz w:val="17"/>
                <w:szCs w:val="17"/>
                <w:color w:val="auto"/>
              </w:rPr>
              <w:t>2,601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3,313</w:t>
            </w:r>
          </w:p>
        </w:tc>
        <w:tc>
          <w:tcPr>
            <w:tcW w:w="120" w:type="dxa"/>
            <w:vAlign w:val="bottom"/>
          </w:tcPr>
          <w:p>
            <w:pPr>
              <w:spacing w:after="0"/>
              <w:rPr>
                <w:sz w:val="16"/>
                <w:szCs w:val="16"/>
                <w:color w:val="auto"/>
              </w:rPr>
            </w:pPr>
          </w:p>
        </w:tc>
        <w:tc>
          <w:tcPr>
            <w:tcW w:w="12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2,205</w:t>
            </w:r>
          </w:p>
        </w:tc>
        <w:tc>
          <w:tcPr>
            <w:tcW w:w="300" w:type="dxa"/>
            <w:vAlign w:val="bottom"/>
          </w:tcPr>
          <w:p>
            <w:pPr>
              <w:spacing w:after="0"/>
              <w:rPr>
                <w:sz w:val="16"/>
                <w:szCs w:val="16"/>
                <w:color w:val="auto"/>
              </w:rPr>
            </w:pPr>
          </w:p>
        </w:tc>
        <w:tc>
          <w:tcPr>
            <w:tcW w:w="7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9,126</w:t>
            </w: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ind w:left="10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1,880</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4,360</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3,257</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03"/>
        </w:trPr>
        <w:tc>
          <w:tcPr>
            <w:tcW w:w="5980" w:type="dxa"/>
            <w:vAlign w:val="bottom"/>
          </w:tcPr>
          <w:p>
            <w:pPr>
              <w:ind w:left="1500"/>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4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15,033</w:t>
            </w:r>
          </w:p>
        </w:tc>
        <w:tc>
          <w:tcPr>
            <w:tcW w:w="4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(13,684)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(19,183)</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(11,450)</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(25,838)</w:t>
            </w:r>
          </w:p>
        </w:tc>
        <w:tc>
          <w:tcPr>
            <w:tcW w:w="0" w:type="dxa"/>
            <w:vAlign w:val="bottom"/>
          </w:tcPr>
          <w:p>
            <w:pPr>
              <w:spacing w:after="0"/>
              <w:rPr>
                <w:sz w:val="1"/>
                <w:szCs w:val="1"/>
                <w:color w:val="auto"/>
              </w:rPr>
            </w:pPr>
          </w:p>
        </w:tc>
      </w:tr>
      <w:tr>
        <w:trPr>
          <w:trHeight w:val="196"/>
        </w:trPr>
        <w:tc>
          <w:tcPr>
            <w:tcW w:w="5980" w:type="dxa"/>
            <w:vAlign w:val="bottom"/>
          </w:tcPr>
          <w:p>
            <w:pPr>
              <w:ind w:left="500"/>
              <w:spacing w:after="0"/>
              <w:rPr>
                <w:sz w:val="20"/>
                <w:szCs w:val="20"/>
                <w:color w:val="auto"/>
              </w:rPr>
            </w:pPr>
            <w:r>
              <w:rPr>
                <w:rFonts w:ascii="Arial" w:cs="Arial" w:eastAsia="Arial" w:hAnsi="Arial"/>
                <w:sz w:val="17"/>
                <w:szCs w:val="17"/>
                <w:color w:val="auto"/>
              </w:rPr>
              <w:t>Interest expense</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(4)</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196"/>
        </w:trPr>
        <w:tc>
          <w:tcPr>
            <w:tcW w:w="5980" w:type="dxa"/>
            <w:vAlign w:val="bottom"/>
          </w:tcPr>
          <w:p>
            <w:pPr>
              <w:ind w:left="500"/>
              <w:spacing w:after="0"/>
              <w:rPr>
                <w:sz w:val="20"/>
                <w:szCs w:val="20"/>
                <w:color w:val="auto"/>
              </w:rPr>
            </w:pPr>
            <w:r>
              <w:rPr>
                <w:rFonts w:ascii="Arial" w:cs="Arial" w:eastAsia="Arial" w:hAnsi="Arial"/>
                <w:sz w:val="17"/>
                <w:szCs w:val="17"/>
                <w:color w:val="auto"/>
              </w:rPr>
              <w:t>Loss before income taxes</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(13,686)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(19,209)</w:t>
            </w: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(11,454)</w:t>
            </w:r>
          </w:p>
        </w:tc>
        <w:tc>
          <w:tcPr>
            <w:tcW w:w="4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(26,907)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(45)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(25)</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96"/>
        </w:trPr>
        <w:tc>
          <w:tcPr>
            <w:tcW w:w="5980" w:type="dxa"/>
            <w:vAlign w:val="bottom"/>
          </w:tcPr>
          <w:p>
            <w:pPr>
              <w:ind w:left="500"/>
              <w:spacing w:after="0"/>
              <w:rPr>
                <w:sz w:val="20"/>
                <w:szCs w:val="20"/>
                <w:color w:val="auto"/>
              </w:rPr>
            </w:pPr>
            <w:r>
              <w:rPr>
                <w:rFonts w:ascii="Arial" w:cs="Arial" w:eastAsia="Arial" w:hAnsi="Arial"/>
                <w:sz w:val="17"/>
                <w:szCs w:val="17"/>
                <w:color w:val="auto"/>
              </w:rPr>
              <w:t>Net loss and comprehensive loss</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(13,731)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(19,243)</w:t>
            </w:r>
          </w:p>
        </w:tc>
        <w:tc>
          <w:tcPr>
            <w:tcW w:w="4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(11,479)</w:t>
            </w:r>
          </w:p>
        </w:tc>
        <w:tc>
          <w:tcPr>
            <w:tcW w:w="4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(26,966)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120" w:type="dxa"/>
            <w:vAlign w:val="bottom"/>
            <w:shd w:val="clear" w:color="auto" w:fill="CCEEFF"/>
          </w:tcPr>
          <w:p>
            <w:pPr>
              <w:spacing w:after="0"/>
              <w:rPr>
                <w:sz w:val="16"/>
                <w:szCs w:val="16"/>
                <w:color w:val="auto"/>
              </w:rPr>
            </w:pPr>
          </w:p>
        </w:tc>
        <w:tc>
          <w:tcPr>
            <w:tcW w:w="1020" w:type="dxa"/>
            <w:vAlign w:val="bottom"/>
            <w:gridSpan w:val="3"/>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(3,671)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(4,028)</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(2,957)</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(5,202)</w:t>
            </w:r>
          </w:p>
        </w:tc>
        <w:tc>
          <w:tcPr>
            <w:tcW w:w="0" w:type="dxa"/>
            <w:vAlign w:val="bottom"/>
          </w:tcPr>
          <w:p>
            <w:pPr>
              <w:spacing w:after="0"/>
              <w:rPr>
                <w:sz w:val="1"/>
                <w:szCs w:val="1"/>
                <w:color w:val="auto"/>
              </w:rPr>
            </w:pPr>
          </w:p>
        </w:tc>
      </w:tr>
      <w:tr>
        <w:trPr>
          <w:trHeight w:val="196"/>
        </w:trPr>
        <w:tc>
          <w:tcPr>
            <w:tcW w:w="5980" w:type="dxa"/>
            <w:vAlign w:val="bottom"/>
          </w:tcPr>
          <w:p>
            <w:pPr>
              <w:ind w:left="500"/>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(17,402</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(23,271</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(14,436</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(32,168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98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Net loss per share attributable to common stockholders, basic and</w:t>
            </w:r>
          </w:p>
        </w:tc>
        <w:tc>
          <w:tcPr>
            <w:tcW w:w="120" w:type="dxa"/>
            <w:vAlign w:val="bottom"/>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020" w:type="dxa"/>
            <w:vAlign w:val="bottom"/>
            <w:gridSpan w:val="3"/>
            <w:vMerge w:val="restart"/>
            <w:shd w:val="clear" w:color="auto" w:fill="CCEEFF"/>
          </w:tcPr>
          <w:p>
            <w:pPr>
              <w:jc w:val="right"/>
              <w:ind w:right="200"/>
              <w:spacing w:after="0" w:line="187" w:lineRule="exact"/>
              <w:rPr>
                <w:sz w:val="20"/>
                <w:szCs w:val="20"/>
                <w:color w:val="auto"/>
              </w:rPr>
            </w:pPr>
            <w:r>
              <w:rPr>
                <w:rFonts w:ascii="Arial" w:cs="Arial" w:eastAsia="Arial" w:hAnsi="Arial"/>
                <w:sz w:val="17"/>
                <w:szCs w:val="17"/>
                <w:color w:val="auto"/>
              </w:rPr>
              <w:t>(6.33)</w:t>
            </w:r>
          </w:p>
        </w:tc>
        <w:tc>
          <w:tcPr>
            <w:tcW w:w="280" w:type="dxa"/>
            <w:vAlign w:val="bottom"/>
            <w:gridSpan w:val="2"/>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200" w:type="dxa"/>
            <w:vAlign w:val="bottom"/>
            <w:gridSpan w:val="2"/>
            <w:vMerge w:val="restart"/>
            <w:shd w:val="clear" w:color="auto" w:fill="CCEEFF"/>
          </w:tcPr>
          <w:p>
            <w:pPr>
              <w:jc w:val="right"/>
              <w:ind w:right="280"/>
              <w:spacing w:after="0" w:line="187" w:lineRule="exact"/>
              <w:rPr>
                <w:sz w:val="20"/>
                <w:szCs w:val="20"/>
                <w:color w:val="auto"/>
              </w:rPr>
            </w:pPr>
            <w:r>
              <w:rPr>
                <w:rFonts w:ascii="Arial" w:cs="Arial" w:eastAsia="Arial" w:hAnsi="Arial"/>
                <w:sz w:val="17"/>
                <w:szCs w:val="17"/>
                <w:color w:val="auto"/>
              </w:rPr>
              <w:t>(7.56)</w:t>
            </w:r>
          </w:p>
        </w:tc>
        <w:tc>
          <w:tcPr>
            <w:tcW w:w="120" w:type="dxa"/>
            <w:vAlign w:val="bottom"/>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220" w:type="dxa"/>
            <w:vAlign w:val="bottom"/>
            <w:gridSpan w:val="2"/>
            <w:vMerge w:val="restart"/>
            <w:shd w:val="clear" w:color="auto" w:fill="CCEEFF"/>
          </w:tcPr>
          <w:p>
            <w:pPr>
              <w:jc w:val="right"/>
              <w:ind w:right="320"/>
              <w:spacing w:after="0" w:line="187" w:lineRule="exact"/>
              <w:rPr>
                <w:sz w:val="20"/>
                <w:szCs w:val="20"/>
                <w:color w:val="auto"/>
              </w:rPr>
            </w:pPr>
            <w:r>
              <w:rPr>
                <w:rFonts w:ascii="Arial" w:cs="Arial" w:eastAsia="Arial" w:hAnsi="Arial"/>
                <w:sz w:val="17"/>
                <w:szCs w:val="17"/>
                <w:color w:val="auto"/>
              </w:rPr>
              <w:t>(4.72)</w:t>
            </w:r>
          </w:p>
        </w:tc>
        <w:tc>
          <w:tcPr>
            <w:tcW w:w="30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32"/>
        </w:trPr>
        <w:tc>
          <w:tcPr>
            <w:tcW w:w="5980" w:type="dxa"/>
            <w:vAlign w:val="bottom"/>
            <w:shd w:val="clear" w:color="auto" w:fill="CCEEFF"/>
          </w:tcPr>
          <w:p>
            <w:pPr>
              <w:ind w:left="240"/>
              <w:spacing w:after="0" w:line="32" w:lineRule="exact"/>
              <w:rPr>
                <w:sz w:val="20"/>
                <w:szCs w:val="20"/>
                <w:color w:val="auto"/>
              </w:rPr>
            </w:pPr>
            <w:r>
              <w:rPr>
                <w:rFonts w:ascii="Arial" w:cs="Arial" w:eastAsia="Arial" w:hAnsi="Arial"/>
                <w:sz w:val="3"/>
                <w:szCs w:val="3"/>
                <w:color w:val="auto"/>
              </w:rPr>
              <w:t>diluted</w:t>
            </w:r>
          </w:p>
        </w:tc>
        <w:tc>
          <w:tcPr>
            <w:tcW w:w="120" w:type="dxa"/>
            <w:vAlign w:val="bottom"/>
            <w:vMerge w:val="continue"/>
            <w:shd w:val="clear" w:color="auto" w:fill="CCEEFF"/>
          </w:tcPr>
          <w:p>
            <w:pPr>
              <w:spacing w:after="0"/>
              <w:rPr>
                <w:sz w:val="2"/>
                <w:szCs w:val="2"/>
                <w:color w:val="auto"/>
              </w:rPr>
            </w:pPr>
          </w:p>
        </w:tc>
        <w:tc>
          <w:tcPr>
            <w:tcW w:w="1020" w:type="dxa"/>
            <w:vAlign w:val="bottom"/>
            <w:gridSpan w:val="3"/>
            <w:vMerge w:val="continue"/>
            <w:shd w:val="clear" w:color="auto" w:fill="CCEEFF"/>
          </w:tcPr>
          <w:p>
            <w:pPr>
              <w:spacing w:after="0"/>
              <w:rPr>
                <w:sz w:val="2"/>
                <w:szCs w:val="2"/>
                <w:color w:val="auto"/>
              </w:rPr>
            </w:pPr>
          </w:p>
        </w:tc>
        <w:tc>
          <w:tcPr>
            <w:tcW w:w="280" w:type="dxa"/>
            <w:vAlign w:val="bottom"/>
            <w:gridSpan w:val="2"/>
            <w:vMerge w:val="continue"/>
            <w:shd w:val="clear" w:color="auto" w:fill="CCEEFF"/>
          </w:tcPr>
          <w:p>
            <w:pPr>
              <w:spacing w:after="0"/>
              <w:rPr>
                <w:sz w:val="2"/>
                <w:szCs w:val="2"/>
                <w:color w:val="auto"/>
              </w:rPr>
            </w:pPr>
          </w:p>
        </w:tc>
        <w:tc>
          <w:tcPr>
            <w:tcW w:w="1200" w:type="dxa"/>
            <w:vAlign w:val="bottom"/>
            <w:gridSpan w:val="2"/>
            <w:vMerge w:val="continue"/>
            <w:shd w:val="clear" w:color="auto" w:fill="CCEEFF"/>
          </w:tcPr>
          <w:p>
            <w:pPr>
              <w:spacing w:after="0"/>
              <w:rPr>
                <w:sz w:val="2"/>
                <w:szCs w:val="2"/>
                <w:color w:val="auto"/>
              </w:rPr>
            </w:pPr>
          </w:p>
        </w:tc>
        <w:tc>
          <w:tcPr>
            <w:tcW w:w="120" w:type="dxa"/>
            <w:vAlign w:val="bottom"/>
            <w:vMerge w:val="continue"/>
            <w:shd w:val="clear" w:color="auto" w:fill="CCEEFF"/>
          </w:tcPr>
          <w:p>
            <w:pPr>
              <w:spacing w:after="0"/>
              <w:rPr>
                <w:sz w:val="2"/>
                <w:szCs w:val="2"/>
                <w:color w:val="auto"/>
              </w:rPr>
            </w:pPr>
          </w:p>
        </w:tc>
        <w:tc>
          <w:tcPr>
            <w:tcW w:w="1220" w:type="dxa"/>
            <w:vAlign w:val="bottom"/>
            <w:gridSpan w:val="2"/>
            <w:vMerge w:val="continue"/>
            <w:shd w:val="clear" w:color="auto" w:fill="CCEEFF"/>
          </w:tcPr>
          <w:p>
            <w:pPr>
              <w:spacing w:after="0"/>
              <w:rPr>
                <w:sz w:val="2"/>
                <w:szCs w:val="2"/>
                <w:color w:val="auto"/>
              </w:rPr>
            </w:pPr>
          </w:p>
        </w:tc>
        <w:tc>
          <w:tcPr>
            <w:tcW w:w="300" w:type="dxa"/>
            <w:vAlign w:val="bottom"/>
            <w:vMerge w:val="continue"/>
            <w:shd w:val="clear" w:color="auto" w:fill="CCEEFF"/>
          </w:tcPr>
          <w:p>
            <w:pPr>
              <w:spacing w:after="0"/>
              <w:rPr>
                <w:sz w:val="2"/>
                <w:szCs w:val="2"/>
                <w:color w:val="auto"/>
              </w:rPr>
            </w:pPr>
          </w:p>
        </w:tc>
        <w:tc>
          <w:tcPr>
            <w:tcW w:w="780" w:type="dxa"/>
            <w:vAlign w:val="bottom"/>
            <w:gridSpan w:val="2"/>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5980" w:type="dxa"/>
            <w:vAlign w:val="bottom"/>
            <w:shd w:val="clear" w:color="auto" w:fill="CCEEFF"/>
          </w:tcPr>
          <w:p>
            <w:pPr>
              <w:ind w:left="760"/>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500"/>
              <w:spacing w:after="0"/>
              <w:rPr>
                <w:sz w:val="20"/>
                <w:szCs w:val="20"/>
                <w:color w:val="auto"/>
              </w:rPr>
            </w:pPr>
            <w:r>
              <w:rPr>
                <w:rFonts w:ascii="Arial" w:cs="Arial" w:eastAsia="Arial" w:hAnsi="Arial"/>
                <w:sz w:val="17"/>
                <w:szCs w:val="17"/>
                <w:color w:val="auto"/>
              </w:rPr>
              <w:t>Weighted-average shares used to compute net loss per share</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760"/>
              <w:spacing w:after="0"/>
              <w:rPr>
                <w:sz w:val="20"/>
                <w:szCs w:val="20"/>
                <w:color w:val="auto"/>
              </w:rPr>
            </w:pPr>
            <w:r>
              <w:rPr>
                <w:rFonts w:ascii="Arial" w:cs="Arial" w:eastAsia="Arial" w:hAnsi="Arial"/>
                <w:sz w:val="17"/>
                <w:szCs w:val="17"/>
                <w:color w:val="auto"/>
              </w:rPr>
              <w:t>attributable to common stockholders, basic and diluted</w:t>
            </w: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w w:val="97"/>
              </w:rPr>
              <w:t>2,750,838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color w:val="auto"/>
              </w:rPr>
              <w:t>3,076,461</w:t>
            </w: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7"/>
                <w:szCs w:val="17"/>
                <w:color w:val="auto"/>
                <w:w w:val="97"/>
              </w:rPr>
              <w:t>3,061,082</w:t>
            </w:r>
          </w:p>
        </w:tc>
        <w:tc>
          <w:tcPr>
            <w:tcW w:w="1080" w:type="dxa"/>
            <w:vAlign w:val="bottom"/>
            <w:gridSpan w:val="3"/>
          </w:tcPr>
          <w:p>
            <w:pPr>
              <w:jc w:val="right"/>
              <w:ind w:right="40"/>
              <w:spacing w:after="0"/>
              <w:rPr>
                <w:sz w:val="20"/>
                <w:szCs w:val="20"/>
                <w:color w:val="auto"/>
              </w:rPr>
            </w:pPr>
            <w:r>
              <w:rPr>
                <w:rFonts w:ascii="Arial" w:cs="Arial" w:eastAsia="Arial" w:hAnsi="Arial"/>
                <w:sz w:val="17"/>
                <w:szCs w:val="17"/>
                <w:color w:val="auto"/>
              </w:rPr>
              <w:t>12,052,876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540" w:right="220" w:hanging="249"/>
        <w:spacing w:after="0" w:line="195" w:lineRule="auto"/>
        <w:tabs>
          <w:tab w:leader="none" w:pos="540" w:val="left"/>
        </w:tabs>
        <w:numPr>
          <w:ilvl w:val="0"/>
          <w:numId w:val="51"/>
        </w:numPr>
        <w:rPr>
          <w:rFonts w:ascii="Arial" w:cs="Arial" w:eastAsia="Arial" w:hAnsi="Arial"/>
          <w:sz w:val="24"/>
          <w:szCs w:val="24"/>
          <w:color w:val="auto"/>
          <w:vertAlign w:val="superscript"/>
        </w:rPr>
      </w:pPr>
      <w:r>
        <w:rPr>
          <w:rFonts w:ascii="Arial" w:cs="Arial" w:eastAsia="Arial" w:hAnsi="Arial"/>
          <w:sz w:val="14"/>
          <w:szCs w:val="14"/>
          <w:color w:val="auto"/>
        </w:rPr>
        <w:t>See Note 10 to our audited consolidated financial statements included elsewhere in this prospectus for an explanation of the method used to calculate historical net loss per share and the weighted-average number of shares used in the computation of the per share amounts.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40"/>
          </w:cols>
          <w:pgMar w:left="320" w:top="455" w:right="4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225425</wp:posOffset>
            </wp:positionV>
            <wp:extent cx="67119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7"/>
        </w:trPr>
        <w:tc>
          <w:tcPr>
            <w:tcW w:w="50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34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Pr>
          <w:p>
            <w:pPr>
              <w:spacing w:after="0"/>
              <w:rPr>
                <w:sz w:val="15"/>
                <w:szCs w:val="15"/>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3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0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2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3500" w:type="dxa"/>
            <w:vAlign w:val="bottom"/>
            <w:gridSpan w:val="3"/>
          </w:tcPr>
          <w:p>
            <w:pPr>
              <w:jc w:val="right"/>
              <w:ind w:right="520"/>
              <w:spacing w:after="0" w:line="189" w:lineRule="exact"/>
              <w:rPr>
                <w:sz w:val="20"/>
                <w:szCs w:val="20"/>
                <w:color w:val="auto"/>
              </w:rPr>
            </w:pPr>
            <w:r>
              <w:rPr>
                <w:rFonts w:ascii="Arial" w:cs="Arial" w:eastAsia="Arial" w:hAnsi="Arial"/>
                <w:sz w:val="17"/>
                <w:szCs w:val="17"/>
                <w:color w:val="auto"/>
              </w:rPr>
              <w:t>$  8,262</w:t>
            </w:r>
          </w:p>
        </w:tc>
        <w:tc>
          <w:tcPr>
            <w:tcW w:w="114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  9,017</w:t>
            </w:r>
          </w:p>
        </w:tc>
        <w:tc>
          <w:tcPr>
            <w:tcW w:w="2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259,484</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(1)</w:t>
            </w:r>
          </w:p>
        </w:tc>
        <w:tc>
          <w:tcPr>
            <w:tcW w:w="3500" w:type="dxa"/>
            <w:vAlign w:val="bottom"/>
            <w:gridSpan w:val="3"/>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8,335</w:t>
            </w:r>
          </w:p>
        </w:tc>
        <w:tc>
          <w:tcPr>
            <w:tcW w:w="114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4,825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255,207</w:t>
            </w:r>
          </w:p>
        </w:tc>
        <w:tc>
          <w:tcPr>
            <w:tcW w:w="0" w:type="dxa"/>
            <w:vAlign w:val="bottom"/>
          </w:tcPr>
          <w:p>
            <w:pPr>
              <w:spacing w:after="0"/>
              <w:rPr>
                <w:sz w:val="1"/>
                <w:szCs w:val="1"/>
                <w:color w:val="auto"/>
              </w:rPr>
            </w:pP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3500" w:type="dxa"/>
            <w:vAlign w:val="bottom"/>
            <w:gridSpan w:val="3"/>
          </w:tcPr>
          <w:p>
            <w:pPr>
              <w:jc w:val="right"/>
              <w:ind w:right="520"/>
              <w:spacing w:after="0" w:line="189" w:lineRule="exact"/>
              <w:rPr>
                <w:sz w:val="20"/>
                <w:szCs w:val="20"/>
                <w:color w:val="auto"/>
              </w:rPr>
            </w:pPr>
            <w:r>
              <w:rPr>
                <w:rFonts w:ascii="Arial" w:cs="Arial" w:eastAsia="Arial" w:hAnsi="Arial"/>
                <w:sz w:val="17"/>
                <w:szCs w:val="17"/>
                <w:color w:val="auto"/>
              </w:rPr>
              <w:t>11,164</w:t>
            </w:r>
          </w:p>
        </w:tc>
        <w:tc>
          <w:tcPr>
            <w:tcW w:w="114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10,676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262,449</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3500" w:type="dxa"/>
            <w:vAlign w:val="bottom"/>
            <w:gridSpan w:val="3"/>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2,009</w:t>
            </w:r>
          </w:p>
        </w:tc>
        <w:tc>
          <w:tcPr>
            <w:tcW w:w="114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10,952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10,433</w:t>
            </w:r>
          </w:p>
        </w:tc>
        <w:tc>
          <w:tcPr>
            <w:tcW w:w="0" w:type="dxa"/>
            <w:vAlign w:val="bottom"/>
          </w:tcPr>
          <w:p>
            <w:pPr>
              <w:spacing w:after="0"/>
              <w:rPr>
                <w:sz w:val="1"/>
                <w:szCs w:val="1"/>
                <w:color w:val="auto"/>
              </w:rPr>
            </w:pPr>
          </w:p>
        </w:tc>
      </w:tr>
      <w:tr>
        <w:trPr>
          <w:trHeight w:val="189"/>
        </w:trPr>
        <w:tc>
          <w:tcPr>
            <w:tcW w:w="5060" w:type="dxa"/>
            <w:vAlign w:val="bottom"/>
          </w:tcPr>
          <w:p>
            <w:pPr>
              <w:spacing w:after="0" w:line="189" w:lineRule="exact"/>
              <w:rPr>
                <w:sz w:val="20"/>
                <w:szCs w:val="20"/>
                <w:color w:val="auto"/>
              </w:rPr>
            </w:pPr>
            <w:r>
              <w:rPr>
                <w:rFonts w:ascii="Arial" w:cs="Arial" w:eastAsia="Arial" w:hAnsi="Arial"/>
                <w:sz w:val="17"/>
                <w:szCs w:val="17"/>
                <w:color w:val="auto"/>
              </w:rPr>
              <w:t>Convertible preferred shares</w:t>
            </w:r>
          </w:p>
        </w:tc>
        <w:tc>
          <w:tcPr>
            <w:tcW w:w="3500" w:type="dxa"/>
            <w:vAlign w:val="bottom"/>
            <w:gridSpan w:val="3"/>
          </w:tcPr>
          <w:p>
            <w:pPr>
              <w:jc w:val="right"/>
              <w:ind w:right="520"/>
              <w:spacing w:after="0" w:line="189" w:lineRule="exact"/>
              <w:rPr>
                <w:sz w:val="20"/>
                <w:szCs w:val="20"/>
                <w:color w:val="auto"/>
              </w:rPr>
            </w:pPr>
            <w:r>
              <w:rPr>
                <w:rFonts w:ascii="Arial" w:cs="Arial" w:eastAsia="Arial" w:hAnsi="Arial"/>
                <w:sz w:val="17"/>
                <w:szCs w:val="17"/>
                <w:color w:val="auto"/>
              </w:rPr>
              <w:t>60,933</w:t>
            </w:r>
          </w:p>
        </w:tc>
        <w:tc>
          <w:tcPr>
            <w:tcW w:w="114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70,363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deficit</w:t>
            </w:r>
          </w:p>
        </w:tc>
        <w:tc>
          <w:tcPr>
            <w:tcW w:w="3500" w:type="dxa"/>
            <w:vAlign w:val="bottom"/>
            <w:gridSpan w:val="3"/>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(53,539)</w:t>
            </w:r>
          </w:p>
        </w:tc>
        <w:tc>
          <w:tcPr>
            <w:tcW w:w="114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(72,782)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(99,748)</w:t>
            </w:r>
          </w:p>
        </w:tc>
        <w:tc>
          <w:tcPr>
            <w:tcW w:w="0" w:type="dxa"/>
            <w:vAlign w:val="bottom"/>
          </w:tcPr>
          <w:p>
            <w:pPr>
              <w:spacing w:after="0"/>
              <w:rPr>
                <w:sz w:val="1"/>
                <w:szCs w:val="1"/>
                <w:color w:val="auto"/>
              </w:rPr>
            </w:pPr>
          </w:p>
        </w:tc>
      </w:tr>
      <w:tr>
        <w:trPr>
          <w:trHeight w:val="231"/>
        </w:trPr>
        <w:tc>
          <w:tcPr>
            <w:tcW w:w="5060" w:type="dxa"/>
            <w:vAlign w:val="bottom"/>
          </w:tcPr>
          <w:p>
            <w:pPr>
              <w:spacing w:after="0"/>
              <w:rPr>
                <w:sz w:val="20"/>
                <w:szCs w:val="20"/>
                <w:color w:val="auto"/>
              </w:rPr>
            </w:pPr>
            <w:r>
              <w:rPr>
                <w:rFonts w:ascii="Arial" w:cs="Arial" w:eastAsia="Arial" w:hAnsi="Arial"/>
                <w:sz w:val="17"/>
                <w:szCs w:val="17"/>
                <w:color w:val="auto"/>
              </w:rPr>
              <w:t>Total shareholders’ equity (deficit)</w:t>
            </w:r>
          </w:p>
        </w:tc>
        <w:tc>
          <w:tcPr>
            <w:tcW w:w="3500" w:type="dxa"/>
            <w:vAlign w:val="bottom"/>
            <w:gridSpan w:val="3"/>
          </w:tcPr>
          <w:p>
            <w:pPr>
              <w:jc w:val="right"/>
              <w:ind w:right="460"/>
              <w:spacing w:after="0"/>
              <w:rPr>
                <w:sz w:val="20"/>
                <w:szCs w:val="20"/>
                <w:color w:val="auto"/>
              </w:rPr>
            </w:pPr>
            <w:r>
              <w:rPr>
                <w:rFonts w:ascii="Arial" w:cs="Arial" w:eastAsia="Arial" w:hAnsi="Arial"/>
                <w:sz w:val="17"/>
                <w:szCs w:val="17"/>
                <w:color w:val="auto"/>
              </w:rPr>
              <w:t>(51,778)</w:t>
            </w:r>
          </w:p>
        </w:tc>
        <w:tc>
          <w:tcPr>
            <w:tcW w:w="1140" w:type="dxa"/>
            <w:vAlign w:val="bottom"/>
            <w:gridSpan w:val="2"/>
          </w:tcPr>
          <w:p>
            <w:pPr>
              <w:jc w:val="right"/>
              <w:ind w:right="400"/>
              <w:spacing w:after="0"/>
              <w:rPr>
                <w:sz w:val="20"/>
                <w:szCs w:val="20"/>
                <w:color w:val="auto"/>
              </w:rPr>
            </w:pPr>
            <w:r>
              <w:rPr>
                <w:rFonts w:ascii="Arial" w:cs="Arial" w:eastAsia="Arial" w:hAnsi="Arial"/>
                <w:sz w:val="17"/>
                <w:szCs w:val="17"/>
                <w:color w:val="auto"/>
              </w:rPr>
              <w:t>(70,639)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252,016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7" w:lineRule="exact"/>
        <w:rPr>
          <w:sz w:val="20"/>
          <w:szCs w:val="20"/>
          <w:color w:val="auto"/>
        </w:rPr>
      </w:pPr>
    </w:p>
    <w:p>
      <w:pPr>
        <w:ind w:left="540" w:right="480" w:hanging="249"/>
        <w:spacing w:after="0" w:line="195" w:lineRule="auto"/>
        <w:tabs>
          <w:tab w:leader="none" w:pos="540" w:val="left"/>
        </w:tabs>
        <w:numPr>
          <w:ilvl w:val="0"/>
          <w:numId w:val="52"/>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140"/>
          </w:cols>
          <w:pgMar w:left="320" w:top="455" w:right="4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the section titled “Selected Consolidated Financial Data” and our consolidated financial statements and related notes included elsewhere in this prospectus. Some of the information contained in this discussion and analysis or set forth elsewhere in this prospectus,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prospectus.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6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As of October 1, 2020, we have dosed over 160 subjects with ALX148 across a range of hematologic and solid malignancies in combination with a number of leading anti-cancer agents. We plan to initiate additional studies in combination with leading anti-cancer agents. In hematologic malignancies, we have dosed the first subjects for the treatment of MDS and intend to advance ALX148 into clinical development for the treatment of AML in 2021. In solid tumors, we intend to initiate Phase 2 trials of ALX148 for the treatment of first-line head and neck cancer and second line gastric/GEJ cancer and a Phase 1 trial for the treatment of breast cancer in 2021.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3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an internal reorganization effective as of the same date whereby ALX Oncology Limited became our wholly-owned subsidiary and all of the stockholders, warrant holders and option holders of ALX Oncology Limited became our stockholders, warrant holders and option holders, holding the same number of corresponding shares, warrants and/or options in us as they did in ALX Oncology Limited immediately prior to the internal reorganization. The information included herein are presented as that of ALX Oncology Holdings Inc., unless such information refers to a date prior to April 1, 2020, in which case it will reflect that of our predecessor company.</w:t>
      </w:r>
    </w:p>
    <w:p>
      <w:pPr>
        <w:spacing w:after="0" w:line="123" w:lineRule="exact"/>
        <w:rPr>
          <w:sz w:val="20"/>
          <w:szCs w:val="20"/>
          <w:color w:val="auto"/>
        </w:rPr>
      </w:pPr>
    </w:p>
    <w:p>
      <w:pPr>
        <w:ind w:left="120" w:right="180"/>
        <w:spacing w:after="0" w:line="239" w:lineRule="auto"/>
        <w:rPr>
          <w:sz w:val="20"/>
          <w:szCs w:val="20"/>
          <w:color w:val="auto"/>
        </w:rPr>
      </w:pPr>
      <w:r>
        <w:rPr>
          <w:rFonts w:ascii="Arial" w:cs="Arial" w:eastAsia="Arial" w:hAnsi="Arial"/>
          <w:sz w:val="17"/>
          <w:szCs w:val="17"/>
          <w:color w:val="auto"/>
        </w:rPr>
        <w:t>Since our founding, we have devoted substantially all of our resources to identifying and developing ALX148, advancing preclinical programs, scaling up manufacturing, conducting clinical trials and providing general and administrative support for these operations. We have no products approved for marketing and we have never received any revenue from drug product sales. In July 2020, we consummated our initial public offering, raising net proceeds of $169.5 million, after deducting underwriting discounts and commissions of $13.0 million and offering-related expenses of $3.2 million. From inception through September 30, 2020, we have raised an aggregate of $350.4 million to fund our operations, of which $175.1 million were net proceeds from sales of our convertible preferred stock, $5.8 million were net proceeds from borrowings under a term loan, and $169.5 million were net proceeds from our initial public offering.</w:t>
      </w:r>
    </w:p>
    <w:p>
      <w:pPr>
        <w:spacing w:after="0" w:line="122" w:lineRule="exact"/>
        <w:rPr>
          <w:sz w:val="20"/>
          <w:szCs w:val="20"/>
          <w:color w:val="auto"/>
        </w:rPr>
      </w:pPr>
    </w:p>
    <w:p>
      <w:pPr>
        <w:ind w:left="120" w:right="560"/>
        <w:spacing w:after="0" w:line="253" w:lineRule="auto"/>
        <w:rPr>
          <w:sz w:val="20"/>
          <w:szCs w:val="20"/>
          <w:color w:val="auto"/>
        </w:rPr>
      </w:pPr>
      <w:r>
        <w:rPr>
          <w:rFonts w:ascii="Arial" w:cs="Arial" w:eastAsia="Arial" w:hAnsi="Arial"/>
          <w:sz w:val="17"/>
          <w:szCs w:val="17"/>
          <w:color w:val="auto"/>
        </w:rPr>
        <w:t>We have incurred net losses in each year since inception. Our net losses were $3.0 million and $10.2 million for the three months ended September 30, 2019 and 2020, respectively, and $11.5 million and $27.0 million for the nine months ended September 30, 2019 and 2020, respectively. As of December 31, 2019, and September 30, 2020,</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40"/>
        <w:spacing w:after="0" w:line="253" w:lineRule="auto"/>
        <w:rPr>
          <w:sz w:val="20"/>
          <w:szCs w:val="20"/>
          <w:color w:val="auto"/>
        </w:rPr>
      </w:pPr>
      <w:r>
        <w:rPr>
          <w:rFonts w:ascii="Arial" w:cs="Arial" w:eastAsia="Arial" w:hAnsi="Arial"/>
          <w:sz w:val="17"/>
          <w:szCs w:val="17"/>
          <w:color w:val="auto"/>
        </w:rPr>
        <w:t>we had an accumulated deficit of $72.8 million and $99.7 million, respectively. Substantially all of our operating losses are a result of expenses incurred in connection with our research and development programs, primarily ALX148, and from general and administrative expenses associated with our operations.</w:t>
      </w:r>
    </w:p>
    <w:p>
      <w:pPr>
        <w:spacing w:after="0" w:line="11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133" w:lineRule="exact"/>
        <w:rPr>
          <w:sz w:val="20"/>
          <w:szCs w:val="20"/>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advance ALX148 through multiple clinical trials in multiple indications;</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pursue regulatory approval of ALX148 in hematological malignancies and solid tumors;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continue our discovery and preclinical and clinical development efforts;</w:t>
      </w:r>
    </w:p>
    <w:p>
      <w:pPr>
        <w:spacing w:after="0" w:line="34" w:lineRule="exact"/>
        <w:rPr>
          <w:rFonts w:ascii="MS PGothic" w:cs="MS PGothic" w:eastAsia="MS PGothic" w:hAnsi="MS PGothic"/>
          <w:sz w:val="13"/>
          <w:szCs w:val="13"/>
          <w:color w:val="auto"/>
        </w:rPr>
      </w:pPr>
    </w:p>
    <w:p>
      <w:pPr>
        <w:ind w:left="980" w:right="880" w:hanging="432"/>
        <w:spacing w:after="0" w:line="256"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manufacture supplies for our preclinical studies and clinical trials;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continue to add operational, financial and management information systems to support ongoing operations as a public company.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Related-Party Revenue</w:t>
      </w:r>
    </w:p>
    <w:p>
      <w:pPr>
        <w:spacing w:after="0" w:line="43"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To date, we have not generated any revenue from product sales, licenses or collaborations and do not expect to generate any revenue from the sale of products in the foreseeable future. We recognized related-party revenue related to research and development services to Tallac Therapeutics, which ceased as of July 1, 2020, as further described in “—License and Collaboration Agreements—Related-Party Agreement” below.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ALX148. We may never succeed in obtaining regulatory approval for any of our product candidates.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43" w:lineRule="exact"/>
        <w:rPr>
          <w:sz w:val="20"/>
          <w:szCs w:val="20"/>
          <w:color w:val="auto"/>
        </w:rPr>
      </w:pPr>
    </w:p>
    <w:p>
      <w:pPr>
        <w:ind w:left="120" w:right="480"/>
        <w:spacing w:after="0" w:line="261" w:lineRule="auto"/>
        <w:rPr>
          <w:sz w:val="20"/>
          <w:szCs w:val="20"/>
          <w:color w:val="auto"/>
        </w:rPr>
      </w:pPr>
      <w:r>
        <w:rPr>
          <w:rFonts w:ascii="Arial" w:cs="Arial" w:eastAsia="Arial" w:hAnsi="Arial"/>
          <w:sz w:val="17"/>
          <w:szCs w:val="17"/>
          <w:color w:val="auto"/>
        </w:rPr>
        <w:t>Research and development expenses consist primarily of costs incurred for the development of our lead product candidate, ALX148, which include:</w:t>
      </w:r>
    </w:p>
    <w:p>
      <w:pPr>
        <w:spacing w:after="0" w:line="144" w:lineRule="exact"/>
        <w:rPr>
          <w:sz w:val="20"/>
          <w:szCs w:val="20"/>
          <w:color w:val="auto"/>
        </w:rPr>
      </w:pPr>
    </w:p>
    <w:p>
      <w:pPr>
        <w:ind w:left="980" w:right="300" w:hanging="432"/>
        <w:spacing w:after="0" w:line="257"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expenses incurred in connection with the preclinical and clinical development, including expenses incurred under agreements with CROs;</w:t>
      </w:r>
    </w:p>
    <w:p>
      <w:pPr>
        <w:spacing w:after="0" w:line="1" w:lineRule="exact"/>
        <w:rPr>
          <w:rFonts w:ascii="MS PGothic" w:cs="MS PGothic" w:eastAsia="MS PGothic" w:hAnsi="MS PGothic"/>
          <w:sz w:val="13"/>
          <w:szCs w:val="13"/>
          <w:color w:val="auto"/>
        </w:rPr>
      </w:pPr>
    </w:p>
    <w:p>
      <w:pPr>
        <w:ind w:left="980" w:right="620" w:hanging="432"/>
        <w:spacing w:after="0" w:line="256"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employee-related expenses, including salaries, related benefits, travel and stock-based compensation expense for employees engaged in research and development functions;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expenses related to production of clinical materials, including fees paid to CMOs;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laboratory and vendor expenses related to the execution of preclinical studies and clinical trials; and</w:t>
      </w:r>
    </w:p>
    <w:p>
      <w:pPr>
        <w:spacing w:after="0" w:line="34" w:lineRule="exact"/>
        <w:rPr>
          <w:rFonts w:ascii="MS PGothic" w:cs="MS PGothic" w:eastAsia="MS PGothic" w:hAnsi="MS PGothic"/>
          <w:sz w:val="13"/>
          <w:szCs w:val="13"/>
          <w:color w:val="auto"/>
        </w:rPr>
      </w:pPr>
    </w:p>
    <w:p>
      <w:pPr>
        <w:ind w:left="980" w:right="240" w:hanging="432"/>
        <w:spacing w:after="0" w:line="27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facilities and other expenses, which include expenses for rent and maintenance of facilities, depreciation and amortization expense and other supplies.</w:t>
      </w:r>
    </w:p>
    <w:p>
      <w:pPr>
        <w:spacing w:after="0" w:line="94" w:lineRule="exact"/>
        <w:rPr>
          <w:sz w:val="20"/>
          <w:szCs w:val="20"/>
          <w:color w:val="auto"/>
        </w:rPr>
      </w:pPr>
    </w:p>
    <w:p>
      <w:pPr>
        <w:ind w:left="120" w:right="240"/>
        <w:spacing w:after="0"/>
        <w:rPr>
          <w:sz w:val="20"/>
          <w:szCs w:val="20"/>
          <w:color w:val="auto"/>
        </w:rPr>
      </w:pPr>
      <w:r>
        <w:rPr>
          <w:rFonts w:ascii="Arial" w:cs="Arial" w:eastAsia="Arial" w:hAnsi="Arial"/>
          <w:sz w:val="17"/>
          <w:szCs w:val="17"/>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123"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Our research and development expenses consist primarily of costs associated with the development of our lead product candidate ALX148 and include external costs, such as fees paid to consultants, central laboratories,</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100"/>
          </w:cols>
          <w:pgMar w:left="320" w:top="455" w:right="4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360"/>
        <w:spacing w:after="0" w:line="275" w:lineRule="auto"/>
        <w:rPr>
          <w:sz w:val="20"/>
          <w:szCs w:val="20"/>
          <w:color w:val="auto"/>
        </w:rPr>
      </w:pPr>
      <w:r>
        <w:rPr>
          <w:rFonts w:ascii="Arial" w:cs="Arial" w:eastAsia="Arial" w:hAnsi="Arial"/>
          <w:sz w:val="17"/>
          <w:szCs w:val="17"/>
          <w:color w:val="auto"/>
        </w:rPr>
        <w:t>contractors, CMOs and CROs in connection with our preclinical and clinical development activities. We allocate expenses, such as employee salaries, benefits, facilities, travel and other miscellaneous expenses, based on an estimated percentage of time worked on each program.</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Almost all of our research and development expenses to date related to the clinical development of our lead product candidate, ALX148.</w:t>
      </w:r>
    </w:p>
    <w:p>
      <w:pPr>
        <w:spacing w:after="0" w:line="156"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related to developing our product candidates, as our product candidates advance into later stages of development and as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incur expenses related to the preclinical research services that we contract from Tallac Therapeutics, as further described in “—License and Collaboration Agreements—Related-Party Agreement” below.</w:t>
      </w:r>
    </w:p>
    <w:p>
      <w:pPr>
        <w:spacing w:after="0" w:line="122"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successful development of our current and future product candidates is highly uncertain. This is due to the numerous risks and uncertainties, including the following:</w:t>
      </w:r>
    </w:p>
    <w:p>
      <w:pPr>
        <w:spacing w:after="0" w:line="133" w:lineRule="exact"/>
        <w:rPr>
          <w:sz w:val="20"/>
          <w:szCs w:val="20"/>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successful completion of preclinical studies and clinical trials;</w:t>
      </w:r>
    </w:p>
    <w:p>
      <w:pPr>
        <w:spacing w:after="0" w:line="35" w:lineRule="exact"/>
        <w:rPr>
          <w:rFonts w:ascii="MS PGothic" w:cs="MS PGothic" w:eastAsia="MS PGothic" w:hAnsi="MS PGothic"/>
          <w:sz w:val="13"/>
          <w:szCs w:val="13"/>
          <w:color w:val="auto"/>
        </w:rPr>
      </w:pPr>
    </w:p>
    <w:p>
      <w:pPr>
        <w:ind w:left="980" w:right="120" w:hanging="432"/>
        <w:spacing w:after="0" w:line="256" w:lineRule="auto"/>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delays in regulators or institutional review boards authorizing us or our investigators to commence our clinical trials or in our ability to negotiate agreements with clinical trial sites or CROs;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the number and location of clinical sites included in the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raising additional funds necessary to complete clinical development of our product candidates;</w:t>
      </w:r>
    </w:p>
    <w:p>
      <w:pPr>
        <w:spacing w:after="0" w:line="34" w:lineRule="exact"/>
        <w:rPr>
          <w:rFonts w:ascii="MS PGothic" w:cs="MS PGothic" w:eastAsia="MS PGothic" w:hAnsi="MS PGothic"/>
          <w:sz w:val="13"/>
          <w:szCs w:val="13"/>
          <w:color w:val="auto"/>
        </w:rPr>
      </w:pPr>
    </w:p>
    <w:p>
      <w:pPr>
        <w:ind w:left="980" w:right="440" w:hanging="432"/>
        <w:spacing w:after="0" w:line="256" w:lineRule="auto"/>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obtaining and maintaining patent, trade secret and other intellectual property protection and regulatory exclusivity for our product candidates;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contracting with third-party manufacturers for clinical supplies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protecting and enforcing our rights in our intellectual property portfolio, including, if necessary, litigation;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maintaining a continued acceptable safety profile of the products following approval.</w:t>
      </w:r>
    </w:p>
    <w:p>
      <w:pPr>
        <w:spacing w:after="0" w:line="154" w:lineRule="exact"/>
        <w:rPr>
          <w:sz w:val="20"/>
          <w:szCs w:val="20"/>
          <w:color w:val="auto"/>
        </w:rPr>
      </w:pPr>
    </w:p>
    <w:p>
      <w:pPr>
        <w:ind w:left="120" w:right="180"/>
        <w:spacing w:after="0" w:line="253" w:lineRule="auto"/>
        <w:rPr>
          <w:sz w:val="20"/>
          <w:szCs w:val="20"/>
          <w:color w:val="auto"/>
        </w:rPr>
      </w:pPr>
      <w:r>
        <w:rPr>
          <w:rFonts w:ascii="Arial" w:cs="Arial" w:eastAsia="Arial" w:hAnsi="Arial"/>
          <w:sz w:val="17"/>
          <w:szCs w:val="17"/>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11"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43" w:lineRule="exact"/>
        <w:rPr>
          <w:sz w:val="20"/>
          <w:szCs w:val="20"/>
          <w:color w:val="auto"/>
        </w:rPr>
      </w:pPr>
    </w:p>
    <w:p>
      <w:pPr>
        <w:ind w:left="120" w:right="460"/>
        <w:spacing w:after="0" w:line="246" w:lineRule="auto"/>
        <w:rPr>
          <w:sz w:val="20"/>
          <w:szCs w:val="20"/>
          <w:color w:val="auto"/>
        </w:rPr>
      </w:pPr>
      <w:r>
        <w:rPr>
          <w:rFonts w:ascii="Arial" w:cs="Arial" w:eastAsia="Arial" w:hAnsi="Arial"/>
          <w:sz w:val="17"/>
          <w:szCs w:val="17"/>
          <w:color w:val="auto"/>
        </w:rPr>
        <w:t>General and administrative expenses consist primarily of personnel-related expenses, facilities expenses, depreciation and amortization expenses and professional services expenses, including legal, human resources, audit, accounting and tax-related services. Personnel and related costs consist of salaries, benefits and stock-based compensation. Facilities costs consist of rent and maintenance of facilities.</w:t>
      </w:r>
    </w:p>
    <w:p>
      <w:pPr>
        <w:spacing w:after="0" w:line="117"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7"/>
          <w:szCs w:val="17"/>
          <w:color w:val="auto"/>
        </w:rPr>
        <w:t>We anticipate that our general and administrative expenses will increase as a result of increased headcount, expanded infrastructure and higher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41" w:lineRule="exact"/>
        <w:rPr>
          <w:sz w:val="20"/>
          <w:szCs w:val="20"/>
          <w:color w:val="auto"/>
        </w:rPr>
      </w:pPr>
    </w:p>
    <w:p>
      <w:pPr>
        <w:ind w:left="120" w:right="500"/>
        <w:spacing w:after="0" w:line="248" w:lineRule="auto"/>
        <w:rPr>
          <w:sz w:val="20"/>
          <w:szCs w:val="20"/>
          <w:color w:val="auto"/>
        </w:rPr>
      </w:pPr>
      <w:r>
        <w:rPr>
          <w:rFonts w:ascii="Arial" w:cs="Arial" w:eastAsia="Arial" w:hAnsi="Arial"/>
          <w:sz w:val="17"/>
          <w:szCs w:val="17"/>
          <w:color w:val="auto"/>
        </w:rPr>
        <w:t>We incur costs associated with related-party contract research services including direct labor and associated employee benefits, laboratory supplies and other expenses. These costs are recorded in cost of services for related-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100"/>
          </w:cols>
          <w:pgMar w:left="320" w:top="455" w:right="4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40"/>
        <w:spacing w:after="0" w:line="274" w:lineRule="auto"/>
        <w:rPr>
          <w:sz w:val="20"/>
          <w:szCs w:val="20"/>
          <w:color w:val="auto"/>
        </w:rPr>
      </w:pPr>
      <w:r>
        <w:rPr>
          <w:rFonts w:ascii="Arial" w:cs="Arial" w:eastAsia="Arial" w:hAnsi="Arial"/>
          <w:sz w:val="17"/>
          <w:szCs w:val="17"/>
          <w:color w:val="auto"/>
        </w:rPr>
        <w:t>party transactions as a component of total operating expenses in the accompanying consolidated statements of operations and comprehensive loss.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43"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Our other expense, net, consists of interest income on cash balances, interest expense that primarily includes amortization of deferred debt issuance costs, changes in the fair value of our convertible preferred stock warrant liability and foreign currency re-measurement and transaction gains and losses. Prior to our initial public offering, the underlying shares of our Series B convertible preferred stock warrants were contingently redeemable, and we accounted for these warrants as a liability at fair value and re-measured the fair value at each balance sheet date. As a result of the completion of our initial public offering, the Series B convertible preferred stock warrant liability was reclassified to stockholders’ equity and re-measurement was no longer required.</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and Net Loss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Three and Nine Months Ended September 30, 2019 and September 30, 2020</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three and nine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203"/>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5"/>
                <w:szCs w:val="15"/>
                <w:color w:val="auto"/>
              </w:rPr>
            </w:pPr>
          </w:p>
        </w:tc>
        <w:tc>
          <w:tcPr>
            <w:tcW w:w="144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5"/>
                <w:szCs w:val="15"/>
                <w:color w:val="auto"/>
              </w:rPr>
            </w:pPr>
          </w:p>
        </w:tc>
        <w:tc>
          <w:tcPr>
            <w:tcW w:w="1800" w:type="dxa"/>
            <w:vAlign w:val="bottom"/>
            <w:gridSpan w:val="6"/>
          </w:tcPr>
          <w:p>
            <w:pPr>
              <w:jc w:val="right"/>
              <w:ind w:right="403"/>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ind w:left="3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3"/>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128"/>
              <w:spacing w:after="0" w:line="189" w:lineRule="exact"/>
              <w:rPr>
                <w:sz w:val="20"/>
                <w:szCs w:val="20"/>
                <w:color w:val="auto"/>
              </w:rPr>
            </w:pPr>
            <w:r>
              <w:rPr>
                <w:rFonts w:ascii="Arial" w:cs="Arial" w:eastAsia="Arial" w:hAnsi="Arial"/>
                <w:sz w:val="17"/>
                <w:szCs w:val="17"/>
                <w:color w:val="auto"/>
              </w:rPr>
              <w:t>1,256</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$(1,256)</w:t>
            </w: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(100)%</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  3,583</w:t>
            </w:r>
          </w:p>
        </w:tc>
        <w:tc>
          <w:tcPr>
            <w:tcW w:w="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3"/>
              <w:spacing w:after="0" w:line="189" w:lineRule="exact"/>
              <w:rPr>
                <w:sz w:val="20"/>
                <w:szCs w:val="20"/>
                <w:color w:val="auto"/>
              </w:rPr>
            </w:pPr>
            <w:r>
              <w:rPr>
                <w:rFonts w:ascii="Arial" w:cs="Arial" w:eastAsia="Arial" w:hAnsi="Arial"/>
                <w:sz w:val="17"/>
                <w:szCs w:val="17"/>
                <w:color w:val="auto"/>
              </w:rPr>
              <w:t>1,182</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 (2,401)</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28"/>
              <w:spacing w:after="0" w:line="189" w:lineRule="exact"/>
              <w:rPr>
                <w:sz w:val="20"/>
                <w:szCs w:val="20"/>
                <w:color w:val="auto"/>
              </w:rPr>
            </w:pPr>
            <w:r>
              <w:rPr>
                <w:rFonts w:ascii="Arial" w:cs="Arial" w:eastAsia="Arial" w:hAnsi="Arial"/>
                <w:sz w:val="17"/>
                <w:szCs w:val="17"/>
                <w:color w:val="auto"/>
              </w:rPr>
              <w:t>2,210</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5,328</w:t>
            </w:r>
          </w:p>
        </w:tc>
        <w:tc>
          <w:tcPr>
            <w:tcW w:w="8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3,118</w:t>
            </w:r>
          </w:p>
        </w:tc>
        <w:tc>
          <w:tcPr>
            <w:tcW w:w="68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141%</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9,571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3"/>
              <w:spacing w:after="0" w:line="189" w:lineRule="exact"/>
              <w:rPr>
                <w:sz w:val="20"/>
                <w:szCs w:val="20"/>
                <w:color w:val="auto"/>
              </w:rPr>
            </w:pPr>
            <w:r>
              <w:rPr>
                <w:rFonts w:ascii="Arial" w:cs="Arial" w:eastAsia="Arial" w:hAnsi="Arial"/>
                <w:sz w:val="17"/>
                <w:szCs w:val="17"/>
                <w:color w:val="auto"/>
              </w:rPr>
              <w:t>16,819</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7,248</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89"/>
        </w:trPr>
        <w:tc>
          <w:tcPr>
            <w:tcW w:w="422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938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4,481</w:t>
            </w:r>
          </w:p>
        </w:tc>
        <w:tc>
          <w:tcPr>
            <w:tcW w:w="82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3,543</w:t>
            </w:r>
          </w:p>
        </w:tc>
        <w:tc>
          <w:tcPr>
            <w:tcW w:w="680" w:type="dxa"/>
            <w:vAlign w:val="bottom"/>
            <w:gridSpan w:val="2"/>
          </w:tcPr>
          <w:p>
            <w:pPr>
              <w:jc w:val="right"/>
              <w:ind w:right="35"/>
              <w:spacing w:after="0" w:line="189" w:lineRule="exact"/>
              <w:rPr>
                <w:sz w:val="20"/>
                <w:szCs w:val="20"/>
                <w:color w:val="auto"/>
              </w:rPr>
            </w:pPr>
            <w:r>
              <w:rPr>
                <w:rFonts w:ascii="Arial" w:cs="Arial" w:eastAsia="Arial" w:hAnsi="Arial"/>
                <w:sz w:val="17"/>
                <w:szCs w:val="17"/>
                <w:color w:val="auto"/>
              </w:rPr>
              <w:t>378%</w:t>
            </w:r>
          </w:p>
        </w:tc>
        <w:tc>
          <w:tcPr>
            <w:tcW w:w="82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2,205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3"/>
              <w:spacing w:after="0" w:line="189" w:lineRule="exact"/>
              <w:rPr>
                <w:sz w:val="20"/>
                <w:szCs w:val="20"/>
                <w:color w:val="auto"/>
              </w:rPr>
            </w:pPr>
            <w:r>
              <w:rPr>
                <w:rFonts w:ascii="Arial" w:cs="Arial" w:eastAsia="Arial" w:hAnsi="Arial"/>
                <w:sz w:val="17"/>
                <w:szCs w:val="17"/>
                <w:color w:val="auto"/>
              </w:rPr>
              <w:t>9,126</w:t>
            </w: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6,921</w:t>
            </w:r>
          </w:p>
        </w:tc>
        <w:tc>
          <w:tcPr>
            <w:tcW w:w="80" w:type="dxa"/>
            <w:vAlign w:val="bottom"/>
          </w:tcPr>
          <w:p>
            <w:pPr>
              <w:spacing w:after="0"/>
              <w:rPr>
                <w:sz w:val="16"/>
                <w:szCs w:val="16"/>
                <w:color w:val="auto"/>
              </w:rPr>
            </w:pPr>
          </w:p>
        </w:tc>
        <w:tc>
          <w:tcPr>
            <w:tcW w:w="5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 party revenue</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1,142</w:t>
            </w:r>
          </w:p>
        </w:tc>
        <w:tc>
          <w:tcPr>
            <w:tcW w:w="20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(1,142)</w:t>
            </w: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(100)%</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3,257</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3"/>
              <w:spacing w:after="0" w:line="189" w:lineRule="exact"/>
              <w:rPr>
                <w:sz w:val="20"/>
                <w:szCs w:val="20"/>
                <w:color w:val="auto"/>
              </w:rPr>
            </w:pPr>
            <w:r>
              <w:rPr>
                <w:rFonts w:ascii="Arial" w:cs="Arial" w:eastAsia="Arial" w:hAnsi="Arial"/>
                <w:sz w:val="17"/>
                <w:szCs w:val="17"/>
                <w:color w:val="auto"/>
              </w:rPr>
              <w:t>1,075</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(2,182)</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35"/>
              <w:spacing w:after="0"/>
              <w:rPr>
                <w:sz w:val="20"/>
                <w:szCs w:val="20"/>
                <w:color w:val="auto"/>
              </w:rPr>
            </w:pPr>
            <w:r>
              <w:rPr>
                <w:rFonts w:ascii="Arial" w:cs="Arial" w:eastAsia="Arial" w:hAnsi="Arial"/>
                <w:sz w:val="17"/>
                <w:szCs w:val="17"/>
                <w:color w:val="auto"/>
                <w:w w:val="92"/>
              </w:rPr>
              <w:t>%</w:t>
            </w: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4,290</w:t>
            </w:r>
          </w:p>
        </w:tc>
        <w:tc>
          <w:tcPr>
            <w:tcW w:w="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9,809</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5,519</w:t>
            </w:r>
          </w:p>
        </w:tc>
        <w:tc>
          <w:tcPr>
            <w:tcW w:w="160" w:type="dxa"/>
            <w:vAlign w:val="bottom"/>
            <w:vMerge w:val="continue"/>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129</w:t>
            </w:r>
          </w:p>
        </w:tc>
        <w:tc>
          <w:tcPr>
            <w:tcW w:w="2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15,033</w:t>
            </w:r>
          </w:p>
        </w:tc>
        <w:tc>
          <w:tcPr>
            <w:tcW w:w="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27,020</w:t>
            </w:r>
          </w:p>
        </w:tc>
        <w:tc>
          <w:tcPr>
            <w:tcW w:w="200" w:type="dxa"/>
            <w:vAlign w:val="bottom"/>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11,987</w:t>
            </w:r>
          </w:p>
        </w:tc>
        <w:tc>
          <w:tcPr>
            <w:tcW w:w="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68"/>
              <w:spacing w:after="0" w:line="189" w:lineRule="exact"/>
              <w:rPr>
                <w:sz w:val="20"/>
                <w:szCs w:val="20"/>
                <w:color w:val="auto"/>
              </w:rPr>
            </w:pPr>
            <w:r>
              <w:rPr>
                <w:rFonts w:ascii="Arial" w:cs="Arial" w:eastAsia="Arial" w:hAnsi="Arial"/>
                <w:sz w:val="17"/>
                <w:szCs w:val="17"/>
                <w:color w:val="auto"/>
              </w:rPr>
              <w:t>(3,034)</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(9,809)</w:t>
            </w:r>
          </w:p>
        </w:tc>
        <w:tc>
          <w:tcPr>
            <w:tcW w:w="8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(6,775)</w:t>
            </w:r>
          </w:p>
        </w:tc>
        <w:tc>
          <w:tcPr>
            <w:tcW w:w="68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223%</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(11,450)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3"/>
              <w:spacing w:after="0" w:line="189" w:lineRule="exact"/>
              <w:rPr>
                <w:sz w:val="20"/>
                <w:szCs w:val="20"/>
                <w:color w:val="auto"/>
              </w:rPr>
            </w:pPr>
            <w:r>
              <w:rPr>
                <w:rFonts w:ascii="Arial" w:cs="Arial" w:eastAsia="Arial" w:hAnsi="Arial"/>
                <w:sz w:val="17"/>
                <w:szCs w:val="17"/>
                <w:color w:val="auto"/>
                <w:w w:val="97"/>
              </w:rPr>
              <w:t>(25,838)</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(14,388)</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20"/>
                <w:szCs w:val="20"/>
                <w:color w:val="auto"/>
              </w:rPr>
            </w:pPr>
            <w:r>
              <w:rPr>
                <w:rFonts w:ascii="Arial" w:cs="Arial" w:eastAsia="Arial" w:hAnsi="Arial"/>
                <w:sz w:val="17"/>
                <w:szCs w:val="17"/>
                <w:color w:val="auto"/>
              </w:rPr>
              <w:t>Interest expense</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60" w:type="dxa"/>
            <w:vAlign w:val="bottom"/>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N/M</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(660)</w:t>
            </w:r>
          </w:p>
        </w:tc>
        <w:tc>
          <w:tcPr>
            <w:tcW w:w="20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(660)</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6"/>
              </w:rPr>
              <w:t>N/M</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net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68"/>
              <w:spacing w:after="0" w:line="189" w:lineRule="exact"/>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(111)</w:t>
            </w:r>
          </w:p>
        </w:tc>
        <w:tc>
          <w:tcPr>
            <w:tcW w:w="8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(109)</w:t>
            </w:r>
          </w:p>
        </w:tc>
        <w:tc>
          <w:tcPr>
            <w:tcW w:w="680" w:type="dxa"/>
            <w:vAlign w:val="bottom"/>
            <w:gridSpan w:val="2"/>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rPr>
              <w:t>N/M</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3"/>
              <w:spacing w:after="0" w:line="189" w:lineRule="exact"/>
              <w:rPr>
                <w:sz w:val="20"/>
                <w:szCs w:val="20"/>
                <w:color w:val="auto"/>
              </w:rPr>
            </w:pPr>
            <w:r>
              <w:rPr>
                <w:rFonts w:ascii="Arial" w:cs="Arial" w:eastAsia="Arial" w:hAnsi="Arial"/>
                <w:sz w:val="17"/>
                <w:szCs w:val="17"/>
                <w:color w:val="auto"/>
              </w:rPr>
              <w:t>(409)</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(405)</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(3,036)</w:t>
            </w:r>
          </w:p>
        </w:tc>
        <w:tc>
          <w:tcPr>
            <w:tcW w:w="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(10,146)</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(7,110)</w:t>
            </w:r>
          </w:p>
        </w:tc>
        <w:tc>
          <w:tcPr>
            <w:tcW w:w="160" w:type="dxa"/>
            <w:vAlign w:val="bottom"/>
            <w:vMerge w:val="continue"/>
          </w:tcPr>
          <w:p>
            <w:pPr>
              <w:spacing w:after="0"/>
              <w:rPr>
                <w:sz w:val="17"/>
                <w:szCs w:val="17"/>
                <w:color w:val="auto"/>
              </w:rPr>
            </w:pPr>
          </w:p>
        </w:tc>
        <w:tc>
          <w:tcPr>
            <w:tcW w:w="680" w:type="dxa"/>
            <w:vAlign w:val="bottom"/>
            <w:gridSpan w:val="2"/>
          </w:tcPr>
          <w:p>
            <w:pPr>
              <w:jc w:val="right"/>
              <w:ind w:right="35"/>
              <w:spacing w:after="0"/>
              <w:rPr>
                <w:sz w:val="20"/>
                <w:szCs w:val="20"/>
                <w:color w:val="auto"/>
              </w:rPr>
            </w:pPr>
            <w:r>
              <w:rPr>
                <w:rFonts w:ascii="Arial" w:cs="Arial" w:eastAsia="Arial" w:hAnsi="Arial"/>
                <w:sz w:val="17"/>
                <w:szCs w:val="17"/>
                <w:color w:val="auto"/>
              </w:rPr>
              <w:t>234%</w:t>
            </w:r>
          </w:p>
        </w:tc>
        <w:tc>
          <w:tcPr>
            <w:tcW w:w="80" w:type="dxa"/>
            <w:vAlign w:val="bottom"/>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(11,454)</w:t>
            </w:r>
          </w:p>
        </w:tc>
        <w:tc>
          <w:tcPr>
            <w:tcW w:w="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1"/>
              </w:rPr>
              <w:t>(26,907)</w:t>
            </w:r>
          </w:p>
        </w:tc>
        <w:tc>
          <w:tcPr>
            <w:tcW w:w="200" w:type="dxa"/>
            <w:vAlign w:val="bottom"/>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(15,453)</w:t>
            </w:r>
          </w:p>
        </w:tc>
        <w:tc>
          <w:tcPr>
            <w:tcW w:w="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189"/>
        </w:trPr>
        <w:tc>
          <w:tcPr>
            <w:tcW w:w="4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68"/>
              <w:spacing w:after="0" w:line="189" w:lineRule="exact"/>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(35)</w:t>
            </w:r>
          </w:p>
        </w:tc>
        <w:tc>
          <w:tcPr>
            <w:tcW w:w="8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(27)</w:t>
            </w:r>
          </w:p>
        </w:tc>
        <w:tc>
          <w:tcPr>
            <w:tcW w:w="680" w:type="dxa"/>
            <w:vAlign w:val="bottom"/>
            <w:gridSpan w:val="2"/>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338%</w:t>
            </w:r>
          </w:p>
        </w:tc>
        <w:tc>
          <w:tcPr>
            <w:tcW w:w="8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(25)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3"/>
              <w:spacing w:after="0" w:line="189" w:lineRule="exact"/>
              <w:rPr>
                <w:sz w:val="20"/>
                <w:szCs w:val="20"/>
                <w:color w:val="auto"/>
              </w:rPr>
            </w:pPr>
            <w:r>
              <w:rPr>
                <w:rFonts w:ascii="Arial" w:cs="Arial" w:eastAsia="Arial" w:hAnsi="Arial"/>
                <w:sz w:val="17"/>
                <w:szCs w:val="17"/>
                <w:color w:val="auto"/>
              </w:rPr>
              <w:t>(59)</w:t>
            </w: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(3,044)</w:t>
            </w:r>
          </w:p>
        </w:tc>
        <w:tc>
          <w:tcPr>
            <w:tcW w:w="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(10,181)</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(7,137)</w:t>
            </w:r>
          </w:p>
        </w:tc>
        <w:tc>
          <w:tcPr>
            <w:tcW w:w="160" w:type="dxa"/>
            <w:vAlign w:val="bottom"/>
            <w:vMerge w:val="continue"/>
          </w:tcPr>
          <w:p>
            <w:pPr>
              <w:spacing w:after="0"/>
              <w:rPr>
                <w:sz w:val="17"/>
                <w:szCs w:val="17"/>
                <w:color w:val="auto"/>
              </w:rPr>
            </w:pPr>
          </w:p>
        </w:tc>
        <w:tc>
          <w:tcPr>
            <w:tcW w:w="680" w:type="dxa"/>
            <w:vAlign w:val="bottom"/>
            <w:gridSpan w:val="2"/>
          </w:tcPr>
          <w:p>
            <w:pPr>
              <w:jc w:val="right"/>
              <w:ind w:right="35"/>
              <w:spacing w:after="0"/>
              <w:rPr>
                <w:sz w:val="20"/>
                <w:szCs w:val="20"/>
                <w:color w:val="auto"/>
              </w:rPr>
            </w:pPr>
            <w:r>
              <w:rPr>
                <w:rFonts w:ascii="Arial" w:cs="Arial" w:eastAsia="Arial" w:hAnsi="Arial"/>
                <w:sz w:val="17"/>
                <w:szCs w:val="17"/>
                <w:color w:val="auto"/>
              </w:rPr>
              <w:t>234%</w:t>
            </w:r>
          </w:p>
        </w:tc>
        <w:tc>
          <w:tcPr>
            <w:tcW w:w="80" w:type="dxa"/>
            <w:vAlign w:val="bottom"/>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(11,479)</w:t>
            </w:r>
          </w:p>
        </w:tc>
        <w:tc>
          <w:tcPr>
            <w:tcW w:w="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1"/>
              </w:rPr>
              <w:t>(26,966)</w:t>
            </w:r>
          </w:p>
        </w:tc>
        <w:tc>
          <w:tcPr>
            <w:tcW w:w="200" w:type="dxa"/>
            <w:vAlign w:val="bottom"/>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(15,487)</w:t>
            </w:r>
          </w:p>
        </w:tc>
        <w:tc>
          <w:tcPr>
            <w:tcW w:w="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161"/>
        </w:trPr>
        <w:tc>
          <w:tcPr>
            <w:tcW w:w="422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Cumulative dividends allocated to preferred</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stockholders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8"/>
              <w:spacing w:after="0"/>
              <w:rPr>
                <w:sz w:val="20"/>
                <w:szCs w:val="20"/>
                <w:color w:val="auto"/>
              </w:rPr>
            </w:pPr>
            <w:r>
              <w:rPr>
                <w:rFonts w:ascii="Arial" w:cs="Arial" w:eastAsia="Arial" w:hAnsi="Arial"/>
                <w:sz w:val="17"/>
                <w:szCs w:val="17"/>
                <w:color w:val="auto"/>
              </w:rPr>
              <w:t>(1,071)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493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3"/>
              <w:spacing w:after="0"/>
              <w:rPr>
                <w:sz w:val="20"/>
                <w:szCs w:val="20"/>
                <w:color w:val="auto"/>
              </w:rPr>
            </w:pPr>
            <w:r>
              <w:rPr>
                <w:rFonts w:ascii="Arial" w:cs="Arial" w:eastAsia="Arial" w:hAnsi="Arial"/>
                <w:sz w:val="17"/>
                <w:szCs w:val="17"/>
                <w:color w:val="auto"/>
              </w:rPr>
              <w:t>(5,202)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(2,245)</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jc w:val="right"/>
              <w:ind w:right="68"/>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123"/>
              <w:spacing w:after="0"/>
              <w:rPr>
                <w:sz w:val="20"/>
                <w:szCs w:val="20"/>
                <w:color w:val="auto"/>
              </w:rPr>
            </w:pPr>
            <w:r>
              <w:rPr>
                <w:rFonts w:ascii="Arial" w:cs="Arial" w:eastAsia="Arial" w:hAnsi="Arial"/>
                <w:sz w:val="7"/>
                <w:szCs w:val="7"/>
                <w:color w:val="auto"/>
                <w:w w:val="83"/>
              </w:rPr>
              <w:t>)</w:t>
            </w: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(4,115</w:t>
            </w:r>
          </w:p>
        </w:tc>
        <w:tc>
          <w:tcPr>
            <w:tcW w:w="200" w:type="dxa"/>
            <w:vAlign w:val="bottom"/>
            <w:gridSpan w:val="2"/>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(10,759</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(6,644</w:t>
            </w:r>
          </w:p>
        </w:tc>
        <w:tc>
          <w:tcPr>
            <w:tcW w:w="160" w:type="dxa"/>
            <w:vAlign w:val="bottom"/>
            <w:vMerge w:val="continue"/>
          </w:tcPr>
          <w:p>
            <w:pPr>
              <w:spacing w:after="0"/>
              <w:rPr>
                <w:sz w:val="17"/>
                <w:szCs w:val="17"/>
                <w:color w:val="auto"/>
              </w:rPr>
            </w:pPr>
          </w:p>
        </w:tc>
        <w:tc>
          <w:tcPr>
            <w:tcW w:w="680" w:type="dxa"/>
            <w:vAlign w:val="bottom"/>
            <w:gridSpan w:val="2"/>
          </w:tcPr>
          <w:p>
            <w:pPr>
              <w:jc w:val="right"/>
              <w:ind w:right="35"/>
              <w:spacing w:after="0"/>
              <w:rPr>
                <w:sz w:val="20"/>
                <w:szCs w:val="20"/>
                <w:color w:val="auto"/>
              </w:rPr>
            </w:pPr>
            <w:r>
              <w:rPr>
                <w:rFonts w:ascii="Arial" w:cs="Arial" w:eastAsia="Arial" w:hAnsi="Arial"/>
                <w:sz w:val="17"/>
                <w:szCs w:val="17"/>
                <w:color w:val="auto"/>
              </w:rPr>
              <w:t>161%</w:t>
            </w:r>
          </w:p>
        </w:tc>
        <w:tc>
          <w:tcPr>
            <w:tcW w:w="80" w:type="dxa"/>
            <w:vAlign w:val="bottom"/>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(14,436</w:t>
            </w:r>
          </w:p>
        </w:tc>
        <w:tc>
          <w:tcPr>
            <w:tcW w:w="6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(32,168</w:t>
            </w:r>
          </w:p>
        </w:tc>
        <w:tc>
          <w:tcPr>
            <w:tcW w:w="200" w:type="dxa"/>
            <w:vAlign w:val="bottom"/>
            <w:vMerge w:val="continue"/>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(17,732</w:t>
            </w:r>
          </w:p>
        </w:tc>
        <w:tc>
          <w:tcPr>
            <w:tcW w:w="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210" w:lineRule="exact"/>
        <w:rPr>
          <w:sz w:val="20"/>
          <w:szCs w:val="20"/>
          <w:color w:val="auto"/>
        </w:rPr>
      </w:pPr>
    </w:p>
    <w:p>
      <w:pPr>
        <w:ind w:left="120" w:right="5260"/>
        <w:spacing w:after="0" w:line="297" w:lineRule="auto"/>
        <w:rPr>
          <w:sz w:val="20"/>
          <w:szCs w:val="20"/>
          <w:color w:val="auto"/>
        </w:rPr>
      </w:pPr>
      <w:r>
        <w:rPr>
          <w:rFonts w:ascii="Arial" w:cs="Arial" w:eastAsia="Arial" w:hAnsi="Arial"/>
          <w:sz w:val="17"/>
          <w:szCs w:val="17"/>
          <w:b w:val="1"/>
          <w:bCs w:val="1"/>
          <w:i w:val="1"/>
          <w:iCs w:val="1"/>
          <w:color w:val="auto"/>
        </w:rPr>
        <w:t xml:space="preserve">Comparisons of the Three Months Ended September 30, 2019 and 2020 </w:t>
      </w:r>
      <w:r>
        <w:rPr>
          <w:rFonts w:ascii="Arial" w:cs="Arial" w:eastAsia="Arial" w:hAnsi="Arial"/>
          <w:sz w:val="17"/>
          <w:szCs w:val="17"/>
          <w:i w:val="1"/>
          <w:iCs w:val="1"/>
          <w:color w:val="auto"/>
        </w:rPr>
        <w:t>Related-Party Revenue</w:t>
      </w:r>
    </w:p>
    <w:p>
      <w:pPr>
        <w:spacing w:after="0" w:line="1" w:lineRule="exact"/>
        <w:rPr>
          <w:sz w:val="20"/>
          <w:szCs w:val="20"/>
          <w:color w:val="auto"/>
        </w:rPr>
      </w:pPr>
    </w:p>
    <w:p>
      <w:pPr>
        <w:ind w:left="120" w:right="180"/>
        <w:spacing w:after="0" w:line="245" w:lineRule="auto"/>
        <w:rPr>
          <w:sz w:val="20"/>
          <w:szCs w:val="20"/>
          <w:color w:val="auto"/>
        </w:rPr>
      </w:pPr>
      <w:r>
        <w:rPr>
          <w:rFonts w:ascii="Arial" w:cs="Arial" w:eastAsia="Arial" w:hAnsi="Arial"/>
          <w:sz w:val="17"/>
          <w:szCs w:val="17"/>
          <w:color w:val="auto"/>
        </w:rPr>
        <w:t>Related-party revenue for the three months ended September 30, 2019 and 2020, was $1.3 million and zero, respectively, which was generated solely from payments received for reimbursement of research and development expenses pursuant to the Research and Development Services Agreement with Tallac Therapeutics, or Tollnine Agreement, as further described in Note 9 to our condensed consolidated financial statements appearing elsewhere in this prospectus. The decrease of $1.3 million was due to the termination of the Tollnine Agreement on July 1, 2020.</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140"/>
          </w:cols>
          <w:pgMar w:left="32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research and development expenses incurred for the three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210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7"/>
        </w:trPr>
        <w:tc>
          <w:tcPr>
            <w:tcW w:w="7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55"/>
        </w:trPr>
        <w:tc>
          <w:tcPr>
            <w:tcW w:w="7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r>
      <w:tr>
        <w:trPr>
          <w:trHeight w:val="156"/>
        </w:trPr>
        <w:tc>
          <w:tcPr>
            <w:tcW w:w="7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right"/>
              <w:ind w:right="20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89"/>
        </w:trPr>
        <w:tc>
          <w:tcPr>
            <w:tcW w:w="7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and development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1,717</w:t>
            </w:r>
          </w:p>
        </w:tc>
        <w:tc>
          <w:tcPr>
            <w:tcW w:w="4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4,612</w:t>
            </w:r>
          </w:p>
        </w:tc>
        <w:tc>
          <w:tcPr>
            <w:tcW w:w="1160" w:type="dxa"/>
            <w:vAlign w:val="bottom"/>
            <w:tcBorders>
              <w:right w:val="single" w:sz="8" w:color="CCEEFF"/>
            </w:tcBorders>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$2,895</w:t>
            </w: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169%</w:t>
            </w:r>
          </w:p>
        </w:tc>
      </w:tr>
      <w:tr>
        <w:trPr>
          <w:trHeight w:val="189"/>
        </w:trPr>
        <w:tc>
          <w:tcPr>
            <w:tcW w:w="716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4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431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1,039</w:t>
            </w:r>
          </w:p>
        </w:tc>
        <w:tc>
          <w:tcPr>
            <w:tcW w:w="1160" w:type="dxa"/>
            <w:vAlign w:val="bottom"/>
            <w:gridSpan w:val="3"/>
          </w:tcPr>
          <w:p>
            <w:pPr>
              <w:jc w:val="right"/>
              <w:ind w:right="440"/>
              <w:spacing w:after="0" w:line="189" w:lineRule="exact"/>
              <w:rPr>
                <w:sz w:val="20"/>
                <w:szCs w:val="20"/>
                <w:color w:val="auto"/>
              </w:rPr>
            </w:pPr>
            <w:r>
              <w:rPr>
                <w:rFonts w:ascii="Arial" w:cs="Arial" w:eastAsia="Arial" w:hAnsi="Arial"/>
                <w:sz w:val="17"/>
                <w:szCs w:val="17"/>
                <w:color w:val="auto"/>
              </w:rPr>
              <w:t>608</w:t>
            </w: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141%</w:t>
            </w:r>
          </w:p>
        </w:tc>
      </w:tr>
      <w:tr>
        <w:trPr>
          <w:trHeight w:val="189"/>
        </w:trPr>
        <w:tc>
          <w:tcPr>
            <w:tcW w:w="7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25</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(359)</w:t>
            </w:r>
          </w:p>
        </w:tc>
        <w:tc>
          <w:tcPr>
            <w:tcW w:w="1160" w:type="dxa"/>
            <w:vAlign w:val="bottom"/>
            <w:tcBorders>
              <w:right w:val="single" w:sz="8" w:color="CCEEFF"/>
            </w:tcBorders>
            <w:gridSpan w:val="3"/>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(384)</w:t>
            </w:r>
          </w:p>
        </w:tc>
        <w:tc>
          <w:tcPr>
            <w:tcW w:w="6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N/M</w:t>
            </w:r>
          </w:p>
        </w:tc>
      </w:tr>
      <w:tr>
        <w:trPr>
          <w:trHeight w:val="189"/>
        </w:trPr>
        <w:tc>
          <w:tcPr>
            <w:tcW w:w="716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140" w:type="dxa"/>
            <w:vAlign w:val="bottom"/>
          </w:tcPr>
          <w:p>
            <w:pPr>
              <w:spacing w:after="0"/>
              <w:rPr>
                <w:sz w:val="16"/>
                <w:szCs w:val="16"/>
                <w:color w:val="auto"/>
              </w:rPr>
            </w:pPr>
          </w:p>
        </w:tc>
        <w:tc>
          <w:tcPr>
            <w:tcW w:w="6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37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36</w:t>
            </w:r>
          </w:p>
        </w:tc>
        <w:tc>
          <w:tcPr>
            <w:tcW w:w="1160" w:type="dxa"/>
            <w:vAlign w:val="bottom"/>
            <w:gridSpan w:val="3"/>
          </w:tcPr>
          <w:p>
            <w:pPr>
              <w:jc w:val="right"/>
              <w:ind w:right="400"/>
              <w:spacing w:after="0" w:line="189" w:lineRule="exact"/>
              <w:rPr>
                <w:sz w:val="20"/>
                <w:szCs w:val="20"/>
                <w:color w:val="auto"/>
              </w:rPr>
            </w:pPr>
            <w:r>
              <w:rPr>
                <w:rFonts w:ascii="Arial" w:cs="Arial" w:eastAsia="Arial" w:hAnsi="Arial"/>
                <w:sz w:val="17"/>
                <w:szCs w:val="17"/>
                <w:color w:val="auto"/>
              </w:rPr>
              <w:t>(1)</w:t>
            </w:r>
          </w:p>
        </w:tc>
        <w:tc>
          <w:tcPr>
            <w:tcW w:w="6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w:t>
            </w:r>
          </w:p>
        </w:tc>
      </w:tr>
      <w:tr>
        <w:trPr>
          <w:trHeight w:val="27"/>
        </w:trPr>
        <w:tc>
          <w:tcPr>
            <w:tcW w:w="7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7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2,210</w:t>
            </w:r>
          </w:p>
        </w:tc>
        <w:tc>
          <w:tcPr>
            <w:tcW w:w="4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5,328</w:t>
            </w:r>
          </w:p>
        </w:tc>
        <w:tc>
          <w:tcPr>
            <w:tcW w:w="1160" w:type="dxa"/>
            <w:vAlign w:val="bottom"/>
            <w:tcBorders>
              <w:right w:val="single" w:sz="8" w:color="CCEEFF"/>
            </w:tcBorders>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$ 3,118</w:t>
            </w: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141%</w:t>
            </w:r>
          </w:p>
        </w:tc>
      </w:tr>
      <w:tr>
        <w:trPr>
          <w:trHeight w:val="20"/>
        </w:trPr>
        <w:tc>
          <w:tcPr>
            <w:tcW w:w="7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154" w:lineRule="exact"/>
        <w:rPr>
          <w:sz w:val="20"/>
          <w:szCs w:val="20"/>
          <w:color w:val="auto"/>
        </w:rPr>
      </w:pPr>
    </w:p>
    <w:p>
      <w:pPr>
        <w:ind w:left="120" w:right="60"/>
        <w:spacing w:after="0" w:line="242" w:lineRule="auto"/>
        <w:rPr>
          <w:sz w:val="20"/>
          <w:szCs w:val="20"/>
          <w:color w:val="auto"/>
        </w:rPr>
      </w:pPr>
      <w:r>
        <w:rPr>
          <w:rFonts w:ascii="Arial" w:cs="Arial" w:eastAsia="Arial" w:hAnsi="Arial"/>
          <w:sz w:val="17"/>
          <w:szCs w:val="17"/>
          <w:color w:val="auto"/>
        </w:rPr>
        <w:t>Research and development expenses for the three months ended September 30, 2019 was $2.2 million, compared to $5.3 million for the three months ended September 30, 2020. The increase of $3.1 million was primarily attributable to an increase of $2.9 million in clinical and development costs due to higher expenses associated with increased pre-clinical, clinical and other research costs in advancement of our current lead product candidate, ALX148, and an increase of $0.6 million in personnel-related costs, partially offset by a decrease of $0.4 million in stock-based compensation expense.</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general and administrative expenses incurred for the three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141605</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tcPr>
          <w:p>
            <w:pPr>
              <w:jc w:val="right"/>
              <w:ind w:right="44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5"/>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1,339</w:t>
            </w:r>
          </w:p>
        </w:tc>
        <w:tc>
          <w:tcPr>
            <w:tcW w:w="10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w w:val="99"/>
              </w:rPr>
              <w:t>$1,158</w:t>
            </w:r>
          </w:p>
        </w:tc>
        <w:tc>
          <w:tcPr>
            <w:tcW w:w="580" w:type="dxa"/>
            <w:vAlign w:val="bottom"/>
            <w:tcBorders>
              <w:left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640%</w:t>
            </w:r>
          </w:p>
        </w:tc>
        <w:tc>
          <w:tcPr>
            <w:tcW w:w="0" w:type="dxa"/>
            <w:vAlign w:val="bottom"/>
          </w:tcPr>
          <w:p>
            <w:pPr>
              <w:spacing w:after="0"/>
              <w:rPr>
                <w:sz w:val="1"/>
                <w:szCs w:val="1"/>
                <w:color w:val="auto"/>
              </w:rPr>
            </w:pPr>
          </w:p>
        </w:tc>
      </w:tr>
      <w:tr>
        <w:trPr>
          <w:trHeight w:val="189"/>
        </w:trPr>
        <w:tc>
          <w:tcPr>
            <w:tcW w:w="702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10</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1,048</w:t>
            </w:r>
          </w:p>
        </w:tc>
        <w:tc>
          <w:tcPr>
            <w:tcW w:w="10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1,038</w:t>
            </w:r>
          </w:p>
        </w:tc>
        <w:tc>
          <w:tcPr>
            <w:tcW w:w="5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747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2,094</w:t>
            </w:r>
          </w:p>
        </w:tc>
        <w:tc>
          <w:tcPr>
            <w:tcW w:w="10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1,347</w:t>
            </w:r>
          </w:p>
        </w:tc>
        <w:tc>
          <w:tcPr>
            <w:tcW w:w="580" w:type="dxa"/>
            <w:vAlign w:val="bottom"/>
            <w:tcBorders>
              <w:left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7"/>
                <w:szCs w:val="17"/>
                <w:color w:val="auto"/>
              </w:rPr>
              <w:t>Total general and administrative expenses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938</w:t>
            </w:r>
          </w:p>
        </w:tc>
        <w:tc>
          <w:tcPr>
            <w:tcW w:w="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4,481</w:t>
            </w:r>
          </w:p>
        </w:tc>
        <w:tc>
          <w:tcPr>
            <w:tcW w:w="440" w:type="dxa"/>
            <w:vAlign w:val="bottom"/>
            <w:vMerge w:val="continue"/>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3,543</w:t>
            </w:r>
          </w:p>
        </w:tc>
        <w:tc>
          <w:tcPr>
            <w:tcW w:w="460" w:type="dxa"/>
            <w:vAlign w:val="bottom"/>
            <w:vMerge w:val="continue"/>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154" w:lineRule="exact"/>
        <w:rPr>
          <w:sz w:val="20"/>
          <w:szCs w:val="20"/>
          <w:color w:val="auto"/>
        </w:rPr>
      </w:pPr>
    </w:p>
    <w:p>
      <w:pPr>
        <w:ind w:left="120" w:right="40"/>
        <w:spacing w:after="0"/>
        <w:rPr>
          <w:sz w:val="20"/>
          <w:szCs w:val="20"/>
          <w:color w:val="auto"/>
        </w:rPr>
      </w:pPr>
      <w:r>
        <w:rPr>
          <w:rFonts w:ascii="Arial" w:cs="Arial" w:eastAsia="Arial" w:hAnsi="Arial"/>
          <w:sz w:val="17"/>
          <w:szCs w:val="17"/>
          <w:color w:val="auto"/>
        </w:rPr>
        <w:t>General and administrative expenses for the three months ended September 30, 2019 was $0.9 million, compared to $4.5 million during the three months ended September 30, 2020. This increase of $3.5 million was primarily attributable to an increase in stock-based compensation expense of $1.0 million, which consists of $0.2 million related to the modification of stock option awards for a former employee as well as additional stock option awards granted in 2020 at higher fair values, and an increase in other general and administrative costs of $1.3 million, which includes higher professional service costs of $0.6 million primarily associated with accounting and legal activities and $0.4 million in directors and officers liability insurance premium. In addition, we incurred increased personnel-related costs of $1.2 million due to higher headcount.</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33" w:lineRule="exact"/>
        <w:rPr>
          <w:sz w:val="20"/>
          <w:szCs w:val="20"/>
          <w:color w:val="auto"/>
        </w:rPr>
      </w:pPr>
    </w:p>
    <w:p>
      <w:pPr>
        <w:ind w:left="120" w:right="260"/>
        <w:spacing w:after="0" w:line="273" w:lineRule="auto"/>
        <w:rPr>
          <w:sz w:val="20"/>
          <w:szCs w:val="20"/>
          <w:color w:val="auto"/>
        </w:rPr>
      </w:pPr>
      <w:r>
        <w:rPr>
          <w:rFonts w:ascii="Arial" w:cs="Arial" w:eastAsia="Arial" w:hAnsi="Arial"/>
          <w:sz w:val="17"/>
          <w:szCs w:val="17"/>
          <w:color w:val="auto"/>
        </w:rPr>
        <w:t>Cost of services for related-party revenue for the three months ended September 30, 2019 was $1.1 million, compared to zero during the three months ended September 30, 2020. This decrease of $1.1 million was due to the termination of the Tollnine Agreement effective July 1, 2020.</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140"/>
          </w:cols>
          <w:pgMar w:left="32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right="5360"/>
        <w:spacing w:after="0" w:line="272" w:lineRule="auto"/>
        <w:rPr>
          <w:sz w:val="20"/>
          <w:szCs w:val="20"/>
          <w:color w:val="auto"/>
        </w:rPr>
      </w:pPr>
      <w:r>
        <w:rPr>
          <w:rFonts w:ascii="Arial" w:cs="Arial" w:eastAsia="Arial" w:hAnsi="Arial"/>
          <w:sz w:val="17"/>
          <w:szCs w:val="17"/>
          <w:b w:val="1"/>
          <w:bCs w:val="1"/>
          <w:i w:val="1"/>
          <w:iCs w:val="1"/>
          <w:color w:val="auto"/>
        </w:rPr>
        <w:t xml:space="preserve">Comparisons of the Nine months ended September 30, 2019 and 2020 </w:t>
      </w:r>
      <w:r>
        <w:rPr>
          <w:rFonts w:ascii="Arial" w:cs="Arial" w:eastAsia="Arial" w:hAnsi="Arial"/>
          <w:sz w:val="17"/>
          <w:szCs w:val="17"/>
          <w:i w:val="1"/>
          <w:iCs w:val="1"/>
          <w:color w:val="auto"/>
        </w:rPr>
        <w:t>Related-Party Revenue</w:t>
      </w:r>
    </w:p>
    <w:p>
      <w:pPr>
        <w:spacing w:after="0" w:line="2" w:lineRule="exact"/>
        <w:rPr>
          <w:sz w:val="20"/>
          <w:szCs w:val="20"/>
          <w:color w:val="auto"/>
        </w:rPr>
      </w:pPr>
    </w:p>
    <w:p>
      <w:pPr>
        <w:jc w:val="both"/>
        <w:ind w:left="120" w:right="460"/>
        <w:spacing w:after="0"/>
        <w:rPr>
          <w:sz w:val="20"/>
          <w:szCs w:val="20"/>
          <w:color w:val="auto"/>
        </w:rPr>
      </w:pPr>
      <w:r>
        <w:rPr>
          <w:rFonts w:ascii="Arial" w:cs="Arial" w:eastAsia="Arial" w:hAnsi="Arial"/>
          <w:sz w:val="17"/>
          <w:szCs w:val="17"/>
          <w:color w:val="auto"/>
        </w:rPr>
        <w:t>Related-party revenue for the nine months ended September 30, 2019 and 2020, was $3.6 million and $1.2 million, respectively, which was generated solely from payments received for reimbursement of research and development expenses pursuant to the Tollnine Agreement, as further described in Note 9 to our condensed consolidated financial statements appearing elsewhere in this prospectus. The decrease of</w:t>
      </w:r>
    </w:p>
    <w:p>
      <w:pPr>
        <w:spacing w:after="0" w:line="1" w:lineRule="exact"/>
        <w:rPr>
          <w:sz w:val="20"/>
          <w:szCs w:val="20"/>
          <w:color w:val="auto"/>
        </w:rPr>
      </w:pPr>
    </w:p>
    <w:p>
      <w:pPr>
        <w:ind w:left="120" w:right="100"/>
        <w:spacing w:after="0" w:line="248" w:lineRule="auto"/>
        <w:rPr>
          <w:sz w:val="20"/>
          <w:szCs w:val="20"/>
          <w:color w:val="auto"/>
        </w:rPr>
      </w:pPr>
      <w:r>
        <w:rPr>
          <w:rFonts w:ascii="Arial" w:cs="Arial" w:eastAsia="Arial" w:hAnsi="Arial"/>
          <w:sz w:val="17"/>
          <w:szCs w:val="17"/>
          <w:color w:val="auto"/>
        </w:rPr>
        <w:t>$2.4 million relates to decreased fee-for-service hours provided to Tallac Therapeutics as a result of winding down the Tollnine Agreement, which was terminated on July 1, 2020.</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research and development expenses incurred for the nine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7"/>
        </w:trPr>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7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155"/>
        </w:trPr>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4"/>
          </w:tcPr>
          <w:p>
            <w:pPr>
              <w:jc w:val="right"/>
              <w:ind w:right="28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and development costs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7,830</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11,913</w:t>
            </w:r>
          </w:p>
        </w:tc>
        <w:tc>
          <w:tcPr>
            <w:tcW w:w="960" w:type="dxa"/>
            <w:vAlign w:val="bottom"/>
            <w:tcBorders>
              <w:right w:val="single" w:sz="8" w:color="CCEEFF"/>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w w:val="99"/>
              </w:rPr>
              <w:t>$4,083</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w:t>
            </w: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00" w:type="dxa"/>
            <w:vAlign w:val="bottom"/>
          </w:tcPr>
          <w:p>
            <w:pPr>
              <w:spacing w:after="0"/>
              <w:rPr>
                <w:sz w:val="16"/>
                <w:szCs w:val="16"/>
                <w:color w:val="auto"/>
              </w:rPr>
            </w:pPr>
          </w:p>
        </w:tc>
        <w:tc>
          <w:tcPr>
            <w:tcW w:w="6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1,600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2,741</w:t>
            </w: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1,141</w:t>
            </w: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71%</w:t>
            </w: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79</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2,008</w:t>
            </w:r>
          </w:p>
        </w:tc>
        <w:tc>
          <w:tcPr>
            <w:tcW w:w="960" w:type="dxa"/>
            <w:vAlign w:val="bottom"/>
            <w:tcBorders>
              <w:right w:val="single" w:sz="8" w:color="CCEEFF"/>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1,929</w:t>
            </w:r>
          </w:p>
        </w:tc>
        <w:tc>
          <w:tcPr>
            <w:tcW w:w="5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w w:val="96"/>
              </w:rPr>
              <w:t>N/M</w:t>
            </w: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10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157</w:t>
            </w:r>
          </w:p>
        </w:tc>
        <w:tc>
          <w:tcPr>
            <w:tcW w:w="9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95</w:t>
            </w: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153%</w:t>
            </w: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9,571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16,819</w:t>
            </w:r>
          </w:p>
        </w:tc>
        <w:tc>
          <w:tcPr>
            <w:tcW w:w="960" w:type="dxa"/>
            <w:vAlign w:val="bottom"/>
            <w:tcBorders>
              <w:right w:val="single" w:sz="8" w:color="CCEEFF"/>
            </w:tcBorders>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7,248</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76%</w:t>
            </w: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154" w:lineRule="exact"/>
        <w:rPr>
          <w:sz w:val="20"/>
          <w:szCs w:val="20"/>
          <w:color w:val="auto"/>
        </w:rPr>
      </w:pPr>
    </w:p>
    <w:p>
      <w:pPr>
        <w:ind w:left="120" w:right="320"/>
        <w:spacing w:after="0" w:line="239" w:lineRule="auto"/>
        <w:rPr>
          <w:sz w:val="20"/>
          <w:szCs w:val="20"/>
          <w:color w:val="auto"/>
        </w:rPr>
      </w:pPr>
      <w:r>
        <w:rPr>
          <w:rFonts w:ascii="Arial" w:cs="Arial" w:eastAsia="Arial" w:hAnsi="Arial"/>
          <w:sz w:val="17"/>
          <w:szCs w:val="17"/>
          <w:color w:val="auto"/>
        </w:rPr>
        <w:t>Research and development expenses for the nine months ended September 30, 2019 was $9.6 million, compared to $16.8 million for the nine months ended September 30, 2020. The increase of $7.2 million was primarily attributable to an increase of $4.1 million in clinical and development costs primarily due to increased pre-clinical, clinical, and other research costs in advancement of our lead product candidate, ALX148, as well as an increase of $1.9 million in stock-based compensation expense primarily resulting from additional stock option awards granted in 2020 at higher fair values and the modification of stock option awards for former employees who transferred to Tallac Therapeutics, which increased stock-based compensation expense by $1.3 million. In addition, we incurred increased personnel-related costs of $1.1 million due to higher headcount.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general and administrative expenses incurred for the nine months ended September 30,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4"/>
          </w:tcPr>
          <w:p>
            <w:pPr>
              <w:jc w:val="right"/>
              <w:ind w:right="280"/>
              <w:spacing w:after="0" w:line="155"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599</w:t>
            </w:r>
          </w:p>
        </w:tc>
        <w:tc>
          <w:tcPr>
            <w:tcW w:w="5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2,577</w:t>
            </w:r>
          </w:p>
        </w:tc>
        <w:tc>
          <w:tcPr>
            <w:tcW w:w="9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w w:val="99"/>
              </w:rPr>
              <w:t>$1,978</w:t>
            </w:r>
          </w:p>
        </w:tc>
        <w:tc>
          <w:tcPr>
            <w:tcW w:w="580" w:type="dxa"/>
            <w:vAlign w:val="bottom"/>
            <w:tcBorders>
              <w:left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189"/>
        </w:trPr>
        <w:tc>
          <w:tcPr>
            <w:tcW w:w="742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00" w:type="dxa"/>
            <w:vAlign w:val="bottom"/>
          </w:tcPr>
          <w:p>
            <w:pPr>
              <w:spacing w:after="0"/>
              <w:rPr>
                <w:sz w:val="16"/>
                <w:szCs w:val="16"/>
                <w:color w:val="auto"/>
              </w:rPr>
            </w:pP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24</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1,685</w:t>
            </w:r>
          </w:p>
        </w:tc>
        <w:tc>
          <w:tcPr>
            <w:tcW w:w="9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1,661</w:t>
            </w:r>
          </w:p>
        </w:tc>
        <w:tc>
          <w:tcPr>
            <w:tcW w:w="5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1,582</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4,864</w:t>
            </w:r>
          </w:p>
        </w:tc>
        <w:tc>
          <w:tcPr>
            <w:tcW w:w="9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3,282</w:t>
            </w:r>
          </w:p>
        </w:tc>
        <w:tc>
          <w:tcPr>
            <w:tcW w:w="580" w:type="dxa"/>
            <w:vAlign w:val="bottom"/>
            <w:tcBorders>
              <w:left w:val="single" w:sz="8" w:color="CCEEFF"/>
            </w:tcBorders>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207%</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7"/>
                <w:szCs w:val="17"/>
                <w:color w:val="auto"/>
              </w:rPr>
              <w:t>Total general and administrative expenses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2,205</w:t>
            </w:r>
          </w:p>
        </w:tc>
        <w:tc>
          <w:tcPr>
            <w:tcW w:w="2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9,126</w:t>
            </w:r>
          </w:p>
        </w:tc>
        <w:tc>
          <w:tcPr>
            <w:tcW w:w="360" w:type="dxa"/>
            <w:vAlign w:val="bottom"/>
            <w:vMerge w:val="continue"/>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6,921</w:t>
            </w:r>
          </w:p>
        </w:tc>
        <w:tc>
          <w:tcPr>
            <w:tcW w:w="380" w:type="dxa"/>
            <w:vAlign w:val="bottom"/>
            <w:vMerge w:val="continue"/>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N/M—not meaningful</w:t>
      </w:r>
    </w:p>
    <w:p>
      <w:pPr>
        <w:spacing w:after="0" w:line="154"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General and administrative expenses for the nine months ended September 30, 2019 was $2.2 million, compared to $9.1 million during the nine months ended September 30, 2020. This increase of $6.9 million was primarily</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140"/>
          </w:cols>
          <w:pgMar w:left="32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42" w:lineRule="auto"/>
        <w:rPr>
          <w:sz w:val="20"/>
          <w:szCs w:val="20"/>
          <w:color w:val="auto"/>
        </w:rPr>
      </w:pPr>
      <w:r>
        <w:rPr>
          <w:rFonts w:ascii="Arial" w:cs="Arial" w:eastAsia="Arial" w:hAnsi="Arial"/>
          <w:sz w:val="17"/>
          <w:szCs w:val="17"/>
          <w:color w:val="auto"/>
        </w:rPr>
        <w:t>attributable to an increase in other general and administrative costs of $3.3 million, which includes higher professional service fees of $2.2 million associated with increased accounting, legal and recruiting activities, as well as $0.5 million of directors and officers liability insurance premium. In addition, we incurred increased stock-based compensation expense of $1.7 million which consists of $0.4 million related to the modification of stock option awards for former employees as well as additional stock option awards granted in 2020 at higher fair values. Additionally, we incurred increased personnel-related costs of $2.0 million due to higher headcount.</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33" w:lineRule="exact"/>
        <w:rPr>
          <w:sz w:val="20"/>
          <w:szCs w:val="20"/>
          <w:color w:val="auto"/>
        </w:rPr>
      </w:pPr>
    </w:p>
    <w:p>
      <w:pPr>
        <w:ind w:left="120" w:right="240"/>
        <w:spacing w:after="0" w:line="252" w:lineRule="auto"/>
        <w:rPr>
          <w:sz w:val="20"/>
          <w:szCs w:val="20"/>
          <w:color w:val="auto"/>
        </w:rPr>
      </w:pPr>
      <w:r>
        <w:rPr>
          <w:rFonts w:ascii="Arial" w:cs="Arial" w:eastAsia="Arial" w:hAnsi="Arial"/>
          <w:sz w:val="17"/>
          <w:szCs w:val="17"/>
          <w:color w:val="auto"/>
        </w:rPr>
        <w:t>Cost of services for related-party revenue for the nine months ended September 30, 2019 was $3.3 million, compared to $1.1 million during the nine months ended September 30, 2020. This decrease of $2.2 million was attributable to decreased fee-for-service hours provided to Tallac Therapeutics as a result of winding down the Tollnine Agreement, which was terminated on July 1, 2020.</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Years Ended December 31, 2018 and December 31, 2019</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YEAR ENDED</w:t>
            </w:r>
          </w:p>
        </w:tc>
      </w:tr>
      <w:tr>
        <w:trPr>
          <w:trHeight w:val="177"/>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5"/>
        </w:trPr>
        <w:tc>
          <w:tcPr>
            <w:tcW w:w="9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jc w:val="center"/>
              <w:ind w:right="16"/>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2,067</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4,796</w:t>
            </w: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11,270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16,306</w:t>
            </w: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78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2,601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3,313</w:t>
            </w: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1,880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4,360</w:t>
            </w:r>
          </w:p>
        </w:tc>
      </w:tr>
      <w:tr>
        <w:trPr>
          <w:trHeight w:val="203"/>
        </w:trPr>
        <w:tc>
          <w:tcPr>
            <w:tcW w:w="9200" w:type="dxa"/>
            <w:vAlign w:val="bottom"/>
          </w:tcPr>
          <w:p>
            <w:pPr>
              <w:ind w:left="1000"/>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120" w:type="dxa"/>
            <w:vAlign w:val="bottom"/>
          </w:tcPr>
          <w:p>
            <w:pPr>
              <w:spacing w:after="0"/>
              <w:rPr>
                <w:sz w:val="17"/>
                <w:szCs w:val="17"/>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(13,684)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(19,183)</w:t>
            </w:r>
          </w:p>
        </w:tc>
      </w:tr>
      <w:tr>
        <w:trPr>
          <w:trHeight w:val="196"/>
        </w:trPr>
        <w:tc>
          <w:tcPr>
            <w:tcW w:w="9200" w:type="dxa"/>
            <w:vAlign w:val="bottom"/>
          </w:tcPr>
          <w:p>
            <w:pPr>
              <w:spacing w:after="0"/>
              <w:rPr>
                <w:sz w:val="20"/>
                <w:szCs w:val="20"/>
                <w:color w:val="auto"/>
              </w:rPr>
            </w:pPr>
            <w:r>
              <w:rPr>
                <w:rFonts w:ascii="Arial" w:cs="Arial" w:eastAsia="Arial" w:hAnsi="Arial"/>
                <w:sz w:val="17"/>
                <w:szCs w:val="17"/>
                <w:color w:val="auto"/>
              </w:rPr>
              <w:t>Interest expense</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7"/>
                <w:szCs w:val="17"/>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r>
      <w:tr>
        <w:trPr>
          <w:trHeight w:val="196"/>
        </w:trPr>
        <w:tc>
          <w:tcPr>
            <w:tcW w:w="920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(13,686)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(19,209)</w:t>
            </w:r>
          </w:p>
        </w:tc>
        <w:tc>
          <w:tcPr>
            <w:tcW w:w="120" w:type="dxa"/>
            <w:vAlign w:val="bottom"/>
          </w:tcPr>
          <w:p>
            <w:pPr>
              <w:spacing w:after="0"/>
              <w:rPr>
                <w:sz w:val="17"/>
                <w:szCs w:val="17"/>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(45)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(34)</w:t>
            </w:r>
          </w:p>
        </w:tc>
      </w:tr>
      <w:tr>
        <w:trPr>
          <w:trHeight w:val="196"/>
        </w:trPr>
        <w:tc>
          <w:tcPr>
            <w:tcW w:w="9200" w:type="dxa"/>
            <w:vAlign w:val="bottom"/>
          </w:tcPr>
          <w:p>
            <w:pPr>
              <w:spacing w:after="0"/>
              <w:rPr>
                <w:sz w:val="20"/>
                <w:szCs w:val="20"/>
                <w:color w:val="auto"/>
              </w:rPr>
            </w:pPr>
            <w:r>
              <w:rPr>
                <w:rFonts w:ascii="Arial" w:cs="Arial" w:eastAsia="Arial" w:hAnsi="Arial"/>
                <w:sz w:val="17"/>
                <w:szCs w:val="17"/>
                <w:color w:val="auto"/>
              </w:rPr>
              <w:t>Net loss and comprehensive loss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(13,731)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(19,243)</w:t>
            </w:r>
          </w:p>
        </w:tc>
        <w:tc>
          <w:tcPr>
            <w:tcW w:w="120" w:type="dxa"/>
            <w:vAlign w:val="bottom"/>
          </w:tcPr>
          <w:p>
            <w:pPr>
              <w:spacing w:after="0"/>
              <w:rPr>
                <w:sz w:val="17"/>
                <w:szCs w:val="17"/>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(3,671)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(4,028)</w:t>
            </w:r>
          </w:p>
        </w:tc>
      </w:tr>
      <w:tr>
        <w:trPr>
          <w:trHeight w:val="196"/>
        </w:trPr>
        <w:tc>
          <w:tcPr>
            <w:tcW w:w="9200" w:type="dxa"/>
            <w:vAlign w:val="bottom"/>
          </w:tcPr>
          <w:p>
            <w:pPr>
              <w:spacing w:after="0"/>
              <w:rPr>
                <w:sz w:val="20"/>
                <w:szCs w:val="20"/>
                <w:color w:val="auto"/>
              </w:rPr>
            </w:pPr>
            <w:r>
              <w:rPr>
                <w:rFonts w:ascii="Arial" w:cs="Arial" w:eastAsia="Arial" w:hAnsi="Arial"/>
                <w:sz w:val="17"/>
                <w:szCs w:val="17"/>
                <w:color w:val="auto"/>
              </w:rPr>
              <w:t>Net loss attributable to ordinary shareholders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(17,402</w:t>
            </w:r>
          </w:p>
        </w:tc>
        <w:tc>
          <w:tcPr>
            <w:tcW w:w="180" w:type="dxa"/>
            <w:vAlign w:val="bottom"/>
            <w:gridSpan w:val="2"/>
          </w:tcPr>
          <w:p>
            <w:pPr>
              <w:jc w:val="right"/>
              <w:ind w:right="140"/>
              <w:spacing w:after="0"/>
              <w:rPr>
                <w:sz w:val="20"/>
                <w:szCs w:val="20"/>
                <w:color w:val="auto"/>
              </w:rPr>
            </w:pPr>
            <w:r>
              <w:rPr>
                <w:rFonts w:ascii="Arial" w:cs="Arial" w:eastAsia="Arial" w:hAnsi="Arial"/>
                <w:sz w:val="7"/>
                <w:szCs w:val="7"/>
                <w:color w:val="auto"/>
                <w:w w:val="83"/>
              </w:rPr>
              <w:t>)</w:t>
            </w:r>
          </w:p>
        </w:tc>
        <w:tc>
          <w:tcPr>
            <w:tcW w:w="1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(23,271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33" w:lineRule="exact"/>
        <w:rPr>
          <w:sz w:val="20"/>
          <w:szCs w:val="20"/>
          <w:color w:val="auto"/>
        </w:rPr>
      </w:pPr>
    </w:p>
    <w:p>
      <w:pPr>
        <w:ind w:left="120" w:right="20"/>
        <w:spacing w:after="0" w:line="245" w:lineRule="auto"/>
        <w:rPr>
          <w:sz w:val="20"/>
          <w:szCs w:val="20"/>
          <w:color w:val="auto"/>
        </w:rPr>
      </w:pPr>
      <w:r>
        <w:rPr>
          <w:rFonts w:ascii="Arial" w:cs="Arial" w:eastAsia="Arial" w:hAnsi="Arial"/>
          <w:sz w:val="17"/>
          <w:szCs w:val="17"/>
          <w:color w:val="auto"/>
        </w:rPr>
        <w:t>Related-party revenue for the years ended December 31, 2018 and December 31, 2019 was $2.1 million and $4.8 million, respectively, which was generated solely from payments received for reimbursement of research and development expenses pursuant to the Tollnine Agreement, as further described in “—License and Collaboration Agreements—Related-Party Agreement” below. The increase of $2.7 million relates to increased fee-for-service hours provided to Tallac Therapeutics during 2019.</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40"/>
          </w:cols>
          <w:pgMar w:left="320" w:top="455" w:right="4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33" w:lineRule="exact"/>
        <w:rPr>
          <w:sz w:val="20"/>
          <w:szCs w:val="20"/>
          <w:color w:val="auto"/>
        </w:rPr>
      </w:pPr>
    </w:p>
    <w:p>
      <w:pPr>
        <w:ind w:left="120" w:right="300"/>
        <w:spacing w:after="0" w:line="257" w:lineRule="auto"/>
        <w:rPr>
          <w:sz w:val="20"/>
          <w:szCs w:val="20"/>
          <w:color w:val="auto"/>
        </w:rPr>
      </w:pPr>
      <w:r>
        <w:rPr>
          <w:rFonts w:ascii="Arial" w:cs="Arial" w:eastAsia="Arial" w:hAnsi="Arial"/>
          <w:sz w:val="17"/>
          <w:szCs w:val="17"/>
          <w:color w:val="auto"/>
        </w:rPr>
        <w:t>The following table summarizes our research and development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7"/>
        </w:trPr>
        <w:tc>
          <w:tcPr>
            <w:tcW w:w="62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62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6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56"/>
        </w:trPr>
        <w:tc>
          <w:tcPr>
            <w:tcW w:w="62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development costs</w:t>
            </w:r>
          </w:p>
        </w:tc>
        <w:tc>
          <w:tcPr>
            <w:tcW w:w="31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7,654</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$ 14,011</w:t>
            </w:r>
          </w:p>
        </w:tc>
      </w:tr>
      <w:tr>
        <w:trPr>
          <w:trHeight w:val="189"/>
        </w:trPr>
        <w:tc>
          <w:tcPr>
            <w:tcW w:w="626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3,312</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2,127</w:t>
            </w:r>
          </w:p>
        </w:tc>
      </w:tr>
      <w:tr>
        <w:trPr>
          <w:trHeight w:val="189"/>
        </w:trPr>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3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195</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105</w:t>
            </w:r>
          </w:p>
        </w:tc>
      </w:tr>
      <w:tr>
        <w:trPr>
          <w:trHeight w:val="189"/>
        </w:trPr>
        <w:tc>
          <w:tcPr>
            <w:tcW w:w="626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109</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63</w:t>
            </w:r>
          </w:p>
        </w:tc>
      </w:tr>
      <w:tr>
        <w:trPr>
          <w:trHeight w:val="27"/>
        </w:trPr>
        <w:tc>
          <w:tcPr>
            <w:tcW w:w="62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30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w w:val="84"/>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w w:val="96"/>
              </w:rPr>
              <w:t>11,270</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16,306</w:t>
            </w:r>
          </w:p>
        </w:tc>
      </w:tr>
      <w:tr>
        <w:trPr>
          <w:trHeight w:val="20"/>
        </w:trPr>
        <w:tc>
          <w:tcPr>
            <w:tcW w:w="6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2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left="120" w:right="180"/>
        <w:spacing w:after="0" w:line="246" w:lineRule="auto"/>
        <w:rPr>
          <w:sz w:val="20"/>
          <w:szCs w:val="20"/>
          <w:color w:val="auto"/>
        </w:rPr>
      </w:pPr>
      <w:r>
        <w:rPr>
          <w:rFonts w:ascii="Arial" w:cs="Arial" w:eastAsia="Arial" w:hAnsi="Arial"/>
          <w:sz w:val="17"/>
          <w:szCs w:val="17"/>
          <w:color w:val="auto"/>
        </w:rPr>
        <w:t>Research and development expenses for the year ended December 31, 2018 was $11.3 million, compared to $16.3 million for the year ended December 31, 2019. The increase of $5.0 million was primarily due to increases in external research and development expenses related to our lead product candidate, as we significantly increased trial recruitment for our Phase 1 clinical trials for ALX 148 in the year ended December 31, 2019. In addition, in the year ended December 31, 2019, we incurred increased costs for additional preclinical studies and CMC manufacturing.</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33" w:lineRule="exact"/>
        <w:rPr>
          <w:sz w:val="20"/>
          <w:szCs w:val="20"/>
          <w:color w:val="auto"/>
        </w:rPr>
      </w:pPr>
    </w:p>
    <w:p>
      <w:pPr>
        <w:ind w:left="120" w:right="320"/>
        <w:spacing w:after="0" w:line="273" w:lineRule="auto"/>
        <w:rPr>
          <w:sz w:val="20"/>
          <w:szCs w:val="20"/>
          <w:color w:val="auto"/>
        </w:rPr>
      </w:pPr>
      <w:r>
        <w:rPr>
          <w:rFonts w:ascii="Arial" w:cs="Arial" w:eastAsia="Arial" w:hAnsi="Arial"/>
          <w:sz w:val="17"/>
          <w:szCs w:val="17"/>
          <w:color w:val="auto"/>
        </w:rPr>
        <w:t>The following table summarizes our general and administrative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7"/>
        </w:trPr>
        <w:tc>
          <w:tcPr>
            <w:tcW w:w="9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r>
      <w:tr>
        <w:trPr>
          <w:trHeight w:val="156"/>
        </w:trPr>
        <w:tc>
          <w:tcPr>
            <w:tcW w:w="9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5"/>
          </w:tcPr>
          <w:p>
            <w:pPr>
              <w:jc w:val="center"/>
              <w:ind w:right="37"/>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695</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834</w:t>
            </w: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6"/>
                <w:szCs w:val="16"/>
                <w:color w:val="auto"/>
              </w:rPr>
            </w:pPr>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3"/>
              </w:rPr>
              <w:t>1,890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8"/>
              </w:rPr>
              <w:t>2,446</w:t>
            </w:r>
          </w:p>
        </w:tc>
      </w:tr>
      <w:tr>
        <w:trPr>
          <w:trHeight w:val="196"/>
        </w:trPr>
        <w:tc>
          <w:tcPr>
            <w:tcW w:w="9600" w:type="dxa"/>
            <w:vAlign w:val="bottom"/>
          </w:tcPr>
          <w:p>
            <w:pPr>
              <w:spacing w:after="0"/>
              <w:rPr>
                <w:sz w:val="20"/>
                <w:szCs w:val="20"/>
                <w:color w:val="auto"/>
              </w:rPr>
            </w:pPr>
            <w:r>
              <w:rPr>
                <w:rFonts w:ascii="Arial" w:cs="Arial" w:eastAsia="Arial" w:hAnsi="Arial"/>
                <w:sz w:val="17"/>
                <w:szCs w:val="17"/>
                <w:color w:val="auto"/>
              </w:rPr>
              <w:t>Total general and administrative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2,601</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3,313</w:t>
            </w:r>
          </w:p>
        </w:tc>
        <w:tc>
          <w:tcPr>
            <w:tcW w:w="60" w:type="dxa"/>
            <w:vAlign w:val="bottom"/>
          </w:tcPr>
          <w:p>
            <w:pPr>
              <w:spacing w:after="0"/>
              <w:rPr>
                <w:sz w:val="17"/>
                <w:szCs w:val="17"/>
                <w:color w:val="auto"/>
              </w:rPr>
            </w:pPr>
          </w:p>
        </w:tc>
      </w:tr>
      <w:tr>
        <w:trPr>
          <w:trHeight w:val="20"/>
        </w:trPr>
        <w:tc>
          <w:tcPr>
            <w:tcW w:w="9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left="120" w:right="80"/>
        <w:spacing w:after="0" w:line="246" w:lineRule="auto"/>
        <w:rPr>
          <w:sz w:val="20"/>
          <w:szCs w:val="20"/>
          <w:color w:val="auto"/>
        </w:rPr>
      </w:pPr>
      <w:r>
        <w:rPr>
          <w:rFonts w:ascii="Arial" w:cs="Arial" w:eastAsia="Arial" w:hAnsi="Arial"/>
          <w:sz w:val="17"/>
          <w:szCs w:val="17"/>
          <w:color w:val="auto"/>
        </w:rPr>
        <w:t>General and administrative expenses for the year ended December 31, 2018 was $2.6 million, compared to $3.3 million during the year ended December 31, 2019. This increase of $0.7 million was due to increased administrative costs supporting the increased activities in connection with our Phase 1 clinical trials for ALX 148, resulting in increased other general and administrative expenses of $0.6 million, which included increases in business development activities, legal, accounting and audit services, as well as increased personnel-related costs of $0.1 million.</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33" w:lineRule="exact"/>
        <w:rPr>
          <w:sz w:val="20"/>
          <w:szCs w:val="20"/>
          <w:color w:val="auto"/>
        </w:rPr>
      </w:pPr>
    </w:p>
    <w:p>
      <w:pPr>
        <w:ind w:left="120" w:right="500"/>
        <w:spacing w:after="0" w:line="257" w:lineRule="auto"/>
        <w:rPr>
          <w:sz w:val="20"/>
          <w:szCs w:val="20"/>
          <w:color w:val="auto"/>
        </w:rPr>
      </w:pPr>
      <w:r>
        <w:rPr>
          <w:rFonts w:ascii="Arial" w:cs="Arial" w:eastAsia="Arial" w:hAnsi="Arial"/>
          <w:sz w:val="17"/>
          <w:szCs w:val="17"/>
          <w:color w:val="auto"/>
        </w:rPr>
        <w:t>Cost of services for related-party revenue for the year ended December 31, 2018 was $1.9 million, compared to $4.4 million during the year ended December 31, 2019. This increase of $2.5 million was attributable to an increase in services rendered to Tallac Therapeutics.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41"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color w:val="auto"/>
        </w:rPr>
        <w:t>Since our inception, we have incurred significant operating losses and have not generated any product revenue. We have not yet commercialized any of our product candidates and we do not expect to generate revenue from sales of</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140"/>
          </w:cols>
          <w:pgMar w:left="320" w:top="455" w:right="4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20"/>
        <w:spacing w:after="0"/>
        <w:rPr>
          <w:sz w:val="20"/>
          <w:szCs w:val="20"/>
          <w:color w:val="auto"/>
        </w:rPr>
      </w:pPr>
      <w:r>
        <w:rPr>
          <w:rFonts w:ascii="Arial" w:cs="Arial" w:eastAsia="Arial" w:hAnsi="Arial"/>
          <w:sz w:val="17"/>
          <w:szCs w:val="17"/>
          <w:color w:val="auto"/>
        </w:rPr>
        <w:t>any product candidates for several years, if at all, subject to marketing approval of any of our product candidates. To date, we have funded our operations with proceeds from the sales of shares of our common stock and convertible preferred stock and borrowings under our term loan. In July 2020, we consummated our initial public offering, raising net proceeds of $169.5 million, after deducting underwriting discounts and commissions of $13.0 million and offering-related expenses of $3.2 million. Through September 30, 2020, we had received net proceeds of $175.1 million from sales of our common stock and convertible preferred stock, net proceeds of $5.8 million borrowings under our term loan, and net proceeds of $169.5 million from our initial public offering. As of September 30, 2020, we had cash and cash equivalents of $259.5 million.</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Silicon Valley Bank and WestRiver Group Loan and Security Agreement</w:t>
      </w:r>
    </w:p>
    <w:p>
      <w:pPr>
        <w:spacing w:after="0" w:line="43" w:lineRule="exact"/>
        <w:rPr>
          <w:sz w:val="20"/>
          <w:szCs w:val="20"/>
          <w:color w:val="auto"/>
        </w:rPr>
      </w:pPr>
    </w:p>
    <w:p>
      <w:pPr>
        <w:ind w:left="120" w:right="100"/>
        <w:spacing w:after="0" w:line="237" w:lineRule="auto"/>
        <w:rPr>
          <w:sz w:val="20"/>
          <w:szCs w:val="20"/>
          <w:color w:val="auto"/>
        </w:rPr>
      </w:pPr>
      <w:r>
        <w:rPr>
          <w:rFonts w:ascii="Arial" w:cs="Arial" w:eastAsia="Arial" w:hAnsi="Arial"/>
          <w:sz w:val="17"/>
          <w:szCs w:val="17"/>
          <w:color w:val="auto"/>
        </w:rPr>
        <w:t>Our wholly-owned subsidiaries ALX Oncology Limited, Alexo Therapeutics International and Sirpant Therapeutics, as borrowers, entered into the Loan and Security Agreement, or the Loan Agreement, dated as of December 20, 2019, with Silicon Valley Bank, or SVB, and WestRiver Innovation Lending Fund VIII, LP, or WestRiver, collectively as lenders, and SVB, as administrative agent and collateral agent. As a result of the internal reorganization, in May 2020 we entered into a Joinder and First Amendment to the Loan and Security Agreement, or the Joinder Amendment, and Amended and Restated Warrants to Purchase Stock, or the Amended Warrants. The purpose for entering into the Joinder Amendment was to add us, as a new incorporated company, as an additional borrower to the Loan Agreement. Concurrently, we modified the Amended Warrants to change the issuer from ALX Oncology Limited to us.</w:t>
      </w:r>
    </w:p>
    <w:p>
      <w:pPr>
        <w:spacing w:after="0" w:line="123"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The Loan Agreement provided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our achievement of an equity financing resulting in net cash proceeds in an amount of at least $30.0 million to us. We elected not to draw down on the second tranche, which is no longer available.</w:t>
      </w:r>
    </w:p>
    <w:p>
      <w:pPr>
        <w:spacing w:after="0" w:line="121"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3.25% as of September 30, 2020. Therefore, the rate applicable to us as of September 30, 2020 was 7.0%.</w:t>
      </w:r>
    </w:p>
    <w:p>
      <w:pPr>
        <w:spacing w:after="0" w:line="111" w:lineRule="exact"/>
        <w:rPr>
          <w:sz w:val="20"/>
          <w:szCs w:val="20"/>
          <w:color w:val="auto"/>
        </w:rPr>
      </w:pPr>
    </w:p>
    <w:p>
      <w:pPr>
        <w:ind w:left="120" w:right="60"/>
        <w:spacing w:after="0" w:line="242" w:lineRule="auto"/>
        <w:rPr>
          <w:sz w:val="20"/>
          <w:szCs w:val="20"/>
          <w:color w:val="auto"/>
        </w:rPr>
      </w:pPr>
      <w:r>
        <w:rPr>
          <w:rFonts w:ascii="Arial" w:cs="Arial" w:eastAsia="Arial" w:hAnsi="Arial"/>
          <w:sz w:val="17"/>
          <w:szCs w:val="17"/>
          <w:color w:val="auto"/>
        </w:rPr>
        <w:t>We are required to make interest-only payments for the first 12 months after the closing of the Loan Agreement,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2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conjunction with the Loan Agreement, we have issued warrants to purchase 61,292 Series B convertible preferred stock to SVB and WestRiver with an exercise price of $9.4972 per share. Following our initial public offering, these warrants were automatically converted to warrants to purchase 61,292 shares of common stock at an exercise price of $9.4972 per share. The estimated fair value of the warrants at the date of issuance was approximately $0.4 million. We revalued the Series B convertible preferred stock warrants as of the completion of the initial public offering and reclassified the outstanding preferred stock warrant liability balance of $1.0 million to additional paid-in capital with no further re-measurement required as the common stock warrants are considered permanent equity effective July 16, 2020. The fair value of the common stock warrant was determined using a Black-Scholes option-pricing model with the following assumptions: an expected term of 9.8 years, a volatility of 84.2%, a dividend rate of zero and a risk-free rate of 0.6%. The changes in fair value was recognized as a component of other expense, net in the accompanying condensed consolidated statement of operations and comprehensive loss. On August 17, 2020, SVB and WestRiver delivered the Notice of Exercise for net exercise of 61,292 warrants at an exercise price of $9.4972 per share. Accordingly, we issued 48,932 shares of our common stock.</w:t>
      </w:r>
    </w:p>
    <w:p>
      <w:pPr>
        <w:spacing w:after="0" w:line="127" w:lineRule="exact"/>
        <w:rPr>
          <w:sz w:val="20"/>
          <w:szCs w:val="20"/>
          <w:color w:val="auto"/>
        </w:rPr>
      </w:pPr>
    </w:p>
    <w:p>
      <w:pPr>
        <w:ind w:left="120" w:right="460"/>
        <w:spacing w:after="0" w:line="275"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140"/>
          </w:cols>
          <w:pgMar w:left="320" w:top="455" w:right="4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We determined that certain loan features were embedded derivatives requiring bifurcation and separate accounting. Those embedded derivatives were bundled together as a single, compound embedded derivative and then bifurcated and accounted for separately from the host contract. We recorded a term loan compound derivative liability of $51,000, which is marked-to-market at each reporting date. We calculated the fair values of the compound derivative by computing the difference between the fair value of the term loans and the compound derivative using the “with and without” method under the income approach, and the fair value of the term loans without the compound derivative. We calculated the fair values using a probability-weighted discounted cash flow analysis. The key valuation assumptions used consist of the discount rate and the probability of a change in control event. The term loan compound derivative liability is being remeasured at each financial reporting period with any changes in fair value being recognized as a component of other expense, net in the condensed consolidated statements of operations and comprehensive loss. As of September 30, 2020, the fair value of the compound derivative liability was approximately $43,000 and was recorded in other non-current liabilities on the condensed consolidated balance sheets.</w:t>
      </w:r>
    </w:p>
    <w:p>
      <w:pPr>
        <w:spacing w:after="0" w:line="122" w:lineRule="exact"/>
        <w:rPr>
          <w:sz w:val="20"/>
          <w:szCs w:val="20"/>
          <w:color w:val="auto"/>
        </w:rPr>
      </w:pPr>
    </w:p>
    <w:p>
      <w:pPr>
        <w:ind w:left="120" w:right="60"/>
        <w:spacing w:after="0" w:line="253" w:lineRule="auto"/>
        <w:rPr>
          <w:sz w:val="20"/>
          <w:szCs w:val="20"/>
          <w:color w:val="auto"/>
        </w:rPr>
      </w:pPr>
      <w:r>
        <w:rPr>
          <w:rFonts w:ascii="Arial" w:cs="Arial" w:eastAsia="Arial" w:hAnsi="Arial"/>
          <w:sz w:val="17"/>
          <w:szCs w:val="17"/>
          <w:color w:val="auto"/>
        </w:rPr>
        <w:t>The fair value of Series B convertible preferred stock warrant liability at issuance, fair value of embedded derivatives which were bifurcated and other debt issuance costs have been treated as debt discounts on our consolidated balance sheets and together with the final payment are being amortized to interest expense throughout the life of the term loans using the effective interest rate method.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43"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have incurred losses and negative cash flows from operations since inception and anticipate that we will continue to incur net losses for the foreseeable future. As of September 30, 2020, we had an accumulated deficit of $99.7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162" w:lineRule="exact"/>
        <w:rPr>
          <w:sz w:val="20"/>
          <w:szCs w:val="20"/>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timing and progress of preclinical and clinical development activities;</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successful enrollment in and completion of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timing and outcome of regulatory review of our product candidates;</w:t>
      </w:r>
    </w:p>
    <w:p>
      <w:pPr>
        <w:spacing w:after="0" w:line="34" w:lineRule="exact"/>
        <w:rPr>
          <w:rFonts w:ascii="MS PGothic" w:cs="MS PGothic" w:eastAsia="MS PGothic" w:hAnsi="MS PGothic"/>
          <w:sz w:val="13"/>
          <w:szCs w:val="13"/>
          <w:color w:val="auto"/>
        </w:rPr>
      </w:pPr>
    </w:p>
    <w:p>
      <w:pPr>
        <w:ind w:left="980" w:right="440" w:hanging="432"/>
        <w:spacing w:after="0" w:line="256"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our ability to establish agreements with third-party manufacturers for clinical supply for our clinical trials and, if any of our product candidates are approved, commercial manufacturing;</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addition and retention of key research and development personnel;</w:t>
      </w:r>
    </w:p>
    <w:p>
      <w:pPr>
        <w:spacing w:after="0" w:line="34" w:lineRule="exact"/>
        <w:rPr>
          <w:rFonts w:ascii="MS PGothic" w:cs="MS PGothic" w:eastAsia="MS PGothic" w:hAnsi="MS PGothic"/>
          <w:sz w:val="13"/>
          <w:szCs w:val="13"/>
          <w:color w:val="auto"/>
        </w:rPr>
      </w:pPr>
    </w:p>
    <w:p>
      <w:pPr>
        <w:ind w:left="980" w:right="60" w:hanging="432"/>
        <w:spacing w:after="0" w:line="256"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our efforts to enhance operational, financial and information management systems, and hire additional personnel, including personnel to support development of our product candidates;</w:t>
      </w:r>
    </w:p>
    <w:p>
      <w:pPr>
        <w:spacing w:after="0" w:line="1" w:lineRule="exact"/>
        <w:rPr>
          <w:rFonts w:ascii="MS PGothic" w:cs="MS PGothic" w:eastAsia="MS PGothic" w:hAnsi="MS PGothic"/>
          <w:sz w:val="13"/>
          <w:szCs w:val="13"/>
          <w:color w:val="auto"/>
        </w:rPr>
      </w:pPr>
    </w:p>
    <w:p>
      <w:pPr>
        <w:ind w:left="980" w:right="140" w:hanging="432"/>
        <w:spacing w:after="0" w:line="256"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legal patent costs involved in prosecuting patent applications and enforcing patent claims and other intellectual property claims;</w:t>
      </w:r>
    </w:p>
    <w:p>
      <w:pPr>
        <w:spacing w:after="0" w:line="34" w:lineRule="exact"/>
        <w:rPr>
          <w:rFonts w:ascii="MS PGothic" w:cs="MS PGothic" w:eastAsia="MS PGothic" w:hAnsi="MS PGothic"/>
          <w:sz w:val="13"/>
          <w:szCs w:val="13"/>
          <w:color w:val="auto"/>
        </w:rPr>
      </w:pPr>
    </w:p>
    <w:p>
      <w:pPr>
        <w:ind w:left="980" w:right="240" w:hanging="432"/>
        <w:spacing w:after="0" w:line="256"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terms and timing of any collaboration, license or other arrangement, including the terms and timing of any milestone and royalty payments thereunder; and</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impact of the COVID-19 pandemic, which may exacerbate the magnitude of the factors discussed above.</w:t>
      </w:r>
    </w:p>
    <w:p>
      <w:pPr>
        <w:spacing w:after="0" w:line="154"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40"/>
        <w:spacing w:after="0" w:line="239" w:lineRule="auto"/>
        <w:rPr>
          <w:sz w:val="20"/>
          <w:szCs w:val="20"/>
          <w:color w:val="auto"/>
        </w:rPr>
      </w:pPr>
      <w:r>
        <w:rPr>
          <w:rFonts w:ascii="Arial" w:cs="Arial" w:eastAsia="Arial" w:hAnsi="Arial"/>
          <w:sz w:val="17"/>
          <w:szCs w:val="17"/>
          <w:color w:val="auto"/>
        </w:rPr>
        <w:t>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22" w:lineRule="exact"/>
        <w:rPr>
          <w:sz w:val="20"/>
          <w:szCs w:val="20"/>
          <w:color w:val="auto"/>
        </w:rPr>
      </w:pPr>
    </w:p>
    <w:p>
      <w:pPr>
        <w:ind w:left="120" w:right="40"/>
        <w:spacing w:after="0" w:line="239" w:lineRule="auto"/>
        <w:rPr>
          <w:sz w:val="20"/>
          <w:szCs w:val="20"/>
          <w:color w:val="auto"/>
        </w:rPr>
      </w:pPr>
      <w:r>
        <w:rPr>
          <w:rFonts w:ascii="Arial" w:cs="Arial" w:eastAsia="Arial" w:hAnsi="Arial"/>
          <w:sz w:val="17"/>
          <w:szCs w:val="17"/>
          <w:color w:val="auto"/>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 We believe our existing cash and cash equivalents will enable us to fund our operating expenses and capital expenditure requirements through 2023. We have based these estimates on assumptions that may prove to be wrong, and we could utilize our available capital resources sooner than we expect. Our Loan Agreement includes covenants limiting or restricting our ability to take specific actions, such as incurring additional debt.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Flows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sources and uses of cash for each of the periods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144145</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20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YEARS ENDED</w:t>
            </w:r>
          </w:p>
        </w:tc>
        <w:tc>
          <w:tcPr>
            <w:tcW w:w="18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7160" w:type="dxa"/>
            <w:vAlign w:val="bottom"/>
          </w:tcPr>
          <w:p>
            <w:pPr>
              <w:spacing w:after="0"/>
              <w:rPr>
                <w:sz w:val="15"/>
                <w:szCs w:val="15"/>
                <w:color w:val="auto"/>
              </w:rPr>
            </w:pPr>
          </w:p>
        </w:tc>
        <w:tc>
          <w:tcPr>
            <w:tcW w:w="20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7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7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40"/>
        </w:trPr>
        <w:tc>
          <w:tcPr>
            <w:tcW w:w="7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center"/>
              <w:ind w:right="17"/>
              <w:spacing w:after="0" w:line="141"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r>
      <w:tr>
        <w:trPr>
          <w:trHeight w:val="177"/>
        </w:trPr>
        <w:tc>
          <w:tcPr>
            <w:tcW w:w="7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160" w:type="dxa"/>
            <w:vAlign w:val="bottom"/>
          </w:tcPr>
          <w:p>
            <w:pPr>
              <w:ind w:left="500"/>
              <w:spacing w:after="0" w:line="189" w:lineRule="exact"/>
              <w:rPr>
                <w:sz w:val="20"/>
                <w:szCs w:val="20"/>
                <w:color w:val="auto"/>
              </w:rPr>
            </w:pPr>
            <w:r>
              <w:rPr>
                <w:rFonts w:ascii="Arial" w:cs="Arial" w:eastAsia="Arial" w:hAnsi="Arial"/>
                <w:sz w:val="17"/>
                <w:szCs w:val="17"/>
                <w:color w:val="auto"/>
              </w:rPr>
              <w:t>Operating activities</w:t>
            </w:r>
          </w:p>
        </w:tc>
        <w:tc>
          <w:tcPr>
            <w:tcW w:w="8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w w:val="98"/>
              </w:rPr>
              <w:t>$(13,190)</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w w:val="97"/>
              </w:rPr>
              <w:t>(14,249)</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w w:val="94"/>
              </w:rPr>
              <w:t>(11,375)</w:t>
            </w: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8"/>
              </w:rPr>
              <w:t>$ (24,674)</w:t>
            </w:r>
          </w:p>
        </w:tc>
      </w:tr>
      <w:tr>
        <w:trPr>
          <w:trHeight w:val="189"/>
        </w:trPr>
        <w:tc>
          <w:tcPr>
            <w:tcW w:w="71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Investing activities</w:t>
            </w:r>
          </w:p>
        </w:tc>
        <w:tc>
          <w:tcPr>
            <w:tcW w:w="8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(353)</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(415)</w:t>
            </w: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621</w:t>
            </w:r>
          </w:p>
        </w:tc>
      </w:tr>
      <w:tr>
        <w:trPr>
          <w:trHeight w:val="189"/>
        </w:trPr>
        <w:tc>
          <w:tcPr>
            <w:tcW w:w="7160" w:type="dxa"/>
            <w:vAlign w:val="bottom"/>
          </w:tcPr>
          <w:p>
            <w:pPr>
              <w:ind w:left="500"/>
              <w:spacing w:after="0" w:line="189" w:lineRule="exact"/>
              <w:rPr>
                <w:sz w:val="20"/>
                <w:szCs w:val="20"/>
                <w:color w:val="auto"/>
              </w:rPr>
            </w:pPr>
            <w:r>
              <w:rPr>
                <w:rFonts w:ascii="Arial" w:cs="Arial" w:eastAsia="Arial" w:hAnsi="Arial"/>
                <w:sz w:val="17"/>
                <w:szCs w:val="17"/>
                <w:color w:val="auto"/>
              </w:rPr>
              <w:t>Financing activities</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15,357</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9,430</w:t>
            </w:r>
          </w:p>
        </w:tc>
        <w:tc>
          <w:tcPr>
            <w:tcW w:w="320" w:type="dxa"/>
            <w:vAlign w:val="bottom"/>
          </w:tcPr>
          <w:p>
            <w:pPr>
              <w:spacing w:after="0"/>
              <w:rPr>
                <w:sz w:val="16"/>
                <w:szCs w:val="16"/>
                <w:color w:val="auto"/>
              </w:rPr>
            </w:pPr>
          </w:p>
        </w:tc>
        <w:tc>
          <w:tcPr>
            <w:tcW w:w="8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274,520</w:t>
            </w:r>
          </w:p>
        </w:tc>
      </w:tr>
      <w:tr>
        <w:trPr>
          <w:trHeight w:val="27"/>
        </w:trPr>
        <w:tc>
          <w:tcPr>
            <w:tcW w:w="7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7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8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(13,842)</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755</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(2,360)</w:t>
            </w:r>
          </w:p>
        </w:tc>
        <w:tc>
          <w:tcPr>
            <w:tcW w:w="8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250,467</w:t>
            </w:r>
          </w:p>
        </w:tc>
      </w:tr>
      <w:tr>
        <w:trPr>
          <w:trHeight w:val="20"/>
        </w:trPr>
        <w:tc>
          <w:tcPr>
            <w:tcW w:w="7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43"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In the nine months ended September 30, 2019, cash used in operating activities of $11.4 million was attributable to a net loss of $11.5 million and a change of $0.4 million in our net operating assets and liabilities, partially offset by $0.5 million in non-cash charges. The non-cash charges consisted of stock-based compensation of $0.2 million and depreciation and amortization of $0.3 million. The change in operating assets and liabilities was primarily due to a $0.4 million increase in receivables from a related-party, $0.3 million decrease in accrued expenses and other current liabilities and a $0.1 million decrease in accounts payable, partially offset by a $0.4 million decrease in prepaid expenses and other current assets.</w:t>
      </w:r>
    </w:p>
    <w:p>
      <w:pPr>
        <w:spacing w:after="0" w:line="122" w:lineRule="exact"/>
        <w:rPr>
          <w:sz w:val="20"/>
          <w:szCs w:val="20"/>
          <w:color w:val="auto"/>
        </w:rPr>
      </w:pPr>
    </w:p>
    <w:p>
      <w:pPr>
        <w:ind w:left="120" w:right="40"/>
        <w:spacing w:after="0" w:line="239" w:lineRule="auto"/>
        <w:rPr>
          <w:sz w:val="20"/>
          <w:szCs w:val="20"/>
          <w:color w:val="auto"/>
        </w:rPr>
      </w:pPr>
      <w:r>
        <w:rPr>
          <w:rFonts w:ascii="Arial" w:cs="Arial" w:eastAsia="Arial" w:hAnsi="Arial"/>
          <w:sz w:val="17"/>
          <w:szCs w:val="17"/>
          <w:color w:val="auto"/>
        </w:rPr>
        <w:t>In the nine months ended September 30, 2020, cash used in operating activities of $24.7 million was attributable to a net loss of $27.0 million and a change of $2.5 million in our net operating assets and liabilities, partially offset by $4.8 million in non-cash charges. The non-cash charges consisted of stock-based compensation of $3.7 million, change in fair value of Series B convertible preferred stock warrant liability and term loan compound derivative of $0.7 million, depreciation and amortization of $0.2 million and amortization of term loan discount and issuance costs of $0.3 million, partially offset by a gain on assignment of lease of $0.1 million. The change in operating assets and liabilities was primarily due to a $2.3 million decrease in accounts payable, $2.1 million increase in prepaid expenses and other current assets, partially offset by a $2.0 million increase in accrued expenses and other current liabilities. This is primarily due to timing of cash payments for clinical-related activities.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40"/>
          </w:cols>
          <w:pgMar w:left="320" w:top="455" w:right="4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0"/>
        <w:spacing w:after="0"/>
        <w:rPr>
          <w:sz w:val="20"/>
          <w:szCs w:val="20"/>
          <w:color w:val="auto"/>
        </w:rPr>
      </w:pPr>
      <w:r>
        <w:rPr>
          <w:rFonts w:ascii="Arial" w:cs="Arial" w:eastAsia="Arial" w:hAnsi="Arial"/>
          <w:sz w:val="17"/>
          <w:szCs w:val="17"/>
          <w:color w:val="auto"/>
        </w:rPr>
        <w:t>In the year ended December 31, 2018, cash used in operating activities of $13.2 million was attributable to a net loss of $13.7 million partially offset by $0.7 million in non-cash charges and a net change of $0.2 million in our net operating assets and liabilities. The non-cash charges consisted of stock-based compensation expense of $0.3 million and depreciation and amortization expense of $0.4 million. The change in operating assets and liabilities was primarily due to a $0.9 million increase in receivables due from a related-party and $0.3 million decrease in accounts payable. This was partially offset by a $0.9 million decrease in prepaid expenses and other current assets resulting from the timing of prepayments made for research and development activities.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year ended December 31, 2019, cash used in operating activities of $14.2 million was attributable to a net loss of $19.2 million and a net change of $4.3 million in our net operating assets and liabilities, partially offset by $0.7 million in non-cash charges. The non-cash charges primarily consisted of stock-based compensation expense of $0.3 million and depreciation and amortization expense of $0.4 million. The change in operating assets and liabilities was primarily due to a $3.0 million increase in accounts payable, a $0.7 million decrease in prepaid expenses and other current assets and a $0.4 million decrease in receivables due from a related-party. The increase in accounts payable is primarily due to the timing of cash payments and increased activities to support overall business growth.</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43" w:lineRule="exact"/>
        <w:rPr>
          <w:sz w:val="20"/>
          <w:szCs w:val="20"/>
          <w:color w:val="auto"/>
        </w:rPr>
      </w:pPr>
    </w:p>
    <w:p>
      <w:pPr>
        <w:ind w:left="120" w:right="160"/>
        <w:spacing w:after="0" w:line="261" w:lineRule="auto"/>
        <w:rPr>
          <w:sz w:val="20"/>
          <w:szCs w:val="20"/>
          <w:color w:val="auto"/>
        </w:rPr>
      </w:pPr>
      <w:r>
        <w:rPr>
          <w:rFonts w:ascii="Arial" w:cs="Arial" w:eastAsia="Arial" w:hAnsi="Arial"/>
          <w:sz w:val="17"/>
          <w:szCs w:val="17"/>
          <w:color w:val="auto"/>
        </w:rPr>
        <w:t>In the nine months ended September 30, 2019, cash used in investing activities was $0.4 million and was related to capital expenditures on the purchase of property and equipment.</w:t>
      </w:r>
    </w:p>
    <w:p>
      <w:pPr>
        <w:spacing w:after="0" w:line="104"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In the nine months ended September 30, 2020, cash provided by investing activities was $0.6 million, primarily due to proceeds from assets held for sale.</w:t>
      </w:r>
    </w:p>
    <w:p>
      <w:pPr>
        <w:spacing w:after="0" w:line="92" w:lineRule="exact"/>
        <w:rPr>
          <w:sz w:val="20"/>
          <w:szCs w:val="20"/>
          <w:color w:val="auto"/>
        </w:rPr>
      </w:pPr>
    </w:p>
    <w:p>
      <w:pPr>
        <w:ind w:left="120" w:right="360"/>
        <w:spacing w:after="0" w:line="275" w:lineRule="auto"/>
        <w:rPr>
          <w:sz w:val="20"/>
          <w:szCs w:val="20"/>
          <w:color w:val="auto"/>
        </w:rPr>
      </w:pPr>
      <w:r>
        <w:rPr>
          <w:rFonts w:ascii="Arial" w:cs="Arial" w:eastAsia="Arial" w:hAnsi="Arial"/>
          <w:sz w:val="17"/>
          <w:szCs w:val="17"/>
          <w:color w:val="auto"/>
        </w:rPr>
        <w:t>In the year ended December 31, 2018, cash used in investing activities of $0.7 million was related to capital expenditures on the purchase of property and equipment.</w:t>
      </w:r>
    </w:p>
    <w:p>
      <w:pPr>
        <w:spacing w:after="0" w:line="92" w:lineRule="exact"/>
        <w:rPr>
          <w:sz w:val="20"/>
          <w:szCs w:val="20"/>
          <w:color w:val="auto"/>
        </w:rPr>
      </w:pPr>
    </w:p>
    <w:p>
      <w:pPr>
        <w:ind w:left="120" w:right="360"/>
        <w:spacing w:after="0" w:line="274" w:lineRule="auto"/>
        <w:rPr>
          <w:sz w:val="20"/>
          <w:szCs w:val="20"/>
          <w:color w:val="auto"/>
        </w:rPr>
      </w:pPr>
      <w:r>
        <w:rPr>
          <w:rFonts w:ascii="Arial" w:cs="Arial" w:eastAsia="Arial" w:hAnsi="Arial"/>
          <w:sz w:val="17"/>
          <w:szCs w:val="17"/>
          <w:color w:val="auto"/>
        </w:rPr>
        <w:t>In the year ended December 31, 2019, cash used in investing activities of $0.4 million was related to capital expenditures on the purchase of property and equipment.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41" w:lineRule="exact"/>
        <w:rPr>
          <w:sz w:val="20"/>
          <w:szCs w:val="20"/>
          <w:color w:val="auto"/>
        </w:rPr>
      </w:pPr>
    </w:p>
    <w:p>
      <w:pPr>
        <w:ind w:left="120" w:right="340"/>
        <w:spacing w:after="0" w:line="248" w:lineRule="auto"/>
        <w:rPr>
          <w:sz w:val="20"/>
          <w:szCs w:val="20"/>
          <w:color w:val="auto"/>
        </w:rPr>
      </w:pPr>
      <w:r>
        <w:rPr>
          <w:rFonts w:ascii="Arial" w:cs="Arial" w:eastAsia="Arial" w:hAnsi="Arial"/>
          <w:sz w:val="17"/>
          <w:szCs w:val="17"/>
          <w:color w:val="auto"/>
        </w:rPr>
        <w:t>In the nine months ended September 30, 2019, cash provided by financing activities was $9.4 million, from the sale and issuance of Series B convertible preferred stock with gross proceeds of $9.6 million, partially offset by payment of issuance costs of $0.2 million.</w:t>
      </w:r>
    </w:p>
    <w:p>
      <w:pPr>
        <w:spacing w:after="0" w:line="114" w:lineRule="exact"/>
        <w:rPr>
          <w:sz w:val="20"/>
          <w:szCs w:val="20"/>
          <w:color w:val="auto"/>
        </w:rPr>
      </w:pPr>
    </w:p>
    <w:p>
      <w:pPr>
        <w:ind w:left="120" w:right="240"/>
        <w:spacing w:after="0" w:line="246" w:lineRule="auto"/>
        <w:rPr>
          <w:sz w:val="20"/>
          <w:szCs w:val="20"/>
          <w:color w:val="auto"/>
        </w:rPr>
      </w:pPr>
      <w:r>
        <w:rPr>
          <w:rFonts w:ascii="Arial" w:cs="Arial" w:eastAsia="Arial" w:hAnsi="Arial"/>
          <w:sz w:val="17"/>
          <w:szCs w:val="17"/>
          <w:color w:val="auto"/>
        </w:rPr>
        <w:t>In the nine months ended September 30, 2020, cash provided by financing activities was $274.5 million, primarily from the net proceeds of our initial public offering of $172.7 million, after deducting underwriting commissions and discounts, the sale and issuance of Series C convertible preferred stock with gross proceeds of $105.0 million, net of $0.3 million in issuance costs, and proceeds from the exercise of common stock under equity incentive plans of $0.3 million, partially offset by payment of offering costs of $3.2 million.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year ended December 31, 2018, cash provided by financing activities was nominal.</w:t>
      </w:r>
    </w:p>
    <w:p>
      <w:pPr>
        <w:spacing w:after="0" w:line="156"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 the year ended December 31, 2019, cash provided by financing activities of $15.4 million was related to net proceeds of $9.4 million from the issuance of Series B convertible preferred shares and $5.9 million from the net proceeds from a term loan entered into in December 2019.</w:t>
      </w:r>
    </w:p>
    <w:p>
      <w:pPr>
        <w:spacing w:after="0" w:line="8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080"/>
          </w:cols>
          <w:pgMar w:left="320" w:top="455" w:right="49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60"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We have contractual obligations from our operating lease, manufacturing and service contracts, Term Loan, and other research and development activities. The following table aggregates our material expected contractual obligations and commitments as of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SEPTEMBER 30, 2020</w:t>
            </w: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4"/>
          </w:tcPr>
          <w:p>
            <w:pPr>
              <w:ind w:left="60"/>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96"/>
              <w:spacing w:after="0" w:line="156" w:lineRule="exact"/>
              <w:rPr>
                <w:sz w:val="20"/>
                <w:szCs w:val="20"/>
                <w:color w:val="auto"/>
              </w:rPr>
            </w:pPr>
            <w:r>
              <w:rPr>
                <w:rFonts w:ascii="Arial" w:cs="Arial" w:eastAsia="Arial" w:hAnsi="Arial"/>
                <w:sz w:val="11"/>
                <w:szCs w:val="11"/>
                <w:b w:val="1"/>
                <w:bCs w:val="1"/>
                <w:color w:val="auto"/>
              </w:rPr>
              <w:t>2020</w:t>
            </w:r>
            <w:r>
              <w:rPr>
                <w:rFonts w:ascii="Arial" w:cs="Arial" w:eastAsia="Arial" w:hAnsi="Arial"/>
                <w:sz w:val="18"/>
                <w:szCs w:val="18"/>
                <w:b w:val="1"/>
                <w:bCs w:val="1"/>
                <w:color w:val="auto"/>
                <w:vertAlign w:val="superscript"/>
              </w:rPr>
              <w:t>(4)</w:t>
            </w:r>
          </w:p>
        </w:tc>
        <w:tc>
          <w:tcPr>
            <w:tcW w:w="160" w:type="dxa"/>
            <w:vAlign w:val="bottom"/>
          </w:tcPr>
          <w:p>
            <w:pPr>
              <w:spacing w:after="0"/>
              <w:rPr>
                <w:sz w:val="13"/>
                <w:szCs w:val="13"/>
                <w:color w:val="auto"/>
              </w:rPr>
            </w:pPr>
          </w:p>
        </w:tc>
        <w:tc>
          <w:tcPr>
            <w:tcW w:w="11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2021-2022</w:t>
            </w:r>
          </w:p>
        </w:tc>
        <w:tc>
          <w:tcPr>
            <w:tcW w:w="600" w:type="dxa"/>
            <w:vAlign w:val="bottom"/>
          </w:tcPr>
          <w:p>
            <w:pPr>
              <w:spacing w:after="0"/>
              <w:rPr>
                <w:sz w:val="13"/>
                <w:szCs w:val="13"/>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2023-2024</w:t>
            </w:r>
          </w:p>
        </w:tc>
        <w:tc>
          <w:tcPr>
            <w:tcW w:w="60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THEREAFTER</w:t>
            </w:r>
          </w:p>
        </w:tc>
        <w:tc>
          <w:tcPr>
            <w:tcW w:w="60" w:type="dxa"/>
            <w:vAlign w:val="bottom"/>
          </w:tcPr>
          <w:p>
            <w:pPr>
              <w:spacing w:after="0"/>
              <w:rPr>
                <w:sz w:val="13"/>
                <w:szCs w:val="13"/>
                <w:color w:val="auto"/>
              </w:rPr>
            </w:pPr>
          </w:p>
        </w:tc>
      </w:tr>
      <w:tr>
        <w:trPr>
          <w:trHeight w:val="183"/>
        </w:trPr>
        <w:tc>
          <w:tcPr>
            <w:tcW w:w="47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14"/>
                <w:szCs w:val="14"/>
                <w:color w:val="auto"/>
              </w:rPr>
              <w:t>(1)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380</w:t>
            </w: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w:t>
            </w: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284</w:t>
            </w:r>
          </w:p>
        </w:tc>
        <w:tc>
          <w:tcPr>
            <w:tcW w:w="6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9"/>
              <w:spacing w:after="0" w:line="183" w:lineRule="exact"/>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6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4760" w:type="dxa"/>
            <w:vAlign w:val="bottom"/>
          </w:tcPr>
          <w:p>
            <w:pPr>
              <w:spacing w:after="0" w:line="189" w:lineRule="exact"/>
              <w:rPr>
                <w:sz w:val="20"/>
                <w:szCs w:val="20"/>
                <w:color w:val="auto"/>
              </w:rPr>
            </w:pPr>
            <w:r>
              <w:rPr>
                <w:rFonts w:ascii="Arial" w:cs="Arial" w:eastAsia="Arial" w:hAnsi="Arial"/>
                <w:sz w:val="17"/>
                <w:szCs w:val="17"/>
                <w:color w:val="auto"/>
              </w:rPr>
              <w:t>Manufacturing and service contracts</w:t>
            </w:r>
            <w:r>
              <w:rPr>
                <w:rFonts w:ascii="Arial" w:cs="Arial" w:eastAsia="Arial" w:hAnsi="Arial"/>
                <w:sz w:val="14"/>
                <w:szCs w:val="14"/>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300"/>
              <w:spacing w:after="0" w:line="189" w:lineRule="exact"/>
              <w:rPr>
                <w:sz w:val="20"/>
                <w:szCs w:val="20"/>
                <w:color w:val="auto"/>
              </w:rPr>
            </w:pPr>
            <w:r>
              <w:rPr>
                <w:rFonts w:ascii="Arial" w:cs="Arial" w:eastAsia="Arial" w:hAnsi="Arial"/>
                <w:sz w:val="17"/>
                <w:szCs w:val="17"/>
                <w:color w:val="auto"/>
              </w:rPr>
              <w:t>7,622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6,238</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1,384</w:t>
            </w:r>
          </w:p>
        </w:tc>
        <w:tc>
          <w:tcPr>
            <w:tcW w:w="300" w:type="dxa"/>
            <w:vAlign w:val="bottom"/>
          </w:tcPr>
          <w:p>
            <w:pPr>
              <w:spacing w:after="0"/>
              <w:rPr>
                <w:sz w:val="16"/>
                <w:szCs w:val="16"/>
                <w:color w:val="auto"/>
              </w:rPr>
            </w:pPr>
          </w:p>
        </w:tc>
        <w:tc>
          <w:tcPr>
            <w:tcW w:w="10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4"/>
        </w:trPr>
        <w:tc>
          <w:tcPr>
            <w:tcW w:w="476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Term loan</w:t>
            </w: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gridSpan w:val="3"/>
            <w:shd w:val="clear" w:color="auto" w:fill="CCEEFF"/>
          </w:tcPr>
          <w:p>
            <w:pPr>
              <w:jc w:val="right"/>
              <w:ind w:right="300"/>
              <w:spacing w:after="0" w:line="4" w:lineRule="exact"/>
              <w:rPr>
                <w:sz w:val="20"/>
                <w:szCs w:val="20"/>
                <w:color w:val="auto"/>
              </w:rPr>
            </w:pPr>
            <w:r>
              <w:rPr>
                <w:rFonts w:ascii="Arial" w:cs="Arial" w:eastAsia="Arial" w:hAnsi="Arial"/>
                <w:sz w:val="1"/>
                <w:szCs w:val="1"/>
                <w:color w:val="auto"/>
              </w:rPr>
              <w:t>6,856</w:t>
            </w: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gridSpan w:val="2"/>
            <w:shd w:val="clear" w:color="auto" w:fill="CCEEFF"/>
          </w:tcPr>
          <w:p>
            <w:pPr>
              <w:jc w:val="right"/>
              <w:ind w:right="160"/>
              <w:spacing w:after="0" w:line="4" w:lineRule="exact"/>
              <w:rPr>
                <w:sz w:val="20"/>
                <w:szCs w:val="20"/>
                <w:color w:val="auto"/>
              </w:rPr>
            </w:pPr>
            <w:r>
              <w:rPr>
                <w:rFonts w:ascii="Arial" w:cs="Arial" w:eastAsia="Arial" w:hAnsi="Arial"/>
                <w:sz w:val="1"/>
                <w:szCs w:val="1"/>
                <w:color w:val="auto"/>
              </w:rPr>
              <w:t>106</w:t>
            </w: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00" w:type="dxa"/>
            <w:vAlign w:val="bottom"/>
            <w:gridSpan w:val="2"/>
            <w:shd w:val="clear" w:color="auto" w:fill="CCEEFF"/>
          </w:tcPr>
          <w:p>
            <w:pPr>
              <w:jc w:val="right"/>
              <w:ind w:right="600"/>
              <w:spacing w:after="0" w:line="4" w:lineRule="exact"/>
              <w:rPr>
                <w:sz w:val="20"/>
                <w:szCs w:val="20"/>
                <w:color w:val="auto"/>
              </w:rPr>
            </w:pPr>
            <w:r>
              <w:rPr>
                <w:rFonts w:ascii="Arial" w:cs="Arial" w:eastAsia="Arial" w:hAnsi="Arial"/>
                <w:sz w:val="1"/>
                <w:szCs w:val="1"/>
                <w:color w:val="auto"/>
              </w:rPr>
              <w:t>6,750</w:t>
            </w:r>
          </w:p>
        </w:tc>
        <w:tc>
          <w:tcPr>
            <w:tcW w:w="30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jc w:val="right"/>
              <w:ind w:right="600"/>
              <w:spacing w:after="0" w:line="4" w:lineRule="exact"/>
              <w:rPr>
                <w:sz w:val="20"/>
                <w:szCs w:val="20"/>
                <w:color w:val="auto"/>
              </w:rPr>
            </w:pPr>
            <w:r>
              <w:rPr>
                <w:rFonts w:ascii="Arial" w:cs="Arial" w:eastAsia="Arial" w:hAnsi="Arial"/>
                <w:sz w:val="1"/>
                <w:szCs w:val="1"/>
                <w:color w:val="auto"/>
              </w:rPr>
              <w:t>—</w:t>
            </w:r>
          </w:p>
        </w:tc>
        <w:tc>
          <w:tcPr>
            <w:tcW w:w="460" w:type="dxa"/>
            <w:vAlign w:val="bottom"/>
            <w:shd w:val="clear" w:color="auto" w:fill="CCEEFF"/>
          </w:tcPr>
          <w:p>
            <w:pPr>
              <w:spacing w:after="0" w:line="20" w:lineRule="exact"/>
              <w:rPr>
                <w:sz w:val="1"/>
                <w:szCs w:val="1"/>
                <w:color w:val="auto"/>
              </w:rPr>
            </w:pPr>
          </w:p>
        </w:tc>
        <w:tc>
          <w:tcPr>
            <w:tcW w:w="58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w:t>
            </w:r>
          </w:p>
        </w:tc>
      </w:tr>
      <w:tr>
        <w:trPr>
          <w:trHeight w:val="185"/>
        </w:trPr>
        <w:tc>
          <w:tcPr>
            <w:tcW w:w="4760" w:type="dxa"/>
            <w:vAlign w:val="bottom"/>
            <w:shd w:val="clear" w:color="auto" w:fill="CCEEFF"/>
          </w:tcPr>
          <w:p>
            <w:pPr>
              <w:ind w:left="740"/>
              <w:spacing w:after="0"/>
              <w:rPr>
                <w:sz w:val="20"/>
                <w:szCs w:val="20"/>
                <w:color w:val="auto"/>
              </w:rPr>
            </w:pPr>
            <w:r>
              <w:rPr>
                <w:rFonts w:ascii="Arial" w:cs="Arial" w:eastAsia="Arial" w:hAnsi="Arial"/>
                <w:sz w:val="15"/>
                <w:szCs w:val="15"/>
                <w:color w:val="auto"/>
              </w:rPr>
              <w:t>(3)</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4760" w:type="dxa"/>
            <w:vAlign w:val="bottom"/>
          </w:tcPr>
          <w:p>
            <w:pPr>
              <w:spacing w:after="0"/>
              <w:rPr>
                <w:sz w:val="20"/>
                <w:szCs w:val="20"/>
                <w:color w:val="auto"/>
              </w:rPr>
            </w:pPr>
            <w:r>
              <w:rPr>
                <w:rFonts w:ascii="Arial" w:cs="Arial" w:eastAsia="Arial" w:hAnsi="Arial"/>
                <w:sz w:val="17"/>
                <w:szCs w:val="17"/>
                <w:color w:val="auto"/>
              </w:rPr>
              <w:t>Total</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14,858</w:t>
            </w: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6,378</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8,418</w:t>
            </w:r>
          </w:p>
        </w:tc>
        <w:tc>
          <w:tcPr>
            <w:tcW w:w="6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6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1" w:lineRule="exact"/>
        <w:rPr>
          <w:sz w:val="20"/>
          <w:szCs w:val="20"/>
          <w:color w:val="auto"/>
        </w:rPr>
      </w:pPr>
    </w:p>
    <w:p>
      <w:pPr>
        <w:ind w:left="540" w:hanging="289"/>
        <w:spacing w:after="0"/>
        <w:tabs>
          <w:tab w:leader="none" w:pos="540" w:val="left"/>
        </w:tabs>
        <w:numPr>
          <w:ilvl w:val="0"/>
          <w:numId w:val="57"/>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Payments due for the office space in Burlingame, California under a single operating sub-lease agreement that expires in 2023.</w:t>
      </w:r>
    </w:p>
    <w:p>
      <w:pPr>
        <w:ind w:left="540" w:right="20" w:hanging="289"/>
        <w:spacing w:after="0" w:line="215" w:lineRule="auto"/>
        <w:tabs>
          <w:tab w:leader="none" w:pos="540" w:val="left"/>
        </w:tabs>
        <w:numPr>
          <w:ilvl w:val="0"/>
          <w:numId w:val="57"/>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In November 2015, we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us to certain purchase obligations of approximately $7.5 million. In addition, we have commitments with a second drug product manufacturer that commits us to certain purchase obligations of approximately $0.1 million. These amounts are based on non-cancellable commitments and forecasts that include estimates of future market demand, quantity discounts and manufacturing efficiencies that may impact timing of purchases.</w:t>
      </w:r>
    </w:p>
    <w:p>
      <w:pPr>
        <w:spacing w:after="0" w:line="3" w:lineRule="exact"/>
        <w:rPr>
          <w:rFonts w:ascii="Arial" w:cs="Arial" w:eastAsia="Arial" w:hAnsi="Arial"/>
          <w:sz w:val="24"/>
          <w:szCs w:val="24"/>
          <w:i w:val="1"/>
          <w:iCs w:val="1"/>
          <w:color w:val="auto"/>
          <w:vertAlign w:val="superscript"/>
        </w:rPr>
      </w:pPr>
    </w:p>
    <w:p>
      <w:pPr>
        <w:ind w:left="540" w:right="140" w:hanging="289"/>
        <w:spacing w:after="0" w:line="182" w:lineRule="auto"/>
        <w:tabs>
          <w:tab w:leader="none" w:pos="540" w:val="left"/>
        </w:tabs>
        <w:numPr>
          <w:ilvl w:val="0"/>
          <w:numId w:val="57"/>
        </w:numPr>
        <w:rPr>
          <w:rFonts w:ascii="Arial" w:cs="Arial" w:eastAsia="Arial" w:hAnsi="Arial"/>
          <w:sz w:val="23"/>
          <w:szCs w:val="23"/>
          <w:i w:val="1"/>
          <w:iCs w:val="1"/>
          <w:color w:val="auto"/>
          <w:vertAlign w:val="superscript"/>
        </w:rPr>
      </w:pPr>
      <w:r>
        <w:rPr>
          <w:rFonts w:ascii="Arial" w:cs="Arial" w:eastAsia="Arial" w:hAnsi="Arial"/>
          <w:sz w:val="14"/>
          <w:szCs w:val="14"/>
          <w:i w:val="1"/>
          <w:iCs w:val="1"/>
          <w:color w:val="auto"/>
        </w:rPr>
        <w:t>On December 20, 2019, we borrowed a loan pursuant to the Loan Agreement. See Note 5 to the condensed consolidated financial statements included elsewhere in this prospectus for additional details.</w:t>
      </w:r>
    </w:p>
    <w:p>
      <w:pPr>
        <w:spacing w:after="0" w:line="1" w:lineRule="exact"/>
        <w:rPr>
          <w:rFonts w:ascii="Arial" w:cs="Arial" w:eastAsia="Arial" w:hAnsi="Arial"/>
          <w:sz w:val="23"/>
          <w:szCs w:val="23"/>
          <w:i w:val="1"/>
          <w:iCs w:val="1"/>
          <w:color w:val="auto"/>
          <w:vertAlign w:val="superscript"/>
        </w:rPr>
      </w:pPr>
    </w:p>
    <w:p>
      <w:pPr>
        <w:ind w:left="540" w:hanging="289"/>
        <w:spacing w:after="0" w:line="183" w:lineRule="auto"/>
        <w:tabs>
          <w:tab w:leader="none" w:pos="540" w:val="left"/>
        </w:tabs>
        <w:numPr>
          <w:ilvl w:val="0"/>
          <w:numId w:val="57"/>
        </w:numPr>
        <w:rPr>
          <w:rFonts w:ascii="Arial" w:cs="Arial" w:eastAsia="Arial" w:hAnsi="Arial"/>
          <w:sz w:val="20"/>
          <w:szCs w:val="20"/>
          <w:i w:val="1"/>
          <w:iCs w:val="1"/>
          <w:color w:val="auto"/>
          <w:vertAlign w:val="superscript"/>
        </w:rPr>
      </w:pPr>
      <w:r>
        <w:rPr>
          <w:rFonts w:ascii="Arial" w:cs="Arial" w:eastAsia="Arial" w:hAnsi="Arial"/>
          <w:sz w:val="12"/>
          <w:szCs w:val="12"/>
          <w:i w:val="1"/>
          <w:iCs w:val="1"/>
          <w:color w:val="auto"/>
        </w:rPr>
        <w:t>Remaining three months.</w:t>
      </w:r>
    </w:p>
    <w:p>
      <w:pPr>
        <w:spacing w:after="0" w:line="132"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License and Collaboration Agreements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33"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In March 2015, we entered into a license agreement, or the Stanford Agreement, with the Board of Trustees of the Leland Stanford Junior University, or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22"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No milestone payments have been made through September 30, 2020.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140"/>
          </w:cols>
          <w:pgMar w:left="320" w:top="455"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33" w:lineRule="exact"/>
        <w:rPr>
          <w:sz w:val="20"/>
          <w:szCs w:val="20"/>
          <w:color w:val="auto"/>
        </w:rPr>
      </w:pPr>
    </w:p>
    <w:p>
      <w:pPr>
        <w:ind w:left="120" w:right="60"/>
        <w:spacing w:after="0" w:line="242" w:lineRule="auto"/>
        <w:rPr>
          <w:sz w:val="20"/>
          <w:szCs w:val="20"/>
          <w:color w:val="auto"/>
        </w:rPr>
      </w:pPr>
      <w:r>
        <w:rPr>
          <w:rFonts w:ascii="Arial" w:cs="Arial" w:eastAsia="Arial" w:hAnsi="Arial"/>
          <w:sz w:val="17"/>
          <w:szCs w:val="17"/>
          <w:color w:val="auto"/>
        </w:rPr>
        <w:t>In June 2016, we entered into a license agreement with Selexis SA, or Selexis, under which we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20" w:lineRule="exact"/>
        <w:rPr>
          <w:sz w:val="20"/>
          <w:szCs w:val="20"/>
          <w:color w:val="auto"/>
        </w:rPr>
      </w:pPr>
    </w:p>
    <w:p>
      <w:pPr>
        <w:ind w:left="120" w:right="100"/>
        <w:spacing w:after="0" w:line="239" w:lineRule="auto"/>
        <w:rPr>
          <w:sz w:val="20"/>
          <w:szCs w:val="20"/>
          <w:color w:val="auto"/>
        </w:rPr>
      </w:pPr>
      <w:r>
        <w:rPr>
          <w:rFonts w:ascii="Arial" w:cs="Arial" w:eastAsia="Arial" w:hAnsi="Arial"/>
          <w:sz w:val="17"/>
          <w:szCs w:val="17"/>
          <w:color w:val="auto"/>
        </w:rPr>
        <w:t>In consideration for the rights granted to us under the agreement, we paid Selexis a nominal one-time fee and will pay Selexis an annual maintenance fee. We also agreed to pay Selexis milestone payments up to an aggregate of 1.2 million Swiss Francs in respect of all licensed products developed and/or commercialized under the grant, that successfully satisfies certain milestone events. We also agreed to pay Selexis a flat royalty of a very low single-digit percentage on net sales made by us, our affiliates and our sublicensees of products. This royalty obligation, on a product-by-product and country-by-country basis, shall terminate and become fully paid-up upon the passing of ten years after the first commercial sale of the product in such country or our exercise of the royalty buyout option, exercisable at any time prior to the first commercial sale of a licensed product.</w:t>
      </w:r>
    </w:p>
    <w:p>
      <w:pPr>
        <w:spacing w:after="0" w:line="122"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We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Our obligations to make payments that are accrued or accruable will survive any termination of the agreement, and in certain circumstances the licenses granted under the agreement will terminate unless they have become fully paid up as described in the previous paragraph.</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33" w:lineRule="exact"/>
        <w:rPr>
          <w:sz w:val="20"/>
          <w:szCs w:val="20"/>
          <w:color w:val="auto"/>
        </w:rPr>
      </w:pPr>
    </w:p>
    <w:p>
      <w:pPr>
        <w:ind w:left="120"/>
        <w:spacing w:after="0" w:line="245" w:lineRule="auto"/>
        <w:rPr>
          <w:sz w:val="20"/>
          <w:szCs w:val="20"/>
          <w:color w:val="auto"/>
        </w:rPr>
      </w:pPr>
      <w:r>
        <w:rPr>
          <w:rFonts w:ascii="Arial" w:cs="Arial" w:eastAsia="Arial" w:hAnsi="Arial"/>
          <w:sz w:val="17"/>
          <w:szCs w:val="17"/>
          <w:color w:val="auto"/>
        </w:rPr>
        <w:t>In March 2017, we entered into an agreement with Crystal Bioscience, Inc. (now a subsidiary of Ligand Pharmaceuticals Incorporated), or Crystal, under which we obtained an assignment of certain patents, covering certain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antibodies. Under this agreement, we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consideration for the rights granted to us under the agreement, we agreed to pay Crystal milestone payments up to $11.1 million in respect of all licensed products developed under the assigned patents, that successfully satisfy certain clinical and regulatory milestones, each milestone being paid only once for all products. We also agreed to pay Crystal tiered royalties on net sales of licensed products made by us, our affiliates and our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23" w:lineRule="exact"/>
        <w:rPr>
          <w:sz w:val="20"/>
          <w:szCs w:val="20"/>
          <w:color w:val="auto"/>
        </w:rPr>
      </w:pPr>
    </w:p>
    <w:p>
      <w:pPr>
        <w:ind w:left="120" w:right="460"/>
        <w:spacing w:after="0" w:line="275" w:lineRule="auto"/>
        <w:rPr>
          <w:sz w:val="20"/>
          <w:szCs w:val="20"/>
          <w:color w:val="auto"/>
        </w:rPr>
      </w:pPr>
      <w:r>
        <w:rPr>
          <w:rFonts w:ascii="Arial" w:cs="Arial" w:eastAsia="Arial" w:hAnsi="Arial"/>
          <w:sz w:val="17"/>
          <w:szCs w:val="17"/>
          <w:color w:val="auto"/>
        </w:rPr>
        <w:t>We agreed to use commercially reasonable efforts to develop and commercialize licensed products, including meeting defined development milestones by certain specified dates.</w:t>
      </w:r>
    </w:p>
    <w:p>
      <w:pPr>
        <w:spacing w:after="0" w:line="92"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We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120"/>
          </w:cols>
          <w:pgMar w:left="320" w:top="455" w:right="4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such breach). Our obligations to pay royalties and milestone payments which accrued pre-termination or accrue post-termination will survive any termination.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Agreement</w:t>
      </w:r>
    </w:p>
    <w:p>
      <w:pPr>
        <w:spacing w:after="0" w:line="33" w:lineRule="exact"/>
        <w:rPr>
          <w:sz w:val="20"/>
          <w:szCs w:val="20"/>
          <w:color w:val="auto"/>
        </w:rPr>
      </w:pPr>
    </w:p>
    <w:p>
      <w:pPr>
        <w:ind w:left="120" w:right="100"/>
        <w:spacing w:after="0" w:line="233" w:lineRule="auto"/>
        <w:rPr>
          <w:sz w:val="20"/>
          <w:szCs w:val="20"/>
          <w:color w:val="auto"/>
        </w:rPr>
      </w:pPr>
      <w:r>
        <w:rPr>
          <w:rFonts w:ascii="Arial" w:cs="Arial" w:eastAsia="Arial" w:hAnsi="Arial"/>
          <w:sz w:val="17"/>
          <w:szCs w:val="17"/>
          <w:color w:val="auto"/>
        </w:rPr>
        <w:t>In June 2018, we entered into the Tollnine Agreement with Tallac Therapeutics, a related-party, to provide research and development services to Tallac Therapeutics. From June 2018 to April 2020, our Chief Executive Officer was also the Chief Executive Officer of Tallac Therapeutics and currently two of our investors are also investors in Tallac Therapeutics. In April 2020, Dr. Hong Wan, our former Chief Scientific Officer, replaced our Chief Executive Officer to become the Chief Executive Officer of Tallac Therapeutics. As such, Tallac Therapeutics was deemed to be a related-party. The services under the Tollnine Agreement were provided at a price based on the costs incurred by us plus a mark-up equal to</w:t>
      </w:r>
    </w:p>
    <w:p>
      <w:pPr>
        <w:spacing w:after="0" w:line="3" w:lineRule="exact"/>
        <w:rPr>
          <w:sz w:val="20"/>
          <w:szCs w:val="20"/>
          <w:color w:val="auto"/>
        </w:rPr>
      </w:pPr>
    </w:p>
    <w:p>
      <w:pPr>
        <w:ind w:left="120" w:right="160"/>
        <w:spacing w:after="0" w:line="248" w:lineRule="auto"/>
        <w:rPr>
          <w:sz w:val="20"/>
          <w:szCs w:val="20"/>
          <w:color w:val="auto"/>
        </w:rPr>
      </w:pPr>
      <w:r>
        <w:rPr>
          <w:rFonts w:ascii="Arial" w:cs="Arial" w:eastAsia="Arial" w:hAnsi="Arial"/>
          <w:sz w:val="17"/>
          <w:szCs w:val="17"/>
          <w:color w:val="auto"/>
        </w:rPr>
        <w:t>10.0% of such costs. We recognized revenue when Tallac Therapeutics, as our customer, obtained control of promised goods or services, in an amount that reflects the consideration which we expect to receive in exchange for those goods or services.</w:t>
      </w:r>
    </w:p>
    <w:p>
      <w:pPr>
        <w:spacing w:after="0" w:line="114"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For the years ended December 31, 2018, and December 31, 2019, and for the nine months ended September 30, 2019 and September 30, 2020, we recognized related-party revenues of $2.1 million and $4.8 million, and $3.6 million and $1.2 million, respectively, under the Tollnine Agreement.</w:t>
      </w:r>
    </w:p>
    <w:p>
      <w:pPr>
        <w:spacing w:after="0" w:line="111"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As of December 31, 2018, December 31, 2019 and September 30, 2020, we had outstanding related-party receivables from Tallac Therapeutics of $0.9 million, $0.5 million and $0.5 million, respectively.</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Effective as of July 1, 2020, we terminated the Tollnine Agreement and entered into the Tallac Services Agreement with Tallac Therapeutics, pursuant to which Tallac Therapeutics will provide certain research and development services to us. The Tallac Services Agreement has an initial term of four years, to be automatically renewed for additional one-year terms unless terminated by either party. The services are to be provided at a price based on the costs incurred by Tallac Therapeutics plus a mark-up equal to 10.0% of such costs. For additional information regarding our Tallac Services Agreement with Tallac Therapeutics, please see “Certain Relationships and Related-Party Transactions—Tallac Therapeutics Agreements.”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73" w:lineRule="exact"/>
        <w:rPr>
          <w:sz w:val="20"/>
          <w:szCs w:val="20"/>
          <w:color w:val="auto"/>
        </w:rPr>
      </w:pPr>
    </w:p>
    <w:p>
      <w:pPr>
        <w:ind w:left="120" w:right="240"/>
        <w:spacing w:after="0" w:line="241" w:lineRule="auto"/>
        <w:rPr>
          <w:sz w:val="20"/>
          <w:szCs w:val="20"/>
          <w:color w:val="auto"/>
        </w:rPr>
      </w:pPr>
      <w:r>
        <w:rPr>
          <w:rFonts w:ascii="Arial" w:cs="Arial" w:eastAsia="Arial" w:hAnsi="Arial"/>
          <w:sz w:val="17"/>
          <w:szCs w:val="17"/>
          <w:color w:val="auto"/>
        </w:rPr>
        <w:t>In connection with the audit of our consolidated financial statements as of and for the years ended December 31, 2019 and 2018, we identified material weaknesses in our internal control over financial reporting resulting from a lack of sufficient qualified personnel. For the year ended December 31, 2019, the material weaknesses related to (i) independent reviews of journal entries not being performed prior to posting,</w:t>
      </w:r>
    </w:p>
    <w:p>
      <w:pPr>
        <w:ind w:left="120" w:hanging="4"/>
        <w:spacing w:after="0" w:line="235" w:lineRule="auto"/>
        <w:tabs>
          <w:tab w:leader="none" w:pos="357" w:val="left"/>
        </w:tabs>
        <w:numPr>
          <w:ilvl w:val="0"/>
          <w:numId w:val="58"/>
        </w:numPr>
        <w:rPr>
          <w:rFonts w:ascii="Arial" w:cs="Arial" w:eastAsia="Arial" w:hAnsi="Arial"/>
          <w:sz w:val="17"/>
          <w:szCs w:val="17"/>
          <w:color w:val="auto"/>
        </w:rPr>
      </w:pPr>
      <w:r>
        <w:rPr>
          <w:rFonts w:ascii="Arial" w:cs="Arial" w:eastAsia="Arial" w:hAnsi="Arial"/>
          <w:sz w:val="17"/>
          <w:szCs w:val="17"/>
          <w:color w:val="auto"/>
        </w:rPr>
        <w:t>account reconciliations not being performed and independently reviewed on a timely basis and (iii) lack of independent review of technical accounting matters. During the first, second and third quarters of 2020, we have undertaken specific remediation actions to address the control deficiencies in our financial reporting. We have established more robust processes related to the review of complex accounting transactions, the preparation of account reconciliations and the review of journal entries. These remediation actions included hiring a full time Chief Financial Officer in January 2020, a Vice President, Finance and Chief Accounting Officer in March 2020 and a Controller in August 2020, all of whom have extensive experience in developing and implementing internal controls and executing plans to remediate control deficiencies. We added new control activities, modified existing controls, and enhanced the documentation that evidences that controls are performed.</w:t>
      </w:r>
    </w:p>
    <w:p>
      <w:pPr>
        <w:spacing w:after="0" w:line="123" w:lineRule="exact"/>
        <w:rPr>
          <w:sz w:val="20"/>
          <w:szCs w:val="20"/>
          <w:color w:val="auto"/>
        </w:rPr>
      </w:pPr>
    </w:p>
    <w:p>
      <w:pPr>
        <w:ind w:left="120" w:right="60"/>
        <w:spacing w:after="0" w:line="242" w:lineRule="auto"/>
        <w:rPr>
          <w:sz w:val="20"/>
          <w:szCs w:val="20"/>
          <w:color w:val="auto"/>
        </w:rPr>
      </w:pPr>
      <w:r>
        <w:rPr>
          <w:rFonts w:ascii="Arial" w:cs="Arial" w:eastAsia="Arial" w:hAnsi="Arial"/>
          <w:sz w:val="17"/>
          <w:szCs w:val="17"/>
          <w:color w:val="auto"/>
        </w:rPr>
        <w:t>If remediation of these material weaknesses is not effective, or if we fail to develop and maintain an effective system of disclosure controls and internal control over financial reporting, our ability to produce timely and accurate consolidated financial statements or comply with applicable laws and regulations could be impaired. See “Risk Factors—Risks Related to Our Operations—We identified material weaknesses in our internal control over financial reporting. If our remediation measures are not effective, we may not be able to report our financial condition or results of operations accurately or on a timely basis.”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60" w:lineRule="exact"/>
        <w:rPr>
          <w:sz w:val="20"/>
          <w:szCs w:val="20"/>
          <w:color w:val="auto"/>
        </w:rPr>
      </w:pPr>
    </w:p>
    <w:p>
      <w:pPr>
        <w:ind w:left="120" w:right="680"/>
        <w:spacing w:after="0" w:line="275" w:lineRule="auto"/>
        <w:rPr>
          <w:sz w:val="20"/>
          <w:szCs w:val="20"/>
          <w:color w:val="auto"/>
        </w:rPr>
      </w:pPr>
      <w:r>
        <w:rPr>
          <w:rFonts w:ascii="Arial" w:cs="Arial" w:eastAsia="Arial" w:hAnsi="Arial"/>
          <w:sz w:val="17"/>
          <w:szCs w:val="17"/>
          <w:color w:val="auto"/>
        </w:rPr>
        <w:t>During the period presented, we did not have, nor do we currently have, any off-balance sheet arrangements, as defined in the rules and regulations of the SEC.</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00"/>
          </w:cols>
          <w:pgMar w:left="320" w:top="455" w:right="47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43" w:lineRule="exact"/>
        <w:rPr>
          <w:sz w:val="20"/>
          <w:szCs w:val="20"/>
          <w:color w:val="auto"/>
        </w:rPr>
      </w:pPr>
    </w:p>
    <w:p>
      <w:pPr>
        <w:ind w:left="120" w:right="220"/>
        <w:spacing w:after="0" w:line="239"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As of September 30, 2020, we had cash and cash equivalents of $259.5 million. We generally hold our cash and cash equivalents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and cash equivalents.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Financial Institution Risk</w:t>
      </w:r>
    </w:p>
    <w:p>
      <w:pPr>
        <w:spacing w:after="0" w:line="41" w:lineRule="exact"/>
        <w:rPr>
          <w:sz w:val="20"/>
          <w:szCs w:val="20"/>
          <w:color w:val="auto"/>
        </w:rPr>
      </w:pPr>
    </w:p>
    <w:p>
      <w:pPr>
        <w:ind w:left="120" w:right="320"/>
        <w:spacing w:after="0"/>
        <w:rPr>
          <w:sz w:val="20"/>
          <w:szCs w:val="20"/>
          <w:color w:val="auto"/>
        </w:rPr>
      </w:pPr>
      <w:r>
        <w:rPr>
          <w:rFonts w:ascii="Arial" w:cs="Arial" w:eastAsia="Arial" w:hAnsi="Arial"/>
          <w:sz w:val="17"/>
          <w:szCs w:val="17"/>
          <w:color w:val="auto"/>
        </w:rPr>
        <w:t>Substantially all of our cash and cash equivalents is held with a single financial institution. Due to its size, this financial institution represents a minimal credit risk. Cash amounts held at financial institutions are insured by the Federal Deposit Insurance Corporation up to $250,000. At September 30, 2020, we had $259.2 million in excess of this insured limit.</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4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effect on our financial results.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Effects of Inflation</w:t>
      </w:r>
    </w:p>
    <w:p>
      <w:pPr>
        <w:spacing w:after="0" w:line="41" w:lineRule="exact"/>
        <w:rPr>
          <w:sz w:val="20"/>
          <w:szCs w:val="20"/>
          <w:color w:val="auto"/>
        </w:rPr>
      </w:pPr>
    </w:p>
    <w:p>
      <w:pPr>
        <w:ind w:left="120" w:right="20"/>
        <w:spacing w:after="0" w:line="248"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has had a material effect on our results of operations during the periods presented.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73" w:lineRule="exact"/>
        <w:rPr>
          <w:sz w:val="20"/>
          <w:szCs w:val="20"/>
          <w:color w:val="auto"/>
        </w:rPr>
      </w:pPr>
    </w:p>
    <w:p>
      <w:pPr>
        <w:ind w:left="120" w:right="80"/>
        <w:spacing w:after="0"/>
        <w:rPr>
          <w:sz w:val="20"/>
          <w:szCs w:val="20"/>
          <w:color w:val="auto"/>
        </w:rPr>
      </w:pPr>
      <w:r>
        <w:rPr>
          <w:rFonts w:ascii="Arial" w:cs="Arial" w:eastAsia="Arial" w:hAnsi="Arial"/>
          <w:sz w:val="17"/>
          <w:szCs w:val="17"/>
          <w:color w:val="auto"/>
        </w:rPr>
        <w:t>We are an “emerging growth company,” as defined in the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We have elected to take advantage of the extended transition period for complying with new or revised accounting standards. As a result of this election, our consolidated financial statements may not be comparable to companies that comply with public company effective dates. The JOBS Act also exempts us from having to provide an auditor attestation of internal control over financial reporting under SOX Section 404(b).</w:t>
      </w:r>
    </w:p>
    <w:p>
      <w:pPr>
        <w:spacing w:after="0" w:line="123"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We will remain an “emerging growth company” until the earliest of (1) the last day of the fiscal year in which we have total annual gross revenues of $1.07 billion or more, (2) the last day of the fiscal year following the fifth anniversary of the completion of our initial public offering, (3) the date on which we have issued more than $1.0 billion in nonconvertible debt during the previous three years or (4) the date on which we are deemed to be a large accelerated filer under the rules of the SEC, which generally is when we have more than $700 million in market value of our stock held by non-affiliates and we have been a public company for at least 12 months and have filed one annual report on Form 10-K.</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60"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20"/>
          </w:cols>
          <w:pgMar w:left="320" w:top="455" w:right="4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500"/>
        <w:spacing w:after="0" w:line="275" w:lineRule="auto"/>
        <w:rPr>
          <w:sz w:val="20"/>
          <w:szCs w:val="20"/>
          <w:color w:val="auto"/>
        </w:rPr>
      </w:pPr>
      <w:r>
        <w:rPr>
          <w:rFonts w:ascii="Arial" w:cs="Arial" w:eastAsia="Arial" w:hAnsi="Arial"/>
          <w:sz w:val="17"/>
          <w:szCs w:val="17"/>
          <w:color w:val="auto"/>
        </w:rPr>
        <w:t>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92"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While our significant accounting policies are more fully described in the notes to our audited and unaudited financial statements elsewhere in this prospectus, we believe that the following accounting policies related to accrued expenses and equity-based compensation are most critical to understanding and evaluating our reported financial results.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43"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We accrue for estimated costs of research and development activities conducted by third-party service providers, which include the conduct of clinical trials and contract manufacturing activities. We record the estimated costs of research and development activities based upon the estimated amount of services provided. These costs are included in either prepaid expenses and other current assets or accrued expenses and other current liabilities in the consolidated balance sheets and within research and development expense in the consolidated statements of operations and comprehensive loss. We accrue for these costs based on factors such as estimates of the work completed and in accordance with agreements established with its third-party service providers. We record prepaid expenses which consists of amounts paid in advance for services that have not yet been incurred as of the end of the fiscal year.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60"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us as of the specified effective date. Unless otherwise discussed, the impact of recently issued standards that are not yet effective are not expected to have a material impact on our financial position or results of operations upon adoption.</w:t>
      </w:r>
    </w:p>
    <w:p>
      <w:pPr>
        <w:spacing w:after="0" w:line="111"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In February 2016, the FASB issued ASU No. 2016-02 (Topic 842), Leases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 business entities, including smaller reporting companies, to fiscal years beginning after December 15, 2021. The new standard is effective for us beginning January 1, 2022 (or earlier if the Company ceases to be an emerging growth company). Early adoption is permitted. We are currently evaluating the effects of the adoption of this guidance on our condensed consolidated financial statements and related disclosures.</w:t>
      </w:r>
    </w:p>
    <w:p>
      <w:pPr>
        <w:spacing w:after="0" w:line="122" w:lineRule="exact"/>
        <w:rPr>
          <w:sz w:val="20"/>
          <w:szCs w:val="20"/>
          <w:color w:val="auto"/>
        </w:rPr>
      </w:pPr>
    </w:p>
    <w:p>
      <w:pPr>
        <w:ind w:left="120" w:right="120"/>
        <w:spacing w:after="0" w:line="242"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us beginning January 1, 2022. Early adoption is permitted. We are currently in the process of evaluating the effects of the adoption of this guidance on our condensed consolidated financial statements and do not expect it to have a material impact on our condensed consolidated financial statements.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20"/>
          </w:cols>
          <w:pgMar w:left="320" w:top="455" w:right="4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6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are a clinical 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160 subjects with ALX148 across a range of hematologic and solid malignancies in combination with a number of leading anti-cancer agents. We intend to advance ALX148 into clinical development for the treatment of myelodysplastic syndromes, or MDS, acute myeloid leukemia, or AML, and to continue clinical development for the treatment of a range of solid tumor indications. We plan to initiate additional studies in combination with leading anti-cancer agents. In hematologic malignancies, we have dosed the first subjects for the treatment of MDS and intend to advance ALX148 into clinical development for the treatment of AML in 2021. In solid tumors, we intend to initiate Phase 2 trials of ALX148 for the treatment of first-line head and neck cancer and second-line gastric/GEJ cancer and a Phase 1 trial for the treatment of breast cancer in 2021.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2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27" w:lineRule="exact"/>
        <w:rPr>
          <w:sz w:val="20"/>
          <w:szCs w:val="20"/>
          <w:color w:val="auto"/>
        </w:rPr>
      </w:pPr>
    </w:p>
    <w:p>
      <w:pPr>
        <w:ind w:left="120" w:right="40"/>
        <w:spacing w:after="0" w:line="239"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122"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20"/>
          </w:cols>
          <w:pgMar w:left="320" w:top="455" w:right="4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engages activating receptors on macrophages, causing phagocytosis and death of healthy cells in addition to cancer cells.</w:t>
      </w:r>
    </w:p>
    <w:p>
      <w:pPr>
        <w:spacing w:after="0" w:line="156" w:lineRule="exact"/>
        <w:rPr>
          <w:sz w:val="20"/>
          <w:szCs w:val="20"/>
          <w:color w:val="auto"/>
        </w:rPr>
      </w:pPr>
    </w:p>
    <w:p>
      <w:pPr>
        <w:ind w:left="120" w:right="160"/>
        <w:spacing w:after="0"/>
        <w:rPr>
          <w:sz w:val="20"/>
          <w:szCs w:val="20"/>
          <w:color w:val="auto"/>
        </w:rPr>
      </w:pPr>
      <w:r>
        <w:rPr>
          <w:rFonts w:ascii="Arial" w:cs="Arial" w:eastAsia="Arial" w:hAnsi="Arial"/>
          <w:sz w:val="17"/>
          <w:szCs w:val="17"/>
          <w:color w:val="auto"/>
        </w:rPr>
        <w:t>ALX148’s design has several advantages that we believe will make it broadly applicable to treating a number of oncology indications. Due to the inactive Fc, ALX148 is specifically designed for use in combination with other anti-cancer agents that provide a positive immune-stimulating signal. We believe ALX148 has a favorable tolerability profile that may enable higher dosing levels and greater combination potential with other leading anti-cancer agents. Additionally, the molecular weight of ALX148 is half that of a typical antibody. The relatively smaller size of our molecule may facilitate increased penetrance into the tumor microenvironment. We believe these properties may enable ALX148 to provide superior therapeutic benefits.</w:t>
      </w:r>
    </w:p>
    <w:p>
      <w:pPr>
        <w:spacing w:after="0" w:line="123" w:lineRule="exact"/>
        <w:rPr>
          <w:sz w:val="20"/>
          <w:szCs w:val="20"/>
          <w:color w:val="auto"/>
        </w:rPr>
      </w:pPr>
    </w:p>
    <w:p>
      <w:pPr>
        <w:ind w:left="120" w:right="320"/>
        <w:spacing w:after="0" w:line="253" w:lineRule="auto"/>
        <w:rPr>
          <w:sz w:val="20"/>
          <w:szCs w:val="20"/>
          <w:color w:val="auto"/>
        </w:rPr>
      </w:pPr>
      <w:r>
        <w:rPr>
          <w:rFonts w:ascii="Arial" w:cs="Arial" w:eastAsia="Arial" w:hAnsi="Arial"/>
          <w:sz w:val="17"/>
          <w:szCs w:val="17"/>
          <w:color w:val="auto"/>
        </w:rPr>
        <w:t>Clinical data to date in ALX148 have not shown dose-dependent hematologic toxicities, which are characteristic of other CD47 blockers that incorporate an active Fc domain. At least 130 subjects have been treated with ALX148 in combination with targeted anti-cancer agents and checkpoint inhibitors as of October 1, 2020. ALX148 has not reached a maximum tolerated dose in any of the combinations evaluated to date.</w:t>
      </w:r>
    </w:p>
    <w:p>
      <w:pPr>
        <w:spacing w:after="0" w:line="11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October 2020, we began enrollment in subjects with MDS and plan to advance ALX148 for the treatment of AML. In our Phase 1b trial of ALX148 in combination with an anti-CD20 agent to treat subjects with relapsed/refractory non-Hodgkin’s lymphoma, or NHL, ALX148 demonstrated a higher response rate at higher doses and achieved a 70.0% objective response rate, or ORR, in the highest dose (15 mg/kg once per week, or QW) cohort as compared to a 40.9% ORR at the lower dose (10 mg/kg QW) cohort. We view this ORR as compelling evidence for the role of ALX148 in treating hematologic malignancies and as a 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both MDS and AML, albeit with high rates of cytopenias. We have conducted preclinical studies of ALX148 combined with azacitidine or venetoclax that support our clinical development plan in MDS and AML. Azacitidine is a standard of care agent for the treatment of MDS. Azacitidine and venetoclax are both standard of care regimen components for the treatment of AML in older patients and those who are not candidates for intensive induction chemotherapy due to comorbidities. We have conducted preclinical studies that show that azacitidine and venetoclax increase both the display of the “eat me” signal calreticulin and the “don’t eat me” signal CD47 on AML cells, suggesting that a CD47 blocking agent could maximize the activity of venetoclax and azacitidine in these models. Additionally, we have shown that azacitidine and ALX148 in combination produce increased phagocytosis in vitro and anti-tumor activity in mouse models compared to azacitidine alone.</w:t>
      </w:r>
    </w:p>
    <w:p>
      <w:pPr>
        <w:spacing w:after="0" w:line="128" w:lineRule="exact"/>
        <w:rPr>
          <w:sz w:val="20"/>
          <w:szCs w:val="20"/>
          <w:color w:val="auto"/>
        </w:rPr>
      </w:pPr>
    </w:p>
    <w:p>
      <w:pPr>
        <w:ind w:left="120" w:right="520"/>
        <w:spacing w:after="0" w:line="246" w:lineRule="auto"/>
        <w:rPr>
          <w:sz w:val="20"/>
          <w:szCs w:val="20"/>
          <w:color w:val="auto"/>
        </w:rPr>
      </w:pPr>
      <w:r>
        <w:rPr>
          <w:rFonts w:ascii="Arial" w:cs="Arial" w:eastAsia="Arial" w:hAnsi="Arial"/>
          <w:sz w:val="17"/>
          <w:szCs w:val="17"/>
          <w:color w:val="auto"/>
        </w:rPr>
        <w:t>Furthermore, we have demonstrated that combination treatment of ALX148 with azacitidine or venetoclax leads to tumor elimination and prolonged survival in leukemia mouse models. In October 2020, the first subjects received ALX148 in a Phase 1b/2 trial in combination with azacitidine for the treatment of subjects with higher-risk MDS. We also plan to advance ALX148 into a Phase 1b/2 trial in combination with venetoclax and azacitidine for the first-line treatment of subjects with AML in the second half of 2021.</w:t>
      </w:r>
    </w:p>
    <w:p>
      <w:pPr>
        <w:spacing w:after="0" w:line="11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ALX148 has also generated clinical data in solid tumors in various combinations, including with a leading tumor antigen targeting antibody, a leading checkpoint inhibitor and chemotherapy. We believe that ALX148 induces multiple responses that bridge innate and adaptive immunity. We are investigating ALX148 for the treatment of HNSCC. HER2-positive gastric/GEJ carcinoma, and HER2-expressing breast cancer and other solid tumors. In Phase 1b clinical trials, ALX148 has demonstrated both objective clinical response per the Response Evaluation Criteria in Solid Tumors, or RECIST, criteria and tolerability in combination with other broadly used cancer agents. Based on these results, the Food &amp; Drug Administration, or FDA, has granted Fast Track designation for ALX148 for both the treatment of patients with HNSCC in the first-line setting and for patients with HER2-positive advanced gastric or 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in solid tumors. We are planning to advance ALX148 into two Phase 2 trials in patients with previously untreated advanced HNSCC in combination with pembrolizumab, marketed as Keytruda, the market leading anti-programmed cell death protein-1, or PD-1, checkpoint inhibitor, with or without chemotherapy in the first half of 2021. These trials will be conducted in collaboration with Merck. We are also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planning to advance ALX148 into Phase 2 trials in subjects with previously treated advanced HER2-positive gastric/GEJ carcinoma in combination with trastuzumab, marketed as Herceptin, the market-leading anti-HER2 antibody, with the second line standard of care, ramucirumab, marketed as Cyramza, plus paclitaxel in the second half of 2021. We have also entered into a clinical trial collaboration with Zymeworks to initiate a Phase 1 trial of ALX148 in combination with Zymeworks’ HER2-targeted bispecific antibody zanidatamab for the treatment of patients with HER2-expressing breast cancer.</w:t>
      </w:r>
    </w:p>
    <w:p>
      <w:pPr>
        <w:spacing w:after="0" w:line="12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 (a subsidiary of Pfizer), invented fremanezumab (FDA approved in 2018), tanezumab (Biologics License Application, or BLA,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 We own global rights to all of our product candidates.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94" w:lineRule="exact"/>
        <w:rPr>
          <w:sz w:val="20"/>
          <w:szCs w:val="20"/>
          <w:color w:val="auto"/>
        </w:rPr>
      </w:pPr>
    </w:p>
    <w:p>
      <w:pPr>
        <w:ind w:left="980" w:right="20" w:hanging="432"/>
        <w:spacing w:after="0" w:line="237"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our lead product candidate, ALX148, through clinical development for MDS and AML. </w:t>
      </w:r>
      <w:r>
        <w:rPr>
          <w:rFonts w:ascii="Arial" w:cs="Arial" w:eastAsia="Arial" w:hAnsi="Arial"/>
          <w:sz w:val="17"/>
          <w:szCs w:val="17"/>
          <w:color w:val="auto"/>
        </w:rPr>
        <w:t>We have initiated a Phase</w:t>
      </w:r>
      <w:r>
        <w:rPr>
          <w:rFonts w:ascii="Arial" w:cs="Arial" w:eastAsia="Arial" w:hAnsi="Arial"/>
          <w:sz w:val="17"/>
          <w:szCs w:val="17"/>
          <w:b w:val="1"/>
          <w:bCs w:val="1"/>
          <w:color w:val="auto"/>
        </w:rPr>
        <w:t xml:space="preserve"> </w:t>
      </w:r>
      <w:r>
        <w:rPr>
          <w:rFonts w:ascii="Arial" w:cs="Arial" w:eastAsia="Arial" w:hAnsi="Arial"/>
          <w:sz w:val="17"/>
          <w:szCs w:val="17"/>
          <w:color w:val="auto"/>
        </w:rPr>
        <w:t>1b/2 trial of ALX148, in combination with azacitidine, for the treatment of patients with higher-risk MDS and plan to initiate a Phase 1b/2 trial in combination with venetoclax and azacitidine for the first-line treatment of patients with AML in 2021. 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higher risk MDS. Similarly, we believe ALX148 combination therapies could address the significant unmet need for more active tolerable regimens in the majority of patients with AML who are not fit for intensive induction chemotherapy. While we plan to seek accelerated approval by the FDA for the use of ALX148 in higher risk MDS, and potentially AML, and may do so opportunistically for other indications in the future, there is no assurance that this approach will be successful for these as well as other indications.</w:t>
      </w:r>
    </w:p>
    <w:p>
      <w:pPr>
        <w:spacing w:after="0" w:line="3" w:lineRule="exact"/>
        <w:rPr>
          <w:rFonts w:ascii="MS PGothic" w:cs="MS PGothic" w:eastAsia="MS PGothic" w:hAnsi="MS PGothic"/>
          <w:sz w:val="13"/>
          <w:szCs w:val="13"/>
          <w:color w:val="auto"/>
        </w:rPr>
      </w:pPr>
    </w:p>
    <w:p>
      <w:pPr>
        <w:ind w:left="980" w:right="60" w:hanging="432"/>
        <w:spacing w:after="0" w:line="237"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other CD47 blocking approaches in solid tumors. We have generated encouraging data in subjects with HNSCC treated with ALX148 in combination with a PD-1 checkpoint inhibitor with and without chemotherapy as well as in subjects with HER2-positive gastric/GEJ cancer, who have progressed on prior HER2-targeted therapy, treated in combination with a HER2-targeted antibody with and without chemotherapy. The FDA has granted ALX148 Fast Track designation in first-line HNSCC and second-line HER2-positive gastric/GEJ cancer. We intend to pursue a strategy in which we will leverage the data generated from our planned Phase 2 randomized trials of ALX148 and pembrolizumab with and without chemotherapy to request from the FDA that ALX148 be a candidate for accelerated approval in the first-line treatment of HNSCC. We are also planning a Phase 2 trial of ALX148, trastuzumab and chemotherapy in second-line HER2-positive gastric/GEJ cancer and plan to request from the FDA that</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jc w:val="both"/>
        <w:ind w:left="1000" w:right="580"/>
        <w:spacing w:after="0" w:line="249" w:lineRule="auto"/>
        <w:rPr>
          <w:sz w:val="20"/>
          <w:szCs w:val="20"/>
          <w:color w:val="auto"/>
        </w:rPr>
      </w:pPr>
      <w:r>
        <w:rPr>
          <w:rFonts w:ascii="Arial" w:cs="Arial" w:eastAsia="Arial" w:hAnsi="Arial"/>
          <w:sz w:val="17"/>
          <w:szCs w:val="17"/>
          <w:color w:val="auto"/>
        </w:rPr>
        <w:t>ALX148 be a candidate for accelerated approval in the second-line treatment of gastric/GEJ cancer. We also plan to initiate an additional Phase 1 trial of ALX148 in patients with HER2-expressing breast cancer and other solid tumors in combination with zanidatamab.</w:t>
      </w:r>
    </w:p>
    <w:p>
      <w:pPr>
        <w:ind w:left="980" w:right="60" w:hanging="432"/>
        <w:spacing w:after="0" w:line="245" w:lineRule="auto"/>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 engage the immune</w:t>
      </w:r>
      <w:r>
        <w:rPr>
          <w:rFonts w:ascii="Arial" w:cs="Arial" w:eastAsia="Arial" w:hAnsi="Arial"/>
          <w:sz w:val="17"/>
          <w:szCs w:val="17"/>
          <w:b w:val="1"/>
          <w:bCs w:val="1"/>
          <w:color w:val="auto"/>
        </w:rPr>
        <w:t xml:space="preserve"> </w:t>
      </w:r>
      <w:r>
        <w:rPr>
          <w:rFonts w:ascii="Arial" w:cs="Arial" w:eastAsia="Arial" w:hAnsi="Arial"/>
          <w:sz w:val="17"/>
          <w:szCs w:val="17"/>
          <w:color w:val="auto"/>
        </w:rPr>
        <w:t>system. We continue to develop a pipeline of immuno-oncology programs that represent complementary, but differentiated, approaches to engaging the innate and adaptive immune systems.</w:t>
      </w:r>
    </w:p>
    <w:p>
      <w:pPr>
        <w:sectPr>
          <w:pgSz w:w="11900" w:h="16838" w:orient="portrait"/>
          <w:cols w:equalWidth="0" w:num="1">
            <w:col w:w="11100"/>
          </w:cols>
          <w:pgMar w:left="320" w:top="455" w:right="479" w:bottom="1440" w:gutter="0" w:footer="0" w:header="0"/>
        </w:sectPr>
      </w:pPr>
    </w:p>
    <w:p>
      <w:pPr>
        <w:spacing w:after="0" w:line="162"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Pipeline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color w:val="auto"/>
        </w:rPr>
        <w:t xml:space="preserve">Continuing to develop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have in the past and may in the future</w:t>
      </w:r>
      <w:r>
        <w:rPr>
          <w:rFonts w:ascii="Arial" w:cs="Arial" w:eastAsia="Arial" w:hAnsi="Arial"/>
          <w:sz w:val="17"/>
          <w:szCs w:val="17"/>
          <w:b w:val="1"/>
          <w:bCs w:val="1"/>
          <w:color w:val="auto"/>
        </w:rPr>
        <w:t xml:space="preserve"> </w:t>
      </w:r>
      <w:r>
        <w:rPr>
          <w:rFonts w:ascii="Arial" w:cs="Arial" w:eastAsia="Arial" w:hAnsi="Arial"/>
          <w:sz w:val="17"/>
          <w:szCs w:val="17"/>
          <w:color w:val="auto"/>
        </w:rPr>
        <w:t>partner with other companies with complementary resources that will maximize the value of our current and future product candidates. Such partnerships may allow us to pair ALX148 and any future product candidates with other novel agents owned fully or in part by strategic partners. Partnerships may and will also help realize the full potential of our product candidates in markets where we are unlikely to pursue development or commercialization on our own. We intend to maintain significant economic interest in our product candidates and selectively consider partnership opportunities. In September 2020, we announced a clinical trial collaboration with Merck on a Phase 2 trial evaluating ALX148 in combination with pembrolizumab with and without chemotherapy in patients with head and neck cancer. In November 2020, we announced a clinical trial collaboration with Zymeworks on a Phase 1 trial evaluating ALX148 with the HER2-targeting bispecific antibody zanidatamab in patients with advanced HER2-expressing breast cancer and other solid tumors.</w:t>
      </w:r>
    </w:p>
    <w:p>
      <w:pPr>
        <w:spacing w:after="0" w:line="452" w:lineRule="exact"/>
        <w:rPr>
          <w:sz w:val="20"/>
          <w:szCs w:val="20"/>
          <w:color w:val="auto"/>
        </w:rPr>
      </w:pPr>
    </w:p>
    <w:p>
      <w:pPr>
        <w:sectPr>
          <w:pgSz w:w="11900" w:h="16838" w:orient="portrait"/>
          <w:cols w:equalWidth="0" w:num="2">
            <w:col w:w="800" w:space="180"/>
            <w:col w:w="10120"/>
          </w:cols>
          <w:pgMar w:left="320" w:top="455" w:right="479" w:bottom="1440" w:gutter="0" w:footer="0" w:header="0"/>
          <w:type w:val="continuous"/>
        </w:sectPr>
      </w:pPr>
    </w:p>
    <w:p>
      <w:pPr>
        <w:jc w:val="both"/>
        <w:ind w:left="120" w:right="40"/>
        <w:spacing w:after="0" w:line="253"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chart below summarizes the development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142240</wp:posOffset>
            </wp:positionV>
            <wp:extent cx="5349240" cy="2974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4924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We are also developing preclinical programs that may offer additional ways to engage the innate and adaptive immune response to cancer.</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100"/>
          </w:cols>
          <w:pgMar w:left="320" w:top="455" w:right="479" w:bottom="1440" w:gutter="0" w:footer="0" w:header="0"/>
          <w:type w:val="continuous"/>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CD47 Scientific Background</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w:t>
      </w:r>
    </w:p>
    <w:p>
      <w:pPr>
        <w:spacing w:after="0" w:line="123" w:lineRule="exact"/>
        <w:rPr>
          <w:sz w:val="20"/>
          <w:szCs w:val="20"/>
          <w:color w:val="auto"/>
        </w:rPr>
      </w:pPr>
    </w:p>
    <w:p>
      <w:pPr>
        <w:ind w:left="120" w:right="140"/>
        <w:spacing w:after="0" w:line="251" w:lineRule="auto"/>
        <w:rPr>
          <w:sz w:val="20"/>
          <w:szCs w:val="20"/>
          <w:color w:val="auto"/>
        </w:rPr>
      </w:pPr>
      <w:r>
        <w:rPr>
          <w:rFonts w:ascii="Arial" w:cs="Arial" w:eastAsia="Arial" w:hAnsi="Arial"/>
          <w:sz w:val="17"/>
          <w:szCs w:val="17"/>
          <w:color w:val="auto"/>
        </w:rPr>
        <w:t>Cancer cells evade phagocytosis by up-regulating CD47, a transmembrane protein that mainly functions as an anti-phagocytic “don’t eat me” signal for healthy cells. CD47 interacts with its cognate receptor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a regulatory membrane glycoprotein, that is expressed on macrophages and other myeloid cells and serves to prevent phagocytosis when bound to CD47. By overexpressing CD47, cancer cells are able to avoid phagocytosis by macrophages and thereby evade subsequent detection by the adaptive immune system.</w:t>
      </w:r>
    </w:p>
    <w:p>
      <w:pPr>
        <w:spacing w:after="0" w:line="59" w:lineRule="exact"/>
        <w:rPr>
          <w:sz w:val="20"/>
          <w:szCs w:val="20"/>
          <w:color w:val="auto"/>
        </w:rPr>
      </w:pPr>
    </w:p>
    <w:p>
      <w:pPr>
        <w:ind w:left="120" w:right="40"/>
        <w:spacing w:after="0" w:line="246" w:lineRule="auto"/>
        <w:rPr>
          <w:sz w:val="20"/>
          <w:szCs w:val="20"/>
          <w:color w:val="auto"/>
        </w:rPr>
      </w:pPr>
      <w:r>
        <w:rPr>
          <w:rFonts w:ascii="Arial" w:cs="Arial" w:eastAsia="Arial" w:hAnsi="Arial"/>
          <w:sz w:val="17"/>
          <w:szCs w:val="17"/>
          <w:color w:val="auto"/>
        </w:rPr>
        <w:t>High CD47 expression in cancer cells has been shown to be a prognostic indicator of decreased survival in multiple oncology indications. A study published by Majeti, et al. in 2009, assessed this association in a validation cohort of 137 subjects with acute myeloid leukemia, or AML. As shown in the figure below, normal karyotype AML, or NK-AML, subjects with high levels of CD47 expression had shorter median overall survival, or mOS, of 9.1 months compared to subjects with low levels of CD47 expression who had an mOS of 22.1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117475</wp:posOffset>
            </wp:positionV>
            <wp:extent cx="2717165" cy="16973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1716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CD47 as a therapeutic checkpoint target</w:t>
      </w:r>
    </w:p>
    <w:p>
      <w:pPr>
        <w:spacing w:after="0" w:line="59" w:lineRule="exact"/>
        <w:rPr>
          <w:sz w:val="20"/>
          <w:szCs w:val="20"/>
          <w:color w:val="auto"/>
        </w:rPr>
      </w:pPr>
    </w:p>
    <w:p>
      <w:pPr>
        <w:ind w:left="120" w:right="100"/>
        <w:spacing w:after="0" w:line="253" w:lineRule="auto"/>
        <w:rPr>
          <w:sz w:val="20"/>
          <w:szCs w:val="20"/>
          <w:color w:val="auto"/>
        </w:rPr>
      </w:pPr>
      <w:r>
        <w:rPr>
          <w:rFonts w:ascii="Arial" w:cs="Arial" w:eastAsia="Arial" w:hAnsi="Arial"/>
          <w:sz w:val="17"/>
          <w:szCs w:val="17"/>
          <w:color w:val="auto"/>
        </w:rPr>
        <w:t>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w:t>
      </w:r>
    </w:p>
    <w:p>
      <w:pPr>
        <w:spacing w:after="0" w:line="111"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Existing anti-cancer therapeutics can increase “eat me” signals on cancer cells. For example, the hypomethylating agent, or HMA, azacitidine activates the immune system by increasing display of calreticulin, a multifunctional protein, on cancer cells. Calreticulin is an important example of a pro-phagocytic “eat me” signal that potentiates immune response when expressed on cancer cells. Therapeutic antibodies that target tumor-specific antigens, such as the HER2 receptor, also induce cellular phagocytosis, but through a slightly different mechanism. These antibodies direct macrophages to cancer cells by binding to the tumor-specific antigen and activating the macrophage by engaging the Fc</w:t>
      </w:r>
      <w:r>
        <w:rPr>
          <w:rFonts w:ascii="Times New Roman" w:cs="Times New Roman" w:eastAsia="Times New Roman" w:hAnsi="Times New Roman"/>
          <w:sz w:val="17"/>
          <w:szCs w:val="17"/>
          <w:color w:val="auto"/>
        </w:rPr>
        <w:t>g</w:t>
      </w:r>
      <w:r>
        <w:rPr>
          <w:rFonts w:ascii="Arial" w:cs="Arial" w:eastAsia="Arial" w:hAnsi="Arial"/>
          <w:sz w:val="17"/>
          <w:szCs w:val="17"/>
          <w:color w:val="auto"/>
        </w:rPr>
        <w:t xml:space="preserve"> receptors to induce phagocytosis. However, if CD47 is not blocked, the “don’t eat me” signal can limit the activity of this mechanism. CD47 blocking therapies can therefore maximize a combination agent’s clinical efficacy by overcoming the “don’t eat me“ signal that is co-opted by cancer cells.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product candidate targets CD47 to maximize phagocytosis of cancer cells and activation of the adaptive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140970</wp:posOffset>
            </wp:positionV>
            <wp:extent cx="5349240" cy="2057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492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20" w:right="100"/>
        <w:spacing w:after="0" w:line="242" w:lineRule="auto"/>
        <w:rPr>
          <w:sz w:val="20"/>
          <w:szCs w:val="20"/>
          <w:color w:val="auto"/>
        </w:rPr>
      </w:pPr>
      <w:r>
        <w:rPr>
          <w:rFonts w:ascii="Arial" w:cs="Arial" w:eastAsia="Arial" w:hAnsi="Arial"/>
          <w:sz w:val="17"/>
          <w:szCs w:val="17"/>
          <w:color w:val="auto"/>
        </w:rPr>
        <w:t>Cancer cells can also modulate their environment to suppress detection by immune cells. Overexpression of CD47 helps cancer cells avoid innate immune system detection by dendritic cells and subsequent antigen presentation to T cells, thereby limiting anti-tumor immune response. PD(L)-1 targeting immunotherapies are designed to reduce the suppression of T cells but do not address the initial evasion of the innate immune system by cancer cells. By removing the suppression of dendritic cells, CD47 blocking therapies in combination with PD(L)-1 targeted therapies can complement their T cell stimulatory activities.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Current Approaches to Blocking CD47</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have been a number of approaches to blocking CD47, including monoclonal antibodies and fusion proteins that include an active Fc region.</w:t>
      </w:r>
    </w:p>
    <w:p>
      <w:pPr>
        <w:ind w:left="120"/>
        <w:spacing w:after="0"/>
        <w:rPr>
          <w:sz w:val="20"/>
          <w:szCs w:val="20"/>
          <w:color w:val="auto"/>
        </w:rPr>
      </w:pPr>
      <w:r>
        <w:rPr>
          <w:rFonts w:ascii="Arial" w:cs="Arial" w:eastAsia="Arial" w:hAnsi="Arial"/>
          <w:sz w:val="17"/>
          <w:szCs w:val="17"/>
          <w:color w:val="auto"/>
        </w:rPr>
        <w:t>These approaches have encountered limitations that have challenged their ability to maximize the full potential of CD47 blockade. These include:</w:t>
      </w:r>
    </w:p>
    <w:p>
      <w:pPr>
        <w:spacing w:after="0" w:line="172" w:lineRule="exact"/>
        <w:rPr>
          <w:sz w:val="20"/>
          <w:szCs w:val="20"/>
          <w:color w:val="auto"/>
        </w:rPr>
      </w:pPr>
    </w:p>
    <w:p>
      <w:pPr>
        <w:ind w:left="980" w:right="20" w:hanging="432"/>
        <w:spacing w:after="0" w:line="239" w:lineRule="auto"/>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b w:val="1"/>
          <w:bCs w:val="1"/>
          <w:color w:val="auto"/>
        </w:rPr>
        <w:t>Limited dosing and therapeutic window</w:t>
      </w:r>
      <w:r>
        <w:rPr>
          <w:rFonts w:ascii="Arial" w:cs="Arial" w:eastAsia="Arial" w:hAnsi="Arial"/>
          <w:sz w:val="17"/>
          <w:szCs w:val="17"/>
          <w:color w:val="auto"/>
        </w:rPr>
        <w:t>: All clinical data to date from other CD47 blocking agents have come from approaches</w:t>
      </w:r>
      <w:r>
        <w:rPr>
          <w:rFonts w:ascii="Arial" w:cs="Arial" w:eastAsia="Arial" w:hAnsi="Arial"/>
          <w:sz w:val="17"/>
          <w:szCs w:val="17"/>
          <w:b w:val="1"/>
          <w:bCs w:val="1"/>
          <w:color w:val="auto"/>
        </w:rPr>
        <w:t xml:space="preserve"> </w:t>
      </w:r>
      <w:r>
        <w:rPr>
          <w:rFonts w:ascii="Arial" w:cs="Arial" w:eastAsia="Arial" w:hAnsi="Arial"/>
          <w:sz w:val="17"/>
          <w:szCs w:val="17"/>
          <w:color w:val="auto"/>
        </w:rPr>
        <w:t>that incorporate an active Fc region that provides an “eat me” signal to macrophages. Given that healthy blood cells express CD47, the presence of an “eat me”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spacing w:after="0" w:line="4" w:lineRule="exact"/>
        <w:rPr>
          <w:rFonts w:ascii="MS PGothic" w:cs="MS PGothic" w:eastAsia="MS PGothic" w:hAnsi="MS PGothic"/>
          <w:sz w:val="13"/>
          <w:szCs w:val="13"/>
          <w:color w:val="auto"/>
        </w:rPr>
      </w:pPr>
    </w:p>
    <w:p>
      <w:pPr>
        <w:ind w:left="980" w:right="80" w:hanging="432"/>
        <w:spacing w:after="0" w:line="239" w:lineRule="auto"/>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b w:val="1"/>
          <w:bCs w:val="1"/>
          <w:color w:val="auto"/>
        </w:rPr>
        <w:t>Limited ability to combine with other anti-cancer agents</w:t>
      </w:r>
      <w:r>
        <w:rPr>
          <w:rFonts w:ascii="Arial" w:cs="Arial" w:eastAsia="Arial" w:hAnsi="Arial"/>
          <w:sz w:val="17"/>
          <w:szCs w:val="17"/>
          <w:color w:val="auto"/>
        </w:rPr>
        <w:t>: Combination therapies continue to play an important role in treating</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cancer. Overlapping toxicities of these agents dictate which agents can and cannot be combined. The overlapping toxicity profiles of other CD47 blocking agents and most other anti-cancer agents create challenges for combination dosing. When combination dosing is possible, the therapeutic benefit of the combination is limited due to the minimal amount of the CD47 blocking agent that can be safely dosed. Moreover, many combinations are precluded entirely due to overlapping toxicity. In addition, an active Fc domain can compete with anti-cancer antibodies when used in combination treatments and can prevent such antibodies from binding with Fc</w:t>
      </w:r>
      <w:r>
        <w:rPr>
          <w:rFonts w:ascii="Times New Roman" w:cs="Times New Roman" w:eastAsia="Times New Roman" w:hAnsi="Times New Roman"/>
          <w:sz w:val="17"/>
          <w:szCs w:val="17"/>
          <w:color w:val="auto"/>
        </w:rPr>
        <w:t>g</w:t>
      </w:r>
      <w:r>
        <w:rPr>
          <w:rFonts w:ascii="Arial" w:cs="Arial" w:eastAsia="Arial" w:hAnsi="Arial"/>
          <w:sz w:val="17"/>
          <w:szCs w:val="17"/>
          <w:color w:val="auto"/>
        </w:rPr>
        <w:t xml:space="preserve"> receptors on immune cells.</w:t>
      </w:r>
    </w:p>
    <w:p>
      <w:pPr>
        <w:spacing w:after="0" w:line="10" w:lineRule="exact"/>
        <w:rPr>
          <w:rFonts w:ascii="MS PGothic" w:cs="MS PGothic" w:eastAsia="MS PGothic" w:hAnsi="MS PGothic"/>
          <w:sz w:val="13"/>
          <w:szCs w:val="13"/>
          <w:color w:val="auto"/>
        </w:rPr>
      </w:pPr>
    </w:p>
    <w:p>
      <w:pPr>
        <w:ind w:left="980" w:right="80" w:hanging="432"/>
        <w:spacing w:after="0" w:line="249" w:lineRule="auto"/>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b w:val="1"/>
          <w:bCs w:val="1"/>
          <w:color w:val="auto"/>
        </w:rPr>
        <w:t>Limited efficacy in solid tumors</w:t>
      </w:r>
      <w:r>
        <w:rPr>
          <w:rFonts w:ascii="Arial" w:cs="Arial" w:eastAsia="Arial" w:hAnsi="Arial"/>
          <w:sz w:val="17"/>
          <w:szCs w:val="17"/>
          <w:color w:val="auto"/>
        </w:rPr>
        <w:t>: To date, other CD47 blocking agents have failed to achieve meaningful clinical activity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solid tumors, as the balance between managing cytopenias and maximizing efficacy may lead to tolerable doses that are too low to facilitate tumor penetration and efficacy.</w:t>
      </w:r>
    </w:p>
    <w:p>
      <w:pPr>
        <w:spacing w:after="0" w:line="2" w:lineRule="exact"/>
        <w:rPr>
          <w:rFonts w:ascii="MS PGothic" w:cs="MS PGothic" w:eastAsia="MS PGothic" w:hAnsi="MS PGothic"/>
          <w:sz w:val="13"/>
          <w:szCs w:val="13"/>
          <w:color w:val="auto"/>
        </w:rPr>
      </w:pPr>
    </w:p>
    <w:p>
      <w:pPr>
        <w:ind w:left="980" w:right="140" w:hanging="432"/>
        <w:spacing w:after="0" w:line="252" w:lineRule="auto"/>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b w:val="1"/>
          <w:bCs w:val="1"/>
          <w:color w:val="auto"/>
        </w:rPr>
        <w:t>Limited indications due to patient selection</w:t>
      </w:r>
      <w:r>
        <w:rPr>
          <w:rFonts w:ascii="Arial" w:cs="Arial" w:eastAsia="Arial" w:hAnsi="Arial"/>
          <w:sz w:val="17"/>
          <w:szCs w:val="17"/>
          <w:color w:val="auto"/>
        </w:rPr>
        <w:t>: Toxicities associated with other CD47 blocking agents may require careful patient</w:t>
      </w:r>
      <w:r>
        <w:rPr>
          <w:rFonts w:ascii="Arial" w:cs="Arial" w:eastAsia="Arial" w:hAnsi="Arial"/>
          <w:sz w:val="17"/>
          <w:szCs w:val="17"/>
          <w:b w:val="1"/>
          <w:bCs w:val="1"/>
          <w:color w:val="auto"/>
        </w:rPr>
        <w:t xml:space="preserve"> </w:t>
      </w:r>
      <w:r>
        <w:rPr>
          <w:rFonts w:ascii="Arial" w:cs="Arial" w:eastAsia="Arial" w:hAnsi="Arial"/>
          <w:sz w:val="17"/>
          <w:szCs w:val="17"/>
          <w:color w:val="auto"/>
        </w:rPr>
        <w:t>selection when evaluating potential indications. In some cases, only subjects with lower risk of hematologic complications have been selected for treatment for other CD47 blocking agents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000" w:right="80"/>
        <w:spacing w:after="0" w:line="253" w:lineRule="auto"/>
        <w:rPr>
          <w:sz w:val="20"/>
          <w:szCs w:val="20"/>
          <w:color w:val="auto"/>
        </w:rPr>
      </w:pPr>
      <w:r>
        <w:rPr>
          <w:rFonts w:ascii="Arial" w:cs="Arial" w:eastAsia="Arial" w:hAnsi="Arial"/>
          <w:sz w:val="17"/>
          <w:szCs w:val="17"/>
          <w:color w:val="auto"/>
        </w:rPr>
        <w:t>due to drug related risk of severe cytopenias. Sponsors have chosen to initially develop these investigational medicines in indications such as MDS, where patients are often already cytopenic upon presentation and receive regular transfusions, potentially obscuring the side effects of their CD47 blocking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113665</wp:posOffset>
            </wp:positionV>
            <wp:extent cx="5349240" cy="2160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492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Advantages of ALX’s Approach to Blocking CD47</w:t>
      </w:r>
    </w:p>
    <w:p>
      <w:pPr>
        <w:spacing w:after="0" w:line="60" w:lineRule="exact"/>
        <w:rPr>
          <w:sz w:val="20"/>
          <w:szCs w:val="20"/>
          <w:color w:val="auto"/>
        </w:rPr>
      </w:pPr>
    </w:p>
    <w:p>
      <w:pPr>
        <w:jc w:val="both"/>
        <w:ind w:left="120" w:right="80"/>
        <w:spacing w:after="0" w:line="246" w:lineRule="auto"/>
        <w:rPr>
          <w:sz w:val="20"/>
          <w:szCs w:val="20"/>
          <w:color w:val="auto"/>
        </w:rPr>
      </w:pPr>
      <w:r>
        <w:rPr>
          <w:rFonts w:ascii="Arial" w:cs="Arial" w:eastAsia="Arial" w:hAnsi="Arial"/>
          <w:sz w:val="17"/>
          <w:szCs w:val="17"/>
          <w:color w:val="auto"/>
        </w:rPr>
        <w:t>We founded ALX Oncology because we believed the limitations described above would prevent CD47 blockade from reaching its full potential as a therapy for patients with cancer. From the company’s inception, we designed ALX148 to overcome these limitations and to maximize the utility of CD47 blockade as an effective anti-cancer therapeutic for a broad range of tumors. Specifically, we believe ALX148 may provide the following significant advantages:</w:t>
      </w:r>
    </w:p>
    <w:p>
      <w:pPr>
        <w:spacing w:after="0" w:line="155" w:lineRule="exact"/>
        <w:rPr>
          <w:sz w:val="20"/>
          <w:szCs w:val="20"/>
          <w:color w:val="auto"/>
        </w:rPr>
      </w:pPr>
    </w:p>
    <w:p>
      <w:pPr>
        <w:ind w:left="980" w:right="140" w:hanging="432"/>
        <w:spacing w:after="0" w:line="242" w:lineRule="auto"/>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b w:val="1"/>
          <w:bCs w:val="1"/>
          <w:color w:val="auto"/>
        </w:rPr>
        <w:t>Broader therapeutic window</w:t>
      </w:r>
      <w:r>
        <w:rPr>
          <w:rFonts w:ascii="Arial" w:cs="Arial" w:eastAsia="Arial" w:hAnsi="Arial"/>
          <w:sz w:val="17"/>
          <w:szCs w:val="17"/>
          <w:color w:val="auto"/>
        </w:rPr>
        <w:t>: We believe ALX148’s broader therapeutic window will allow for greater drug exposure than other</w:t>
      </w:r>
      <w:r>
        <w:rPr>
          <w:rFonts w:ascii="Arial" w:cs="Arial" w:eastAsia="Arial" w:hAnsi="Arial"/>
          <w:sz w:val="17"/>
          <w:szCs w:val="17"/>
          <w:b w:val="1"/>
          <w:bCs w:val="1"/>
          <w:color w:val="auto"/>
        </w:rPr>
        <w:t xml:space="preserve"> </w:t>
      </w:r>
      <w:r>
        <w:rPr>
          <w:rFonts w:ascii="Arial" w:cs="Arial" w:eastAsia="Arial" w:hAnsi="Arial"/>
          <w:sz w:val="17"/>
          <w:szCs w:val="17"/>
          <w:color w:val="auto"/>
        </w:rPr>
        <w:t>CD47 blocking agents potentially translating into improved efficacy across a range of cancers, including MDS and AML, compared to other CD47 blocking agents. To date, we have not yet reached a maximum tolerated dose, or MTD, for ALX148. Furthermore, flexibility in dosing could allow for several administration schedules (weekly, bi-weekly, every three weeks, monthly) that are more amenable to combination therapy dosing schedules, potentially improving a patient’s quality of life.</w:t>
      </w:r>
    </w:p>
    <w:p>
      <w:pPr>
        <w:spacing w:after="0" w:line="3" w:lineRule="exact"/>
        <w:rPr>
          <w:rFonts w:ascii="MS PGothic" w:cs="MS PGothic" w:eastAsia="MS PGothic" w:hAnsi="MS PGothic"/>
          <w:sz w:val="13"/>
          <w:szCs w:val="13"/>
          <w:color w:val="auto"/>
        </w:rPr>
      </w:pPr>
    </w:p>
    <w:p>
      <w:pPr>
        <w:ind w:left="980" w:right="14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b w:val="1"/>
          <w:bCs w:val="1"/>
          <w:color w:val="auto"/>
        </w:rPr>
        <w:t>Strong potential for combination with other anti-cancer agents</w:t>
      </w:r>
      <w:r>
        <w:rPr>
          <w:rFonts w:ascii="Arial" w:cs="Arial" w:eastAsia="Arial" w:hAnsi="Arial"/>
          <w:sz w:val="17"/>
          <w:szCs w:val="17"/>
          <w:color w:val="auto"/>
        </w:rPr>
        <w:t>: CD47 blocking agents are combined with other therapeutics in</w:t>
      </w:r>
      <w:r>
        <w:rPr>
          <w:rFonts w:ascii="Arial" w:cs="Arial" w:eastAsia="Arial" w:hAnsi="Arial"/>
          <w:sz w:val="17"/>
          <w:szCs w:val="17"/>
          <w:b w:val="1"/>
          <w:bCs w:val="1"/>
          <w:color w:val="auto"/>
        </w:rPr>
        <w:t xml:space="preserve"> </w:t>
      </w:r>
      <w:r>
        <w:rPr>
          <w:rFonts w:ascii="Arial" w:cs="Arial" w:eastAsia="Arial" w:hAnsi="Arial"/>
          <w:sz w:val="17"/>
          <w:szCs w:val="17"/>
          <w:color w:val="auto"/>
        </w:rPr>
        <w:t>order to maximize their potential in treating patients with cancer. Unlike other CD47 blocking agents, ALX148 was specifically designed to be combined with other anti-cancer agents. We believe ALX148’s favorable toxicity profile will enable it to be combined with a wider range of anti-cancer agents, including chemotherapy and cytotoxic containing regimens, compared to other CD47 blocking agents. Furthermore, we believe that ALX148’s inactive Fc domain will neither compete with nor potentially limit the efficacy of anti-cancer antibodies when used in combination treatments.</w:t>
      </w:r>
    </w:p>
    <w:p>
      <w:pPr>
        <w:spacing w:after="0" w:line="1" w:lineRule="exact"/>
        <w:rPr>
          <w:rFonts w:ascii="MS PGothic" w:cs="MS PGothic" w:eastAsia="MS PGothic" w:hAnsi="MS PGothic"/>
          <w:sz w:val="13"/>
          <w:szCs w:val="13"/>
          <w:color w:val="auto"/>
        </w:rPr>
      </w:pPr>
    </w:p>
    <w:p>
      <w:pPr>
        <w:ind w:left="980" w:right="180" w:hanging="432"/>
        <w:spacing w:after="0" w:line="241" w:lineRule="auto"/>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b w:val="1"/>
          <w:bCs w:val="1"/>
          <w:color w:val="auto"/>
        </w:rPr>
        <w:t>Encouraging responses in solid tumors</w:t>
      </w:r>
      <w:r>
        <w:rPr>
          <w:rFonts w:ascii="Arial" w:cs="Arial" w:eastAsia="Arial" w:hAnsi="Arial"/>
          <w:sz w:val="17"/>
          <w:szCs w:val="17"/>
          <w:color w:val="auto"/>
        </w:rPr>
        <w:t>: ALX148 has demonstrated meaningful Phase 1b clinical data in the treatment of solid</w:t>
      </w:r>
      <w:r>
        <w:rPr>
          <w:rFonts w:ascii="Arial" w:cs="Arial" w:eastAsia="Arial" w:hAnsi="Arial"/>
          <w:sz w:val="17"/>
          <w:szCs w:val="17"/>
          <w:b w:val="1"/>
          <w:bCs w:val="1"/>
          <w:color w:val="auto"/>
        </w:rPr>
        <w:t xml:space="preserve"> </w:t>
      </w:r>
      <w:r>
        <w:rPr>
          <w:rFonts w:ascii="Arial" w:cs="Arial" w:eastAsia="Arial" w:hAnsi="Arial"/>
          <w:sz w:val="17"/>
          <w:szCs w:val="17"/>
          <w:color w:val="auto"/>
        </w:rPr>
        <w:t>tumors. While other CD47 blocking agents have failed to demonstrate meaningful clinical activity in solid tumors, ALX148’s differentiated properties may underlie its encouraging results. Based on the data generated with ALX148 in combination with anti-cancer antibodies and checkpoint inhibitors with and without chemotherapy, our strategy is to pursue ALX148 as a potentially critical component for future combination treatment of solid tumors.</w:t>
      </w:r>
    </w:p>
    <w:p>
      <w:pPr>
        <w:spacing w:after="0" w:line="4" w:lineRule="exact"/>
        <w:rPr>
          <w:rFonts w:ascii="MS PGothic" w:cs="MS PGothic" w:eastAsia="MS PGothic" w:hAnsi="MS PGothic"/>
          <w:sz w:val="13"/>
          <w:szCs w:val="13"/>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b w:val="1"/>
          <w:bCs w:val="1"/>
          <w:color w:val="auto"/>
        </w:rPr>
        <w:t>Broader potential indications</w:t>
      </w:r>
      <w:r>
        <w:rPr>
          <w:rFonts w:ascii="Arial" w:cs="Arial" w:eastAsia="Arial" w:hAnsi="Arial"/>
          <w:sz w:val="17"/>
          <w:szCs w:val="17"/>
          <w:color w:val="auto"/>
        </w:rPr>
        <w:t>: We believe ALX148’s tolerability profile will allow for broad treatment of patient populations in a</w:t>
      </w:r>
      <w:r>
        <w:rPr>
          <w:rFonts w:ascii="Arial" w:cs="Arial" w:eastAsia="Arial" w:hAnsi="Arial"/>
          <w:sz w:val="17"/>
          <w:szCs w:val="17"/>
          <w:b w:val="1"/>
          <w:bCs w:val="1"/>
          <w:color w:val="auto"/>
        </w:rPr>
        <w:t xml:space="preserve"> </w:t>
      </w:r>
      <w:r>
        <w:rPr>
          <w:rFonts w:ascii="Arial" w:cs="Arial" w:eastAsia="Arial" w:hAnsi="Arial"/>
          <w:sz w:val="17"/>
          <w:szCs w:val="17"/>
          <w:color w:val="auto"/>
        </w:rPr>
        <w:t>wide range of oncology indications. Toxicities such as cytopenias associated with other CD47 blocking agents may potentially constrain their development strategies. While initial activity of other CD47 blocking agents has been reported in indications such as MDS and AML where many patients already suffer from disease-induced cytopenias, their development in oncology indications that do not include associated cytopenias may be challenged. We believe ALX148 is well positioned to expand the therapeutic potential of CD47 blockade across a broad spectrum of hematologic and solid tumor indications.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ALX148</w:t>
      </w:r>
    </w:p>
    <w:p>
      <w:pPr>
        <w:spacing w:after="0" w:line="60" w:lineRule="exact"/>
        <w:rPr>
          <w:sz w:val="20"/>
          <w:szCs w:val="20"/>
          <w:color w:val="auto"/>
        </w:rPr>
      </w:pPr>
    </w:p>
    <w:p>
      <w:pPr>
        <w:ind w:left="120" w:right="20"/>
        <w:spacing w:after="0" w:line="242" w:lineRule="auto"/>
        <w:rPr>
          <w:sz w:val="20"/>
          <w:szCs w:val="20"/>
          <w:color w:val="auto"/>
        </w:rPr>
      </w:pPr>
      <w:r>
        <w:rPr>
          <w:rFonts w:ascii="Arial" w:cs="Arial" w:eastAsia="Arial" w:hAnsi="Arial"/>
          <w:sz w:val="17"/>
          <w:szCs w:val="17"/>
          <w:color w:val="auto"/>
        </w:rPr>
        <w:t>Our lead product candidate, ALX148, is a CD47 blocking biologic in development as a combination therapy with other anti-cancer agents for treatment of various oncology indications, including MDS, AML, HNSCC, gastric/GEJ and breast cancer. We engineered ALX148 to maximize CD47 blockade and to avoid hematologic toxicities. We believe ALX148 enhances the efficacy of both anti-cancer targeted antibodies, numerous small molecule drugs and T cell checkpoint inhibitors and exhibits no dose-dependent cytopenias. ALX148 has demonstrated encouraging clinical responses in combination with multiple anti-cancer regimens for both hematologic and solid malignancies.</w:t>
      </w:r>
    </w:p>
    <w:p>
      <w:pPr>
        <w:spacing w:after="0" w:line="121"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Other companies have pursued CD47 blocking approaches that prioritize single-agent activity, albeit with limited success. Rather than designing a molecule for monotherapy activity that has been associated with cytopenias, we designed ALX148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Fusion Protein Design</w:t>
      </w:r>
    </w:p>
    <w:p>
      <w:pPr>
        <w:spacing w:after="0" w:line="43" w:lineRule="exact"/>
        <w:rPr>
          <w:sz w:val="20"/>
          <w:szCs w:val="20"/>
          <w:color w:val="auto"/>
        </w:rPr>
      </w:pPr>
    </w:p>
    <w:p>
      <w:pPr>
        <w:jc w:val="both"/>
        <w:ind w:left="120" w:right="220"/>
        <w:spacing w:after="0" w:line="254" w:lineRule="auto"/>
        <w:rPr>
          <w:sz w:val="20"/>
          <w:szCs w:val="20"/>
          <w:color w:val="auto"/>
        </w:rPr>
      </w:pPr>
      <w:r>
        <w:rPr>
          <w:rFonts w:ascii="Arial" w:cs="Arial" w:eastAsia="Arial" w:hAnsi="Arial"/>
          <w:sz w:val="17"/>
          <w:szCs w:val="17"/>
          <w:color w:val="auto"/>
        </w:rPr>
        <w:t>ALX148 is a fusion protein designed to provide a high CD47 blocking potency while potentially eliminating any associated toxicities. Our fusion protein comprises an engineered CD47-binding domain of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that has been genetically linked to a modified human immunoglobulin-derived Fc domain that does not bind to Fc</w:t>
      </w:r>
      <w:r>
        <w:rPr>
          <w:rFonts w:ascii="Times New Roman" w:cs="Times New Roman" w:eastAsia="Times New Roman" w:hAnsi="Times New Roman"/>
          <w:sz w:val="17"/>
          <w:szCs w:val="17"/>
          <w:color w:val="auto"/>
        </w:rPr>
        <w:t>g</w:t>
      </w:r>
      <w:r>
        <w:rPr>
          <w:rFonts w:ascii="Arial" w:cs="Arial" w:eastAsia="Arial" w:hAnsi="Arial"/>
          <w:sz w:val="17"/>
          <w:szCs w:val="17"/>
          <w:color w:val="auto"/>
        </w:rPr>
        <w:t xml:space="preserve"> receptors. We engineered ALX148 in two important ways:</w:t>
      </w:r>
    </w:p>
    <w:p>
      <w:pPr>
        <w:spacing w:after="0" w:line="163" w:lineRule="exact"/>
        <w:rPr>
          <w:sz w:val="20"/>
          <w:szCs w:val="20"/>
          <w:color w:val="auto"/>
        </w:rPr>
      </w:pPr>
    </w:p>
    <w:p>
      <w:pPr>
        <w:ind w:left="980" w:right="260" w:hanging="432"/>
        <w:spacing w:after="0" w:line="264" w:lineRule="auto"/>
        <w:tabs>
          <w:tab w:leader="none" w:pos="9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We mutated the binding domain to optimize CD47 affinity. ALX148 binding domain demonstrates an affinity that is over 3,000 times stronger than wildtype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w:t>
      </w:r>
    </w:p>
    <w:p>
      <w:pPr>
        <w:spacing w:after="0" w:line="1" w:lineRule="exact"/>
        <w:rPr>
          <w:rFonts w:ascii="MS PGothic" w:cs="MS PGothic" w:eastAsia="MS PGothic" w:hAnsi="MS PGothic"/>
          <w:sz w:val="13"/>
          <w:szCs w:val="13"/>
          <w:color w:val="auto"/>
        </w:rPr>
      </w:pPr>
    </w:p>
    <w:p>
      <w:pPr>
        <w:ind w:left="980" w:right="140" w:hanging="432"/>
        <w:spacing w:after="0" w:line="290" w:lineRule="auto"/>
        <w:tabs>
          <w:tab w:leader="none" w:pos="9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We fused the CD47-binding region of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to an inactive Fc domain. Incorporating an inactive Fc domain was intended to eliminate single-agent activation of macrophages while still maintaining an antibody-like pharmacokinetic, or PK, profile.</w:t>
      </w:r>
    </w:p>
    <w:p>
      <w:pPr>
        <w:spacing w:after="0" w:line="80" w:lineRule="exact"/>
        <w:rPr>
          <w:sz w:val="20"/>
          <w:szCs w:val="20"/>
          <w:color w:val="auto"/>
        </w:rPr>
      </w:pPr>
    </w:p>
    <w:p>
      <w:pPr>
        <w:ind w:left="120" w:right="480"/>
        <w:spacing w:after="0" w:line="275" w:lineRule="auto"/>
        <w:rPr>
          <w:sz w:val="20"/>
          <w:szCs w:val="20"/>
          <w:color w:val="auto"/>
        </w:rPr>
      </w:pPr>
      <w:r>
        <w:rPr>
          <w:rFonts w:ascii="Arial" w:cs="Arial" w:eastAsia="Arial" w:hAnsi="Arial"/>
          <w:sz w:val="17"/>
          <w:szCs w:val="17"/>
          <w:color w:val="auto"/>
        </w:rPr>
        <w:t>The successful design of ALX148 required in-house generation of approximately 280 different protein constructs to thoroughly evaluate and optimize the impact of differing designs on multiple important evaluation criteria.</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order to optimize ALX148’s properties we conducted the following processes:</w:t>
      </w:r>
    </w:p>
    <w:p>
      <w:pPr>
        <w:spacing w:after="0" w:line="196" w:lineRule="exact"/>
        <w:rPr>
          <w:sz w:val="20"/>
          <w:szCs w:val="20"/>
          <w:color w:val="auto"/>
        </w:rPr>
      </w:pPr>
    </w:p>
    <w:p>
      <w:pPr>
        <w:ind w:left="980" w:hanging="432"/>
        <w:spacing w:after="0"/>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Design of the high-affinity CD47 binding domain:</w:t>
      </w:r>
    </w:p>
    <w:p>
      <w:pPr>
        <w:spacing w:after="0" w:line="35"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4"/>
        </w:numPr>
        <w:rPr>
          <w:rFonts w:ascii="MS PGothic" w:cs="MS PGothic" w:eastAsia="MS PGothic" w:hAnsi="MS PGothic"/>
          <w:sz w:val="13"/>
          <w:szCs w:val="13"/>
          <w:color w:val="auto"/>
        </w:rPr>
      </w:pPr>
      <w:r>
        <w:rPr>
          <w:rFonts w:ascii="Arial" w:cs="Arial" w:eastAsia="Arial" w:hAnsi="Arial"/>
          <w:sz w:val="17"/>
          <w:szCs w:val="17"/>
          <w:color w:val="auto"/>
        </w:rPr>
        <w:t>Optimization of binding affinity for human CD47;</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4"/>
        </w:numPr>
        <w:rPr>
          <w:rFonts w:ascii="MS PGothic" w:cs="MS PGothic" w:eastAsia="MS PGothic" w:hAnsi="MS PGothic"/>
          <w:sz w:val="13"/>
          <w:szCs w:val="13"/>
          <w:color w:val="auto"/>
        </w:rPr>
      </w:pPr>
      <w:r>
        <w:rPr>
          <w:rFonts w:ascii="Arial" w:cs="Arial" w:eastAsia="Arial" w:hAnsi="Arial"/>
          <w:sz w:val="17"/>
          <w:szCs w:val="17"/>
          <w:color w:val="auto"/>
        </w:rPr>
        <w:t>Optimization of cross-reactivity to rodent and monkey CD47 to enable key translational experiments; and</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4"/>
        </w:numPr>
        <w:rPr>
          <w:rFonts w:ascii="MS PGothic" w:cs="MS PGothic" w:eastAsia="MS PGothic" w:hAnsi="MS PGothic"/>
          <w:sz w:val="13"/>
          <w:szCs w:val="13"/>
          <w:color w:val="auto"/>
        </w:rPr>
      </w:pPr>
      <w:r>
        <w:rPr>
          <w:rFonts w:ascii="Arial" w:cs="Arial" w:eastAsia="Arial" w:hAnsi="Arial"/>
          <w:sz w:val="17"/>
          <w:szCs w:val="17"/>
          <w:color w:val="auto"/>
        </w:rPr>
        <w:t>Elimination of partially glycosylated sites in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to remove heterogeneity and enable consistent manufacturing.</w:t>
      </w:r>
    </w:p>
    <w:p>
      <w:pPr>
        <w:spacing w:after="0" w:line="45" w:lineRule="exact"/>
        <w:rPr>
          <w:rFonts w:ascii="MS PGothic" w:cs="MS PGothic" w:eastAsia="MS PGothic" w:hAnsi="MS PGothic"/>
          <w:sz w:val="13"/>
          <w:szCs w:val="13"/>
          <w:color w:val="auto"/>
        </w:rPr>
      </w:pPr>
    </w:p>
    <w:p>
      <w:pPr>
        <w:ind w:left="980" w:hanging="432"/>
        <w:spacing w:after="0"/>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Design of the optimal fusion combination for PK extension:</w:t>
      </w:r>
    </w:p>
    <w:p>
      <w:pPr>
        <w:spacing w:after="0" w:line="35"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4"/>
        </w:numPr>
        <w:rPr>
          <w:rFonts w:ascii="MS PGothic" w:cs="MS PGothic" w:eastAsia="MS PGothic" w:hAnsi="MS PGothic"/>
          <w:sz w:val="13"/>
          <w:szCs w:val="13"/>
          <w:color w:val="auto"/>
        </w:rPr>
      </w:pPr>
      <w:r>
        <w:rPr>
          <w:rFonts w:ascii="Arial" w:cs="Arial" w:eastAsia="Arial" w:hAnsi="Arial"/>
          <w:sz w:val="17"/>
          <w:szCs w:val="17"/>
          <w:color w:val="auto"/>
        </w:rPr>
        <w:t>Selection of an immunoglobulin isotype to prevent hemagglutination; and</w:t>
      </w:r>
    </w:p>
    <w:p>
      <w:pPr>
        <w:spacing w:after="0" w:line="34" w:lineRule="exact"/>
        <w:rPr>
          <w:rFonts w:ascii="MS PGothic" w:cs="MS PGothic" w:eastAsia="MS PGothic" w:hAnsi="MS PGothic"/>
          <w:sz w:val="13"/>
          <w:szCs w:val="13"/>
          <w:color w:val="auto"/>
        </w:rPr>
      </w:pPr>
    </w:p>
    <w:p>
      <w:pPr>
        <w:ind w:left="1420" w:right="320" w:hanging="427"/>
        <w:spacing w:after="0" w:line="289" w:lineRule="auto"/>
        <w:tabs>
          <w:tab w:leader="none" w:pos="1420" w:val="left"/>
        </w:tabs>
        <w:numPr>
          <w:ilvl w:val="1"/>
          <w:numId w:val="64"/>
        </w:numPr>
        <w:rPr>
          <w:rFonts w:ascii="MS PGothic" w:cs="MS PGothic" w:eastAsia="MS PGothic" w:hAnsi="MS PGothic"/>
          <w:sz w:val="13"/>
          <w:szCs w:val="13"/>
          <w:color w:val="auto"/>
        </w:rPr>
      </w:pPr>
      <w:r>
        <w:rPr>
          <w:rFonts w:ascii="Arial" w:cs="Arial" w:eastAsia="Arial" w:hAnsi="Arial"/>
          <w:sz w:val="17"/>
          <w:szCs w:val="17"/>
          <w:color w:val="auto"/>
        </w:rPr>
        <w:t>Selection of mutations to immunoglobulin G1, or IgG1, to functionally eliminate Fc</w:t>
      </w:r>
      <w:r>
        <w:rPr>
          <w:rFonts w:ascii="Times New Roman" w:cs="Times New Roman" w:eastAsia="Times New Roman" w:hAnsi="Times New Roman"/>
          <w:sz w:val="17"/>
          <w:szCs w:val="17"/>
          <w:color w:val="auto"/>
        </w:rPr>
        <w:t>g</w:t>
      </w:r>
      <w:r>
        <w:rPr>
          <w:rFonts w:ascii="Arial" w:cs="Arial" w:eastAsia="Arial" w:hAnsi="Arial"/>
          <w:sz w:val="17"/>
          <w:szCs w:val="17"/>
          <w:color w:val="auto"/>
        </w:rPr>
        <w:t xml:space="preserve"> binding and avoid associated cytopenias while maintaining neonatal Fc receptor binding that enables antibody-like PK.</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illustrated in the figure below, ALX148 comprises:</w:t>
      </w:r>
    </w:p>
    <w:p>
      <w:pPr>
        <w:spacing w:after="0" w:line="196" w:lineRule="exact"/>
        <w:rPr>
          <w:sz w:val="20"/>
          <w:szCs w:val="20"/>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A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binding domain optimized to bind to CD47 with high affinity at a picomolar level; and</w:t>
      </w:r>
    </w:p>
    <w:p>
      <w:pPr>
        <w:spacing w:after="0" w:line="46" w:lineRule="exact"/>
        <w:rPr>
          <w:rFonts w:ascii="MS PGothic" w:cs="MS PGothic" w:eastAsia="MS PGothic" w:hAnsi="MS PGothic"/>
          <w:sz w:val="13"/>
          <w:szCs w:val="13"/>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An inactive Fc domain that reduces cytopenias while preserving the desired PK properties of antibodies with an active Fc domain.</w:t>
      </w:r>
    </w:p>
    <w:p>
      <w:pPr>
        <w:spacing w:after="0" w:line="156" w:lineRule="exact"/>
        <w:rPr>
          <w:sz w:val="20"/>
          <w:szCs w:val="20"/>
          <w:color w:val="auto"/>
        </w:rPr>
      </w:pPr>
    </w:p>
    <w:p>
      <w:pPr>
        <w:ind w:left="120" w:right="40"/>
        <w:spacing w:after="0" w:line="246" w:lineRule="auto"/>
        <w:rPr>
          <w:sz w:val="20"/>
          <w:szCs w:val="20"/>
          <w:color w:val="auto"/>
        </w:rPr>
      </w:pPr>
      <w:r>
        <w:rPr>
          <w:rFonts w:ascii="Arial" w:cs="Arial" w:eastAsia="Arial" w:hAnsi="Arial"/>
          <w:sz w:val="17"/>
          <w:szCs w:val="17"/>
          <w:color w:val="auto"/>
        </w:rPr>
        <w:t>The resulting fusion protein has approximately one-half the molecular weight of a typical antibody. ALX148’s lower molecular weight enables it to deliver the molar equivalent of an antibody at one half the dose. For example, a 30 mg/kg dose of ALX148, the highest level that we have dosed to date, is approximately equivalent to a 60 mg/kg dose of an antibody. ALX148’s lower molecular weight may also facilitate increased solid tumor penetration and provide greater potency within the tumor microenvironment. Furthermore, ALX148 can be efficiently and consistently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produced at high yield at commercial scale utilizing standard monoclonal antibody manufacturing techniques. We believe ALX148’s differentiated properties potentially overcome the limitations of other CD47 blocking agents and may have utility as a combination agent in oncology.</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candidate is a fusion protein that potently and selectively binds CD47 to block the SIRP</w:t>
      </w:r>
      <w:r>
        <w:rPr>
          <w:rFonts w:ascii="Times New Roman" w:cs="Times New Roman" w:eastAsia="Times New Roman" w:hAnsi="Times New Roman"/>
          <w:sz w:val="17"/>
          <w:szCs w:val="17"/>
          <w:color w:val="auto"/>
        </w:rPr>
        <w:t>a</w:t>
      </w:r>
      <w:r>
        <w:rPr>
          <w:rFonts w:ascii="Arial" w:cs="Arial" w:eastAsia="Arial" w:hAnsi="Arial"/>
          <w:sz w:val="17"/>
          <w:szCs w:val="17"/>
          <w:i w:val="1"/>
          <w:iCs w:val="1"/>
          <w:color w:val="auto"/>
        </w:rPr>
        <w:t xml:space="preserve">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149225</wp:posOffset>
            </wp:positionV>
            <wp:extent cx="4817745" cy="20313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177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Pre-Clinical Differentiation</w:t>
      </w:r>
    </w:p>
    <w:p>
      <w:pPr>
        <w:spacing w:after="0" w:line="33"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Our preclinical studies of ALX148 support a target product profile of favorable tolerability, the ability to be dosed in high levels and increased anti-tumor activity as compared to other CD47 blocking agents. These data include the following.</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Lack of hematologic side effects</w:t>
      </w:r>
    </w:p>
    <w:p>
      <w:pPr>
        <w:spacing w:after="0" w:line="33" w:lineRule="exact"/>
        <w:rPr>
          <w:sz w:val="20"/>
          <w:szCs w:val="20"/>
          <w:color w:val="auto"/>
        </w:rPr>
      </w:pPr>
    </w:p>
    <w:p>
      <w:pPr>
        <w:ind w:left="120" w:right="40"/>
        <w:spacing w:after="0" w:line="239" w:lineRule="auto"/>
        <w:rPr>
          <w:sz w:val="20"/>
          <w:szCs w:val="20"/>
          <w:color w:val="auto"/>
        </w:rPr>
      </w:pPr>
      <w:r>
        <w:rPr>
          <w:rFonts w:ascii="Arial" w:cs="Arial" w:eastAsia="Arial" w:hAnsi="Arial"/>
          <w:sz w:val="17"/>
          <w:szCs w:val="17"/>
          <w:color w:val="auto"/>
        </w:rPr>
        <w:t>Our preclinical data demonstrate that CD47 blocking agents with an active Fc domain directly cause adverse hematologic side effects. To support this hypothesis, we engineered a fusion protein with a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CD47-binding domain identical to ALX148’s binding domain but fused to an active, wild-type IgG1 Fc domain, ALX377. We administered 30 mg/kg ALX148 and 30 mg/kg ALX377 in mouse models and measured red blood cell, or RBC, platelet and white blood cell (lymphocyte, monocytes and granulocytes) counts. As shown in the figure below, mice treated with ALX148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The inactive Fc domain on ALX148 is responsible for improved hematologic tolerability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140970</wp:posOffset>
            </wp:positionV>
            <wp:extent cx="5297805" cy="1431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9780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276"/>
        <w:spacing w:after="0"/>
        <w:tabs>
          <w:tab w:leader="none" w:pos="9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p&lt;0.001</w:t>
      </w:r>
    </w:p>
    <w:p>
      <w:pPr>
        <w:spacing w:after="0" w:line="19" w:lineRule="exact"/>
        <w:rPr>
          <w:rFonts w:ascii="Arial" w:cs="Arial" w:eastAsia="Arial" w:hAnsi="Arial"/>
          <w:sz w:val="14"/>
          <w:szCs w:val="14"/>
          <w:color w:val="auto"/>
        </w:rPr>
      </w:pPr>
    </w:p>
    <w:p>
      <w:pPr>
        <w:ind w:left="980" w:hanging="332"/>
        <w:spacing w:after="0"/>
        <w:tabs>
          <w:tab w:leader="none" w:pos="9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p&lt;0.0001</w:t>
      </w:r>
    </w:p>
    <w:p>
      <w:pPr>
        <w:spacing w:after="0" w:line="13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To further evaluate ALX148’s preclinical tolerability, cynomolgus monkeys were treated by weekly intravenous injections at doses of zero (control), 10, 30 and 100 mg/kg for five consecutive weeks. No toxicity or adverse</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7"/>
          <w:szCs w:val="17"/>
          <w:color w:val="auto"/>
        </w:rPr>
        <w:t>findings related to CD47 blockade by ALX148 were seen in analysis of RBCs, white blood cells, platelets, body weight, ophthalmic examination, cytokine analysis, ECG parameters and anatomical pathology assessment. The no-observable-adverse-effect-level in the study was the highest dose tested, 100 mg/kg.</w:t>
      </w:r>
    </w:p>
    <w:p>
      <w:pPr>
        <w:spacing w:after="0" w:line="111" w:lineRule="exact"/>
        <w:rPr>
          <w:sz w:val="20"/>
          <w:szCs w:val="20"/>
          <w:color w:val="auto"/>
        </w:rPr>
      </w:pPr>
    </w:p>
    <w:p>
      <w:pPr>
        <w:ind w:left="120" w:right="200"/>
        <w:spacing w:after="0" w:line="246" w:lineRule="auto"/>
        <w:rPr>
          <w:sz w:val="20"/>
          <w:szCs w:val="20"/>
          <w:color w:val="auto"/>
        </w:rPr>
      </w:pPr>
      <w:r>
        <w:rPr>
          <w:rFonts w:ascii="Arial" w:cs="Arial" w:eastAsia="Arial" w:hAnsi="Arial"/>
          <w:sz w:val="17"/>
          <w:szCs w:val="17"/>
          <w:color w:val="auto"/>
        </w:rPr>
        <w:t>Together, these preclinical studies demonstrate that inactivation of the Fc domain of ALX148 avoids adverse effects on normal blood cells seen on other CD47 blocking agents with an active Fc domain. They also supported our expectation that ALX148’s lack of overlapping toxicities with other anti-cancer therapies would result in fewer adverse outcomes in a clinic when combined with these therapies than combinations with conventional CD47 blocking agents.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ALX148 elicits superior phagocytosis in combination with anti-cancer antibodies</w:t>
      </w:r>
    </w:p>
    <w:p>
      <w:pPr>
        <w:spacing w:after="0" w:line="33"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inactive Fc of ALX148 does not compete with the active Fc domain of other therapeutic antibodies for binding with Fc</w:t>
      </w:r>
      <w:r>
        <w:rPr>
          <w:rFonts w:ascii="Times New Roman" w:cs="Times New Roman" w:eastAsia="Times New Roman" w:hAnsi="Times New Roman"/>
          <w:sz w:val="17"/>
          <w:szCs w:val="17"/>
          <w:color w:val="auto"/>
        </w:rPr>
        <w:t>g</w:t>
      </w:r>
      <w:r>
        <w:rPr>
          <w:rFonts w:ascii="Arial" w:cs="Arial" w:eastAsia="Arial" w:hAnsi="Arial"/>
          <w:sz w:val="17"/>
          <w:szCs w:val="17"/>
          <w:color w:val="auto"/>
        </w:rPr>
        <w:t xml:space="preserve"> receptors on effector cells of the immune system. This fact, coupled with the high-affinity CD47 binding of our agent, results in enhanced phagocytosis from ALX148 in combination with other anti-cancer antibodies to a greater extent than other CD47 blockers. We believe this will allow us to explore ALX148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ALX148 with cetuximab, an epidermal growth factor receptor, or EGFR, inhibitor that is FDA approved for several solid tumors, to assess phagocytic activity as compared to single-agent cetuximab. Both cetuximab and the active Fc domain of a CD47 blocking agent bind to the same cell surface Fc</w:t>
      </w:r>
      <w:r>
        <w:rPr>
          <w:rFonts w:ascii="Times New Roman" w:cs="Times New Roman" w:eastAsia="Times New Roman" w:hAnsi="Times New Roman"/>
          <w:sz w:val="17"/>
          <w:szCs w:val="17"/>
          <w:color w:val="auto"/>
        </w:rPr>
        <w:t>g</w:t>
      </w:r>
      <w:r>
        <w:rPr>
          <w:rFonts w:ascii="Arial" w:cs="Arial" w:eastAsia="Arial" w:hAnsi="Arial"/>
          <w:sz w:val="17"/>
          <w:szCs w:val="17"/>
          <w:color w:val="auto"/>
        </w:rPr>
        <w:t xml:space="preserve"> receptors on a macrophage, potentially creating competition. IgG1 binds to receptors with higher affinity than IgG4 does, and ALX148’s inactive Fc does not bind. This experiment shows that CD47 blocking agents with active Fc domains and lower affinity, combined with cetuximab result in lower phagocytic activity from macrophages as compared to ALX148 with cetuximab. This experiment suggests ALX148, the only clinical CD47 blocking agent with an inactive Fc domain and high-affinity CD47 binding, may be unique in its anti-tumor activity when combined with anti-tumor antibodies.</w:t>
      </w:r>
    </w:p>
    <w:p>
      <w:pPr>
        <w:spacing w:after="0" w:line="31"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i w:val="1"/>
          <w:iCs w:val="1"/>
          <w:color w:val="auto"/>
        </w:rPr>
        <w:t>ALX148 has shown superior antibody-dependent cellular phagocytosis, or ADCP, of solid tumor cells compared to CD47 blockers with an active Fc domain and lower CD47 affinity when combined with an anti-tumor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104140</wp:posOffset>
            </wp:positionV>
            <wp:extent cx="5186045" cy="23056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604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Data</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Favorable tolerability profile</w:t>
      </w:r>
    </w:p>
    <w:p>
      <w:pPr>
        <w:spacing w:after="0" w:line="33" w:lineRule="exact"/>
        <w:rPr>
          <w:sz w:val="20"/>
          <w:szCs w:val="20"/>
          <w:color w:val="auto"/>
        </w:rPr>
      </w:pPr>
    </w:p>
    <w:p>
      <w:pPr>
        <w:ind w:left="120" w:right="180"/>
        <w:spacing w:after="0" w:line="242" w:lineRule="auto"/>
        <w:rPr>
          <w:sz w:val="20"/>
          <w:szCs w:val="20"/>
          <w:color w:val="auto"/>
        </w:rPr>
      </w:pPr>
      <w:r>
        <w:rPr>
          <w:rFonts w:ascii="Arial" w:cs="Arial" w:eastAsia="Arial" w:hAnsi="Arial"/>
          <w:sz w:val="17"/>
          <w:szCs w:val="17"/>
          <w:color w:val="auto"/>
        </w:rPr>
        <w:t>Clinical trials to date continue to support ALX148’s differentiated approach to CD47 blockade. ALX148 has been administered in over 160 subjects with advanced solid or hematologic malignancies, including in combination with a range of standard of care anti-cancer regimens. ALX148 has been consistently well-tolerated, with low occurrences of cytopenias and other toxicities. Adverse events are reported as of April 1, 2020 for ALX148 combined with Keytruda and Herceptin and as of October 1, 2020 for ALX148 combined with Rituxan, Keytruda plus chemotherapy and Herceptin plus chemotherapy.</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not yet reached a maximum tolerated dose in any trial of ALX148 and are continuing to test higher doses. Because the half-life of ALX148 is longer with higher dose levels, such dosing may allow up to every four weeks, or Q4W, administration schedule. Furthermore, ALX148’s tolerability profile could potentially result in a broad therapeutic window. We believe its tolerability profile to date supports initiation of trials in combination with highly effective, but more toxic, standard of care agents, such as chemotherapies that can cause cytopenias. Many other CD47 blocking agents are unable to combine with these anti-cancer agents due to overlapping toxicity profiles. We believe ALX148 may be uniquely positioned in its ability to combine with standard of care agents including those with associated cytopenias.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Initial data suggests that ALX148 demonstrates a consistent tolerability profile in Phase 1 trial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140970</wp:posOffset>
            </wp:positionV>
            <wp:extent cx="5092065" cy="2211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09206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760" w:right="1600" w:hanging="36"/>
        <w:spacing w:after="0" w:line="265" w:lineRule="auto"/>
        <w:rPr>
          <w:sz w:val="20"/>
          <w:szCs w:val="20"/>
          <w:color w:val="auto"/>
        </w:rPr>
      </w:pPr>
      <w:r>
        <w:rPr>
          <w:rFonts w:ascii="Arial" w:cs="Arial" w:eastAsia="Arial" w:hAnsi="Arial"/>
          <w:sz w:val="14"/>
          <w:szCs w:val="14"/>
          <w:color w:val="auto"/>
        </w:rPr>
        <w:t xml:space="preserve">Treatment related adverse events occurred in </w:t>
      </w:r>
      <w:r>
        <w:rPr>
          <w:rFonts w:ascii="Times New Roman" w:cs="Times New Roman" w:eastAsia="Times New Roman" w:hAnsi="Times New Roman"/>
          <w:sz w:val="14"/>
          <w:szCs w:val="14"/>
          <w:color w:val="auto"/>
        </w:rPr>
        <w:t>³</w:t>
      </w:r>
      <w:r>
        <w:rPr>
          <w:rFonts w:ascii="Arial" w:cs="Arial" w:eastAsia="Arial" w:hAnsi="Arial"/>
          <w:sz w:val="14"/>
          <w:szCs w:val="14"/>
          <w:color w:val="auto"/>
        </w:rPr>
        <w:t>2 subjects in all histologies at 10 &amp; 15 mg/kg QW. Data cut-off: April 1, 2020 for combination cohorts of ALX148 plus Keytruda and Herceptin; October 1, 2020 for combination cohorts of ALX148 plus Rituxan, Keytruda and chemotherapy (5FU, platinum), as well as Herceptin and chemotherapy (ramucirumab, paclitaxel).</w:t>
      </w:r>
    </w:p>
    <w:p>
      <w:pPr>
        <w:spacing w:after="0" w:line="99" w:lineRule="exact"/>
        <w:rPr>
          <w:sz w:val="20"/>
          <w:szCs w:val="20"/>
          <w:color w:val="auto"/>
        </w:rPr>
      </w:pPr>
    </w:p>
    <w:p>
      <w:pPr>
        <w:ind w:left="120" w:right="60"/>
        <w:spacing w:after="0" w:line="246" w:lineRule="auto"/>
        <w:rPr>
          <w:sz w:val="20"/>
          <w:szCs w:val="20"/>
          <w:color w:val="auto"/>
        </w:rPr>
      </w:pPr>
      <w:r>
        <w:rPr>
          <w:rFonts w:ascii="Arial" w:cs="Arial" w:eastAsia="Arial" w:hAnsi="Arial"/>
          <w:sz w:val="17"/>
          <w:szCs w:val="17"/>
          <w:color w:val="auto"/>
        </w:rPr>
        <w:t>Single-digit to no incident rates of treatment-related grade three and higher cytopenias occurred in more than 2 subjects across each of the combination cohorts in this heavily pre-treated group who are typical participants in early stage cancer trials and are often hematologically fragile at baseline. Additionally, the majority of treatment-related adverse events were of low-grade and were easily managed. Overall, ALX148 was well tolerated in an advanced cancer population and can be combined with a wide range of anti-cancer therapeutics.</w:t>
      </w:r>
    </w:p>
    <w:p>
      <w:pPr>
        <w:spacing w:after="0" w:line="117" w:lineRule="exact"/>
        <w:rPr>
          <w:sz w:val="20"/>
          <w:szCs w:val="20"/>
          <w:color w:val="auto"/>
        </w:rPr>
      </w:pPr>
    </w:p>
    <w:p>
      <w:pPr>
        <w:ind w:left="120" w:right="60"/>
        <w:spacing w:after="0" w:line="241" w:lineRule="auto"/>
        <w:rPr>
          <w:sz w:val="20"/>
          <w:szCs w:val="20"/>
          <w:color w:val="auto"/>
        </w:rPr>
      </w:pPr>
      <w:r>
        <w:rPr>
          <w:rFonts w:ascii="Arial" w:cs="Arial" w:eastAsia="Arial" w:hAnsi="Arial"/>
          <w:sz w:val="17"/>
          <w:szCs w:val="17"/>
          <w:color w:val="auto"/>
        </w:rPr>
        <w:t>All other CD47 blockers that have reported clinical data have reported high rates of both all grade and high grade cytopenias. A magrolimab clinical trial in solid tumors resulted in 56% anemia in the first 48 subjects dosed, despite each subject receiving an initial priming dose to mitigate anemia. A recent trial of magrolimab in 68 subjects with higher-risk MDS or AML presented in November 2020 (Sallman, SITC 2020, Session</w:t>
      </w:r>
    </w:p>
    <w:p>
      <w:pPr>
        <w:ind w:left="120" w:right="120" w:hanging="4"/>
        <w:spacing w:after="0" w:line="238" w:lineRule="auto"/>
        <w:tabs>
          <w:tab w:leader="none" w:pos="509"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reported over 35% grade 3 or 4 treatment-related anemia, over 15% grade 3 or 4 treatment-related neutropenia and over 10% grade 4 treatment-related thrombocytopenia. Such a tolerability profile could present challenges to the administration of this compound as a single agent and in combination. In contrast, ALX148’s tolerability profile may enhance the breadth of clinical development by providing better treatment options for patients with cancer.</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PK and PD Data</w:t>
      </w:r>
    </w:p>
    <w:p>
      <w:pPr>
        <w:spacing w:after="0" w:line="4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Initial clinical trials have confirmed that ALX148 exhibits favorable PK, and CD47 target occupancy, or TO. Human PK following intravenous, or IV, doses of ALX148 ranging from 0.3 to 30 mg/kg either as a single-agent, or in combination with pembrolizumab, trastuzumab or rituximab have been characterized in 159 subjects as of October 1, 2020. ALX148 single agent PK profiles showed a trend of non-linear PK with faster clearance at lower doses and slower clearance at higher doses of 10 mg/kg QW and 30 mg/kg once every other week, or QOW, indicating saturation of target mediated clearance.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60"/>
        <w:spacing w:after="0" w:line="241" w:lineRule="auto"/>
        <w:rPr>
          <w:sz w:val="20"/>
          <w:szCs w:val="20"/>
          <w:color w:val="auto"/>
        </w:rPr>
      </w:pPr>
      <w:r>
        <w:rPr>
          <w:rFonts w:ascii="Arial" w:cs="Arial" w:eastAsia="Arial" w:hAnsi="Arial"/>
          <w:sz w:val="17"/>
          <w:szCs w:val="17"/>
          <w:color w:val="auto"/>
        </w:rPr>
        <w:t xml:space="preserve">The pharmacodynamics, or PD, following AXL148 IV infusion either as a single-agent or in combination with pembrolizumab, trastuzumab or rituximab have been characterized in 156 subjects as of October 1, 2020. Target engagement has been confirmed based on CD47 TO in peripheral blood T lymphocytes and erythrocytes measured by a flow cytometry assay. At lower doses of 0.3 mg/kg and 1 mg/kg ALX148 monotherapy, dose dependent increase of TO was observed. Increased TO was observed following the subsequent IV dosing compared to the first IV dose. Complete TO in periphery across the dosing interval, where TO &gt;85%, was observed at ALX148 single agent doses </w:t>
      </w:r>
      <w:r>
        <w:rPr>
          <w:rFonts w:ascii="Times New Roman" w:cs="Times New Roman" w:eastAsia="Times New Roman" w:hAnsi="Times New Roman"/>
          <w:sz w:val="17"/>
          <w:szCs w:val="17"/>
          <w:color w:val="auto"/>
        </w:rPr>
        <w:t>³</w:t>
      </w:r>
      <w:r>
        <w:rPr>
          <w:rFonts w:ascii="Arial" w:cs="Arial" w:eastAsia="Arial" w:hAnsi="Arial"/>
          <w:sz w:val="17"/>
          <w:szCs w:val="17"/>
          <w:color w:val="auto"/>
        </w:rPr>
        <w:t>3 mg/kg QW and at doses of 30 mg/kg QOW. Complete TO in periphery was observed with ALX148 at doses of 10 mg/kg QW in combination with trastuzumab, or at doses of 10mg/kg QW or 15 mg/kg QW in combination with trastuzumab, ramucirumab and paclitaxel.</w:t>
      </w:r>
    </w:p>
    <w:p>
      <w:pPr>
        <w:spacing w:after="0" w:line="124"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In our Phase 1b expansion trial to date, we have observed a statistically significant positive ALX148 exposure-response relationship in subjects with NHL. While our data support full TO in the periphery at 10 mg/kg, enhanced tumor penetration may explain the higher response rate seen at 15 mg/kg in the clinic. Given the favorable tolerability observed to date at doses up to 15 mg/kg QW, we plan to evaluate these higher doses of ALX148.</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of ALX148 in Hematologic Malignancies</w:t>
      </w:r>
    </w:p>
    <w:p>
      <w:pPr>
        <w:spacing w:after="0" w:line="60"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The potential therapeutic role of CD47 blockade to date has been clearly demonstrated in hematologic malignancies. This includes both our trials of ALX148 as well as trials by other CD47 blockade programs. We have initiated a clinical trial of ALX148 in patients with MDS and are planning to initiate a trial in 2021 in patients with AML based on our initial trials in the relapsed/refractory NHL clinical setting, preclinical studies and evidence for the clinical utility of the CD47 blockade from other programs.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NHL Proof-of-Principle</w:t>
      </w:r>
    </w:p>
    <w:p>
      <w:pPr>
        <w:spacing w:after="0" w:line="43"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ALX148’s initial hematologic clinical trial was a Phase 1b expansion trial in combination with rituximab to treat subjects with relapsed/refractory NHL. This was an open-label, multisite trial to assess safety. Subjects received ALX148 10 mg/kg QW or 15 mg/kg QW in combination with rituximab 375 mg/m2 administered as an intravenous infusion QW for four doses followed by once monthly for eight doses. In order to meet inclusion criteria, subjects must have had no curative therapy or standard approved therapy option available to them. Across all cohorts, as of October 1, 2020, subjects had received a median of three lines of therapy prior to enrollment in the ALX148 trial. These were heavily pre-treated subjects, all of whom had progressed on previous rituximab-containing regimens.</w:t>
      </w:r>
    </w:p>
    <w:p>
      <w:pPr>
        <w:spacing w:after="0" w:line="122" w:lineRule="exact"/>
        <w:rPr>
          <w:sz w:val="20"/>
          <w:szCs w:val="20"/>
          <w:color w:val="auto"/>
        </w:rPr>
      </w:pPr>
    </w:p>
    <w:p>
      <w:pPr>
        <w:ind w:left="120" w:right="100"/>
        <w:spacing w:after="0" w:line="246" w:lineRule="auto"/>
        <w:rPr>
          <w:sz w:val="20"/>
          <w:szCs w:val="20"/>
          <w:color w:val="auto"/>
        </w:rPr>
      </w:pPr>
      <w:r>
        <w:rPr>
          <w:rFonts w:ascii="Arial" w:cs="Arial" w:eastAsia="Arial" w:hAnsi="Arial"/>
          <w:sz w:val="17"/>
          <w:szCs w:val="17"/>
          <w:color w:val="auto"/>
        </w:rPr>
        <w:t>Responses were evaluated according to the Lugano 2014 response criteria and reported as of October 1, 2020. As of October 1, 2020, ALX148 had been administered to 33 subjects. Thirty-two subjects were response evaluable. Eleven subjects had indolent lymphomas and 22 had aggressive lymphomas. There were 11 subjects enrolled to the higher dose 15 mg/kg QW cohort, 10 of whom were response evaluable. This cohort achieved an ORR of 70.0% (7/10). The ORR reported in the lower dose 10 mg/kg QW cohort was 40.9% (9/22).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117475</wp:posOffset>
            </wp:positionV>
            <wp:extent cx="5092065" cy="2228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09206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Aggressive includes relapsed/refractory Diffuse Large B Cell and Mantle Cell Lymphomas. Indolent includes Follicular and Marginal Zone Lymphomas; N: Response</w:t>
      </w:r>
    </w:p>
    <w:p>
      <w:pPr>
        <w:spacing w:after="0" w:line="1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evaluable patients; ORR: Objective response rate (complete + partial response rates). Data cut-off: October 1, 2020.</w:t>
      </w: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060"/>
          </w:cols>
          <w:pgMar w:left="320" w:top="455" w:right="51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216535</wp:posOffset>
            </wp:positionV>
            <wp:extent cx="5194935" cy="22028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9493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Data Cutoff October 1, 2020; Response evaluable patients; Responses include metabolic response per Lugano Response Criteria.</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 more than 80% increase from baseline. * patient with rapid fatal progressive disease not represented in plot</w:t>
      </w:r>
    </w:p>
    <w:p>
      <w:pPr>
        <w:spacing w:after="0" w:line="130" w:lineRule="exact"/>
        <w:rPr>
          <w:sz w:val="20"/>
          <w:szCs w:val="20"/>
          <w:color w:val="auto"/>
        </w:rPr>
      </w:pPr>
    </w:p>
    <w:p>
      <w:pPr>
        <w:jc w:val="both"/>
        <w:ind w:left="120" w:right="120"/>
        <w:spacing w:after="0" w:line="246" w:lineRule="auto"/>
        <w:rPr>
          <w:sz w:val="20"/>
          <w:szCs w:val="20"/>
          <w:color w:val="auto"/>
        </w:rPr>
      </w:pPr>
      <w:r>
        <w:rPr>
          <w:rFonts w:ascii="Arial" w:cs="Arial" w:eastAsia="Arial" w:hAnsi="Arial"/>
          <w:sz w:val="17"/>
          <w:szCs w:val="17"/>
          <w:color w:val="auto"/>
        </w:rPr>
        <w:t>We view ALX148’s initial activity in heavily pre-treated subjects with NHL as compelling evidence for the role of ALX148 in treating hematologic malignancies and as a favorable comparison to outcomes reported by other CD47 blocking agents in similar subjects. We believe the initial data in our 10 and 15 mg/kg QW cohorts, which showed a statistically significant exposure-dependent response, demonstrates ALX148’s activity and supports higher dose administration in trials for subjects with MDS.</w:t>
      </w:r>
    </w:p>
    <w:p>
      <w:pPr>
        <w:spacing w:after="0" w:line="117" w:lineRule="exact"/>
        <w:rPr>
          <w:sz w:val="20"/>
          <w:szCs w:val="20"/>
          <w:color w:val="auto"/>
        </w:rPr>
      </w:pPr>
    </w:p>
    <w:p>
      <w:pPr>
        <w:ind w:left="120" w:right="60"/>
        <w:spacing w:after="0" w:line="242" w:lineRule="auto"/>
        <w:rPr>
          <w:sz w:val="20"/>
          <w:szCs w:val="20"/>
          <w:color w:val="auto"/>
        </w:rPr>
      </w:pPr>
      <w:r>
        <w:rPr>
          <w:rFonts w:ascii="Arial" w:cs="Arial" w:eastAsia="Arial" w:hAnsi="Arial"/>
          <w:sz w:val="17"/>
          <w:szCs w:val="17"/>
          <w:color w:val="auto"/>
        </w:rPr>
        <w:t>Based on the activities seen at the 10 and 15 mg/kg QW doses coupled with a favorable tolerability profile, we are intending to test higher doses, up to 60 mg/kg Q4W in MDS. We believe this dosing schedule may be unique among CD47 blockade programs and can potentially provide a more convenient regimen in combination with monthly azacitidine for patients. This data set also supported our decision to advance ALX148 into solid tumor indications at higher doses of 45 mg/kg once every three weeks, or Q3W, in combination with standard agents also administered Q3W.</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MDS</w:t>
      </w:r>
    </w:p>
    <w:p>
      <w:pPr>
        <w:spacing w:after="0" w:line="43"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Our development of ALX148 in hematologic indications is initially focused on MDS. There are approximately 70,000 people living with diagnosed MDS in the U.S. Patients with MDS have a wide range of expected outcomes that can be estimated from their Revised International Prognostic Scoring System, or IPSS-R, risk category. Patients with very low IPSS-R have an mOS of 8.8 years, whereas those with very high IPSS-R have an mOS of under ten months. Since nearly 75% of new cases are in patients aged 70 or older, balancing a patient’s age at prognosis with potential treatment-related impact on quality of life is important in considering treatment options. Regardless of age, treatment goals for patients with MDS are a balance of improved survival, symptom alleviation and quality of life.</w:t>
      </w:r>
    </w:p>
    <w:p>
      <w:pPr>
        <w:spacing w:after="0" w:line="122" w:lineRule="exact"/>
        <w:rPr>
          <w:sz w:val="20"/>
          <w:szCs w:val="20"/>
          <w:color w:val="auto"/>
        </w:rPr>
      </w:pPr>
    </w:p>
    <w:p>
      <w:pPr>
        <w:ind w:left="120" w:right="160"/>
        <w:spacing w:after="0" w:line="253" w:lineRule="auto"/>
        <w:rPr>
          <w:sz w:val="20"/>
          <w:szCs w:val="20"/>
          <w:color w:val="auto"/>
        </w:rPr>
      </w:pPr>
      <w:r>
        <w:rPr>
          <w:rFonts w:ascii="Arial" w:cs="Arial" w:eastAsia="Arial" w:hAnsi="Arial"/>
          <w:sz w:val="17"/>
          <w:szCs w:val="17"/>
          <w:color w:val="auto"/>
        </w:rPr>
        <w:t>For patients with higher-risk MDS (intermediate, high and very high IPSS-R), standard of care treatments include stem cell transplant, or SCT, high and low-intensity chemotherapy regimens and HMAs. SCT is the only therapy that is potentially curative; however, the procedure is difficult to tolerate, especially for older patients, and has a non-relapse mortality rate of approximately 40% at 200 days for all patients with MDS.</w:t>
      </w:r>
    </w:p>
    <w:p>
      <w:pPr>
        <w:spacing w:after="0" w:line="11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For patients who are ineligible for SCT, azacitidine, an HMA, is a standard backbone therapy for combination treatment regimens in MDS. The drug continues to be used in combination with investigational agents in a number of current MDS trials. Single-agent azacitidine is one of the few FDA-approved agents for patients with MDS. However, its FDA label indicates a complete response, or CR, rate of only 5.6% and an mOS of 2.0 years. A clinical complete response comprises normalizing peripheral blood counts, resolution of bone marrow dysplasia and reduction in the percentage of immature blood cells, or myeloblasts, to less than 5%. CD47 blockade in combination with azacitidine has shown early clinical evidence that suggests it may improve CR rates in MDS. For patients with higher-risk MDS, achieving a CR and improving overall survival are the central treatment goals. Treatment goals for patients with lower-risk MDS are different. The primary goal for those patients is resolution of cytopenias.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jc w:val="both"/>
        <w:ind w:left="120" w:right="140"/>
        <w:spacing w:after="0" w:line="241" w:lineRule="auto"/>
        <w:rPr>
          <w:sz w:val="20"/>
          <w:szCs w:val="20"/>
          <w:color w:val="auto"/>
        </w:rPr>
      </w:pPr>
      <w:r>
        <w:rPr>
          <w:rFonts w:ascii="Arial" w:cs="Arial" w:eastAsia="Arial" w:hAnsi="Arial"/>
          <w:sz w:val="17"/>
          <w:szCs w:val="17"/>
          <w:color w:val="auto"/>
        </w:rPr>
        <w:t>Red blood cell transfusions are a key element of treatment intended to address cytopenias in patients with MDS. The majority of patients have a hemoglobin count of less than 10 g/dL and approximately one-third of patients are RBC transfusion dependent. Transfusions impose significant time and cost burdens on patients and also cause clinical sequelae such as iron overload and associated liver fibrosis and cardiomyopathy.</w:t>
      </w:r>
    </w:p>
    <w:p>
      <w:pPr>
        <w:ind w:left="120" w:right="380"/>
        <w:spacing w:after="0"/>
        <w:rPr>
          <w:sz w:val="20"/>
          <w:szCs w:val="20"/>
          <w:color w:val="auto"/>
        </w:rPr>
      </w:pPr>
      <w:r>
        <w:rPr>
          <w:rFonts w:ascii="Arial" w:cs="Arial" w:eastAsia="Arial" w:hAnsi="Arial"/>
          <w:sz w:val="17"/>
          <w:szCs w:val="17"/>
          <w:color w:val="auto"/>
        </w:rPr>
        <w:t>Therefore, achieving transfusion independence is an important secondary goal of treating patients with higher-risk MDS. A competitive CD47 blocking agent has generated encouraging clinical data, however, it is associated with high rates of anemia that may require additional transfusions upon treatment initiation, mitigating any success in peripheral blood count normalization.</w:t>
      </w:r>
    </w:p>
    <w:p>
      <w:pPr>
        <w:spacing w:after="0" w:line="121"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The current clinical experience with CD47 blocking agents in MDS underscores the need for combination therapy to increase CR rates above that seen with standard of care azacitidine monotherapy. As previously discussed, pro-phagocytic signals in ALX148-based combinations can be provided by drugs that increase display of the “eat me” signal calreticulin on the surface of tumor cells. We have conducted preclinical studies that showed that azacitidine and venetoclax increase both the display of the “eat me” signal calreticulin and the “don’t eat me” signal CD47 on AML cells, suggesting that a CD47 blocking agent could maximize the activity of venetoclax and azacitidine in these models. Additionally, we have shown that ALX148 with venetoclax or azacitidine in combination produces increased phagocytosis in vitro and anti-tumor activity in mouse models compared to azacitidine or venetoclax alone.</w:t>
      </w:r>
    </w:p>
    <w:p>
      <w:pPr>
        <w:spacing w:after="0" w:line="122" w:lineRule="exact"/>
        <w:rPr>
          <w:sz w:val="20"/>
          <w:szCs w:val="20"/>
          <w:color w:val="auto"/>
        </w:rPr>
      </w:pPr>
    </w:p>
    <w:p>
      <w:pPr>
        <w:ind w:left="120" w:right="120"/>
        <w:spacing w:after="0" w:line="242" w:lineRule="auto"/>
        <w:rPr>
          <w:sz w:val="20"/>
          <w:szCs w:val="20"/>
          <w:color w:val="auto"/>
        </w:rPr>
      </w:pPr>
      <w:r>
        <w:rPr>
          <w:rFonts w:ascii="Arial" w:cs="Arial" w:eastAsia="Arial" w:hAnsi="Arial"/>
          <w:sz w:val="17"/>
          <w:szCs w:val="17"/>
          <w:color w:val="auto"/>
        </w:rPr>
        <w:t>Furthermore, combination treatment of ALX148 with azacitidine or venetoclax led to tumor elimination and prolonged survival in leukemia mouse models. Azacitidine and ALX148 monotherapies produced moderate tumor growth inhibition with all mice succumbing to disease by day 85 post inoculation. In contrast, the combination of ALX148 and azacitidine completely eliminated tumor growth with 100% animal survival up to study termination on day 147. We have also demonstrated in preclinical studies that ALX148 when combined with venetoclax, a BCL-2 inhibitor that is FDA approved for the treatment of patients with AML, led to tumor elimination in a leukemia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120650</wp:posOffset>
            </wp:positionV>
            <wp:extent cx="5092065" cy="2940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9206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right="20"/>
        <w:spacing w:after="0" w:line="242" w:lineRule="auto"/>
        <w:rPr>
          <w:sz w:val="20"/>
          <w:szCs w:val="20"/>
          <w:color w:val="auto"/>
        </w:rPr>
      </w:pPr>
      <w:r>
        <w:rPr>
          <w:rFonts w:ascii="Arial" w:cs="Arial" w:eastAsia="Arial" w:hAnsi="Arial"/>
          <w:sz w:val="17"/>
          <w:szCs w:val="17"/>
          <w:color w:val="auto"/>
        </w:rPr>
        <w:t>Recent data from a competitive CD47 blockade program, magrolimab, further support trials of ALX148 for treatment of MDS. Magrolimab was studied both as a single-agent and in combination with azacitidine in subjects with higher-risk MDS or AML. As reported at ASCO 2020, magrolimab plus azacitidine achieved a 42% CR rate in previously untreated MDS and a 40% CR in previously untreated AML. As a single-agent, magrolimab achieved no CRs in relapsed/refractory MDS and AML, suggesting that a separate pro-phagocytic signal is required for the observed clinical activity. Despite the high rate of CRs achieved in combination, over 38% of subjects in these trials have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experienced grade 3 or higher treatment-related anemia. Notwithstanding these limitations, magrolimab’s data support the potential role of CD47 blockade in treating these subjects.</w:t>
      </w:r>
    </w:p>
    <w:p>
      <w:pPr>
        <w:spacing w:after="0" w:line="92"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Our strategy is to pursue ALX148 as a potentially critical component for future combination treatment options for patients with higher-risk MDS. Our preclinical models, activity of ALX148 in NHL where magrolimab has reported similar data and available CD47 clinical data in this indication support a potential role for ALX148 for treatment of patients with MDS. Baseline characteristics of subjects in a recent trial of azacitidine plus venetoclax in treatment-naïve higher-risk MDS illustrated the need for therapies that do not induce cytopenias. Prior to treatment, 56% of subjects had grade 3 or higher neutropenia, 33% had grade 3 or higher thrombocytopenia, 40% had grade 3 or higher leukopenia and 12% had grade 3 or higher anemia. We believe that it is important to develop a CD47 blocking therapy that does not exacerbate cytopenias that patients may already exhibit pre-treatment. ALX148’s tolerability profile to date suggests it may address this unmet need in patients who suffer from MDS.</w:t>
      </w:r>
    </w:p>
    <w:p>
      <w:pPr>
        <w:spacing w:after="0" w:line="122" w:lineRule="exact"/>
        <w:rPr>
          <w:sz w:val="20"/>
          <w:szCs w:val="20"/>
          <w:color w:val="auto"/>
        </w:rPr>
      </w:pPr>
    </w:p>
    <w:p>
      <w:pPr>
        <w:ind w:left="120" w:right="80"/>
        <w:spacing w:after="0"/>
        <w:rPr>
          <w:sz w:val="20"/>
          <w:szCs w:val="20"/>
          <w:color w:val="auto"/>
        </w:rPr>
      </w:pPr>
      <w:r>
        <w:rPr>
          <w:rFonts w:ascii="Arial" w:cs="Arial" w:eastAsia="Arial" w:hAnsi="Arial"/>
          <w:sz w:val="17"/>
          <w:szCs w:val="17"/>
          <w:color w:val="auto"/>
        </w:rPr>
        <w:t>In October 2020, we initiated a Phase 1b/2 trial of ALX148 in combination with azacitidine for the treatment of subjects with higher-risk MDS. The Phase 1b portion of the trial will seek to evaluate up to 60 mg/kg Q4W of ALX148 plus standard azacitidine in subjects with relapsed/refractory and previously untreated MDS. The Phase 2 portion of the trial will assess the combination of ALX148 and azacitidine in subjects with previously untreated higher-risk MDS. The primary endpoint will be complete remission rate by six months. We intend to pursue a strategy in which we will leverage the data generated from the Phase 1b/2 trial to request from the FDA that ALX148 be a candidate for accelerated approval in the treatment of MDS.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AML</w:t>
      </w:r>
    </w:p>
    <w:p>
      <w:pPr>
        <w:spacing w:after="0" w:line="43" w:lineRule="exact"/>
        <w:rPr>
          <w:sz w:val="20"/>
          <w:szCs w:val="20"/>
          <w:color w:val="auto"/>
        </w:rPr>
      </w:pPr>
    </w:p>
    <w:p>
      <w:pPr>
        <w:ind w:left="120" w:right="100"/>
        <w:spacing w:after="0" w:line="239" w:lineRule="auto"/>
        <w:rPr>
          <w:sz w:val="20"/>
          <w:szCs w:val="20"/>
          <w:color w:val="auto"/>
        </w:rPr>
      </w:pPr>
      <w:r>
        <w:rPr>
          <w:rFonts w:ascii="Arial" w:cs="Arial" w:eastAsia="Arial" w:hAnsi="Arial"/>
          <w:sz w:val="17"/>
          <w:szCs w:val="17"/>
          <w:color w:val="auto"/>
        </w:rPr>
        <w:t>Our preclinical studies and clinical trials from competing CD47 agents support the potential role of ALX148 in the treatment of patients with AML. In the United States, there are over 35,000 people living with AML with an expected 20,000 newly diagnosed cases and over 11,000 deaths from the disease in 2020. Overall survival for patients with AML is generally worse than patients with higher-risk MDS. Median overall survival for patients with AML ranges from approximately 15 months for patients with favorable cytogenetic risk factors to less than 5 months for those with adverse risk factors. Similar to MDS, patients tend to be older with a median age at diagnosis of 68.</w:t>
      </w:r>
    </w:p>
    <w:p>
      <w:pPr>
        <w:spacing w:after="0" w:line="12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First-line treatment options for patients can be broadly stratified into high-intensity and low-intensity induction regimens. High-intensity induction chemotherapy is typically cytarabine plus an anthracycline (so called “7+3”) administered over a 28-day cycle. While patients can derive long term benefit from 7+3, the risks of the regimen are substantial. 60-day treatment-related mortality from 7+3 induction have been as high as 27% and have declined to 6-8% in recent years, likely due in part to more stringent patient selection and the decreased average age of patients who receive 7+3. Patients who are not candidates for intensive induction chemotherapy due to preference, performance status, or other reasons are likely to receive low-intensity regimens characterized by the use of HMAs, venetoclax or combined HMA plus venetoclax. In the past decade, the percentage of patients 65 and older who receive first-line high-intensity treatment has declined from approximately 70% to 40%, while the use of HMAs in this population increased from 11% to 44%. Venetoclax combined with an HMA recently received approval from the FDA for use in adults who are 75 years or older or who have comorbidities that exclude the use of intensive induction chemotherapy. In the Phase 3 VIALE-A trial, venetoclax achieved a 37% CR rate in combination with azacitidine and a median duration of CR of 18.0 months. Despite these results, we believe there is a significant unmet need for more effective and well-tolerated first-line treatment options for patients who are not candidates for high-intensity therapy.</w:t>
      </w:r>
    </w:p>
    <w:p>
      <w:pPr>
        <w:spacing w:after="0" w:line="123" w:lineRule="exact"/>
        <w:rPr>
          <w:sz w:val="20"/>
          <w:szCs w:val="20"/>
          <w:color w:val="auto"/>
        </w:rPr>
      </w:pPr>
    </w:p>
    <w:p>
      <w:pPr>
        <w:ind w:left="120" w:right="220"/>
        <w:spacing w:after="0" w:line="239" w:lineRule="auto"/>
        <w:rPr>
          <w:sz w:val="20"/>
          <w:szCs w:val="20"/>
          <w:color w:val="auto"/>
        </w:rPr>
      </w:pPr>
      <w:r>
        <w:rPr>
          <w:rFonts w:ascii="Arial" w:cs="Arial" w:eastAsia="Arial" w:hAnsi="Arial"/>
          <w:sz w:val="17"/>
          <w:szCs w:val="17"/>
          <w:color w:val="auto"/>
        </w:rPr>
        <w:t>The mechanistic rationale for combining ALX148 with azacitidine in AML is similar to the rationale for MDS. Preclinical studies show that azacitidine increases the display of calreticulin, a pro-phagocytic signal, on cancer cells in AML models. The preclinical studies that support the use of ALX148 combinations in MDS also support its use in AML. Clinically, the CD47 agent magrolimab has achieved a 40% CR rate in untreated AML when used in combination with azacitidine. In a separate study in patients 65 and older with untreated AML, single-agent azacitidine as achieved a 20% CR rate. We believe this indicates CD47 agents could increase the activity of HMAs above their single-agent levels. Furthermore, our preclinical data of ALX148 in combination with venetoclax supports the combination with this agent that is increasingly being used in the treatment of patients with AML.</w:t>
      </w:r>
    </w:p>
    <w:p>
      <w:pPr>
        <w:spacing w:after="0" w:line="122"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We plan to initiate a Phase 1b/2 trial of ALX148 in combination with venetoclax and azacitidine for the first-line treatment of patients with AML in 2021.</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Solid Tumors</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generated clinical data with ALX148 in combination with multiple anti-cancer agents in solid tumors. We believe the smaller molecular weight of ALX148 as compared to a typical antibody may facilitate greater penetration into solid tumors. In addition, we believe the favorable tolerability profile of ALX148 will allow for higher administered doses in a range of combination strategies with leading therapies for solid tumors. Solid tumors represent the largest markets within oncology and many of these oncology indications are poorly served by current therapies, both in front-line as well as in the relapsed and refractory settings. We have demonstrated proof of concept with ALX148 in combination treatment in two solid tumor settings in initial clinical trials: HNSCC and HER2-positive gastric/GEJ cancer. We believe these indications offer registration pathways in combination with existing approved therapies and we intend to advance ALX148 into randomized Phase 2 trials in both oncology indications in 2021.</w:t>
      </w:r>
    </w:p>
    <w:p>
      <w:pPr>
        <w:spacing w:after="0" w:line="121"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ALX148 can be combined with PD-1/programmed death-ligand 1, or PD-(L)1, agents in a broad range of solid tumors. As part of our development strategy, we are exploring the use of ALX148 in combination with a PD-1 inhibitor with and without chemotherapy in HNSCC. PD-(L)1 inhibitors are currently approved by the FDA for 18 indications and had over $20 billion in 2019 sales. Other CD47 blocking approaches may be limited in their ability to combine with PD-(L)1 inhibitors due to cumulative or overlapping toxicities.</w:t>
      </w:r>
    </w:p>
    <w:p>
      <w:pPr>
        <w:spacing w:after="0" w:line="117"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We investigated ALX148 in subjects with solid tumors in additional cohorts as part of an extensive Phase 1 trial. Part 1 was a dose escalation trial of single-agent ALX148 intended to examine tolerability and recommended dosing and was not expected to show single-agent activity. Sixteen subjects with solid tumors received ALX148 as a single-agent on a QW schedule at doses ranging from 0.1 mg/kg to 10 mg/kg and 12 subjects received ALX148 as a single-agent on a QoW dosing schedule at a dose of 30 mg/kg. The maximum tolerated dose was not determined on either schedule. However, the maximum administered dose was 30 mg/kg for the Q2W dosing schedule and 10 mg/kg for the QW schedule.</w:t>
      </w:r>
    </w:p>
    <w:p>
      <w:pPr>
        <w:spacing w:after="0" w:line="121"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Part 2 was comprised of ALX148 escalation and expansion cohorts. In subjects with solid tumors, ALX148 was combined with various anti-cancer agents including pembrolizumab, trastuzumab and chemotherapy. Adverse events from these cohorts are reported above. As previously discussed, ALX148 has consistently displayed a favorable tolerability profile. Many of the reported adverse events have been associated with either pembrolizumab or trastuzumab.</w:t>
      </w:r>
    </w:p>
    <w:p>
      <w:pPr>
        <w:spacing w:after="0" w:line="11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HNSCC, our initial Phase 1b expansion trial combined ALX148 with pembrolizumab, an anti-PD-1 agent, which is a standard of care for subjects with HNSCC. Final results from the cohort of ALX148 combined with pembrolizumab were reported at the 2020 American Society of Clinical Oncology, Virtual Scientific Program, or ASCO 2020, and provided the first demonstration of ALX148’s ability to enhance checkpoint inhibitor antibody activity in solid tumors and is the basis for FDA Fast Track designation in first-line treatment of HNSCC. Data from this trial supported our second trial in HNSCC that adds chemotherapy (5-fluoropyrimidine plus cisplatin) to the combination of pembrolizumab and ALX148 and preliminary data for this cohort was presented at the Society for Immunotherapy of Cancer’s 35</w:t>
      </w:r>
      <w:r>
        <w:rPr>
          <w:rFonts w:ascii="Arial" w:cs="Arial" w:eastAsia="Arial" w:hAnsi="Arial"/>
          <w:sz w:val="14"/>
          <w:szCs w:val="14"/>
          <w:color w:val="auto"/>
        </w:rPr>
        <w:t>th</w:t>
      </w:r>
      <w:r>
        <w:rPr>
          <w:rFonts w:ascii="Arial" w:cs="Arial" w:eastAsia="Arial" w:hAnsi="Arial"/>
          <w:sz w:val="17"/>
          <w:szCs w:val="17"/>
          <w:color w:val="auto"/>
        </w:rPr>
        <w:t xml:space="preserve"> Anniversary Annual Meeting, or SITC 2020. We also recently entered into a clinical trial collaboration with Merck to study the combination of ALX148 and pembrolizumab with and without chemotherapy in a randomized Phase 2 trial.</w:t>
      </w:r>
    </w:p>
    <w:p>
      <w:pPr>
        <w:spacing w:after="0" w:line="12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In HER2-positive gastric/GEJ cancer, our Phase 1b expansion trial included a combination with trastuzumab, an anti-HER2 agent, that is the standard of care for subjects with HER2-positive gastric/GEJ cancer and is FDA-approved for other HER2-expressing tumors. Final results from the cohort of ALX148 combined with trastuzumab were reported at ASCO 2020 and provided the first demonstration of ALX148 activity with an anti-tumor targeted antibody in subjects with solid tumors. Data from this trial formed the basis for FDA Fast Track designation in second-line subjects with advanced HER2-positive gastric/GEJ cancer and supported our second trial in gastric/GEJ cancer that adds second-line standard of care agents (ramucirumab plus paclitaxel) to the combination of trastuzumab and ALX148. Preliminary data for this cohort was also presented at SITC 2020.</w:t>
      </w:r>
    </w:p>
    <w:p>
      <w:pPr>
        <w:spacing w:after="0" w:line="122" w:lineRule="exact"/>
        <w:rPr>
          <w:sz w:val="20"/>
          <w:szCs w:val="20"/>
          <w:color w:val="auto"/>
        </w:rPr>
      </w:pPr>
    </w:p>
    <w:p>
      <w:pPr>
        <w:ind w:left="120" w:right="20"/>
        <w:spacing w:after="0" w:line="253" w:lineRule="auto"/>
        <w:rPr>
          <w:sz w:val="20"/>
          <w:szCs w:val="20"/>
          <w:color w:val="auto"/>
        </w:rPr>
      </w:pPr>
      <w:r>
        <w:rPr>
          <w:rFonts w:ascii="Arial" w:cs="Arial" w:eastAsia="Arial" w:hAnsi="Arial"/>
          <w:sz w:val="17"/>
          <w:szCs w:val="17"/>
          <w:color w:val="auto"/>
        </w:rPr>
        <w:t>We also plan to advance ALX148 into a Phase 1 clinical trial in combination with zanidatamab, an investigational anti-HER2 bispecific antibody, in patients with HER2-expressing breast cancer and other solid tumors. We recently entered into a clinical trial collaboration with Zymeworks, the developer of zanidatamab, to explore this combination.</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Overall, we believe our development plan for ALX148 in solid tumors has significant potential and represents a strong complement to our program in hematologic malignancies. With encouraging data in multiple drug combinations initially evaluated in the clinic, we plan to advance trials to assess efficacy in the solid tumor indications with substantial unmet medical need.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HNSCC</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33" w:lineRule="exact"/>
        <w:rPr>
          <w:sz w:val="20"/>
          <w:szCs w:val="20"/>
          <w:color w:val="auto"/>
        </w:rPr>
      </w:pPr>
    </w:p>
    <w:p>
      <w:pPr>
        <w:ind w:left="120" w:right="120"/>
        <w:spacing w:after="0" w:line="252" w:lineRule="auto"/>
        <w:rPr>
          <w:sz w:val="20"/>
          <w:szCs w:val="20"/>
          <w:color w:val="auto"/>
        </w:rPr>
      </w:pPr>
      <w:r>
        <w:rPr>
          <w:rFonts w:ascii="Arial" w:cs="Arial" w:eastAsia="Arial" w:hAnsi="Arial"/>
          <w:sz w:val="17"/>
          <w:szCs w:val="17"/>
          <w:color w:val="auto"/>
        </w:rPr>
        <w:t>There are estimated to be over 38,000 people living in the United States with metastatic HNSCC, with over 50,000 newly incident cases at all stages estimated to be diagnosed in 2020. Five-year survival is 85% for patients diagnosed with localized disease but decreases to only 40% for those diagnosed with metastatic disease, underlying the need for improved treatment options.</w:t>
      </w:r>
    </w:p>
    <w:p>
      <w:pPr>
        <w:spacing w:after="0" w:line="112" w:lineRule="exact"/>
        <w:rPr>
          <w:sz w:val="20"/>
          <w:szCs w:val="20"/>
          <w:color w:val="auto"/>
        </w:rPr>
      </w:pPr>
    </w:p>
    <w:p>
      <w:pPr>
        <w:ind w:left="120" w:right="80"/>
        <w:spacing w:after="0" w:line="239" w:lineRule="auto"/>
        <w:rPr>
          <w:sz w:val="20"/>
          <w:szCs w:val="20"/>
          <w:color w:val="auto"/>
        </w:rPr>
      </w:pPr>
      <w:r>
        <w:rPr>
          <w:rFonts w:ascii="Arial" w:cs="Arial" w:eastAsia="Arial" w:hAnsi="Arial"/>
          <w:sz w:val="17"/>
          <w:szCs w:val="17"/>
          <w:color w:val="auto"/>
        </w:rPr>
        <w:t xml:space="preserve">FDA-approved and National Comprehensive Cancer Network, or NCCN, recommended therapies for the first-line treatment of recurrent/metastatic disease include pembrolizumab monotherapy, pembrolizumab combined with chemotherapy, platinum and fluorouracil, and cetuximab, an anti-epidermal growth factor receptor antibody, combined with chemotherapy among other treatments. The KEYNOTE-048 clinical trial led to the FDA approval of pembrolizumab monotherapy as a first-line treatment in patients with HNSCC whose tumors express PD-L1 on a Combined Positive Score, or CPS, </w:t>
      </w:r>
      <w:r>
        <w:rPr>
          <w:rFonts w:ascii="Times New Roman" w:cs="Times New Roman" w:eastAsia="Times New Roman" w:hAnsi="Times New Roman"/>
          <w:sz w:val="17"/>
          <w:szCs w:val="17"/>
          <w:color w:val="auto"/>
        </w:rPr>
        <w:t>³</w:t>
      </w:r>
      <w:r>
        <w:rPr>
          <w:rFonts w:ascii="Arial" w:cs="Arial" w:eastAsia="Arial" w:hAnsi="Arial"/>
          <w:sz w:val="17"/>
          <w:szCs w:val="17"/>
          <w:color w:val="auto"/>
        </w:rPr>
        <w:t>1 and approval of pembrolizumab plus chemotherapy as a first-line treatment in patients with HNSCC regardless of CPS . In KEYNOTE-048, pembrolizumab monotherapy achieved 17% ORR with a median progression-free survival, or mPFS, of</w:t>
      </w:r>
    </w:p>
    <w:p>
      <w:pPr>
        <w:ind w:left="120"/>
        <w:spacing w:after="0" w:line="233" w:lineRule="auto"/>
        <w:rPr>
          <w:sz w:val="20"/>
          <w:szCs w:val="20"/>
          <w:color w:val="auto"/>
        </w:rPr>
      </w:pPr>
      <w:r>
        <w:rPr>
          <w:rFonts w:ascii="Arial" w:cs="Arial" w:eastAsia="Arial" w:hAnsi="Arial"/>
          <w:sz w:val="17"/>
          <w:szCs w:val="17"/>
          <w:color w:val="auto"/>
        </w:rPr>
        <w:t>2.3 months in subjects with HNSCC regardless of CPS. Of particular note, in subjects with CPS &lt;1 pembrolizumab monotherapy only achieved a</w:t>
      </w:r>
    </w:p>
    <w:p>
      <w:pPr>
        <w:ind w:left="120"/>
        <w:spacing w:after="0"/>
        <w:rPr>
          <w:sz w:val="20"/>
          <w:szCs w:val="20"/>
          <w:color w:val="auto"/>
        </w:rPr>
      </w:pPr>
      <w:r>
        <w:rPr>
          <w:rFonts w:ascii="Arial" w:cs="Arial" w:eastAsia="Arial" w:hAnsi="Arial"/>
          <w:sz w:val="17"/>
          <w:szCs w:val="17"/>
          <w:color w:val="auto"/>
        </w:rPr>
        <w:t>5% ORR.</w:t>
      </w:r>
    </w:p>
    <w:p>
      <w:pPr>
        <w:spacing w:after="0" w:line="134" w:lineRule="exact"/>
        <w:rPr>
          <w:sz w:val="20"/>
          <w:szCs w:val="20"/>
          <w:color w:val="auto"/>
        </w:rPr>
      </w:pPr>
    </w:p>
    <w:p>
      <w:pPr>
        <w:ind w:left="120" w:right="100"/>
        <w:spacing w:after="0" w:line="246" w:lineRule="auto"/>
        <w:rPr>
          <w:sz w:val="20"/>
          <w:szCs w:val="20"/>
          <w:color w:val="auto"/>
        </w:rPr>
      </w:pPr>
      <w:r>
        <w:rPr>
          <w:rFonts w:ascii="Arial" w:cs="Arial" w:eastAsia="Arial" w:hAnsi="Arial"/>
          <w:sz w:val="17"/>
          <w:szCs w:val="17"/>
          <w:color w:val="auto"/>
        </w:rPr>
        <w:t>Pembrolizumab monotherapy in previously treated HNSCC was reported in the Phase 3 KEYNOTE-040 trial. Subjects were excluded if they had prior therapy with an anti-PD-1 or anti-PD-L1 therapy. In KEYNOTE-040, pembrolizumab achieved a 15% ORR, mPFS of only 2.1 months and mOS of 8.4 months. While we believe pembrolizumab is an important treatment option for both first- and second-line HNSCC, the majority of patients do not have an objective response to pembrolizumab-based therapy.</w:t>
      </w:r>
    </w:p>
    <w:p>
      <w:pPr>
        <w:spacing w:after="0" w:line="117" w:lineRule="exact"/>
        <w:rPr>
          <w:sz w:val="20"/>
          <w:szCs w:val="20"/>
          <w:color w:val="auto"/>
        </w:rPr>
      </w:pPr>
    </w:p>
    <w:p>
      <w:pPr>
        <w:ind w:left="120" w:right="180"/>
        <w:spacing w:after="0" w:line="246" w:lineRule="auto"/>
        <w:rPr>
          <w:sz w:val="20"/>
          <w:szCs w:val="20"/>
          <w:color w:val="auto"/>
        </w:rPr>
      </w:pPr>
      <w:r>
        <w:rPr>
          <w:rFonts w:ascii="Arial" w:cs="Arial" w:eastAsia="Arial" w:hAnsi="Arial"/>
          <w:sz w:val="17"/>
          <w:szCs w:val="17"/>
          <w:color w:val="auto"/>
        </w:rPr>
        <w:t>Despite the recent approval of pembrolizumab, we believe that there is significant unmet need remaining for patients with HNSCC. The addition of ALX148 to pembrolizumab, or pembrolizumab plus chemotherapy, may have the potential to improve response rates and provide additional clinical benefit to patients with metastatic HNSCC. We have evaluated ALX148 in subjects with metastatic HNSCC and continue to develop ALX148 in this setting.</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33"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ALX148 was investigated in two combinations and lines of therapy in subjects with recurrent/metastatic HNSCC. First, ALX148 was investigated in combination with pembrolizumab in subjects with recurrent/metastatic HNSCC who had received at least one prior systemic therapy. The clinical evaluation of ALX148 in HNSCC was an open-label, multisite expansion of our Phase 1 trial to assess safety and tolerability with response rate and duration as secondary endpoints. There was no requirement for PD-L1 expression. Subjects received ALX148 10 mg/kg QW in combination with pembrolizumab 200 mg on a Q3W dosing schedule. Subject response was evaluated based on RECIST version 1.1. Twenty subjects were dosed with ALX148 and as of October 1, 2020, all subjects in the ALX148 with pembrolizumab HNSCC expansion cohort were response evaluable. Because standard of care in first-line HNSCC was evolving during the course of this trial to include checkpoint inhibitors, 50% (10) of the subjects who enrolled were checkpoint inhibitor naïve and 50% (10) had previously received a checkpoint inhibitor.</w:t>
      </w:r>
    </w:p>
    <w:p>
      <w:pPr>
        <w:spacing w:after="0" w:line="122" w:lineRule="exact"/>
        <w:rPr>
          <w:sz w:val="20"/>
          <w:szCs w:val="20"/>
          <w:color w:val="auto"/>
        </w:rPr>
      </w:pPr>
    </w:p>
    <w:p>
      <w:pPr>
        <w:ind w:left="120" w:right="200"/>
        <w:spacing w:after="0" w:line="253" w:lineRule="auto"/>
        <w:rPr>
          <w:sz w:val="20"/>
          <w:szCs w:val="20"/>
          <w:color w:val="auto"/>
        </w:rPr>
      </w:pPr>
      <w:r>
        <w:rPr>
          <w:rFonts w:ascii="Arial" w:cs="Arial" w:eastAsia="Arial" w:hAnsi="Arial"/>
          <w:sz w:val="17"/>
          <w:szCs w:val="17"/>
          <w:color w:val="auto"/>
        </w:rPr>
        <w:t>Additionally, ALX148 was investigated in the ongoing trial of ALX148 in combination with pembrolizumab, 5FU and platinum therapy in subjects with recurrent/metastatic HNSCC who had received no prior treatment for advanced disease. As of October 1, 2020, five subjects had been dosed and four were response evaluable.</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33" w:lineRule="exact"/>
        <w:rPr>
          <w:sz w:val="20"/>
          <w:szCs w:val="20"/>
          <w:color w:val="auto"/>
        </w:rPr>
      </w:pPr>
    </w:p>
    <w:p>
      <w:pPr>
        <w:ind w:left="120" w:right="100"/>
        <w:spacing w:after="0" w:line="242" w:lineRule="auto"/>
        <w:rPr>
          <w:sz w:val="20"/>
          <w:szCs w:val="20"/>
          <w:color w:val="auto"/>
        </w:rPr>
      </w:pPr>
      <w:r>
        <w:rPr>
          <w:rFonts w:ascii="Arial" w:cs="Arial" w:eastAsia="Arial" w:hAnsi="Arial"/>
          <w:sz w:val="17"/>
          <w:szCs w:val="17"/>
          <w:color w:val="auto"/>
        </w:rPr>
        <w:t>The primary objective of the trial was to assess safety. Final results of the fully enrolled ALX148 with pembrolizumab cohort and partially enrolled ALX148 plus pembrolizumab and chemotherapy cohort were reported at SITC 2020. As reported above in the summary tables of treatment-related adverse events from all ALX148 trials, the combination was well tolerated. As of October 1, 2020, ALX148 with pembrolizumab achieved an ORR of 40% (4/10) in checkpoint inhibitor naïve subjects while maintaining a tolerability profile consistent with earlier trials. Some of the 20 subjects had a CPS of zero and response was also observed within this subject population. We believe the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40"/>
        <w:spacing w:after="0" w:line="246" w:lineRule="auto"/>
        <w:rPr>
          <w:sz w:val="20"/>
          <w:szCs w:val="20"/>
          <w:color w:val="auto"/>
        </w:rPr>
      </w:pPr>
      <w:r>
        <w:rPr>
          <w:rFonts w:ascii="Arial" w:cs="Arial" w:eastAsia="Arial" w:hAnsi="Arial"/>
          <w:sz w:val="17"/>
          <w:szCs w:val="17"/>
          <w:color w:val="auto"/>
        </w:rPr>
        <w:t>addition of ALX148 to pembrolizumab represents a potentially significant advance over pembrolizumab monotherapy based on a review of the KEYNOTE-040 trial results that showed an ORR of 15% in a similar checkpoint inhibitor therapy naïve population. Based on our clinical trial data, the FDA granted ALX148 Fast Track designation for first-line treatment of subjects with HNSCC. ALX148 with pembrolizumab and chemotherapy achieved an ORR of 75% (3/4), including a complete response, in subjects who had received no prior treatment for advanced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117475</wp:posOffset>
            </wp:positionV>
            <wp:extent cx="4671695" cy="3566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671695" cy="356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right="20" w:hanging="77"/>
        <w:spacing w:after="0" w:line="266" w:lineRule="auto"/>
        <w:rPr>
          <w:sz w:val="20"/>
          <w:szCs w:val="20"/>
          <w:color w:val="auto"/>
        </w:rPr>
      </w:pPr>
      <w:r>
        <w:rPr>
          <w:rFonts w:ascii="Arial" w:cs="Arial" w:eastAsia="Arial" w:hAnsi="Arial"/>
          <w:sz w:val="14"/>
          <w:szCs w:val="14"/>
          <w:color w:val="auto"/>
        </w:rPr>
        <w:t>Notes: Data Cutoff October 1, 2020. Subjects who received at least one dose of ALX148 in the expansion phase, had a baseline assessment, and at least one post-baseline disease assessment. ORR = Overall Response Rate. DCR = disease control rate. DOR = duration of response. mPFS = median progression free survival. mOS = median overall survival. NC = not calculated. CI = confidence interval. ITT Intent to treat population in chemotherapy cohort: HNSCC (10+15 mg/kg) N=5; HNSCC (15mg/kg) N=2</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also analyzed paired pre- and on-treatment tumor biopsies from subjects for the presence of CD8+ T cells, CD68+ and CD163+ myeloid cells.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After treatment with ALX148, tumor samples showed increased infiltration of CD8+, CD68+ and CD163+ cells in the tumor, which suggests that</w:t>
      </w:r>
    </w:p>
    <w:p>
      <w:pPr>
        <w:ind w:left="120"/>
        <w:spacing w:after="0"/>
        <w:rPr>
          <w:sz w:val="20"/>
          <w:szCs w:val="20"/>
          <w:color w:val="auto"/>
        </w:rPr>
      </w:pPr>
      <w:r>
        <w:rPr>
          <w:rFonts w:ascii="Arial" w:cs="Arial" w:eastAsia="Arial" w:hAnsi="Arial"/>
          <w:sz w:val="17"/>
          <w:szCs w:val="17"/>
          <w:color w:val="auto"/>
        </w:rPr>
        <w:t>ALX148 also engages the innate and adaptive immune system consistent with its mechanism of action.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w:t>
      </w:r>
    </w:p>
    <w:p>
      <w:pPr>
        <w:spacing w:after="0" w:line="33"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Our HNSCC development plan is to build on the initial results of ALX148 in checkpoint inhibitor naïve patients in combination with pembrolizumab. Given the results of KEYNOTE-048, we expect pembrolizumab, or pembrolizumab plus chemotherapy, to continue to be widely used in the first-line treatment of metastatic HNSCC. Therefore, our future plans will be focused on establishing additional efficacy, in the context of acceptable safety and tolerability, over pembrolizumab alone, or pembrolizumab plus chemotherapy, in the front-line metastatic HNSCC setting. In January 2020, we initiated a Phase 1b trial that is evaluating ALX148 plus pembrolizumab plus chemotherapy in subjects with no PD-L1 expression requirements. In addition to our initial dosing of 10 mg/kg QW, a higher dosing will be explored with 15 mg/kg QW dosing planned. In September 2020, we announced a clinical trial collaboration with Merck to evaluate ALX148 in combination with pembrolizumab with and without chemotherapy in two randomized Phase 2 trials in subjects with HNSCC who have not received prior therapy for advanced disease. The first trial will evaluate the efficacy of ALX148 in combination with pembrolizumab for the first-line treatment of</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patients with PD-L1 expressing metastatic or unresectable, recurrent HNSCC. The second trial will evaluate ALX148 in combination with pembrolizumab and standard chemotherapy for the first-line treatment of patients with metastatic or unresectable, recurrent HNSCC. In December 2020, the FDA verbally informed us, that given our planned initiation of two Phase 2 HNSCC clinical trials that could be potentially registrational, they require completion of a routine non-clinical safety study that we currently have in process. The FDA noted that for any drug development program moving swiftly through development, this non-clinical study is still required prior to the initiation of a clinical trial that could be considered pivotal. We are allowed to initiate both Phase 2 HNSCC clinical trials with the enrollment capped at a total of 50 subjects treated with ALX148 across both trials (excluding safety lead-in cohorts) pending acceptance of the non-clinical safety study report. We expect to provide the required report to the FDA prior to reaching the 50-patient enrollment cap. While this cap on enrollment is defined as a partial clinical hold, no delays are anticipated in our current clinical trial timelines.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HER2-Positive Gastric/GEJ</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33"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Over 25,000 people are estimated to be living in the United States with diagnosed metastatic gastric/GEJ carcinoma. A large, international Phase 3 trial of trastuzumab in gastric/GEJ cancer found that of the nearly 4,000 subjects screened for inclusion in the trial, 17% of them were HER2-positive, which suggests a general HER2-positive rate for patients with gastric/GEJ cancer. In East Asian countries, gastric/GEJ cancer is much more common than in the United States, with incidence rates 4-10 times higher. China alone has a diagnosed incidence of over 900,000 patients with gastric/GEJ cancer per year.</w:t>
      </w:r>
    </w:p>
    <w:p>
      <w:pPr>
        <w:spacing w:after="0" w:line="120"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First-line standard of care treatment is trastuzumab combined with the chemotherapy agents platinum and fluoropyrimidine. Trastuzumab, marketed as Herceptin, is an anti-HER2 antibody that has multiple FDA approvals in patients with HER2-positive cancers. In the second-line HER2-positive gastric setting, there are no HER2 targeted FDA-approved therapies. As such, the standard of care regimen in the U.S. is ramucirumab, marketed as Cyramza, a vascular endothelial growth factor 2 receptor monoclonal antibody, in combination with paclitaxel, a widely used chemotherapy. In a Phase 3 trial leading to FDA approval, ramucirumab plus paclitaxel achieved a 28% ORR with a 9.6 month mOS in subjects with previously treated gastric/GEJ cancer.</w:t>
      </w:r>
    </w:p>
    <w:p>
      <w:pPr>
        <w:spacing w:after="0" w:line="123"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HER2-positive patients with gastric/GEJ cancers in second-line treatment are likely to have received an anti-HER2 antibody-based treatment in their first line of treatment. A recently reported prospective clinical trial studied trastuzumab plus paclitaxel compared to paclitaxel alone in previously treated HER2-positive subjects with gastric/GEJ cancer. Subjects were required to have progressed during the first line of treatment with trastuzumab plus chemotherapy (fluoropyrimidine plus platinum). The objective of this trial was to assess the clinical effect of trastuzumab after patients had progressed on prior trastuzumab treatment. The trial results showed that the addition of trastuzumab added no meaningful clinical benefit over paclitaxel alone. There was no significant improvement in mOS, mPFS or ORR compared to the paclitaxel arm. Based on these data, we hypothesized that we could attribute any observed responses when treating a similar subject population with ALX148 paired with trastuzumab, to a combination effect of the two agents and not simply a response to trastuzumab alone.</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33"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ALX148 was investigated in two combinations in subjects with HER2-positive gastric/GEJ cancer. First, ALX148 was investigated with trastuzumab in subjects with relapsed/refractory HER2-positive gastric/GEJ cancer. This trial was an open-label, multisite expansion of our Phase 1 trial to assess safety and tolerability with response rate and duration as secondary endpoints. Twenty subjects from the gastric/GEJ expansion cohort received ALX148 10 mg/kg QW in combination with trastuzumab at an initial dose of 8 mg/kg followed by 6 mg/kg intravenous infusion Q3W. As of October 1, 2020, 19 subjects were response evaluable. One of the twenty subjects administered ALX148 discontinued the trial due to clinical symptoms of progression prior to their first scheduled on trial scan and therefore was not response evaluable per protocol definition.</w:t>
      </w:r>
    </w:p>
    <w:p>
      <w:pPr>
        <w:spacing w:after="0" w:line="122"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As of April 1, 2020, in our trial of ALX148 plus trastuzumab, 18 of 19 response evaluable subjects from the gastric/GEJ expansion cohort, including all subjects who achieved a response, had been treated with at least one HER2-containing regimen prior to enrollment. Multiple subjects also received an investigational anti-HER2 agent and a PD-1 checkpoint inhibitor as prior treatment.</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Additionally, ALX148 was investigated with trastuzumab, ramucirumab and paclitaxel in subjects with relapsed/refractory HER2-postive gastric/GEJ cancer who had progressed on prior trastuzumab, fluoropyrimidine or platinum. As of October 1, 2020, 14 subjects had enrolled, all of whom were response evaluable.</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140970</wp:posOffset>
            </wp:positionV>
            <wp:extent cx="4946015" cy="38747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46015" cy="387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460" w:right="40"/>
        <w:spacing w:after="0" w:line="258" w:lineRule="auto"/>
        <w:rPr>
          <w:sz w:val="20"/>
          <w:szCs w:val="20"/>
          <w:color w:val="auto"/>
        </w:rPr>
      </w:pPr>
      <w:r>
        <w:rPr>
          <w:rFonts w:ascii="Arial" w:cs="Arial" w:eastAsia="Arial" w:hAnsi="Arial"/>
          <w:sz w:val="14"/>
          <w:szCs w:val="14"/>
          <w:color w:val="auto"/>
        </w:rPr>
        <w:t>Data Cutoff October 1, 2020. Subjects who received at least one dose of ALX148 in the expansion phase, had a baseline assessment, and at least one post-baseline disease assessment. One subject administered ALX148+pembrolizumab with rapid fatal clinical progression is not included in plots. ORR = Overall Response Rate. DOR = duration of response. mPFS = median progression free survival. mOS = median overall survival. CI = confidence interval. ND = Not Done. HER2 Score retrospectively assessed using archival tissue by a central IHC lab.</w:t>
      </w:r>
    </w:p>
    <w:p>
      <w:pPr>
        <w:spacing w:after="0" w:line="103"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The primary objective of the trial was to assess safety and the combination regimen was well tolerated. Final results of the fully enrolled cohort were reported at SITC 2020. Importantly, ALX148 with trastuzumab achieved an ORR of 21.1% (4/19) in subjects treated with the doublet and an ORR of 64.3% (9/14) in subjects treated with ALX148 with trastuzumab, ramucirumab and paclitaxel. The FDA granted ALX148 Fast Track designation for second-line treatment of advanced HER2-positive gastric/GEJ carcinoma partly due to the data for ALX148 in combination with trastuzumab alone for the treatment of gastric cancer. Based on prior studies, one of which is described above, any observed response can likely be attributed to the combination effect and not a response to single-agent trastuzumab. As described above, ramucirumab and paclitaxel in a second-line setting resulted in an ORR of 28% in a Phase 3 trial leading to FDA approval. We believe that an ORR of 64.3% in this second-line or later population supports further development of ALX148 in HER2-positive cancers.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plans</w:t>
      </w:r>
    </w:p>
    <w:p>
      <w:pPr>
        <w:spacing w:after="0" w:line="33" w:lineRule="exact"/>
        <w:rPr>
          <w:sz w:val="20"/>
          <w:szCs w:val="20"/>
          <w:color w:val="auto"/>
        </w:rPr>
      </w:pPr>
    </w:p>
    <w:p>
      <w:pPr>
        <w:ind w:left="120" w:right="500"/>
        <w:spacing w:after="0" w:line="252" w:lineRule="auto"/>
        <w:rPr>
          <w:sz w:val="20"/>
          <w:szCs w:val="20"/>
          <w:color w:val="auto"/>
        </w:rPr>
      </w:pPr>
      <w:r>
        <w:rPr>
          <w:rFonts w:ascii="Arial" w:cs="Arial" w:eastAsia="Arial" w:hAnsi="Arial"/>
          <w:sz w:val="17"/>
          <w:szCs w:val="17"/>
          <w:color w:val="auto"/>
        </w:rPr>
        <w:t>We intend to initiate a Phase 2 trial of ALX148 with trastuzumab and chemotherapy for subjects with HER2-positive gastric/GEJ cancer adenocarcinoma with disease progression on or after prior trastuzumab (or other HER2-directed therapy), and fluoropyrimidine or platinum-containing chemotherapy as the first line of therapy for advanced disease,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by the second half of 2021. Data from this trial would confirm whether ALX148 improves the response rate to anti-HER2-based therapy in patients with HER2-positive gastric/GEJ cancer. Of note, there are multiple emerging agents, predominantly antibody-based therapies, in development for patients with HER2-positive cancer. Because these agents target HER2 as does trastuzumab, we believe that ALX148 has the potential to maximize the anti-cancer activity of these novel agents should they supplant trastuzumab in the treatment paradigm for these patients.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ALX148 in HER2-expressing breast cancer and other solid tumors</w:t>
      </w:r>
    </w:p>
    <w:p>
      <w:pPr>
        <w:spacing w:after="0" w:line="60" w:lineRule="exact"/>
        <w:rPr>
          <w:sz w:val="20"/>
          <w:szCs w:val="20"/>
          <w:color w:val="auto"/>
        </w:rPr>
      </w:pPr>
    </w:p>
    <w:p>
      <w:pPr>
        <w:ind w:left="120" w:right="120"/>
        <w:spacing w:after="0" w:line="253" w:lineRule="auto"/>
        <w:rPr>
          <w:sz w:val="20"/>
          <w:szCs w:val="20"/>
          <w:color w:val="auto"/>
        </w:rPr>
      </w:pPr>
      <w:r>
        <w:rPr>
          <w:rFonts w:ascii="Arial" w:cs="Arial" w:eastAsia="Arial" w:hAnsi="Arial"/>
          <w:sz w:val="17"/>
          <w:szCs w:val="17"/>
          <w:color w:val="auto"/>
        </w:rPr>
        <w:t>We plan to continue developing ALX148 in a broad range of tumor types and in novel combinations. In November 2020, we announced a clinical trial collaboration with Zymeworks to investigate ALX148 in combination with Zymeworks’ HER2-targeted bispecific antibody, zanidatamab, in patients with advanced HER2-expressing tumors.</w:t>
      </w:r>
    </w:p>
    <w:p>
      <w:pPr>
        <w:spacing w:after="0" w:line="111" w:lineRule="exact"/>
        <w:rPr>
          <w:sz w:val="20"/>
          <w:szCs w:val="20"/>
          <w:color w:val="auto"/>
        </w:rPr>
      </w:pPr>
    </w:p>
    <w:p>
      <w:pPr>
        <w:ind w:left="120" w:right="260"/>
        <w:spacing w:after="0" w:line="246" w:lineRule="auto"/>
        <w:rPr>
          <w:sz w:val="20"/>
          <w:szCs w:val="20"/>
          <w:color w:val="auto"/>
        </w:rPr>
      </w:pPr>
      <w:r>
        <w:rPr>
          <w:rFonts w:ascii="Arial" w:cs="Arial" w:eastAsia="Arial" w:hAnsi="Arial"/>
          <w:sz w:val="17"/>
          <w:szCs w:val="17"/>
          <w:color w:val="auto"/>
        </w:rPr>
        <w:t>Under the terms of the agreement, Zymeworks will conduct an open label, multi-center Phase 1b trial to assess the safety and efficacy of the combination of zanidatamab and ALX148 in a two-part trial. The first part of the trial will evaluate the safety of the combination treatment. The second part of the trial will evaluate the safety, tolerability and anti-tumor activity of the combination in separate cohorts of subjects with HER2-overexpressing breast cancer, HER2-low breast cancer and non-breast HER2-expressing solid tumors.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Programs</w:t>
      </w:r>
    </w:p>
    <w:p>
      <w:pPr>
        <w:spacing w:after="0" w:line="60" w:lineRule="exact"/>
        <w:rPr>
          <w:sz w:val="20"/>
          <w:szCs w:val="20"/>
          <w:color w:val="auto"/>
        </w:rPr>
      </w:pPr>
    </w:p>
    <w:p>
      <w:pPr>
        <w:ind w:left="120" w:right="360"/>
        <w:spacing w:after="0" w:line="275" w:lineRule="auto"/>
        <w:rPr>
          <w:sz w:val="20"/>
          <w:szCs w:val="20"/>
          <w:color w:val="auto"/>
        </w:rPr>
      </w:pPr>
      <w:r>
        <w:rPr>
          <w:rFonts w:ascii="Arial" w:cs="Arial" w:eastAsia="Arial" w:hAnsi="Arial"/>
          <w:sz w:val="17"/>
          <w:szCs w:val="17"/>
          <w:color w:val="auto"/>
        </w:rPr>
        <w:t>In addition to ALX148, we are also developing preclinical programs that may offer additional ways to engage the innate and adaptive immune response to cancer.</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and Intellectual Property</w:t>
      </w:r>
    </w:p>
    <w:p>
      <w:pPr>
        <w:spacing w:after="0" w:line="73"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Our patent portfolio is intended to cover our product candidates and related components, their methods of use and processes for their manufacture and any other inventions that are commercially important to our business. We also rely on trademarks, trade secrets, knowhow, continuing technological innovation and confidential information to develop and maintain our proprietary position.</w:t>
      </w:r>
    </w:p>
    <w:p>
      <w:pPr>
        <w:spacing w:after="0" w:line="122" w:lineRule="exact"/>
        <w:rPr>
          <w:sz w:val="20"/>
          <w:szCs w:val="20"/>
          <w:color w:val="auto"/>
        </w:rPr>
      </w:pPr>
    </w:p>
    <w:p>
      <w:pPr>
        <w:ind w:left="120" w:right="240"/>
        <w:spacing w:after="0"/>
        <w:rPr>
          <w:sz w:val="20"/>
          <w:szCs w:val="20"/>
          <w:color w:val="auto"/>
        </w:rPr>
      </w:pPr>
      <w:r>
        <w:rPr>
          <w:rFonts w:ascii="Arial" w:cs="Arial" w:eastAsia="Arial" w:hAnsi="Arial"/>
          <w:sz w:val="17"/>
          <w:szCs w:val="17"/>
          <w:color w:val="auto"/>
        </w:rPr>
        <w:t>As of November 19, 2020, we own two issued U.S. patents, seven pending U.S. nonprovisional patent applications, eleven pending U.S. provisional patent applications and a portfolio of national patent application filings in a variety of non-U.S. jurisdictions, including Europe, Hong Kong, Brazil, Mexico, New Zealand, Japan, Australia, Canada, China, India, Israel, Republic of Korea, Singapore and Russia. Of these patents and patent applications, the following relate to ALX148: two issued U.S. patents, four pending U.S. nonprovisional patent applications, eleven pending U.S. provisional patent applications and a portfolio of national patent application filings in a variety of non-U.S. jurisdictions, including Europe, Hong Kong, Brazil, Mexico, New Zealand, Japan, Australia, Canada, China, India, Israel, Republic of Korea, Singapore and Russia.</w:t>
      </w:r>
    </w:p>
    <w:p>
      <w:pPr>
        <w:spacing w:after="0" w:line="123" w:lineRule="exact"/>
        <w:rPr>
          <w:sz w:val="20"/>
          <w:szCs w:val="20"/>
          <w:color w:val="auto"/>
        </w:rPr>
      </w:pPr>
    </w:p>
    <w:p>
      <w:pPr>
        <w:ind w:left="120" w:right="200"/>
        <w:spacing w:after="0" w:line="242"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Our two U.S. issued patents and, if issued as U.S. patents, our eleven U.S. nonprovisional patent applications and ten U.S. provisional patent applications are expected to expire between August 2036 and November 2041, excluding any additional term for patent term adjustments or patent term extensions, with an expiration of between August 2036 and November 2041 with respect to our patent and patent applications related to ALX148, excluding any additional term for patent term extensions.</w:t>
      </w:r>
    </w:p>
    <w:p>
      <w:pPr>
        <w:spacing w:after="0" w:line="121" w:lineRule="exact"/>
        <w:rPr>
          <w:sz w:val="20"/>
          <w:szCs w:val="20"/>
          <w:color w:val="auto"/>
        </w:rPr>
      </w:pPr>
    </w:p>
    <w:p>
      <w:pPr>
        <w:ind w:left="120" w:right="80"/>
        <w:spacing w:after="0" w:line="251" w:lineRule="auto"/>
        <w:rPr>
          <w:sz w:val="20"/>
          <w:szCs w:val="20"/>
          <w:color w:val="auto"/>
        </w:rPr>
      </w:pPr>
      <w:r>
        <w:rPr>
          <w:rFonts w:ascii="Arial" w:cs="Arial" w:eastAsia="Arial" w:hAnsi="Arial"/>
          <w:sz w:val="17"/>
          <w:szCs w:val="17"/>
          <w:color w:val="auto"/>
        </w:rPr>
        <w:t>We obtained a worldwide, royalty-bearing, sublicensable license from the Board of Trustees of the Leland Stanford Junior University, or Stanford, under certain patents relating to high-affinity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variant polypeptides, to develop, manufacture and commercialize products for use in certain licensed fields, the scope of which would include the application of the licensed intellectual property in oncology. Our portfolio of exclusively licensed patents from Stanford includes six issued patents (one of which is in the United States) and applications are pending in six</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jurisdictions (including the United States and the European Patent Office). For more information regarding our license agreement with Stanford, please see “—Exclusive (Equity) Agreement with The Board of Trustees of the Leland Stanford Junior University.”</w:t>
      </w:r>
    </w:p>
    <w:p>
      <w:pPr>
        <w:spacing w:after="0" w:line="92"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Our patent portfolio exclusively licensed from Stanford contains patent families relating to high-affinity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variant polypeptides, which is comprised of one issued patent in each of U.S., Australia, China, Europe, Hong Kong and Japan, one pending U.S. patent application and one pending European patent application. The European patent has been validated as national patents in 37 different European countries.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spacing w:after="0" w:line="121"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We are aware of a revoked European patent (EP 2 429 574) owned by UHN and The Hospital for Sick Children that may encompass certain therapies for the treatment of cancer using polypeptides comprising soluble human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or a CD47-binding fragment thereof. This revoked patent related to the treatment of cancer with polypeptides comprising soluble human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or a CD47-binding fragment thereof. This patent was revoked by the European Patent Office and UHN and The Hospital for Sick Children have appealed the decision. The U.S. counterpart is allowed but not yet granted. If UHN and the Hospital for Sick Children win their appeal of the European Patent Office decision revoking their European patent, or if the U.S. counterpart grants them a patent, the resulting patent claims could potentially limit our ability to pursue ALX148 in certain new indications or geographies in the future. However, we believe that we do not infringe claims listed in the allowed U.S. patent application.</w:t>
      </w:r>
    </w:p>
    <w:p>
      <w:pPr>
        <w:spacing w:after="0" w:line="123"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For more information regarding the risks related to our intellectual property, including the above referenced intellectual property proceedings, see “Risk Factors—Risks Related to Our Intellectual Property.”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(Equity) Agreement with The Board of Trustees of the Leland Stanford Junior University</w:t>
      </w:r>
    </w:p>
    <w:p>
      <w:pPr>
        <w:spacing w:after="0" w:line="60"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In March 2015, we entered into a license agreement, or the Stanford Agreement, with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22"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No milestone payments have been made through December 31, 2019.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22" w:lineRule="exact"/>
        <w:rPr>
          <w:sz w:val="20"/>
          <w:szCs w:val="20"/>
          <w:color w:val="auto"/>
        </w:rPr>
      </w:pPr>
    </w:p>
    <w:p>
      <w:pPr>
        <w:jc w:val="both"/>
        <w:ind w:left="120" w:right="100"/>
        <w:spacing w:after="0" w:line="246" w:lineRule="auto"/>
        <w:rPr>
          <w:sz w:val="20"/>
          <w:szCs w:val="20"/>
          <w:color w:val="auto"/>
        </w:rPr>
      </w:pPr>
      <w:r>
        <w:rPr>
          <w:rFonts w:ascii="Arial" w:cs="Arial" w:eastAsia="Arial" w:hAnsi="Arial"/>
          <w:sz w:val="17"/>
          <w:szCs w:val="17"/>
          <w:color w:val="auto"/>
        </w:rPr>
        <w:t>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060"/>
          </w:cols>
          <w:pgMar w:left="320" w:top="455" w:right="51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320"/>
        <w:spacing w:after="0" w:line="275" w:lineRule="auto"/>
        <w:rPr>
          <w:sz w:val="20"/>
          <w:szCs w:val="20"/>
          <w:color w:val="auto"/>
        </w:rPr>
      </w:pPr>
      <w:r>
        <w:rPr>
          <w:rFonts w:ascii="Arial" w:cs="Arial" w:eastAsia="Arial" w:hAnsi="Arial"/>
          <w:sz w:val="17"/>
          <w:szCs w:val="17"/>
          <w:color w:val="auto"/>
        </w:rPr>
        <w:t>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Third-Party Agreements</w:t>
      </w:r>
    </w:p>
    <w:p>
      <w:pPr>
        <w:spacing w:after="0" w:line="60"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We have entered into license agreements with third parties related to the development and commercialization of our product candidates, including ALX148, and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antibodies which we are exploring in our research program. In consideration of the foregoing, we have agreed to customary payments terms in these agreements, including certain milestone payments upon the achievement of clinical and commercial milestones and low single-digit royalties. See the section titled “Management’s Discussion and Analysis of Financial Condition and Results of Operations— Contractual Obligations and Commitments—License and Collaboration Agreements.”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60" w:lineRule="exact"/>
        <w:rPr>
          <w:sz w:val="20"/>
          <w:szCs w:val="20"/>
          <w:color w:val="auto"/>
        </w:rPr>
      </w:pPr>
    </w:p>
    <w:p>
      <w:pPr>
        <w:ind w:left="120" w:right="100"/>
        <w:spacing w:after="0"/>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73"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We do not own or operate and do not intend to establish our own manufacturing facilities. We rely on, and will continue to rely on, CMOs for both drug substance and drug product. Both ALX148 bulk drug substance and finished drug product are produced in accordance with cGMPs.</w:t>
      </w:r>
    </w:p>
    <w:p>
      <w:pPr>
        <w:spacing w:after="0" w:line="92"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Our existing supply of ALX148 drug product is sufficient to complete our clinical trials through the first half of 2021. We plan to manufacture additional supplies with our existing CMOs to produce ALX148 drug product sufficient to complete the ongoing and planned clinical trials described in this document. We first entered into an engagement with KBI Biopharma, Inc. in 2015 for analytical method development, formulation development, bulk drug manufacturing, release and stability testing. We first entered into a drug product manufacturing agreement with Lyophilization Services of New England, Inc. in 2016 and have subsequently used them for all ALX148 drug product used in clinical trials to date.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60"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22"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Apexigen, Arch Therapeutics, Bristol Myers Squibb, Gilead Sciences (through its recent acquisition of Forty Seven), I-Mab, Innovent, Kahr, Novimmune, OSE Immunotherapeutics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40"/>
        <w:spacing w:after="0" w:line="239"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60"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26" w:lineRule="exact"/>
        <w:rPr>
          <w:sz w:val="20"/>
          <w:szCs w:val="20"/>
          <w:color w:val="auto"/>
        </w:rPr>
      </w:pPr>
    </w:p>
    <w:p>
      <w:pPr>
        <w:ind w:left="120" w:right="100"/>
        <w:spacing w:after="0"/>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Biologics Regulation</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future product candidates must be approved by the FDA through the BLA process before they may be legally marketed in the United States.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process generally involves the following:</w:t>
      </w:r>
    </w:p>
    <w:p>
      <w:pPr>
        <w:spacing w:after="0" w:line="196" w:lineRule="exact"/>
        <w:rPr>
          <w:sz w:val="20"/>
          <w:szCs w:val="20"/>
          <w:color w:val="auto"/>
        </w:rPr>
      </w:pPr>
    </w:p>
    <w:p>
      <w:pPr>
        <w:ind w:left="980" w:right="700" w:hanging="432"/>
        <w:spacing w:after="0" w:line="257"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Completion of extensive preclinical laboratory tests and animal studies performed in accordance with the FDA’s current Good Laboratory Practices, or GLP, regulation.</w:t>
      </w:r>
    </w:p>
    <w:p>
      <w:pPr>
        <w:spacing w:after="0" w:line="1" w:lineRule="exact"/>
        <w:rPr>
          <w:rFonts w:ascii="MS PGothic" w:cs="MS PGothic" w:eastAsia="MS PGothic" w:hAnsi="MS PGothic"/>
          <w:sz w:val="13"/>
          <w:szCs w:val="13"/>
          <w:color w:val="auto"/>
        </w:rPr>
      </w:pPr>
    </w:p>
    <w:p>
      <w:pPr>
        <w:ind w:left="980" w:right="420" w:hanging="432"/>
        <w:spacing w:after="0" w:line="256"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Submission to the FDA of an investigational new drug, or IND, application, which must become effective before clinical trials may begin and must be updated annually or when significant changes are made.</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34" w:lineRule="exact"/>
        <w:rPr>
          <w:rFonts w:ascii="MS PGothic" w:cs="MS PGothic" w:eastAsia="MS PGothic" w:hAnsi="MS PGothic"/>
          <w:sz w:val="13"/>
          <w:szCs w:val="13"/>
          <w:color w:val="auto"/>
        </w:rPr>
      </w:pPr>
    </w:p>
    <w:p>
      <w:pPr>
        <w:ind w:left="980" w:right="380" w:hanging="432"/>
        <w:spacing w:after="0" w:line="252"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Performance of adequate and well-controlled human clinical trials in accordance with the applicable IND regulations, good clinical practice, or GCP, requirements to establish the safety, purity and potency (</w:t>
      </w:r>
      <w:r>
        <w:rPr>
          <w:rFonts w:ascii="Arial" w:cs="Arial" w:eastAsia="Arial" w:hAnsi="Arial"/>
          <w:sz w:val="17"/>
          <w:szCs w:val="17"/>
          <w:i w:val="1"/>
          <w:iCs w:val="1"/>
          <w:color w:val="auto"/>
        </w:rPr>
        <w:t>i.e.</w:t>
      </w:r>
      <w:r>
        <w:rPr>
          <w:rFonts w:ascii="Arial" w:cs="Arial" w:eastAsia="Arial" w:hAnsi="Arial"/>
          <w:sz w:val="17"/>
          <w:szCs w:val="17"/>
          <w:color w:val="auto"/>
        </w:rPr>
        <w:t>, safety and effectiveness) of the proposed biologic product candidate for its intended purpose.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980" w:hanging="432"/>
        <w:spacing w:after="0"/>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Preparation of and submission to the FDA of a BLA after completion of all pivotal clinical trials.</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 determination by the FDA within 60 days of its receipt of a BLA to file the application for review.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Satisfactory completion of any FDA audit of preclinical studies and/or clinical trial sites that generated the data in support of the BLA.</w:t>
      </w:r>
    </w:p>
    <w:p>
      <w:pPr>
        <w:spacing w:after="0" w:line="34" w:lineRule="exact"/>
        <w:rPr>
          <w:rFonts w:ascii="MS PGothic" w:cs="MS PGothic" w:eastAsia="MS PGothic" w:hAnsi="MS PGothic"/>
          <w:sz w:val="13"/>
          <w:szCs w:val="13"/>
          <w:color w:val="auto"/>
        </w:rPr>
      </w:pPr>
    </w:p>
    <w:p>
      <w:pPr>
        <w:jc w:val="both"/>
        <w:ind w:left="980" w:right="200" w:hanging="432"/>
        <w:spacing w:after="0" w:line="244"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pre-approval inspection of the manufacturing facility or facilities at which the proposed product is produced to assess compliance with current good manufacturing practices, or cGMPs, and to assure that the facilities, methods and controls are adequate to preserve the biological product’s continued safety, purity and potency, and of selected clinical investigation sites to assess compliance with GCPs.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Advisory Committee review, if applicable.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FDA review and approval of a BLA to permit commercial marketing of the product for particular indications for use in the United States.</w:t>
      </w:r>
    </w:p>
    <w:p>
      <w:pPr>
        <w:spacing w:after="0" w:line="34" w:lineRule="exact"/>
        <w:rPr>
          <w:rFonts w:ascii="MS PGothic" w:cs="MS PGothic" w:eastAsia="MS PGothic" w:hAnsi="MS PGothic"/>
          <w:sz w:val="13"/>
          <w:szCs w:val="13"/>
          <w:color w:val="auto"/>
        </w:rPr>
      </w:pPr>
    </w:p>
    <w:p>
      <w:pPr>
        <w:ind w:left="980" w:right="640" w:hanging="432"/>
        <w:spacing w:after="0" w:line="273"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Compliance with any post-approval requirements, including the potential requirement to implement an REMS and the potential requirement to conduct post-approval studies.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and Clinical Development</w:t>
      </w:r>
    </w:p>
    <w:p>
      <w:pPr>
        <w:spacing w:after="0" w:line="43" w:lineRule="exact"/>
        <w:rPr>
          <w:sz w:val="20"/>
          <w:szCs w:val="20"/>
          <w:color w:val="auto"/>
        </w:rPr>
      </w:pPr>
    </w:p>
    <w:p>
      <w:pPr>
        <w:ind w:left="120" w:right="80"/>
        <w:spacing w:after="0" w:line="246" w:lineRule="auto"/>
        <w:rPr>
          <w:sz w:val="20"/>
          <w:szCs w:val="20"/>
          <w:color w:val="auto"/>
        </w:rPr>
      </w:pPr>
      <w:r>
        <w:rPr>
          <w:rFonts w:ascii="Arial" w:cs="Arial" w:eastAsia="Arial" w:hAnsi="Arial"/>
          <w:sz w:val="17"/>
          <w:szCs w:val="17"/>
          <w:color w:val="auto"/>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spacing w:after="0" w:line="117" w:lineRule="exact"/>
        <w:rPr>
          <w:sz w:val="20"/>
          <w:szCs w:val="20"/>
          <w:color w:val="auto"/>
        </w:rPr>
      </w:pPr>
    </w:p>
    <w:p>
      <w:pPr>
        <w:ind w:left="120" w:right="100"/>
        <w:spacing w:after="0" w:line="239" w:lineRule="auto"/>
        <w:rPr>
          <w:sz w:val="20"/>
          <w:szCs w:val="20"/>
          <w:color w:val="auto"/>
        </w:rPr>
      </w:pPr>
      <w:r>
        <w:rPr>
          <w:rFonts w:ascii="Arial" w:cs="Arial" w:eastAsia="Arial" w:hAnsi="Arial"/>
          <w:sz w:val="17"/>
          <w:szCs w:val="17"/>
          <w:color w:val="auto"/>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22"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Prior to beginning the first clinical trial with a product candidate, we must submit an IND to the FDA. An IND is a request for authorization from the FDA to administer an investigational new biopharmaceutical product to humans.</w:t>
      </w:r>
    </w:p>
    <w:p>
      <w:pPr>
        <w:spacing w:after="0" w:line="92" w:lineRule="exact"/>
        <w:rPr>
          <w:sz w:val="20"/>
          <w:szCs w:val="20"/>
          <w:color w:val="auto"/>
        </w:rPr>
      </w:pPr>
    </w:p>
    <w:p>
      <w:pPr>
        <w:ind w:left="120" w:right="140"/>
        <w:spacing w:after="0" w:line="242" w:lineRule="auto"/>
        <w:rPr>
          <w:sz w:val="20"/>
          <w:szCs w:val="20"/>
          <w:color w:val="auto"/>
        </w:rPr>
      </w:pPr>
      <w:r>
        <w:rPr>
          <w:rFonts w:ascii="Arial" w:cs="Arial" w:eastAsia="Arial" w:hAnsi="Arial"/>
          <w:sz w:val="17"/>
          <w:szCs w:val="17"/>
          <w:color w:val="auto"/>
        </w:rPr>
        <w:t>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2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BLA.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purposes of BLA approval, human clinical trials are typically conducted in three sequential phases that may overlap.</w:t>
      </w:r>
    </w:p>
    <w:p>
      <w:pPr>
        <w:spacing w:after="0" w:line="196" w:lineRule="exact"/>
        <w:rPr>
          <w:sz w:val="20"/>
          <w:szCs w:val="20"/>
          <w:color w:val="auto"/>
        </w:rPr>
      </w:pPr>
    </w:p>
    <w:p>
      <w:pPr>
        <w:ind w:left="980" w:right="80" w:hanging="432"/>
        <w:spacing w:after="0" w:line="244"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Phase 1. For biologics being studied in oncology indications, the investigational product is initially introduced into patients with the target disease or condition. These trials are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2" w:lineRule="exact"/>
        <w:rPr>
          <w:rFonts w:ascii="MS PGothic" w:cs="MS PGothic" w:eastAsia="MS PGothic" w:hAnsi="MS PGothic"/>
          <w:sz w:val="13"/>
          <w:szCs w:val="13"/>
          <w:color w:val="auto"/>
        </w:rPr>
      </w:pPr>
    </w:p>
    <w:p>
      <w:pPr>
        <w:ind w:left="980" w:right="140" w:hanging="432"/>
        <w:spacing w:after="0" w:line="244"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spacing w:after="0" w:line="1" w:lineRule="exact"/>
        <w:rPr>
          <w:rFonts w:ascii="MS PGothic" w:cs="MS PGothic" w:eastAsia="MS PGothic" w:hAnsi="MS PGothic"/>
          <w:sz w:val="13"/>
          <w:szCs w:val="13"/>
          <w:color w:val="auto"/>
        </w:rPr>
      </w:pPr>
    </w:p>
    <w:p>
      <w:pPr>
        <w:ind w:left="980" w:right="120" w:hanging="432"/>
        <w:spacing w:after="0" w:line="242"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may include comparisons with placebo and/or other comparator treatments.</w:t>
      </w:r>
    </w:p>
    <w:p>
      <w:pPr>
        <w:spacing w:after="0" w:line="120" w:lineRule="exact"/>
        <w:rPr>
          <w:sz w:val="20"/>
          <w:szCs w:val="20"/>
          <w:color w:val="auto"/>
        </w:rPr>
      </w:pPr>
    </w:p>
    <w:p>
      <w:pPr>
        <w:ind w:left="120" w:right="380"/>
        <w:spacing w:after="0" w:line="238"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BLA Submission and Review</w:t>
      </w:r>
    </w:p>
    <w:p>
      <w:pPr>
        <w:spacing w:after="0" w:line="43"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22"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100"/>
          </w:cols>
          <w:pgMar w:left="320" w:top="455" w:right="47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319"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26"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studies.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43"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42"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12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23" w:lineRule="exact"/>
        <w:rPr>
          <w:sz w:val="20"/>
          <w:szCs w:val="20"/>
          <w:color w:val="auto"/>
        </w:rPr>
      </w:pPr>
    </w:p>
    <w:p>
      <w:pPr>
        <w:ind w:left="120" w:right="320"/>
        <w:spacing w:after="0" w:line="253" w:lineRule="auto"/>
        <w:rPr>
          <w:sz w:val="20"/>
          <w:szCs w:val="20"/>
          <w:color w:val="auto"/>
        </w:rPr>
      </w:pPr>
      <w:r>
        <w:rPr>
          <w:rFonts w:ascii="Arial" w:cs="Arial" w:eastAsia="Arial" w:hAnsi="Arial"/>
          <w:sz w:val="17"/>
          <w:szCs w:val="17"/>
          <w:color w:val="auto"/>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3"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23"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23" w:lineRule="exact"/>
        <w:rPr>
          <w:sz w:val="20"/>
          <w:szCs w:val="20"/>
          <w:color w:val="auto"/>
        </w:rPr>
      </w:pPr>
    </w:p>
    <w:p>
      <w:pPr>
        <w:ind w:left="120" w:right="40"/>
        <w:spacing w:after="0" w:line="246"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41"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spacing w:after="0" w:line="123"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62" w:lineRule="exact"/>
        <w:rPr>
          <w:sz w:val="20"/>
          <w:szCs w:val="20"/>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Fines, warning letters or holds on post-approval clinical trials.</w:t>
      </w:r>
    </w:p>
    <w:p>
      <w:pPr>
        <w:spacing w:after="0" w:line="34" w:lineRule="exact"/>
        <w:rPr>
          <w:rFonts w:ascii="MS PGothic" w:cs="MS PGothic" w:eastAsia="MS PGothic" w:hAnsi="MS PGothic"/>
          <w:sz w:val="13"/>
          <w:szCs w:val="13"/>
          <w:color w:val="auto"/>
        </w:rPr>
      </w:pPr>
    </w:p>
    <w:p>
      <w:pPr>
        <w:ind w:left="980" w:right="120" w:hanging="432"/>
        <w:spacing w:after="0" w:line="256"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Refusal of the FDA to approve pending applications or supplements to approved applications, or suspension or revocation of existing product approvals.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Product seizure or detention, or refusal of the FDA to permit the import or export of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Consent decrees, corporate integrity agreements, debarment or exclusion from federal healthcare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Mandated modification of promotional materials and labeling and the issuance of corrective information.</w:t>
      </w:r>
    </w:p>
    <w:p>
      <w:pPr>
        <w:spacing w:after="0" w:line="34" w:lineRule="exact"/>
        <w:rPr>
          <w:rFonts w:ascii="MS PGothic" w:cs="MS PGothic" w:eastAsia="MS PGothic" w:hAnsi="MS PGothic"/>
          <w:sz w:val="13"/>
          <w:szCs w:val="13"/>
          <w:color w:val="auto"/>
        </w:rPr>
      </w:pPr>
    </w:p>
    <w:p>
      <w:pPr>
        <w:ind w:left="980" w:right="420" w:hanging="432"/>
        <w:spacing w:after="0" w:line="256"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issuance of safety alerts, Dear Healthcare Provider letters, press releases and other communications containing warnings or other safety information about the product.</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4" w:lineRule="exact"/>
        <w:rPr>
          <w:sz w:val="20"/>
          <w:szCs w:val="20"/>
          <w:color w:val="auto"/>
        </w:rPr>
      </w:pPr>
    </w:p>
    <w:p>
      <w:pPr>
        <w:ind w:left="120" w:right="180"/>
        <w:spacing w:after="0" w:line="253"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spacing w:after="0" w:line="111" w:lineRule="exact"/>
        <w:rPr>
          <w:sz w:val="20"/>
          <w:szCs w:val="20"/>
          <w:color w:val="auto"/>
        </w:rPr>
      </w:pPr>
    </w:p>
    <w:p>
      <w:pPr>
        <w:ind w:left="120" w:right="20"/>
        <w:spacing w:after="0" w:line="242" w:lineRule="auto"/>
        <w:rPr>
          <w:sz w:val="20"/>
          <w:szCs w:val="20"/>
          <w:color w:val="auto"/>
        </w:rPr>
      </w:pPr>
      <w:r>
        <w:rPr>
          <w:rFonts w:ascii="Arial" w:cs="Arial" w:eastAsia="Arial" w:hAnsi="Arial"/>
          <w:sz w:val="17"/>
          <w:szCs w:val="17"/>
          <w:color w:val="auto"/>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Biosimilars and Reference Product Exclusivity</w:t>
      </w:r>
    </w:p>
    <w:p>
      <w:pPr>
        <w:spacing w:after="0" w:line="43" w:lineRule="exact"/>
        <w:rPr>
          <w:sz w:val="20"/>
          <w:szCs w:val="20"/>
          <w:color w:val="auto"/>
        </w:rPr>
      </w:pPr>
    </w:p>
    <w:p>
      <w:pPr>
        <w:ind w:left="120" w:right="120"/>
        <w:spacing w:after="0" w:line="246" w:lineRule="auto"/>
        <w:rPr>
          <w:sz w:val="20"/>
          <w:szCs w:val="20"/>
          <w:color w:val="auto"/>
        </w:rPr>
      </w:pPr>
      <w:r>
        <w:rPr>
          <w:rFonts w:ascii="Arial" w:cs="Arial" w:eastAsia="Arial" w:hAnsi="Arial"/>
          <w:sz w:val="17"/>
          <w:szCs w:val="17"/>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20"/>
        <w:spacing w:after="0" w:line="246" w:lineRule="auto"/>
        <w:rPr>
          <w:sz w:val="20"/>
          <w:szCs w:val="20"/>
          <w:color w:val="auto"/>
        </w:rPr>
      </w:pPr>
      <w:r>
        <w:rPr>
          <w:rFonts w:ascii="Arial" w:cs="Arial" w:eastAsia="Arial" w:hAnsi="Arial"/>
          <w:sz w:val="17"/>
          <w:szCs w:val="17"/>
          <w:color w:val="auto"/>
        </w:rPr>
        <w:t>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17" w:lineRule="exact"/>
        <w:rPr>
          <w:sz w:val="20"/>
          <w:szCs w:val="20"/>
          <w:color w:val="auto"/>
        </w:rPr>
      </w:pPr>
    </w:p>
    <w:p>
      <w:pPr>
        <w:ind w:left="120" w:right="140"/>
        <w:spacing w:after="0" w:line="237"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spacing w:after="0" w:line="126"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6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164" w:lineRule="exact"/>
        <w:rPr>
          <w:sz w:val="20"/>
          <w:szCs w:val="20"/>
          <w:color w:val="auto"/>
        </w:rPr>
      </w:pPr>
    </w:p>
    <w:p>
      <w:pPr>
        <w:ind w:left="980" w:right="120" w:hanging="432"/>
        <w:spacing w:after="0" w:line="238"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In addition, the intent standard under the federal Anti-Kickback Statute was amended by the ACA to eliminate the need to prove specific intent and actual knowledge to establish an Anti-Kickback Statute violation.</w:t>
      </w:r>
    </w:p>
    <w:p>
      <w:pPr>
        <w:spacing w:after="0" w:line="2" w:lineRule="exact"/>
        <w:rPr>
          <w:rFonts w:ascii="MS PGothic" w:cs="MS PGothic" w:eastAsia="MS PGothic" w:hAnsi="MS PGothic"/>
          <w:sz w:val="13"/>
          <w:szCs w:val="13"/>
          <w:color w:val="auto"/>
        </w:rPr>
      </w:pPr>
    </w:p>
    <w:p>
      <w:pPr>
        <w:ind w:left="980" w:right="40" w:hanging="432"/>
        <w:spacing w:after="0" w:line="244"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 w:lineRule="exact"/>
        <w:rPr>
          <w:rFonts w:ascii="MS PGothic" w:cs="MS PGothic" w:eastAsia="MS PGothic" w:hAnsi="MS PGothic"/>
          <w:sz w:val="13"/>
          <w:szCs w:val="13"/>
          <w:color w:val="auto"/>
        </w:rPr>
      </w:pPr>
    </w:p>
    <w:p>
      <w:pPr>
        <w:ind w:left="980" w:right="180" w:hanging="432"/>
        <w:spacing w:after="0" w:line="245"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000" w:right="240"/>
        <w:spacing w:after="0" w:line="257" w:lineRule="auto"/>
        <w:rPr>
          <w:sz w:val="20"/>
          <w:szCs w:val="20"/>
          <w:color w:val="auto"/>
        </w:rPr>
      </w:pPr>
      <w:r>
        <w:rPr>
          <w:rFonts w:ascii="Arial" w:cs="Arial" w:eastAsia="Arial" w:hAnsi="Arial"/>
          <w:sz w:val="17"/>
          <w:szCs w:val="17"/>
          <w:color w:val="auto"/>
        </w:rPr>
        <w:t>or should know is likely to influence the beneficiary’s decision to order or receive items or services reimbursable by the government from a particular provider or supplier.</w:t>
      </w:r>
    </w:p>
    <w:p>
      <w:pPr>
        <w:spacing w:after="0" w:line="1" w:lineRule="exact"/>
        <w:rPr>
          <w:sz w:val="20"/>
          <w:szCs w:val="20"/>
          <w:color w:val="auto"/>
        </w:rPr>
      </w:pPr>
    </w:p>
    <w:p>
      <w:pPr>
        <w:ind w:left="980" w:right="20" w:hanging="432"/>
        <w:spacing w:after="0" w:line="239"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with respect to safeguarding the privacy, security and transmission of individually identifiable health information.</w:t>
      </w:r>
    </w:p>
    <w:p>
      <w:pPr>
        <w:ind w:left="980" w:right="180" w:hanging="432"/>
        <w:spacing w:after="0" w:line="256"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The FDCA, which prohibits, among other things, the adulteration or misbranding of drugs, biologics and medical devices.</w:t>
      </w:r>
    </w:p>
    <w:p>
      <w:pPr>
        <w:spacing w:after="0" w:line="34" w:lineRule="exact"/>
        <w:rPr>
          <w:rFonts w:ascii="MS PGothic" w:cs="MS PGothic" w:eastAsia="MS PGothic" w:hAnsi="MS PGothic"/>
          <w:sz w:val="13"/>
          <w:szCs w:val="13"/>
          <w:color w:val="auto"/>
        </w:rPr>
      </w:pPr>
    </w:p>
    <w:p>
      <w:pPr>
        <w:ind w:left="980" w:right="120" w:hanging="432"/>
        <w:spacing w:after="0" w:line="237"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under the Physician Payments Sunshine Act to physician assistants, nurse practitioners and other mid-level practitioners, with reporting requirements beginning in 2022 for payments made or ownership or investment interests held in 2021.</w:t>
      </w:r>
    </w:p>
    <w:p>
      <w:pPr>
        <w:spacing w:after="0" w:line="4" w:lineRule="exact"/>
        <w:rPr>
          <w:rFonts w:ascii="MS PGothic" w:cs="MS PGothic" w:eastAsia="MS PGothic" w:hAnsi="MS PGothic"/>
          <w:sz w:val="13"/>
          <w:szCs w:val="13"/>
          <w:color w:val="auto"/>
        </w:rPr>
      </w:pPr>
    </w:p>
    <w:p>
      <w:pPr>
        <w:ind w:left="980" w:right="60" w:hanging="432"/>
        <w:spacing w:after="0" w:line="239"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ind w:left="980" w:hanging="432"/>
        <w:spacing w:after="0"/>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1"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jc w:val="both"/>
        <w:ind w:left="1000" w:right="140"/>
        <w:spacing w:after="0" w:line="253" w:lineRule="auto"/>
        <w:rPr>
          <w:sz w:val="20"/>
          <w:szCs w:val="20"/>
          <w:color w:val="auto"/>
        </w:rPr>
      </w:pPr>
      <w:r>
        <w:rPr>
          <w:rFonts w:ascii="Arial" w:cs="Arial" w:eastAsia="Arial" w:hAnsi="Arial"/>
          <w:sz w:val="17"/>
          <w:szCs w:val="17"/>
          <w:color w:val="auto"/>
        </w:rPr>
        <w:t>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11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6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127" w:lineRule="exact"/>
        <w:rPr>
          <w:sz w:val="20"/>
          <w:szCs w:val="20"/>
          <w:color w:val="auto"/>
        </w:rPr>
      </w:pPr>
    </w:p>
    <w:p>
      <w:pPr>
        <w:ind w:left="120" w:right="120"/>
        <w:spacing w:after="0" w:line="237"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26" w:lineRule="exact"/>
        <w:rPr>
          <w:sz w:val="20"/>
          <w:szCs w:val="20"/>
          <w:color w:val="auto"/>
        </w:rPr>
      </w:pPr>
    </w:p>
    <w:p>
      <w:pPr>
        <w:ind w:left="120" w:right="140"/>
        <w:spacing w:after="0" w:line="246" w:lineRule="auto"/>
        <w:rPr>
          <w:sz w:val="20"/>
          <w:szCs w:val="20"/>
          <w:color w:val="auto"/>
        </w:rPr>
      </w:pPr>
      <w:r>
        <w:rPr>
          <w:rFonts w:ascii="Arial" w:cs="Arial" w:eastAsia="Arial" w:hAnsi="Arial"/>
          <w:sz w:val="17"/>
          <w:szCs w:val="17"/>
          <w:color w:val="auto"/>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060"/>
          </w:cols>
          <w:pgMar w:left="320" w:top="455" w:right="51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40"/>
        <w:spacing w:after="0" w:line="246" w:lineRule="auto"/>
        <w:rPr>
          <w:sz w:val="20"/>
          <w:szCs w:val="20"/>
          <w:color w:val="auto"/>
        </w:rPr>
      </w:pPr>
      <w:r>
        <w:rPr>
          <w:rFonts w:ascii="Arial" w:cs="Arial" w:eastAsia="Arial" w:hAnsi="Arial"/>
          <w:sz w:val="17"/>
          <w:szCs w:val="17"/>
          <w:color w:val="auto"/>
        </w:rPr>
        <w:t>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Healthcare Reform</w:t>
      </w:r>
    </w:p>
    <w:p>
      <w:pPr>
        <w:spacing w:after="0" w:line="43"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22"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There remain judicial and Congressional challenges to certain aspects of the ACA, as well as efforts by the Trump administration to repeal or replace certain aspects of the ACA. Since January 2017, President Trump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3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On December 22, 2017, President Trump signed into law new federal tax legislation commonly referred to as the Tax Cuts and Jobs Act, or Tax Act, which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 mandated “Cadillac” tax on high-cost employer-sponsored health coverage and medical device tax and, effective January 1, 2021, also eliminates the health insurer tax. 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On December 14, 2018, a Texas U.S. District Court Judge ruled that the ACA is unconstitutional in its entirety because the “individual mandate” was repealed by Congress as part of the Tax Act. Additionally, on December 18, 2019, the U.S Court of Appeals for the Fifth Circuit upheld the District Court ruling that the individual mandate was unconstitutional and remanded the case back to the District Court to determine whether the remaining provisions of the ACA are invalid as well. In March 2020, the U.S. Supreme Court agreed to hear the case, and arguments were held in November 2020, although it is unclear when a decision will be made. It is unclear how such litigation and other efforts to repeal and replace the ACA will impact the ACA.</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2030 unless additional congressional action is taken. The CARES Act, which was signed into law on March 27, 2020, designed to provide financial support and resources to individuals and businesses affected by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August 6, 2020, the Trump administration issued another executive order that instructs the federal government to 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w:t>
      </w:r>
    </w:p>
    <w:p>
      <w:pPr>
        <w:spacing w:after="0" w:line="12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proposals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solicited feedback on certain of these measures and has implemented others under its existing authority. For example, in May 2019, the U.S. Centers for Medicare &amp; Medicaid Services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and other new laws and regulations may result in additional reductions in Medicare and other healthcare funding, which could have a material adverse effect on customers for our biopharmaceutical products, if approved, and accordingly, our financial operations. Further, we expect that additional state and federal healthcare reform measures will be adopted in the future, particularly as a result of the recent presidential election.</w:t>
      </w:r>
    </w:p>
    <w:p>
      <w:pPr>
        <w:spacing w:after="0" w:line="127"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Additionally, the Right to Try Act, which was enacted on May 30, 2018, provides a federal framework for certain patients with life-threatening diseases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60"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As of September 30, 2020, we had 18 employees, 8 of whom hold Ph.D. or M.D. degrees and 8 of whom were engaged in research and development activities. None of our employees are represented by a labor union and we believe we maintain good relations with our employees.</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100"/>
          </w:cols>
          <w:pgMar w:left="320" w:top="455" w:right="47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60"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We currently sub-lease 2,856 square feet of office space in Burlingame, California, under a lease that expires in 2023. We believe that this space is sufficient to meet our needs for the foreseeable future and that any additional space we may require will be available on commercially reasonable terms.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60" w:lineRule="exact"/>
        <w:rPr>
          <w:sz w:val="20"/>
          <w:szCs w:val="20"/>
          <w:color w:val="auto"/>
        </w:rPr>
      </w:pPr>
    </w:p>
    <w:p>
      <w:pPr>
        <w:ind w:left="120" w:right="240"/>
        <w:spacing w:after="0" w:line="253" w:lineRule="auto"/>
        <w:rPr>
          <w:sz w:val="20"/>
          <w:szCs w:val="20"/>
          <w:color w:val="auto"/>
        </w:rPr>
      </w:pPr>
      <w:r>
        <w:rPr>
          <w:rFonts w:ascii="Arial" w:cs="Arial" w:eastAsia="Arial" w:hAnsi="Arial"/>
          <w:sz w:val="17"/>
          <w:szCs w:val="17"/>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040"/>
          </w:cols>
          <w:pgMar w:left="320" w:top="455" w:right="5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names, ages and positions of our executive officers and directors 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20" w:type="dxa"/>
            <w:vAlign w:val="bottom"/>
          </w:tcPr>
          <w:p>
            <w:pPr>
              <w:spacing w:after="0"/>
              <w:rPr>
                <w:sz w:val="20"/>
                <w:szCs w:val="20"/>
                <w:color w:val="auto"/>
              </w:rPr>
            </w:pPr>
            <w:r>
              <w:rPr>
                <w:rFonts w:ascii="Arial" w:cs="Arial" w:eastAsia="Arial" w:hAnsi="Arial"/>
                <w:sz w:val="14"/>
                <w:szCs w:val="14"/>
                <w:b w:val="1"/>
                <w:bCs w:val="1"/>
                <w:color w:val="auto"/>
                <w:w w:val="96"/>
              </w:rPr>
              <w:t>NAME</w:t>
            </w:r>
          </w:p>
        </w:tc>
        <w:tc>
          <w:tcPr>
            <w:tcW w:w="40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AGE</w:t>
            </w:r>
          </w:p>
        </w:tc>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4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34"/>
        </w:trPr>
        <w:tc>
          <w:tcPr>
            <w:tcW w:w="4460" w:type="dxa"/>
            <w:vAlign w:val="bottom"/>
            <w:gridSpan w:val="2"/>
          </w:tcPr>
          <w:p>
            <w:pPr>
              <w:spacing w:after="0" w:line="134" w:lineRule="exact"/>
              <w:rPr>
                <w:sz w:val="20"/>
                <w:szCs w:val="20"/>
                <w:color w:val="auto"/>
              </w:rPr>
            </w:pPr>
            <w:r>
              <w:rPr>
                <w:rFonts w:ascii="Arial" w:cs="Arial" w:eastAsia="Arial" w:hAnsi="Arial"/>
                <w:sz w:val="15"/>
                <w:szCs w:val="15"/>
                <w:b w:val="1"/>
                <w:bCs w:val="1"/>
                <w:i w:val="1"/>
                <w:iCs w:val="1"/>
                <w:color w:val="auto"/>
              </w:rPr>
              <w:t>Executive Officers</w:t>
            </w:r>
            <w:r>
              <w:rPr>
                <w:rFonts w:ascii="Arial" w:cs="Arial" w:eastAsia="Arial" w:hAnsi="Arial"/>
                <w:sz w:val="15"/>
                <w:szCs w:val="15"/>
                <w:b w:val="1"/>
                <w:bCs w:val="1"/>
                <w:color w:val="auto"/>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Jaume Pons, Ph.D.</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54</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President, Chief Executive Officer and Director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Peter García</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59</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Chief Financial Officer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Steffen Pietzke</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48</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w w:val="99"/>
              </w:rPr>
              <w:t>Vice President, Finance and Chief Accounting Officer</w:t>
            </w:r>
          </w:p>
        </w:tc>
      </w:tr>
      <w:tr>
        <w:trPr>
          <w:trHeight w:val="187"/>
        </w:trPr>
        <w:tc>
          <w:tcPr>
            <w:tcW w:w="420" w:type="dxa"/>
            <w:vAlign w:val="bottom"/>
          </w:tcPr>
          <w:p>
            <w:pPr>
              <w:spacing w:after="0"/>
              <w:rPr>
                <w:sz w:val="16"/>
                <w:szCs w:val="16"/>
                <w:color w:val="auto"/>
              </w:rPr>
            </w:pPr>
          </w:p>
        </w:tc>
        <w:tc>
          <w:tcPr>
            <w:tcW w:w="4040" w:type="dxa"/>
            <w:vAlign w:val="bottom"/>
          </w:tcPr>
          <w:p>
            <w:pPr>
              <w:ind w:left="80"/>
              <w:spacing w:after="0" w:line="187" w:lineRule="exact"/>
              <w:rPr>
                <w:sz w:val="20"/>
                <w:szCs w:val="20"/>
                <w:color w:val="auto"/>
              </w:rPr>
            </w:pPr>
            <w:r>
              <w:rPr>
                <w:rFonts w:ascii="Arial" w:cs="Arial" w:eastAsia="Arial" w:hAnsi="Arial"/>
                <w:sz w:val="17"/>
                <w:szCs w:val="17"/>
                <w:color w:val="auto"/>
              </w:rPr>
              <w:t>Sophia Randolph, M.D., Ph.D.</w:t>
            </w:r>
          </w:p>
        </w:tc>
        <w:tc>
          <w:tcPr>
            <w:tcW w:w="480" w:type="dxa"/>
            <w:vAlign w:val="bottom"/>
            <w:gridSpan w:val="2"/>
          </w:tcPr>
          <w:p>
            <w:pPr>
              <w:jc w:val="right"/>
              <w:ind w:right="160"/>
              <w:spacing w:after="0" w:line="187" w:lineRule="exact"/>
              <w:rPr>
                <w:sz w:val="20"/>
                <w:szCs w:val="20"/>
                <w:color w:val="auto"/>
              </w:rPr>
            </w:pPr>
            <w:r>
              <w:rPr>
                <w:rFonts w:ascii="Arial" w:cs="Arial" w:eastAsia="Arial" w:hAnsi="Arial"/>
                <w:sz w:val="17"/>
                <w:szCs w:val="17"/>
                <w:color w:val="auto"/>
              </w:rPr>
              <w:t>53</w:t>
            </w:r>
          </w:p>
        </w:tc>
        <w:tc>
          <w:tcPr>
            <w:tcW w:w="4020" w:type="dxa"/>
            <w:vAlign w:val="bottom"/>
            <w:gridSpan w:val="2"/>
          </w:tcPr>
          <w:p>
            <w:pPr>
              <w:spacing w:after="0" w:line="187" w:lineRule="exact"/>
              <w:rPr>
                <w:sz w:val="20"/>
                <w:szCs w:val="20"/>
                <w:color w:val="auto"/>
              </w:rPr>
            </w:pPr>
            <w:r>
              <w:rPr>
                <w:rFonts w:ascii="Arial" w:cs="Arial" w:eastAsia="Arial" w:hAnsi="Arial"/>
                <w:sz w:val="17"/>
                <w:szCs w:val="17"/>
                <w:color w:val="auto"/>
              </w:rPr>
              <w:t>Chief Medical Officer</w:t>
            </w:r>
          </w:p>
        </w:tc>
      </w:tr>
      <w:tr>
        <w:trPr>
          <w:trHeight w:val="191"/>
        </w:trPr>
        <w:tc>
          <w:tcPr>
            <w:tcW w:w="4460" w:type="dxa"/>
            <w:vAlign w:val="bottom"/>
            <w:gridSpan w:val="2"/>
          </w:tcPr>
          <w:p>
            <w:pPr>
              <w:spacing w:after="0" w:line="191" w:lineRule="exact"/>
              <w:rPr>
                <w:sz w:val="20"/>
                <w:szCs w:val="20"/>
                <w:color w:val="auto"/>
              </w:rPr>
            </w:pPr>
            <w:r>
              <w:rPr>
                <w:rFonts w:ascii="Arial" w:cs="Arial" w:eastAsia="Arial" w:hAnsi="Arial"/>
                <w:sz w:val="17"/>
                <w:szCs w:val="17"/>
                <w:b w:val="1"/>
                <w:bCs w:val="1"/>
                <w:i w:val="1"/>
                <w:iCs w:val="1"/>
                <w:color w:val="auto"/>
              </w:rPr>
              <w:t>Non-Employee Directors</w:t>
            </w: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Corey Goodman, Ph.D. </w:t>
            </w:r>
            <w:r>
              <w:rPr>
                <w:rFonts w:ascii="Arial" w:cs="Arial" w:eastAsia="Arial" w:hAnsi="Arial"/>
                <w:sz w:val="14"/>
                <w:szCs w:val="14"/>
                <w:color w:val="auto"/>
              </w:rPr>
              <w:t>(2) (3)</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69</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Executive Chairman of the Board</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Rekha Hemrajani </w:t>
            </w:r>
            <w:r>
              <w:rPr>
                <w:rFonts w:ascii="Arial" w:cs="Arial" w:eastAsia="Arial" w:hAnsi="Arial"/>
                <w:sz w:val="14"/>
                <w:szCs w:val="14"/>
                <w:color w:val="auto"/>
              </w:rPr>
              <w:t>(1) (3)</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51</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Jason Lettmann </w:t>
            </w:r>
            <w:r>
              <w:rPr>
                <w:rFonts w:ascii="Arial" w:cs="Arial" w:eastAsia="Arial" w:hAnsi="Arial"/>
                <w:sz w:val="14"/>
                <w:szCs w:val="14"/>
                <w:color w:val="auto"/>
              </w:rPr>
              <w:t>(2) (3)</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43</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Jack Nielsen </w:t>
            </w:r>
            <w:r>
              <w:rPr>
                <w:rFonts w:ascii="Arial" w:cs="Arial" w:eastAsia="Arial" w:hAnsi="Arial"/>
                <w:sz w:val="14"/>
                <w:szCs w:val="14"/>
                <w:color w:val="auto"/>
              </w:rPr>
              <w:t>(1) (2)</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56</w:t>
            </w:r>
          </w:p>
        </w:tc>
        <w:tc>
          <w:tcPr>
            <w:tcW w:w="402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7"/>
        </w:trPr>
        <w:tc>
          <w:tcPr>
            <w:tcW w:w="420" w:type="dxa"/>
            <w:vAlign w:val="bottom"/>
          </w:tcPr>
          <w:p>
            <w:pPr>
              <w:spacing w:after="0"/>
              <w:rPr>
                <w:sz w:val="16"/>
                <w:szCs w:val="16"/>
                <w:color w:val="auto"/>
              </w:rPr>
            </w:pPr>
          </w:p>
        </w:tc>
        <w:tc>
          <w:tcPr>
            <w:tcW w:w="4040" w:type="dxa"/>
            <w:vAlign w:val="bottom"/>
          </w:tcPr>
          <w:p>
            <w:pPr>
              <w:ind w:left="80"/>
              <w:spacing w:after="0" w:line="187" w:lineRule="exact"/>
              <w:rPr>
                <w:sz w:val="20"/>
                <w:szCs w:val="20"/>
                <w:color w:val="auto"/>
              </w:rPr>
            </w:pPr>
            <w:r>
              <w:rPr>
                <w:rFonts w:ascii="Arial" w:cs="Arial" w:eastAsia="Arial" w:hAnsi="Arial"/>
                <w:sz w:val="17"/>
                <w:szCs w:val="17"/>
                <w:color w:val="auto"/>
              </w:rPr>
              <w:t xml:space="preserve">Graham Walmsley, M.D., Ph.D. </w:t>
            </w:r>
            <w:r>
              <w:rPr>
                <w:rFonts w:ascii="Arial" w:cs="Arial" w:eastAsia="Arial" w:hAnsi="Arial"/>
                <w:sz w:val="14"/>
                <w:szCs w:val="14"/>
                <w:color w:val="auto"/>
              </w:rPr>
              <w:t>(1) (2)</w:t>
            </w:r>
          </w:p>
        </w:tc>
        <w:tc>
          <w:tcPr>
            <w:tcW w:w="480" w:type="dxa"/>
            <w:vAlign w:val="bottom"/>
            <w:gridSpan w:val="2"/>
          </w:tcPr>
          <w:p>
            <w:pPr>
              <w:jc w:val="right"/>
              <w:ind w:right="160"/>
              <w:spacing w:after="0" w:line="187" w:lineRule="exact"/>
              <w:rPr>
                <w:sz w:val="20"/>
                <w:szCs w:val="20"/>
                <w:color w:val="auto"/>
              </w:rPr>
            </w:pPr>
            <w:r>
              <w:rPr>
                <w:rFonts w:ascii="Arial" w:cs="Arial" w:eastAsia="Arial" w:hAnsi="Arial"/>
                <w:sz w:val="17"/>
                <w:szCs w:val="17"/>
                <w:color w:val="auto"/>
              </w:rPr>
              <w:t>34</w:t>
            </w:r>
          </w:p>
        </w:tc>
        <w:tc>
          <w:tcPr>
            <w:tcW w:w="4020" w:type="dxa"/>
            <w:vAlign w:val="bottom"/>
            <w:gridSpan w:val="2"/>
          </w:tcPr>
          <w:p>
            <w:pPr>
              <w:spacing w:after="0" w:line="187" w:lineRule="exact"/>
              <w:rPr>
                <w:sz w:val="20"/>
                <w:szCs w:val="20"/>
                <w:color w:val="auto"/>
              </w:rPr>
            </w:pPr>
            <w:r>
              <w:rPr>
                <w:rFonts w:ascii="Arial" w:cs="Arial" w:eastAsia="Arial" w:hAnsi="Arial"/>
                <w:sz w:val="17"/>
                <w:szCs w:val="17"/>
                <w:color w:val="auto"/>
              </w:rPr>
              <w:t>Director</w:t>
            </w:r>
          </w:p>
        </w:tc>
      </w:tr>
      <w:tr>
        <w:trPr>
          <w:trHeight w:val="191"/>
        </w:trPr>
        <w:tc>
          <w:tcPr>
            <w:tcW w:w="4460" w:type="dxa"/>
            <w:vAlign w:val="bottom"/>
            <w:gridSpan w:val="2"/>
          </w:tcPr>
          <w:p>
            <w:pPr>
              <w:spacing w:after="0" w:line="191" w:lineRule="exact"/>
              <w:rPr>
                <w:sz w:val="20"/>
                <w:szCs w:val="20"/>
                <w:color w:val="auto"/>
              </w:rPr>
            </w:pPr>
            <w:r>
              <w:rPr>
                <w:rFonts w:ascii="Arial" w:cs="Arial" w:eastAsia="Arial" w:hAnsi="Arial"/>
                <w:sz w:val="17"/>
                <w:szCs w:val="17"/>
                <w:b w:val="1"/>
                <w:bCs w:val="1"/>
                <w:i w:val="1"/>
                <w:iCs w:val="1"/>
                <w:color w:val="auto"/>
              </w:rPr>
              <w:t>Key Employee</w:t>
            </w: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340" w:type="dxa"/>
            <w:vAlign w:val="bottom"/>
          </w:tcPr>
          <w:p>
            <w:pPr>
              <w:spacing w:after="0"/>
              <w:rPr>
                <w:sz w:val="16"/>
                <w:szCs w:val="16"/>
                <w:color w:val="auto"/>
              </w:rPr>
            </w:pPr>
          </w:p>
        </w:tc>
      </w:tr>
      <w:tr>
        <w:trPr>
          <w:trHeight w:val="231"/>
        </w:trPr>
        <w:tc>
          <w:tcPr>
            <w:tcW w:w="420" w:type="dxa"/>
            <w:vAlign w:val="bottom"/>
          </w:tcPr>
          <w:p>
            <w:pPr>
              <w:spacing w:after="0"/>
              <w:rPr>
                <w:sz w:val="20"/>
                <w:szCs w:val="20"/>
                <w:color w:val="auto"/>
              </w:rPr>
            </w:pPr>
          </w:p>
        </w:tc>
        <w:tc>
          <w:tcPr>
            <w:tcW w:w="4040" w:type="dxa"/>
            <w:vAlign w:val="bottom"/>
          </w:tcPr>
          <w:p>
            <w:pPr>
              <w:ind w:left="80"/>
              <w:spacing w:after="0"/>
              <w:rPr>
                <w:sz w:val="20"/>
                <w:szCs w:val="20"/>
                <w:color w:val="auto"/>
              </w:rPr>
            </w:pPr>
            <w:r>
              <w:rPr>
                <w:rFonts w:ascii="Arial" w:cs="Arial" w:eastAsia="Arial" w:hAnsi="Arial"/>
                <w:sz w:val="17"/>
                <w:szCs w:val="17"/>
                <w:color w:val="auto"/>
              </w:rPr>
              <w:t>Jeanne Jew</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57</w:t>
            </w:r>
          </w:p>
        </w:tc>
        <w:tc>
          <w:tcPr>
            <w:tcW w:w="4020" w:type="dxa"/>
            <w:vAlign w:val="bottom"/>
            <w:gridSpan w:val="2"/>
          </w:tcPr>
          <w:p>
            <w:pPr>
              <w:spacing w:after="0"/>
              <w:rPr>
                <w:sz w:val="20"/>
                <w:szCs w:val="20"/>
                <w:color w:val="auto"/>
              </w:rPr>
            </w:pPr>
            <w:r>
              <w:rPr>
                <w:rFonts w:ascii="Arial" w:cs="Arial" w:eastAsia="Arial" w:hAnsi="Arial"/>
                <w:sz w:val="17"/>
                <w:szCs w:val="17"/>
                <w:color w:val="auto"/>
              </w:rPr>
              <w:t>Chief Business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4" w:lineRule="exact"/>
        <w:rPr>
          <w:sz w:val="20"/>
          <w:szCs w:val="20"/>
          <w:color w:val="auto"/>
        </w:rPr>
      </w:pPr>
    </w:p>
    <w:p>
      <w:pPr>
        <w:ind w:left="540" w:hanging="249"/>
        <w:spacing w:after="0"/>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Member of the audit committee</w:t>
      </w:r>
    </w:p>
    <w:p>
      <w:pPr>
        <w:ind w:left="540" w:hanging="249"/>
        <w:spacing w:after="0" w:line="187" w:lineRule="auto"/>
        <w:tabs>
          <w:tab w:leader="none" w:pos="540" w:val="left"/>
        </w:tabs>
        <w:numPr>
          <w:ilvl w:val="0"/>
          <w:numId w:val="75"/>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249"/>
        <w:spacing w:after="0" w:line="183" w:lineRule="auto"/>
        <w:tabs>
          <w:tab w:leader="none" w:pos="540" w:val="left"/>
        </w:tabs>
        <w:numPr>
          <w:ilvl w:val="0"/>
          <w:numId w:val="75"/>
        </w:numPr>
        <w:rPr>
          <w:rFonts w:ascii="Arial" w:cs="Arial" w:eastAsia="Arial" w:hAnsi="Arial"/>
          <w:sz w:val="20"/>
          <w:szCs w:val="20"/>
          <w:color w:val="auto"/>
          <w:vertAlign w:val="superscript"/>
        </w:rPr>
      </w:pPr>
      <w:r>
        <w:rPr>
          <w:rFonts w:ascii="Arial" w:cs="Arial" w:eastAsia="Arial" w:hAnsi="Arial"/>
          <w:sz w:val="12"/>
          <w:szCs w:val="12"/>
          <w:color w:val="auto"/>
        </w:rPr>
        <w:t>Member of the corporate governance and nominating committee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60"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i w:val="1"/>
          <w:iCs w:val="1"/>
          <w:color w:val="auto"/>
        </w:rPr>
        <w:t xml:space="preserve">Jaume Pons, Ph.D. </w:t>
      </w:r>
      <w:r>
        <w:rPr>
          <w:rFonts w:ascii="Arial" w:cs="Arial" w:eastAsia="Arial" w:hAnsi="Arial"/>
          <w:sz w:val="17"/>
          <w:szCs w:val="17"/>
          <w:color w:val="auto"/>
        </w:rPr>
        <w:t>has served as our President, Chief Executive Officer and a member of our board of directors since April 2015. He has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Scientific Advisor at Lightstone Ventures, a venture capital fund, since January 2019 and as a Venture Partner at venBio Partners, a venture capital firm, since January 2017. Prior to joining us, Dr. Pons was with Pfizer, Inc., a biopharmaceutical company, where he served as Senior Vice President and a member of the Pfizer Worldwide Research and Development Leadership Team and Chief Technology Officer for Pfizer Biotherapeutics from September 2009 to February 2015. From October 2007 to February 2015, he served as Chief Scientific Officer at Rinat Neuroscience Corporation, a subsidiary of Pfizer. Dr. Pons holds a B.S. in Biochemistry from Autonomous University of Barcelona and an M.S. in Biotechnology and a Ph.D. in Molecular and Cell Biology from the Institute on Fundamental Biology, Barcelona (Autonomous University of Barcelona)</w:t>
      </w:r>
      <w:r>
        <w:rPr>
          <w:rFonts w:ascii="Arial" w:cs="Arial" w:eastAsia="Arial" w:hAnsi="Arial"/>
          <w:sz w:val="17"/>
          <w:szCs w:val="17"/>
          <w:i w:val="1"/>
          <w:iCs w:val="1"/>
          <w:color w:val="auto"/>
        </w:rPr>
        <w:t>.</w:t>
      </w:r>
    </w:p>
    <w:p>
      <w:pPr>
        <w:spacing w:after="0" w:line="123"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We believe Dr. Pons is qualified to serve on our board of directors because of the perspective and experience he brings as our Chief Executive Officer, his experience in leadership positions in the biotechnology industry, his educational background and his strong scientific knowledge.</w:t>
      </w:r>
    </w:p>
    <w:p>
      <w:pPr>
        <w:spacing w:after="0" w:line="92"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i w:val="1"/>
          <w:iCs w:val="1"/>
          <w:color w:val="auto"/>
        </w:rPr>
        <w:t xml:space="preserve">Peter Garcia </w:t>
      </w:r>
      <w:r>
        <w:rPr>
          <w:rFonts w:ascii="Arial" w:cs="Arial" w:eastAsia="Arial" w:hAnsi="Arial"/>
          <w:sz w:val="17"/>
          <w:szCs w:val="17"/>
          <w:color w:val="auto"/>
        </w:rPr>
        <w:t>has served as our Chief Financial Officer since January 2020. Prior to joining us, he served as Vice President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from May 2013 until August 2019 and as Acting Chief Accounting Officer from May 2013 until July 2013 at PDL BioPharma, Inc., an acquirer of royalties and pharmaceutical assets. From October 2011 to May 2013, Mr. Garcia served as Chief Financial Officer at BioTime, Inc., a clinical-stage biotechnology company now known as Lineage Cell Therapeutics. He previously served as Chief Financial Officer of six biotechnology and high technology companies, including Marina Biotech, Nanosys, Nuvelo, Novacept, IntraBiotics Pharmaceuticals and Dendreon. Mr. Garcia holds a B.A. in Economics and Sociology from Stanford University and an M.B.A. from the University of California, Los Angeles.</w:t>
      </w:r>
    </w:p>
    <w:p>
      <w:pPr>
        <w:spacing w:after="0" w:line="122"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i w:val="1"/>
          <w:iCs w:val="1"/>
          <w:color w:val="auto"/>
        </w:rPr>
        <w:t xml:space="preserve">Steffen Pietzke </w:t>
      </w:r>
      <w:r>
        <w:rPr>
          <w:rFonts w:ascii="Arial" w:cs="Arial" w:eastAsia="Arial" w:hAnsi="Arial"/>
          <w:sz w:val="17"/>
          <w:szCs w:val="17"/>
          <w:color w:val="auto"/>
        </w:rPr>
        <w:t>has served as our Vice President, Finance and Chief Accounting Officer since March 2020. Prior to joining us,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Finance and Chief Accounting Officer at Tricida, Inc., a biotechnology company, from April 2018 to March 2020. From June 2015 to April 2018, Mr. Pietzke served as Vice President, Finance and Chief Accounting Officer at PDL BioPharma. From July 2013 to June 2015, he served as a Senior</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700"/>
        <w:spacing w:after="0" w:line="253" w:lineRule="auto"/>
        <w:rPr>
          <w:sz w:val="20"/>
          <w:szCs w:val="20"/>
          <w:color w:val="auto"/>
        </w:rPr>
      </w:pPr>
      <w:r>
        <w:rPr>
          <w:rFonts w:ascii="Arial" w:cs="Arial" w:eastAsia="Arial" w:hAnsi="Arial"/>
          <w:sz w:val="17"/>
          <w:szCs w:val="17"/>
          <w:color w:val="auto"/>
        </w:rPr>
        <w:t>Manager with Ernst &amp; Young LLP, a professional services firm. From September 2000 to June 2013, Mr. Pietzke was with PricewaterhouseCoopers LLP, a professional services firm, where he served most recently as a Senior Manager. He holds a Bachelor of Business Science in Accounting from the University of Applied Sciences in Offenburg, Germany and is a certified public accountant.</w:t>
      </w:r>
    </w:p>
    <w:p>
      <w:pPr>
        <w:spacing w:after="0" w:line="111" w:lineRule="exact"/>
        <w:rPr>
          <w:sz w:val="20"/>
          <w:szCs w:val="20"/>
          <w:color w:val="auto"/>
        </w:rPr>
      </w:pPr>
    </w:p>
    <w:p>
      <w:pPr>
        <w:ind w:left="120" w:right="20"/>
        <w:spacing w:after="0" w:line="242" w:lineRule="auto"/>
        <w:rPr>
          <w:sz w:val="20"/>
          <w:szCs w:val="20"/>
          <w:color w:val="auto"/>
        </w:rPr>
      </w:pPr>
      <w:r>
        <w:rPr>
          <w:rFonts w:ascii="Arial" w:cs="Arial" w:eastAsia="Arial" w:hAnsi="Arial"/>
          <w:sz w:val="17"/>
          <w:szCs w:val="17"/>
          <w:i w:val="1"/>
          <w:iCs w:val="1"/>
          <w:color w:val="auto"/>
        </w:rPr>
        <w:t xml:space="preserve">Sophia Randolph, M.D., Ph.D. </w:t>
      </w:r>
      <w:r>
        <w:rPr>
          <w:rFonts w:ascii="Arial" w:cs="Arial" w:eastAsia="Arial" w:hAnsi="Arial"/>
          <w:sz w:val="17"/>
          <w:szCs w:val="17"/>
          <w:color w:val="auto"/>
        </w:rPr>
        <w:t>has served as our Chief Medical Officer since June 2016. Prior to joining us, she was with Pfizer Oncology Early</w:t>
      </w:r>
      <w:r>
        <w:rPr>
          <w:rFonts w:ascii="Arial" w:cs="Arial" w:eastAsia="Arial" w:hAnsi="Arial"/>
          <w:sz w:val="17"/>
          <w:szCs w:val="17"/>
          <w:i w:val="1"/>
          <w:iCs w:val="1"/>
          <w:color w:val="auto"/>
        </w:rPr>
        <w:t xml:space="preserve"> </w:t>
      </w:r>
      <w:r>
        <w:rPr>
          <w:rFonts w:ascii="Arial" w:cs="Arial" w:eastAsia="Arial" w:hAnsi="Arial"/>
          <w:sz w:val="17"/>
          <w:szCs w:val="17"/>
          <w:color w:val="auto"/>
        </w:rPr>
        <w:t>and Late Development Groups from June 2008 to April 2016, where she served most recently as Executive Director, Oncology from June 2015 to April 2016. From June 2007 to May 2008, Dr. Randolph served as Director, Clinical Sciences, Oncology at Merck, a pharmaceutical company. She holds an A.B. in Biochemistry from Harvard University and an M.D. and a Ph.D. in Cellular and Molecular Biology from the University of Michigan. Dr. Randolph completed her oncology fellowship training at Seattle Cancer Care Alliance/Fred Hutchinson Cancer Research Center.</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Non-Employee Directors</w:t>
      </w:r>
    </w:p>
    <w:p>
      <w:pPr>
        <w:spacing w:after="0" w:line="63"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 xml:space="preserve">Corey Goodman, Ph.D. </w:t>
      </w:r>
      <w:r>
        <w:rPr>
          <w:rFonts w:ascii="Arial" w:cs="Arial" w:eastAsia="Arial" w:hAnsi="Arial"/>
          <w:sz w:val="17"/>
          <w:szCs w:val="17"/>
          <w:color w:val="auto"/>
        </w:rPr>
        <w:t>is our co-founder and has served as a member of our board of directors and as Executive Chairman since March 2015.</w:t>
      </w:r>
      <w:r>
        <w:rPr>
          <w:rFonts w:ascii="Arial" w:cs="Arial" w:eastAsia="Arial" w:hAnsi="Arial"/>
          <w:sz w:val="17"/>
          <w:szCs w:val="17"/>
          <w:i w:val="1"/>
          <w:iCs w:val="1"/>
          <w:color w:val="auto"/>
        </w:rPr>
        <w:t xml:space="preserve"> </w:t>
      </w:r>
      <w:r>
        <w:rPr>
          <w:rFonts w:ascii="Arial" w:cs="Arial" w:eastAsia="Arial" w:hAnsi="Arial"/>
          <w:sz w:val="17"/>
          <w:szCs w:val="17"/>
          <w:color w:val="auto"/>
        </w:rPr>
        <w:t>He co-founded and has served as a Managing Partner of venBio Partners since March 2010. Dr. Goodman founded Labrys, a biopharmaceutical company acquired by Teva, where he served as chairman and as a member of the board of directors from December 2012 to June 2014. He founded Pfizer’s Biotherapeutics and Bioinnovation Center where he served as President and a member of Pfizer’s Executive Leadership Team from October 2007 until May 2009. He co-founded Renovis, a biopharmaceutical company acquired by Evotec, where he served as President, Chief Executive Officer and a director from September 2001 October 2007. He is a former tenured biology professor at both Stanford University and the University of California, Berkeley, the co-founder of U.C. Berkeley’s Wills Neuroscience Institute, Investigator with the Howard Hughes Medical Institute and currently is an adjunct professor at U.C. Berkeley. Dr. Goodman is a member of the U.S. National Academy of Sciences, the American Academy of Arts &amp; Sciences and the American Philosophical Society and a recipient of the 2020 Gruber Neuroscience Prize. He currently serves as chairman and as a member of the board of directors of several privately held biotechnology companies. Dr. Goodman holds a B.S. in Biology from Stanford University and a Ph.D. in Neurobiology from U.C. Berkeley and was a postdoctoral fellow at the University of California, San Diego.</w:t>
      </w:r>
    </w:p>
    <w:p>
      <w:pPr>
        <w:spacing w:after="0" w:line="123"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believe Dr. Goodman is qualified to serve on our board of directors due to his experience founding and managing biotechnology companies in both the private and public markets.</w:t>
      </w:r>
    </w:p>
    <w:p>
      <w:pPr>
        <w:spacing w:after="0" w:line="92"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i w:val="1"/>
          <w:iCs w:val="1"/>
          <w:color w:val="auto"/>
        </w:rPr>
        <w:t xml:space="preserve">Rekha Hemrajani </w:t>
      </w:r>
      <w:r>
        <w:rPr>
          <w:rFonts w:ascii="Arial" w:cs="Arial" w:eastAsia="Arial" w:hAnsi="Arial"/>
          <w:sz w:val="17"/>
          <w:szCs w:val="17"/>
          <w:color w:val="auto"/>
        </w:rPr>
        <w:t>has served as a member of our board of directors since April 2020. She is currently Chief Executive Officer and Director of Jiya</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Corporation. She previously served as President and Chief Executive Officer of 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FLX Bio, Inc. (now RAPT Therapeutics, Inc.), a biotechnology company. From February 2015 to March 2016, Ms. Hemrajani served as Chief Financial Officer and Senior Vice President of Business and Financial Operations at 3-V Biosciences, Inc. (now Sagimet Biosciences, Inc.), a biotechnology company. From November 2013 to January 2015, Ms. Hemrajani advised privately held companies on strategic corporate development and financing activities at Ravinia Consulting, a consulting firm she founded. Ms. Hemrajani currently serves as a director at Adverum Biotechnologies, Inc., a clinical-stage gene therapy company, and previously served as a director at Aravive. She holds a B.S. in Economics and Computer Science from the University of Michigan and an M.B.A. from the Kellogg Graduate School of Management at Northwestern University.</w:t>
      </w:r>
    </w:p>
    <w:p>
      <w:pPr>
        <w:spacing w:after="0" w:line="122"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We believe Ms. Hemrajani is qualified to serve on our board of directors due to her executive and financial experience at multiple companies in the biopharmaceutical and biotechnology industries.</w:t>
      </w:r>
    </w:p>
    <w:p>
      <w:pPr>
        <w:spacing w:after="0" w:line="92" w:lineRule="exact"/>
        <w:rPr>
          <w:sz w:val="20"/>
          <w:szCs w:val="20"/>
          <w:color w:val="auto"/>
        </w:rPr>
      </w:pPr>
    </w:p>
    <w:p>
      <w:pPr>
        <w:ind w:left="120" w:right="100"/>
        <w:spacing w:after="0" w:line="246" w:lineRule="auto"/>
        <w:rPr>
          <w:sz w:val="20"/>
          <w:szCs w:val="20"/>
          <w:color w:val="auto"/>
        </w:rPr>
      </w:pPr>
      <w:r>
        <w:rPr>
          <w:rFonts w:ascii="Arial" w:cs="Arial" w:eastAsia="Arial" w:hAnsi="Arial"/>
          <w:sz w:val="17"/>
          <w:szCs w:val="17"/>
          <w:i w:val="1"/>
          <w:iCs w:val="1"/>
          <w:color w:val="auto"/>
        </w:rPr>
        <w:t xml:space="preserve">Jason Lettmann </w:t>
      </w:r>
      <w:r>
        <w:rPr>
          <w:rFonts w:ascii="Arial" w:cs="Arial" w:eastAsia="Arial" w:hAnsi="Arial"/>
          <w:sz w:val="17"/>
          <w:szCs w:val="17"/>
          <w:color w:val="auto"/>
        </w:rPr>
        <w:t>has served as a member of our board of directors since April 2020 and previously served as a member of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from March 2015 to May 2017. Mr. Lettmann has served as a General Partner of Lightstone Ventures since March 2012 and as a Partner at Morgenthaler Ventures, a venture capital and private equity firm, since June 2009. He previously served as Chief Executive Officer of Promedior Inc., a biotechnology company acquired by Roche, from January 2019 to February 2020 and as a Vice President at Split Rock Partners, a</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7"/>
          <w:szCs w:val="17"/>
          <w:color w:val="auto"/>
        </w:rPr>
        <w:t>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w:t>
      </w:r>
    </w:p>
    <w:p>
      <w:pPr>
        <w:spacing w:after="0" w:line="111"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We believe Mr. Lettmann is qualified to serve on our board of directors because of his industry experience, his experience serving on the boards of directors for multiple life sciences companies and his extensive experience with venture capital investments.</w:t>
      </w:r>
    </w:p>
    <w:p>
      <w:pPr>
        <w:spacing w:after="0" w:line="92"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i w:val="1"/>
          <w:iCs w:val="1"/>
          <w:color w:val="auto"/>
        </w:rPr>
        <w:t xml:space="preserve">Jack Nielsen </w:t>
      </w:r>
      <w:r>
        <w:rPr>
          <w:rFonts w:ascii="Arial" w:cs="Arial" w:eastAsia="Arial" w:hAnsi="Arial"/>
          <w:sz w:val="17"/>
          <w:szCs w:val="17"/>
          <w:color w:val="auto"/>
        </w:rPr>
        <w:t>has served as a member of our board of directors since February 2020. Mr. Nielsen has served as a Managing Director at Vivo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LLC, a healthcare focused investment firm, since August 2017, and previously served as a consultant from March 2017 to July 2017. From 2001 to February 2017, Mr. Nielsen was with the Novo A/S (Novozymes) organization and its venture activities in several roles, most recently as a Senior Partner based in Copenhagen, Denmark. From May 2006 to August 2012, Mr. Nielsen was a Partner at Novo Ventures (US) in San Francisco, where he established the office that provides certain consultancy services to Novo A/S. He currently serves as a member of the board of directors of Aligos Therapeutics Inc., a biotechnology company, Harmony Biosciences Holdings Inc., a pharmaceutical company, and Reata Pharmaceuticals, a pharmaceutical company, and previously served as a director of Akebia Therapeutics, Apollo Endosurgery, Crinetics Pharmaceuticals and Merus, N.V. Mr. Nielsen holds an M.Sc. in Chemical Engineering from the Technical University of Denmark and a Masters in Management of Technology from Center for Technology, Economics and Management, Technical University of Denmark.</w:t>
      </w:r>
    </w:p>
    <w:p>
      <w:pPr>
        <w:spacing w:after="0" w:line="126" w:lineRule="exact"/>
        <w:rPr>
          <w:sz w:val="20"/>
          <w:szCs w:val="20"/>
          <w:color w:val="auto"/>
        </w:rPr>
      </w:pPr>
    </w:p>
    <w:p>
      <w:pPr>
        <w:ind w:left="120" w:right="660"/>
        <w:spacing w:after="0" w:line="275" w:lineRule="auto"/>
        <w:rPr>
          <w:sz w:val="20"/>
          <w:szCs w:val="20"/>
          <w:color w:val="auto"/>
        </w:rPr>
      </w:pPr>
      <w:r>
        <w:rPr>
          <w:rFonts w:ascii="Arial" w:cs="Arial" w:eastAsia="Arial" w:hAnsi="Arial"/>
          <w:sz w:val="17"/>
          <w:szCs w:val="17"/>
          <w:color w:val="auto"/>
        </w:rPr>
        <w:t>We believe Mr. Nielsen is qualified to serve on our board of directors because of his experience working in the biotechnology industry, his experience as a venture capital investor and his board service for several companies in the biotechnology sector.</w:t>
      </w:r>
    </w:p>
    <w:p>
      <w:pPr>
        <w:spacing w:after="0" w:line="92"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 xml:space="preserve">Graham Walmsley, M.D., Ph.D. </w:t>
      </w:r>
      <w:r>
        <w:rPr>
          <w:rFonts w:ascii="Arial" w:cs="Arial" w:eastAsia="Arial" w:hAnsi="Arial"/>
          <w:sz w:val="17"/>
          <w:szCs w:val="17"/>
          <w:color w:val="auto"/>
        </w:rPr>
        <w:t>has served as a member of our board of directors since February 2020. Dr. Walmsley is a Founding Member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a Managing Partner of Logos Global Management, LP, a biotechnology-focused hedge fund, since August 2019. From July 2016 to August 2019, he served as a Principal at Versant Ventures, a healthcare focused venture capital firm. Dr. Walmsley served as Head of Business Development at Pipeline Therapeutics Inc., a biotechnology company, from April 2018 to December 2018 and as Head of Business Development at Jecure Therapeutics, Inc., a biotechnology company, from June 2017 until its acquisition by Genentech, a subsidiary of Roche, in November 2018. He currently serves as a member of the board of directors of Akero Therapeutics and Olema Pharmaceuticals, both Nasdaq-listed biotechnology companies, and LifeSci Acquisition II Corporation, a special purpose acquisition company. Dr. Walmsley received a B.A. in Molecular and Cell Biology from the University of California, Berkeley in June 2009 and a Ph.D. and an M.D. in Stem Cell Biology and Regenerative Medicine from Stanford University School of Medicine in June 2016 and June 2018, respectively.</w:t>
      </w:r>
    </w:p>
    <w:p>
      <w:pPr>
        <w:spacing w:after="0" w:line="126"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We believe Dr. Walmsley is qualified to serve on our board of directors because of his significant experience in the healthcare and biotechnology industry, his educational background and his experience as a director for companies in the biotechnology sector.</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Key Employee</w:t>
      </w:r>
    </w:p>
    <w:p>
      <w:pPr>
        <w:spacing w:after="0" w:line="63"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i w:val="1"/>
          <w:iCs w:val="1"/>
          <w:color w:val="auto"/>
        </w:rPr>
        <w:t xml:space="preserve">Jeanne Jew </w:t>
      </w:r>
      <w:r>
        <w:rPr>
          <w:rFonts w:ascii="Arial" w:cs="Arial" w:eastAsia="Arial" w:hAnsi="Arial"/>
          <w:sz w:val="17"/>
          <w:szCs w:val="17"/>
          <w:color w:val="auto"/>
        </w:rPr>
        <w:t>has served as our Chief Business Officer since August 2020. Prior to joining us, she served as Senior Vice President,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Paratek Pharmaceuticals from July 2015 to March 2020. From April 2008 to June 2015, Ms. Jew served as Senior Vice President, Business Development for KaloBios Pharmaceuticals. Prior to that, Ms. Jew was Vice President, Corporate and Commercial Development at Onyx Pharmaceuticals from 2002 to 2007. Previously, Ms. Jew held business development positions at Coulter Pharmaceutical and became Vice President, Business Development following the acquisition of Coulter Pharmaceutical by Corixa Corporation. Earlier in her career, Ms. Jew also held business development positions at Scios, Inc. and Genentech, Inc. Ms. Jew holds a B.A.in Psychology from Wesleyan University and an M.B.A. from Cornell University.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Board Composition</w:t>
      </w:r>
    </w:p>
    <w:p>
      <w:pPr>
        <w:spacing w:after="0" w:line="63"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7"/>
          <w:szCs w:val="17"/>
          <w:color w:val="auto"/>
        </w:rPr>
        <w:t>Our board of directors currently consists of six members. The number of directors is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7"/>
          <w:szCs w:val="17"/>
          <w:color w:val="auto"/>
        </w:rPr>
        <w:t>Our amended and restated certificate of incorporation provides that our board of directors is divided into three classes with staggered three-year terms. Only one class of directors is elected at each annual meeting of stockholders, with the other classes continuing for the remainder of their respective three-year terms. Our current directors are divided among the three classes as follows:</w:t>
      </w:r>
    </w:p>
    <w:p>
      <w:pPr>
        <w:spacing w:after="0" w:line="151" w:lineRule="exact"/>
        <w:rPr>
          <w:sz w:val="20"/>
          <w:szCs w:val="20"/>
          <w:color w:val="auto"/>
        </w:rPr>
      </w:pPr>
    </w:p>
    <w:p>
      <w:pPr>
        <w:ind w:left="980" w:right="920" w:hanging="432"/>
        <w:spacing w:after="0" w:line="257"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the Class I directors are Corey Goodman, Ph.D., and Jason Lettmann, and their terms will expire at the annual meeting of stockholders to be held in 2021;</w:t>
      </w:r>
    </w:p>
    <w:p>
      <w:pPr>
        <w:spacing w:after="0" w:line="1" w:lineRule="exact"/>
        <w:rPr>
          <w:rFonts w:ascii="MS PGothic" w:cs="MS PGothic" w:eastAsia="MS PGothic" w:hAnsi="MS PGothic"/>
          <w:sz w:val="13"/>
          <w:szCs w:val="13"/>
          <w:color w:val="auto"/>
        </w:rPr>
      </w:pPr>
    </w:p>
    <w:p>
      <w:pPr>
        <w:ind w:left="980" w:right="580" w:hanging="432"/>
        <w:spacing w:after="0" w:line="256"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the Class II directors are Jack Nielsen and Graham Walmsley, M.D., Ph.D., and their terms will expire at the annual meeting of stockholders to be held in 2022; and</w:t>
      </w:r>
    </w:p>
    <w:p>
      <w:pPr>
        <w:spacing w:after="0" w:line="1" w:lineRule="exact"/>
        <w:rPr>
          <w:rFonts w:ascii="MS PGothic" w:cs="MS PGothic" w:eastAsia="MS PGothic" w:hAnsi="MS PGothic"/>
          <w:sz w:val="13"/>
          <w:szCs w:val="13"/>
          <w:color w:val="auto"/>
        </w:rPr>
      </w:pPr>
    </w:p>
    <w:p>
      <w:pPr>
        <w:ind w:left="980" w:right="20" w:hanging="432"/>
        <w:spacing w:after="0" w:line="273"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the Class III directors are Jaume Pons, Ph.D., and Rekha Hemrajani, and their terms will expire at the annual meeting of stockholders to be held in 2023.</w:t>
      </w:r>
    </w:p>
    <w:p>
      <w:pPr>
        <w:spacing w:after="0" w:line="94" w:lineRule="exact"/>
        <w:rPr>
          <w:sz w:val="20"/>
          <w:szCs w:val="20"/>
          <w:color w:val="auto"/>
        </w:rPr>
      </w:pPr>
    </w:p>
    <w:p>
      <w:pPr>
        <w:ind w:left="120" w:right="220"/>
        <w:spacing w:after="0" w:line="242" w:lineRule="auto"/>
        <w:rPr>
          <w:sz w:val="20"/>
          <w:szCs w:val="20"/>
          <w:color w:val="auto"/>
        </w:rPr>
      </w:pPr>
      <w:r>
        <w:rPr>
          <w:rFonts w:ascii="Arial" w:cs="Arial" w:eastAsia="Arial" w:hAnsi="Arial"/>
          <w:sz w:val="17"/>
          <w:szCs w:val="17"/>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classification of our board of directors may have the effect of delaying or preventing changes in control of our company.</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60"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Our common stock is listed on the Nasdaq Global Select Market. Under the rules of Nasdaq, independent directors must comprise a majority of a listed company’s board of directors within one year of the completion of our initial public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22" w:lineRule="exact"/>
        <w:rPr>
          <w:sz w:val="20"/>
          <w:szCs w:val="20"/>
          <w:color w:val="auto"/>
        </w:rPr>
      </w:pPr>
    </w:p>
    <w:p>
      <w:pPr>
        <w:ind w:left="120" w:right="80"/>
        <w:spacing w:after="0" w:line="246" w:lineRule="auto"/>
        <w:rPr>
          <w:sz w:val="20"/>
          <w:szCs w:val="20"/>
          <w:color w:val="auto"/>
        </w:rPr>
      </w:pPr>
      <w:r>
        <w:rPr>
          <w:rFonts w:ascii="Arial" w:cs="Arial" w:eastAsia="Arial" w:hAnsi="Arial"/>
          <w:sz w:val="17"/>
          <w:szCs w:val="17"/>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23" w:lineRule="exact"/>
        <w:rPr>
          <w:sz w:val="20"/>
          <w:szCs w:val="20"/>
          <w:color w:val="auto"/>
        </w:rPr>
      </w:pPr>
    </w:p>
    <w:p>
      <w:pPr>
        <w:ind w:left="120" w:right="60"/>
        <w:spacing w:after="0" w:line="242" w:lineRule="auto"/>
        <w:rPr>
          <w:sz w:val="20"/>
          <w:szCs w:val="20"/>
          <w:color w:val="auto"/>
        </w:rPr>
      </w:pPr>
      <w:r>
        <w:rPr>
          <w:rFonts w:ascii="Arial" w:cs="Arial" w:eastAsia="Arial" w:hAnsi="Arial"/>
          <w:sz w:val="17"/>
          <w:szCs w:val="17"/>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Corey Goodman, Ph.D., Rekha Hemrajani, Jason Lettmann, Jack Nielsen and Graham Walmsley, M.D., Ph.D., representing five of our six directors,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080"/>
          </w:cols>
          <w:pgMar w:left="320" w:top="455" w:right="49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do not have a relationship that would interfere with the exercise of independent judgment in carrying out the responsibilities of a director and that each of these directors is “independent” as that term is defined under the rules of Nasdaq.</w:t>
      </w:r>
    </w:p>
    <w:p>
      <w:pPr>
        <w:spacing w:after="0" w:line="92" w:lineRule="exact"/>
        <w:rPr>
          <w:sz w:val="20"/>
          <w:szCs w:val="20"/>
          <w:color w:val="auto"/>
        </w:rPr>
      </w:pPr>
    </w:p>
    <w:p>
      <w:pPr>
        <w:ind w:left="120" w:right="240"/>
        <w:spacing w:after="0" w:line="246" w:lineRule="auto"/>
        <w:rPr>
          <w:sz w:val="20"/>
          <w:szCs w:val="20"/>
          <w:color w:val="auto"/>
        </w:rPr>
      </w:pPr>
      <w:r>
        <w:rPr>
          <w:rFonts w:ascii="Arial" w:cs="Arial" w:eastAsia="Arial" w:hAnsi="Arial"/>
          <w:sz w:val="17"/>
          <w:szCs w:val="17"/>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60"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Our board of directors is currently chaired by Dr. Goodman. As a general policy, our board of directors believes that separation of the positions of Executive Chairman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Pons serves as our Chief Executive Officer while Dr. Goodman serves as the Executive Chairman of our board of directors but is not an officer. We currently expect and intend the positions of Executive Chairman of our board of directors and Chief Executive Officer to continue to be held by two individuals in the future.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60"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73"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color w:val="auto"/>
        </w:rPr>
        <w:t>Our board of directors has an audit committee, a compensation committee and a corporate governance and nominating committee, each of which has the composition and the responsibilities described below.</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Audit Committee</w:t>
      </w:r>
    </w:p>
    <w:p>
      <w:pPr>
        <w:spacing w:after="0" w:line="41"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The members of our audit committee are Rekha Hemrajani, Jack Nielsen and Graham Walmsley, M.D., Ph.D. Ms. Hemrajani is the chair of our audit committee and is our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also:</w:t>
      </w:r>
    </w:p>
    <w:p>
      <w:pPr>
        <w:spacing w:after="0" w:line="161" w:lineRule="exact"/>
        <w:rPr>
          <w:sz w:val="20"/>
          <w:szCs w:val="20"/>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selects and hires the independent registered public accounting firm to audit our consolidated financial statements;</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helps to ensure the independence and performance of the independent registered public accounting firm;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approves audit and non-audit services and fees;</w:t>
      </w:r>
    </w:p>
    <w:p>
      <w:pPr>
        <w:spacing w:after="0" w:line="34" w:lineRule="exact"/>
        <w:rPr>
          <w:rFonts w:ascii="MS PGothic" w:cs="MS PGothic" w:eastAsia="MS PGothic" w:hAnsi="MS PGothic"/>
          <w:sz w:val="13"/>
          <w:szCs w:val="13"/>
          <w:color w:val="auto"/>
        </w:rPr>
      </w:pPr>
    </w:p>
    <w:p>
      <w:pPr>
        <w:ind w:left="980" w:right="60" w:hanging="432"/>
        <w:spacing w:after="0" w:line="248"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reviews consolidated financial statements and discuss with management and the independent registered public accounting firm our annual audited and quarterly consolidated financial statements, the results of the independent audit and the quarterly reviews and the reports and certifications regarding internal controls over financial reporting and disclosure controls;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prepares the audit committee report that the SEC requires to be included in our annual proxy statement;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reviews reports and communications from the independent registered public accounting firm;</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00"/>
          </w:cols>
          <w:pgMar w:left="320" w:top="455" w:right="47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reviews the adequacy and effectiveness of our internal controls and disclosure controls and procedure;</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reviews our policies on risk assessment and risk management;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reviews related-party transactions; and</w:t>
      </w:r>
    </w:p>
    <w:p>
      <w:pPr>
        <w:spacing w:after="0" w:line="34" w:lineRule="exact"/>
        <w:rPr>
          <w:rFonts w:ascii="MS PGothic" w:cs="MS PGothic" w:eastAsia="MS PGothic" w:hAnsi="MS PGothic"/>
          <w:sz w:val="13"/>
          <w:szCs w:val="13"/>
          <w:color w:val="auto"/>
        </w:rPr>
      </w:pPr>
    </w:p>
    <w:p>
      <w:pPr>
        <w:ind w:left="980" w:right="320" w:hanging="432"/>
        <w:spacing w:after="0" w:line="273" w:lineRule="auto"/>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establishes and oversees procedures for the receipt, retention and treatment of accounting related complaints and the confidential submission by our employees of concerns regarding questionable accounting or auditing matters.</w:t>
      </w:r>
    </w:p>
    <w:p>
      <w:pPr>
        <w:spacing w:after="0" w:line="94" w:lineRule="exact"/>
        <w:rPr>
          <w:sz w:val="20"/>
          <w:szCs w:val="20"/>
          <w:color w:val="auto"/>
        </w:rPr>
      </w:pPr>
    </w:p>
    <w:p>
      <w:pPr>
        <w:ind w:left="120" w:right="840"/>
        <w:spacing w:after="0" w:line="305" w:lineRule="auto"/>
        <w:rPr>
          <w:sz w:val="20"/>
          <w:szCs w:val="20"/>
          <w:color w:val="auto"/>
        </w:rPr>
      </w:pPr>
      <w:r>
        <w:rPr>
          <w:rFonts w:ascii="Arial" w:cs="Arial" w:eastAsia="Arial" w:hAnsi="Arial"/>
          <w:sz w:val="17"/>
          <w:szCs w:val="17"/>
          <w:color w:val="auto"/>
        </w:rPr>
        <w:t xml:space="preserve">Our audit committee operates under a written charter that satisfies the applicable rules of the SEC and the listing standards of Nasdaq. </w:t>
      </w:r>
      <w:r>
        <w:rPr>
          <w:rFonts w:ascii="Arial" w:cs="Arial" w:eastAsia="Arial" w:hAnsi="Arial"/>
          <w:sz w:val="17"/>
          <w:szCs w:val="17"/>
          <w:b w:val="1"/>
          <w:bCs w:val="1"/>
          <w:i w:val="1"/>
          <w:iCs w:val="1"/>
          <w:color w:val="auto"/>
        </w:rPr>
        <w:t>Compensation Committee</w:t>
      </w:r>
    </w:p>
    <w:p>
      <w:pPr>
        <w:jc w:val="both"/>
        <w:ind w:left="120" w:right="260"/>
        <w:spacing w:after="0" w:line="246" w:lineRule="auto"/>
        <w:rPr>
          <w:sz w:val="20"/>
          <w:szCs w:val="20"/>
          <w:color w:val="auto"/>
        </w:rPr>
      </w:pPr>
      <w:r>
        <w:rPr>
          <w:rFonts w:ascii="Arial" w:cs="Arial" w:eastAsia="Arial" w:hAnsi="Arial"/>
          <w:sz w:val="17"/>
          <w:szCs w:val="17"/>
          <w:color w:val="auto"/>
        </w:rPr>
        <w:t>The members of our compensation committee are Corey Goodman, Ph.D., Jason Lettmann and Jack Nielsen. Dr. Goodman is the chair of our compensation committee. Our compensation committee oversees our compensation policies, plans and benefits programs. The compensation committee also:</w:t>
      </w:r>
    </w:p>
    <w:p>
      <w:pPr>
        <w:spacing w:after="0" w:line="157" w:lineRule="exact"/>
        <w:rPr>
          <w:sz w:val="20"/>
          <w:szCs w:val="20"/>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oversees our overall compensation philosophy and compensation policies, plans and benefit programs;</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reviews and approve or recommend to the board of directors for approval compensation for our executive officers and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prepares the compensation committee report that the SEC will require to be included in our annual proxy statement;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administers our equity compensation plans.</w:t>
      </w:r>
    </w:p>
    <w:p>
      <w:pPr>
        <w:spacing w:after="0" w:line="154" w:lineRule="exact"/>
        <w:rPr>
          <w:sz w:val="20"/>
          <w:szCs w:val="20"/>
          <w:color w:val="auto"/>
        </w:rPr>
      </w:pPr>
    </w:p>
    <w:p>
      <w:pPr>
        <w:ind w:left="120" w:right="140"/>
        <w:spacing w:after="0" w:line="303" w:lineRule="auto"/>
        <w:rPr>
          <w:sz w:val="20"/>
          <w:szCs w:val="20"/>
          <w:color w:val="auto"/>
        </w:rPr>
      </w:pPr>
      <w:r>
        <w:rPr>
          <w:rFonts w:ascii="Arial" w:cs="Arial" w:eastAsia="Arial" w:hAnsi="Arial"/>
          <w:sz w:val="17"/>
          <w:szCs w:val="17"/>
          <w:color w:val="auto"/>
        </w:rPr>
        <w:t xml:space="preserve">Our compensation committee operates under a written charter that satisfies the applicable rules of the SEC and the listing standards of Nasdaq. </w:t>
      </w:r>
      <w:r>
        <w:rPr>
          <w:rFonts w:ascii="Arial" w:cs="Arial" w:eastAsia="Arial" w:hAnsi="Arial"/>
          <w:sz w:val="17"/>
          <w:szCs w:val="17"/>
          <w:b w:val="1"/>
          <w:bCs w:val="1"/>
          <w:i w:val="1"/>
          <w:iCs w:val="1"/>
          <w:color w:val="auto"/>
        </w:rPr>
        <w:t>Corporate Governance and Nominating Committee</w:t>
      </w:r>
    </w:p>
    <w:p>
      <w:pPr>
        <w:spacing w:after="0" w:line="1"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members of our corporate governance and nominating committee are Corey Goodman, Ph.D., Rekha Hemrajani, Jason Lettmann and Graham Walmsley, M.D., Ph.D. Mr. Lettmann is the chairman of our corporate governance and nominating committee. Our corporate governance and nominating committee oversees and assists our board of directors in reviewing and recommending nominees for election as directors. Specifically, the corporate governance and nominating committee:</w:t>
      </w:r>
    </w:p>
    <w:p>
      <w:pPr>
        <w:spacing w:after="0" w:line="161" w:lineRule="exact"/>
        <w:rPr>
          <w:sz w:val="20"/>
          <w:szCs w:val="20"/>
          <w:color w:val="auto"/>
        </w:rPr>
      </w:pPr>
    </w:p>
    <w:p>
      <w:pPr>
        <w:ind w:left="980" w:right="180" w:hanging="432"/>
        <w:spacing w:after="0" w:line="257" w:lineRule="auto"/>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identifies, evaluates and makes recommendations to our board of directors regarding nominees for election to our board of directors and its committees;</w:t>
      </w:r>
    </w:p>
    <w:p>
      <w:pPr>
        <w:spacing w:after="0" w:line="1" w:lineRule="exact"/>
        <w:rPr>
          <w:rFonts w:ascii="MS PGothic" w:cs="MS PGothic" w:eastAsia="MS PGothic" w:hAnsi="MS PGothic"/>
          <w:sz w:val="13"/>
          <w:szCs w:val="13"/>
          <w:color w:val="auto"/>
        </w:rPr>
      </w:pPr>
    </w:p>
    <w:p>
      <w:pPr>
        <w:ind w:left="980" w:right="840" w:hanging="432"/>
        <w:spacing w:after="0" w:line="256" w:lineRule="auto"/>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considers and makes recommendations to our board of directors regarding the composition of our board of directors and its committees;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reviews developments in corporate governance practices;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evaluates the adequacy of our corporate governance practices and reporting;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evaluates the performance of our board of directors and of individual directors.</w:t>
      </w:r>
    </w:p>
    <w:p>
      <w:pPr>
        <w:spacing w:after="0" w:line="15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corporate governance and nominating committee operates under a written charter that satisfies the applicable rules of the SEC and the listing standards of Nasdaq.</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73" w:lineRule="exact"/>
        <w:rPr>
          <w:sz w:val="20"/>
          <w:szCs w:val="20"/>
          <w:color w:val="auto"/>
        </w:rPr>
      </w:pPr>
    </w:p>
    <w:p>
      <w:pPr>
        <w:ind w:left="120" w:right="120"/>
        <w:spacing w:after="0" w:line="253" w:lineRule="auto"/>
        <w:rPr>
          <w:sz w:val="20"/>
          <w:szCs w:val="20"/>
          <w:color w:val="auto"/>
        </w:rPr>
      </w:pPr>
      <w:r>
        <w:rPr>
          <w:rFonts w:ascii="Arial" w:cs="Arial" w:eastAsia="Arial" w:hAnsi="Arial"/>
          <w:sz w:val="17"/>
          <w:szCs w:val="17"/>
          <w:color w:val="auto"/>
        </w:rPr>
        <w:t>As of September 30, 2020, none of our directors had received any cash or equity compensation for serving on our board of directors. This includes our current directors and Dr. Robert Adelman and Ms. Caroline Gaynor, each of whom served on our board of directors during the fiscal year ended December 31, 2019.</w:t>
      </w:r>
    </w:p>
    <w:p>
      <w:pPr>
        <w:spacing w:after="0" w:line="111" w:lineRule="exact"/>
        <w:rPr>
          <w:sz w:val="20"/>
          <w:szCs w:val="20"/>
          <w:color w:val="auto"/>
        </w:rPr>
      </w:pPr>
    </w:p>
    <w:p>
      <w:pPr>
        <w:ind w:left="120" w:right="700"/>
        <w:spacing w:after="0" w:line="275" w:lineRule="auto"/>
        <w:rPr>
          <w:sz w:val="20"/>
          <w:szCs w:val="20"/>
          <w:color w:val="auto"/>
        </w:rPr>
      </w:pPr>
      <w:r>
        <w:rPr>
          <w:rFonts w:ascii="Arial" w:cs="Arial" w:eastAsia="Arial" w:hAnsi="Arial"/>
          <w:sz w:val="17"/>
          <w:szCs w:val="17"/>
          <w:color w:val="auto"/>
        </w:rPr>
        <w:t>We do reimburse our directors for expenses associated with attending meetings of our board of directors and committees of our board of directors.</w:t>
      </w:r>
    </w:p>
    <w:p>
      <w:pPr>
        <w:spacing w:after="0" w:line="92"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Dr. Pons was our only employee director during 2019. See the section titled “Executive Compensation” for additional information about Dr. Pons’ compensation.</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42" w:lineRule="auto"/>
        <w:rPr>
          <w:sz w:val="20"/>
          <w:szCs w:val="20"/>
          <w:color w:val="auto"/>
        </w:rPr>
      </w:pPr>
      <w:r>
        <w:rPr>
          <w:rFonts w:ascii="Arial" w:cs="Arial" w:eastAsia="Arial" w:hAnsi="Arial"/>
          <w:sz w:val="17"/>
          <w:szCs w:val="17"/>
          <w:color w:val="auto"/>
        </w:rPr>
        <w:t>In April 2020, we retained Compensia, a third-party compensation consultant, to provide our board of directors and its compensation committee with an analysis of publicly available market data, and assistance in determining, compensation to be provided to our non-employee directors on and after the effective date of our registration statement of which this prospectus forms a part. Based on the discussions with and assistance from Compensia, in July 2020, our board of directors adopted, and our stockholders approved, an Outside Director Compensation Policy that provides for certain compensation to our non-employee directors.</w:t>
      </w:r>
    </w:p>
    <w:p>
      <w:pPr>
        <w:spacing w:after="0" w:line="121" w:lineRule="exact"/>
        <w:rPr>
          <w:sz w:val="20"/>
          <w:szCs w:val="20"/>
          <w:color w:val="auto"/>
        </w:rPr>
      </w:pPr>
    </w:p>
    <w:p>
      <w:pPr>
        <w:ind w:left="120" w:right="180"/>
        <w:spacing w:after="0" w:line="242" w:lineRule="auto"/>
        <w:rPr>
          <w:sz w:val="20"/>
          <w:szCs w:val="20"/>
          <w:color w:val="auto"/>
        </w:rPr>
      </w:pPr>
      <w:r>
        <w:rPr>
          <w:rFonts w:ascii="Arial" w:cs="Arial" w:eastAsia="Arial" w:hAnsi="Arial"/>
          <w:sz w:val="17"/>
          <w:szCs w:val="17"/>
          <w:color w:val="auto"/>
        </w:rPr>
        <w:t>In June 2020 and in connection with our initial public offering, our board of directors approved the grant of options to purchase 24,009 shares of our common stock to each of our directors, other than to Dr. Pons and Ms. Hemrajani, with an exercise price equal to the initial public offering price of our common stock, which were effective as of July 16, 2020. The grants are subject to the terms and conditions of our 2020 Plan and form of option agreement thereunder. Each of the options vests as to one thirty-sixth of the shares subject to the option on a monthly basis from the grant date, in each case subject to continued service through each applicable vesting date.</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Compensation</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Outside Director Compensation Policy provides for the following cash compensation program for our non-employee directors:</w:t>
      </w:r>
    </w:p>
    <w:p>
      <w:pPr>
        <w:spacing w:after="0" w:line="185" w:lineRule="exact"/>
        <w:rPr>
          <w:sz w:val="20"/>
          <w:szCs w:val="20"/>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$40,000 per year for service as a non-employee director;</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$30,000 per year for service as non-employee chair of our board of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$20,000 per year for service as chair of the audit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$7,500 per year for service as a member of the audit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$10,000 per year for service as chair of the compensation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$5,000 per year for service as a member of the compensation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$8,000 per year for service as chair of the corporate governance and nominating committee;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$4,000 per year for service as a member of the corporate governance and nominating committee.</w:t>
      </w:r>
    </w:p>
    <w:p>
      <w:pPr>
        <w:spacing w:after="0" w:line="154" w:lineRule="exact"/>
        <w:rPr>
          <w:sz w:val="20"/>
          <w:szCs w:val="20"/>
          <w:color w:val="auto"/>
        </w:rPr>
      </w:pPr>
    </w:p>
    <w:p>
      <w:pPr>
        <w:jc w:val="both"/>
        <w:ind w:left="120" w:right="340"/>
        <w:spacing w:after="0" w:line="246" w:lineRule="auto"/>
        <w:rPr>
          <w:sz w:val="20"/>
          <w:szCs w:val="20"/>
          <w:color w:val="auto"/>
        </w:rPr>
      </w:pPr>
      <w:r>
        <w:rPr>
          <w:rFonts w:ascii="Arial" w:cs="Arial" w:eastAsia="Arial" w:hAnsi="Arial"/>
          <w:sz w:val="17"/>
          <w:szCs w:val="17"/>
          <w:color w:val="auto"/>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 xml:space="preserve">Initial Award. </w:t>
      </w:r>
      <w:r>
        <w:rPr>
          <w:rFonts w:ascii="Arial" w:cs="Arial" w:eastAsia="Arial" w:hAnsi="Arial"/>
          <w:sz w:val="17"/>
          <w:szCs w:val="17"/>
          <w:color w:val="auto"/>
        </w:rPr>
        <w:t>Pursuant to our Outside Director Compensation Policy, each person who first becomes a non-employee director after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such policy will receive, on the first trading day on or after the date that the person first becomes a non-employee director, an initial award, or the Initial Award, of stock options to purchase 24,009 shares of our common stock.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23"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 xml:space="preserve">Annual Award. </w:t>
      </w:r>
      <w:r>
        <w:rPr>
          <w:rFonts w:ascii="Arial" w:cs="Arial" w:eastAsia="Arial" w:hAnsi="Arial"/>
          <w:sz w:val="17"/>
          <w:szCs w:val="17"/>
          <w:color w:val="auto"/>
        </w:rPr>
        <w:t>Pursuant to our Outside Director Compensation Policy, each non-employee director automatically will receive, on the first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day immediately after the date of each annual meeting of our stockholders that occurs following the effective date of our Outside Director Compensation Policy, an annual award, or the Annual Award, of stock options to purchase 12,004 shares of our common stock, with such number of shares prorated if the recipient commenced service as a non-employee director after the date of the immediately prior annual meeting of our stockholders, based on the number of whole months of non-employee director service completed before the Annual Award’s grant date. Each Annual Award will be scheduled to vest as to one-twelfth of the shares of our common stock subject at grant to the Annual Award on a monthly basis following the Annual Award’s grant date, on the same day of the month as the grant date, or if earlier, the day immediately before the day of the next annual meeting of stockholders that occurs after the grant date of the Annual Award, subject to continued services to us through the applicable vesting dates.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00"/>
        <w:spacing w:after="0" w:line="253"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as defined in our Amended and Restated 2020 Equity Incentive Plan, each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then outstanding equity awards covering shares of our common stock will accelerate vesting in full, provided that he or she remains a non-employee director through the date of our change in control.</w:t>
      </w:r>
    </w:p>
    <w:p>
      <w:pPr>
        <w:spacing w:after="0" w:line="111" w:lineRule="exact"/>
        <w:rPr>
          <w:sz w:val="20"/>
          <w:szCs w:val="20"/>
          <w:color w:val="auto"/>
        </w:rPr>
      </w:pPr>
    </w:p>
    <w:p>
      <w:pPr>
        <w:ind w:left="120" w:right="60"/>
        <w:spacing w:after="0" w:line="253" w:lineRule="auto"/>
        <w:rPr>
          <w:sz w:val="20"/>
          <w:szCs w:val="20"/>
          <w:color w:val="auto"/>
        </w:rPr>
      </w:pPr>
      <w:r>
        <w:rPr>
          <w:rFonts w:ascii="Arial" w:cs="Arial" w:eastAsia="Arial" w:hAnsi="Arial"/>
          <w:sz w:val="17"/>
          <w:szCs w:val="17"/>
          <w:i w:val="1"/>
          <w:iCs w:val="1"/>
          <w:color w:val="auto"/>
        </w:rPr>
        <w:t>Other Award Terms</w:t>
      </w:r>
      <w:r>
        <w:rPr>
          <w:rFonts w:ascii="Arial" w:cs="Arial" w:eastAsia="Arial" w:hAnsi="Arial"/>
          <w:sz w:val="17"/>
          <w:szCs w:val="17"/>
          <w:color w:val="auto"/>
        </w:rPr>
        <w:t>. Each Initial Award and Annual Award will be granted under our Amended and Restated 2020 Equity Incentive Plan (or its</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plan, as applicable) and form of award agreement under such plan. These awards will have a maximum term to expiration of ten years from their grant and a per-share exercise price equal to 100% of the fair market value of a share of our common stock on the award’s grant date.</w:t>
      </w:r>
    </w:p>
    <w:p>
      <w:pPr>
        <w:spacing w:after="0" w:line="111" w:lineRule="exact"/>
        <w:rPr>
          <w:sz w:val="20"/>
          <w:szCs w:val="20"/>
          <w:color w:val="auto"/>
        </w:rPr>
      </w:pPr>
    </w:p>
    <w:p>
      <w:pPr>
        <w:ind w:left="120" w:right="60"/>
        <w:spacing w:after="0" w:line="242" w:lineRule="auto"/>
        <w:rPr>
          <w:sz w:val="20"/>
          <w:szCs w:val="20"/>
          <w:color w:val="auto"/>
        </w:rPr>
      </w:pPr>
      <w:r>
        <w:rPr>
          <w:rFonts w:ascii="Arial" w:cs="Arial" w:eastAsia="Arial" w:hAnsi="Arial"/>
          <w:sz w:val="17"/>
          <w:szCs w:val="17"/>
          <w:i w:val="1"/>
          <w:iCs w:val="1"/>
          <w:color w:val="auto"/>
        </w:rPr>
        <w:t xml:space="preserve">Director Compensation Limits. </w:t>
      </w:r>
      <w:r>
        <w:rPr>
          <w:rFonts w:ascii="Arial" w:cs="Arial" w:eastAsia="Arial" w:hAnsi="Arial"/>
          <w:sz w:val="17"/>
          <w:szCs w:val="17"/>
          <w:color w:val="auto"/>
        </w:rPr>
        <w:t>Our Outside Director Compensation Policy provides that in any fiscal year, a non-employee director may be paid</w:t>
      </w:r>
      <w:r>
        <w:rPr>
          <w:rFonts w:ascii="Arial" w:cs="Arial" w:eastAsia="Arial" w:hAnsi="Arial"/>
          <w:sz w:val="17"/>
          <w:szCs w:val="17"/>
          <w:i w:val="1"/>
          <w:iCs w:val="1"/>
          <w:color w:val="auto"/>
        </w:rPr>
        <w:t xml:space="preserve"> </w:t>
      </w:r>
      <w:r>
        <w:rPr>
          <w:rFonts w:ascii="Arial" w:cs="Arial" w:eastAsia="Arial" w:hAnsi="Arial"/>
          <w:sz w:val="17"/>
          <w:szCs w:val="17"/>
          <w:color w:val="auto"/>
        </w:rPr>
        <w:t>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our initial public offering, do not count toward this annual limit.</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60" w:lineRule="exact"/>
        <w:rPr>
          <w:sz w:val="20"/>
          <w:szCs w:val="20"/>
          <w:color w:val="auto"/>
        </w:rPr>
      </w:pPr>
    </w:p>
    <w:p>
      <w:pPr>
        <w:ind w:left="120" w:right="240"/>
        <w:spacing w:after="0" w:line="246"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board of directors has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is available on our website at http://alxoncology.com.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316"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Our named executive officers for the year ended December 31, 2019, which consist of our principal executive officer and the next two most highly compensated executive officers, are:</w:t>
      </w:r>
    </w:p>
    <w:p>
      <w:pPr>
        <w:spacing w:after="0" w:line="133" w:lineRule="exact"/>
        <w:rPr>
          <w:sz w:val="20"/>
          <w:szCs w:val="20"/>
          <w:color w:val="auto"/>
        </w:rPr>
      </w:pPr>
    </w:p>
    <w:p>
      <w:pPr>
        <w:ind w:left="980" w:hanging="432"/>
        <w:spacing w:after="0"/>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Jaume Pons, Ph.D., our President and Chief Executive Officer;</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Sophia Randolph, M.D., Ph.D., our Chief Medical Officer; and</w:t>
      </w:r>
    </w:p>
    <w:p>
      <w:pPr>
        <w:spacing w:after="0" w:line="34" w:lineRule="exact"/>
        <w:rPr>
          <w:rFonts w:ascii="MS PGothic" w:cs="MS PGothic" w:eastAsia="MS PGothic" w:hAnsi="MS PGothic"/>
          <w:sz w:val="13"/>
          <w:szCs w:val="13"/>
          <w:color w:val="auto"/>
        </w:rPr>
      </w:pPr>
    </w:p>
    <w:p>
      <w:pPr>
        <w:ind w:left="980" w:right="60" w:hanging="432"/>
        <w:spacing w:after="0" w:line="273" w:lineRule="auto"/>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Hong Wan, Ph.D., our former Chief Scientific Officer, who resigned effective June 30, 2020 as described in “Certain Relationships and Related-Party Transactions—Tallac Therapeutics Agreements.”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 for Fiscal Year Ended December 31, 2019</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the compensation of our named executive officers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INCENTIVE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PLAN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AWARDS</w:t>
            </w:r>
          </w:p>
        </w:tc>
        <w:tc>
          <w:tcPr>
            <w:tcW w:w="13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COMPENSATION</w:t>
            </w: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0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60" w:type="dxa"/>
            <w:vAlign w:val="bottom"/>
          </w:tcPr>
          <w:p>
            <w:pPr>
              <w:spacing w:after="0"/>
              <w:rPr>
                <w:sz w:val="16"/>
                <w:szCs w:val="16"/>
                <w:color w:val="auto"/>
              </w:rPr>
            </w:pPr>
          </w:p>
        </w:tc>
        <w:tc>
          <w:tcPr>
            <w:tcW w:w="122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160" w:type="dxa"/>
            <w:vAlign w:val="bottom"/>
          </w:tcPr>
          <w:p>
            <w:pPr>
              <w:spacing w:after="0"/>
              <w:rPr>
                <w:sz w:val="16"/>
                <w:szCs w:val="16"/>
                <w:color w:val="auto"/>
              </w:rPr>
            </w:pPr>
          </w:p>
        </w:tc>
        <w:tc>
          <w:tcPr>
            <w:tcW w:w="72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300" w:type="dxa"/>
            <w:vAlign w:val="bottom"/>
            <w:tcBorders>
              <w:top w:val="single" w:sz="8" w:color="auto"/>
            </w:tcBorders>
            <w:shd w:val="clear" w:color="auto" w:fill="CCEEFF"/>
          </w:tcPr>
          <w:p>
            <w:pPr>
              <w:spacing w:after="0" w:line="150" w:lineRule="exact"/>
              <w:rPr>
                <w:sz w:val="20"/>
                <w:szCs w:val="20"/>
                <w:color w:val="auto"/>
              </w:rPr>
            </w:pPr>
            <w:r>
              <w:rPr>
                <w:rFonts w:ascii="Arial" w:cs="Arial" w:eastAsia="Arial" w:hAnsi="Arial"/>
                <w:sz w:val="17"/>
                <w:szCs w:val="17"/>
                <w:color w:val="auto"/>
              </w:rPr>
              <w:t>Jaume Pons, Ph.D.</w:t>
            </w:r>
          </w:p>
        </w:tc>
        <w:tc>
          <w:tcPr>
            <w:tcW w:w="40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80"/>
              <w:spacing w:after="0" w:line="150" w:lineRule="exact"/>
              <w:rPr>
                <w:sz w:val="20"/>
                <w:szCs w:val="20"/>
                <w:color w:val="auto"/>
              </w:rPr>
            </w:pPr>
            <w:r>
              <w:rPr>
                <w:rFonts w:ascii="Arial" w:cs="Arial" w:eastAsia="Arial" w:hAnsi="Arial"/>
                <w:sz w:val="17"/>
                <w:szCs w:val="17"/>
                <w:color w:val="auto"/>
                <w:w w:val="95"/>
              </w:rPr>
              <w:t>2019</w:t>
            </w:r>
          </w:p>
        </w:tc>
        <w:tc>
          <w:tcPr>
            <w:tcW w:w="1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0" w:lineRule="exact"/>
              <w:rPr>
                <w:sz w:val="20"/>
                <w:szCs w:val="20"/>
                <w:color w:val="auto"/>
              </w:rPr>
            </w:pPr>
            <w:r>
              <w:rPr>
                <w:rFonts w:ascii="Arial" w:cs="Arial" w:eastAsia="Arial" w:hAnsi="Arial"/>
                <w:sz w:val="17"/>
                <w:szCs w:val="17"/>
                <w:color w:val="auto"/>
              </w:rPr>
              <w:t>422,300</w:t>
            </w: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0" w:lineRule="exact"/>
              <w:rPr>
                <w:sz w:val="20"/>
                <w:szCs w:val="20"/>
                <w:color w:val="auto"/>
              </w:rPr>
            </w:pPr>
            <w:r>
              <w:rPr>
                <w:rFonts w:ascii="Arial" w:cs="Arial" w:eastAsia="Arial" w:hAnsi="Arial"/>
                <w:sz w:val="17"/>
                <w:szCs w:val="17"/>
                <w:color w:val="auto"/>
              </w:rPr>
              <w:t>134,002</w:t>
            </w:r>
          </w:p>
        </w:tc>
        <w:tc>
          <w:tcPr>
            <w:tcW w:w="16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spacing w:after="0" w:line="150" w:lineRule="exact"/>
              <w:rPr>
                <w:sz w:val="20"/>
                <w:szCs w:val="20"/>
                <w:color w:val="auto"/>
              </w:rPr>
            </w:pPr>
            <w:r>
              <w:rPr>
                <w:rFonts w:ascii="Arial" w:cs="Arial" w:eastAsia="Arial" w:hAnsi="Arial"/>
                <w:sz w:val="17"/>
                <w:szCs w:val="17"/>
                <w:color w:val="auto"/>
              </w:rPr>
              <w:t>147,900</w:t>
            </w:r>
          </w:p>
        </w:tc>
        <w:tc>
          <w:tcPr>
            <w:tcW w:w="1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0" w:lineRule="exact"/>
              <w:rPr>
                <w:sz w:val="20"/>
                <w:szCs w:val="20"/>
                <w:color w:val="auto"/>
              </w:rPr>
            </w:pPr>
            <w:r>
              <w:rPr>
                <w:rFonts w:ascii="Arial" w:cs="Arial" w:eastAsia="Arial" w:hAnsi="Arial"/>
                <w:sz w:val="17"/>
                <w:szCs w:val="17"/>
                <w:color w:val="auto"/>
              </w:rPr>
              <w:t>704,202</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380" w:type="dxa"/>
            <w:vAlign w:val="bottom"/>
            <w:gridSpan w:val="2"/>
            <w:shd w:val="clear" w:color="auto" w:fill="CCEEFF"/>
          </w:tcPr>
          <w:p>
            <w:pPr>
              <w:ind w:left="500"/>
              <w:spacing w:after="0"/>
              <w:rPr>
                <w:sz w:val="20"/>
                <w:szCs w:val="20"/>
                <w:color w:val="auto"/>
              </w:rPr>
            </w:pPr>
            <w:r>
              <w:rPr>
                <w:rFonts w:ascii="Arial" w:cs="Arial" w:eastAsia="Arial" w:hAnsi="Arial"/>
                <w:sz w:val="17"/>
                <w:szCs w:val="17"/>
                <w:i w:val="1"/>
                <w:iCs w:val="1"/>
                <w:color w:val="auto"/>
              </w:rPr>
              <w:t>President and Chief Executive Officer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380" w:type="dxa"/>
            <w:vAlign w:val="bottom"/>
            <w:gridSpan w:val="2"/>
          </w:tcPr>
          <w:p>
            <w:pPr>
              <w:spacing w:after="0" w:line="163" w:lineRule="exact"/>
              <w:rPr>
                <w:sz w:val="20"/>
                <w:szCs w:val="20"/>
                <w:color w:val="auto"/>
              </w:rPr>
            </w:pPr>
            <w:r>
              <w:rPr>
                <w:rFonts w:ascii="Arial" w:cs="Arial" w:eastAsia="Arial" w:hAnsi="Arial"/>
                <w:sz w:val="17"/>
                <w:szCs w:val="17"/>
                <w:color w:val="auto"/>
              </w:rPr>
              <w:t>Sophia Randolph, M.D., Ph.D.</w:t>
            </w:r>
          </w:p>
        </w:tc>
        <w:tc>
          <w:tcPr>
            <w:tcW w:w="740" w:type="dxa"/>
            <w:vAlign w:val="bottom"/>
            <w:gridSpan w:val="3"/>
          </w:tcPr>
          <w:p>
            <w:pPr>
              <w:ind w:left="180"/>
              <w:spacing w:after="0" w:line="163" w:lineRule="exact"/>
              <w:rPr>
                <w:sz w:val="20"/>
                <w:szCs w:val="20"/>
                <w:color w:val="auto"/>
              </w:rPr>
            </w:pPr>
            <w:r>
              <w:rPr>
                <w:rFonts w:ascii="Arial" w:cs="Arial" w:eastAsia="Arial" w:hAnsi="Arial"/>
                <w:sz w:val="17"/>
                <w:szCs w:val="17"/>
                <w:color w:val="auto"/>
              </w:rPr>
              <w:t>2019</w:t>
            </w:r>
          </w:p>
        </w:tc>
        <w:tc>
          <w:tcPr>
            <w:tcW w:w="860" w:type="dxa"/>
            <w:vAlign w:val="bottom"/>
            <w:gridSpan w:val="2"/>
          </w:tcPr>
          <w:p>
            <w:pPr>
              <w:jc w:val="right"/>
              <w:ind w:right="160"/>
              <w:spacing w:after="0" w:line="163" w:lineRule="exact"/>
              <w:rPr>
                <w:sz w:val="20"/>
                <w:szCs w:val="20"/>
                <w:color w:val="auto"/>
              </w:rPr>
            </w:pPr>
            <w:r>
              <w:rPr>
                <w:rFonts w:ascii="Arial" w:cs="Arial" w:eastAsia="Arial" w:hAnsi="Arial"/>
                <w:sz w:val="17"/>
                <w:szCs w:val="17"/>
                <w:color w:val="auto"/>
              </w:rPr>
              <w:t>351,100</w:t>
            </w:r>
          </w:p>
        </w:tc>
        <w:tc>
          <w:tcPr>
            <w:tcW w:w="860" w:type="dxa"/>
            <w:vAlign w:val="bottom"/>
            <w:gridSpan w:val="2"/>
          </w:tcPr>
          <w:p>
            <w:pPr>
              <w:jc w:val="right"/>
              <w:ind w:right="160"/>
              <w:spacing w:after="0" w:line="163" w:lineRule="exact"/>
              <w:rPr>
                <w:sz w:val="20"/>
                <w:szCs w:val="20"/>
                <w:color w:val="auto"/>
              </w:rPr>
            </w:pPr>
            <w:r>
              <w:rPr>
                <w:rFonts w:ascii="Arial" w:cs="Arial" w:eastAsia="Arial" w:hAnsi="Arial"/>
                <w:sz w:val="17"/>
                <w:szCs w:val="17"/>
                <w:color w:val="auto"/>
              </w:rPr>
              <w:t>40,834</w:t>
            </w:r>
          </w:p>
        </w:tc>
        <w:tc>
          <w:tcPr>
            <w:tcW w:w="1380" w:type="dxa"/>
            <w:vAlign w:val="bottom"/>
            <w:gridSpan w:val="2"/>
          </w:tcPr>
          <w:p>
            <w:pPr>
              <w:jc w:val="right"/>
              <w:ind w:right="160"/>
              <w:spacing w:after="0" w:line="163" w:lineRule="exact"/>
              <w:rPr>
                <w:sz w:val="20"/>
                <w:szCs w:val="20"/>
                <w:color w:val="auto"/>
              </w:rPr>
            </w:pPr>
            <w:r>
              <w:rPr>
                <w:rFonts w:ascii="Arial" w:cs="Arial" w:eastAsia="Arial" w:hAnsi="Arial"/>
                <w:sz w:val="17"/>
                <w:szCs w:val="17"/>
                <w:color w:val="auto"/>
              </w:rPr>
              <w:t>105,400</w:t>
            </w:r>
          </w:p>
        </w:tc>
        <w:tc>
          <w:tcPr>
            <w:tcW w:w="800" w:type="dxa"/>
            <w:vAlign w:val="bottom"/>
            <w:gridSpan w:val="2"/>
          </w:tcPr>
          <w:p>
            <w:pPr>
              <w:jc w:val="right"/>
              <w:ind w:right="80"/>
              <w:spacing w:after="0" w:line="163" w:lineRule="exact"/>
              <w:rPr>
                <w:sz w:val="20"/>
                <w:szCs w:val="20"/>
                <w:color w:val="auto"/>
              </w:rPr>
            </w:pPr>
            <w:r>
              <w:rPr>
                <w:rFonts w:ascii="Arial" w:cs="Arial" w:eastAsia="Arial" w:hAnsi="Arial"/>
                <w:sz w:val="17"/>
                <w:szCs w:val="17"/>
                <w:color w:val="auto"/>
              </w:rPr>
              <w:t>497,334</w:t>
            </w:r>
          </w:p>
        </w:tc>
        <w:tc>
          <w:tcPr>
            <w:tcW w:w="0" w:type="dxa"/>
            <w:vAlign w:val="bottom"/>
          </w:tcPr>
          <w:p>
            <w:pPr>
              <w:spacing w:after="0"/>
              <w:rPr>
                <w:sz w:val="1"/>
                <w:szCs w:val="1"/>
                <w:color w:val="auto"/>
              </w:rPr>
            </w:pPr>
          </w:p>
        </w:tc>
      </w:tr>
      <w:tr>
        <w:trPr>
          <w:trHeight w:val="215"/>
        </w:trPr>
        <w:tc>
          <w:tcPr>
            <w:tcW w:w="6380" w:type="dxa"/>
            <w:vAlign w:val="bottom"/>
            <w:gridSpan w:val="2"/>
          </w:tcPr>
          <w:p>
            <w:pPr>
              <w:ind w:left="500"/>
              <w:spacing w:after="0"/>
              <w:rPr>
                <w:sz w:val="20"/>
                <w:szCs w:val="20"/>
                <w:color w:val="auto"/>
              </w:rPr>
            </w:pPr>
            <w:r>
              <w:rPr>
                <w:rFonts w:ascii="Arial" w:cs="Arial" w:eastAsia="Arial" w:hAnsi="Arial"/>
                <w:sz w:val="17"/>
                <w:szCs w:val="17"/>
                <w:i w:val="1"/>
                <w:iCs w:val="1"/>
                <w:color w:val="auto"/>
              </w:rPr>
              <w:t>Chief Medical Officer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38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color w:val="auto"/>
              </w:rPr>
              <w:t>Hong Wan, Ph.D.</w:t>
            </w:r>
          </w:p>
        </w:tc>
        <w:tc>
          <w:tcPr>
            <w:tcW w:w="740" w:type="dxa"/>
            <w:vAlign w:val="bottom"/>
            <w:gridSpan w:val="3"/>
            <w:shd w:val="clear" w:color="auto" w:fill="CCEEFF"/>
          </w:tcPr>
          <w:p>
            <w:pPr>
              <w:ind w:left="180"/>
              <w:spacing w:after="0" w:line="163" w:lineRule="exact"/>
              <w:rPr>
                <w:sz w:val="20"/>
                <w:szCs w:val="20"/>
                <w:color w:val="auto"/>
              </w:rPr>
            </w:pPr>
            <w:r>
              <w:rPr>
                <w:rFonts w:ascii="Arial" w:cs="Arial" w:eastAsia="Arial" w:hAnsi="Arial"/>
                <w:sz w:val="17"/>
                <w:szCs w:val="17"/>
                <w:color w:val="auto"/>
              </w:rPr>
              <w:t>2019</w:t>
            </w:r>
          </w:p>
        </w:tc>
        <w:tc>
          <w:tcPr>
            <w:tcW w:w="86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7"/>
                <w:szCs w:val="17"/>
                <w:color w:val="auto"/>
              </w:rPr>
              <w:t>313,100</w:t>
            </w:r>
          </w:p>
        </w:tc>
        <w:tc>
          <w:tcPr>
            <w:tcW w:w="86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7"/>
                <w:szCs w:val="17"/>
                <w:color w:val="auto"/>
              </w:rPr>
              <w:t>40,372</w:t>
            </w:r>
          </w:p>
        </w:tc>
        <w:tc>
          <w:tcPr>
            <w:tcW w:w="1380" w:type="dxa"/>
            <w:vAlign w:val="bottom"/>
            <w:gridSpan w:val="2"/>
            <w:shd w:val="clear" w:color="auto" w:fill="CCEEFF"/>
          </w:tcPr>
          <w:p>
            <w:pPr>
              <w:jc w:val="right"/>
              <w:ind w:right="160"/>
              <w:spacing w:after="0" w:line="163" w:lineRule="exact"/>
              <w:rPr>
                <w:sz w:val="20"/>
                <w:szCs w:val="20"/>
                <w:color w:val="auto"/>
              </w:rPr>
            </w:pPr>
            <w:r>
              <w:rPr>
                <w:rFonts w:ascii="Arial" w:cs="Arial" w:eastAsia="Arial" w:hAnsi="Arial"/>
                <w:sz w:val="17"/>
                <w:szCs w:val="17"/>
                <w:color w:val="auto"/>
              </w:rPr>
              <w:t>94,000</w:t>
            </w:r>
          </w:p>
        </w:tc>
        <w:tc>
          <w:tcPr>
            <w:tcW w:w="800" w:type="dxa"/>
            <w:vAlign w:val="bottom"/>
            <w:gridSpan w:val="2"/>
            <w:shd w:val="clear" w:color="auto" w:fill="CCEEFF"/>
          </w:tcPr>
          <w:p>
            <w:pPr>
              <w:jc w:val="right"/>
              <w:ind w:right="80"/>
              <w:spacing w:after="0" w:line="163" w:lineRule="exact"/>
              <w:rPr>
                <w:sz w:val="20"/>
                <w:szCs w:val="20"/>
                <w:color w:val="auto"/>
              </w:rPr>
            </w:pPr>
            <w:r>
              <w:rPr>
                <w:rFonts w:ascii="Arial" w:cs="Arial" w:eastAsia="Arial" w:hAnsi="Arial"/>
                <w:sz w:val="17"/>
                <w:szCs w:val="17"/>
                <w:color w:val="auto"/>
              </w:rPr>
              <w:t>447,472</w:t>
            </w:r>
          </w:p>
        </w:tc>
        <w:tc>
          <w:tcPr>
            <w:tcW w:w="0" w:type="dxa"/>
            <w:vAlign w:val="bottom"/>
          </w:tcPr>
          <w:p>
            <w:pPr>
              <w:spacing w:after="0"/>
              <w:rPr>
                <w:sz w:val="1"/>
                <w:szCs w:val="1"/>
                <w:color w:val="auto"/>
              </w:rPr>
            </w:pPr>
          </w:p>
        </w:tc>
      </w:tr>
      <w:tr>
        <w:trPr>
          <w:trHeight w:val="215"/>
        </w:trPr>
        <w:tc>
          <w:tcPr>
            <w:tcW w:w="6380" w:type="dxa"/>
            <w:vAlign w:val="bottom"/>
            <w:gridSpan w:val="2"/>
            <w:shd w:val="clear" w:color="auto" w:fill="CCEEFF"/>
          </w:tcPr>
          <w:p>
            <w:pPr>
              <w:ind w:left="500"/>
              <w:spacing w:after="0"/>
              <w:rPr>
                <w:sz w:val="20"/>
                <w:szCs w:val="20"/>
                <w:color w:val="auto"/>
              </w:rPr>
            </w:pPr>
            <w:r>
              <w:rPr>
                <w:rFonts w:ascii="Arial" w:cs="Arial" w:eastAsia="Arial" w:hAnsi="Arial"/>
                <w:sz w:val="17"/>
                <w:szCs w:val="17"/>
                <w:i w:val="1"/>
                <w:iCs w:val="1"/>
                <w:color w:val="auto"/>
              </w:rPr>
              <w:t>Chief Scientific Officer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540" w:right="20" w:hanging="276"/>
        <w:spacing w:after="0" w:line="261"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amounts disclosed represent the aggregate grant date fair value of the award as calculated in accordance with ASC 718. The assumptions used in calculating the grant date fair value of the award disclosed in this column are set forth in the notes to our audited consolidated financial statements included elsewhere in this prospectus. These amounts do not correspond to the actual value that may be recognized by the named executive officers upon vesting of the applicable awards.</w:t>
      </w:r>
    </w:p>
    <w:p>
      <w:pPr>
        <w:spacing w:after="0" w:line="1" w:lineRule="exact"/>
        <w:rPr>
          <w:rFonts w:ascii="Arial" w:cs="Arial" w:eastAsia="Arial" w:hAnsi="Arial"/>
          <w:sz w:val="14"/>
          <w:szCs w:val="14"/>
          <w:color w:val="auto"/>
        </w:rPr>
      </w:pPr>
    </w:p>
    <w:p>
      <w:pPr>
        <w:ind w:left="540" w:right="620" w:hanging="276"/>
        <w:spacing w:after="0" w:line="291"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amounts disclosed represent discretionary bonuses based upon achievement of certain Company and individual performance metrics for the year ended December 31, 2019, which were paid in March 2020.</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 2019</w:t>
      </w:r>
    </w:p>
    <w:p>
      <w:pPr>
        <w:spacing w:after="0" w:line="60"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following table sets forth information concerning outstanding equity awards held by each of our named executive officers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3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40" w:type="dxa"/>
            <w:vAlign w:val="bottom"/>
            <w:gridSpan w:val="3"/>
          </w:tcPr>
          <w:p>
            <w:pPr>
              <w:ind w:left="140"/>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4"/>
          </w:tcPr>
          <w:p>
            <w:pPr>
              <w:ind w:left="3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05"/>
        </w:trPr>
        <w:tc>
          <w:tcPr>
            <w:tcW w:w="38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spacing w:after="0" w:line="105" w:lineRule="exact"/>
              <w:rPr>
                <w:sz w:val="20"/>
                <w:szCs w:val="20"/>
                <w:color w:val="auto"/>
              </w:rPr>
            </w:pPr>
            <w:r>
              <w:rPr>
                <w:rFonts w:ascii="Arial" w:cs="Arial" w:eastAsia="Arial" w:hAnsi="Arial"/>
                <w:sz w:val="12"/>
                <w:szCs w:val="12"/>
                <w:b w:val="1"/>
                <w:bCs w:val="1"/>
                <w:color w:val="auto"/>
              </w:rPr>
              <w:t>MARKET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vMerge w:val="restart"/>
          </w:tcPr>
          <w:p>
            <w:pPr>
              <w:jc w:val="center"/>
              <w:ind w:right="348"/>
              <w:spacing w:after="0"/>
              <w:rPr>
                <w:sz w:val="20"/>
                <w:szCs w:val="20"/>
                <w:color w:val="auto"/>
              </w:rPr>
            </w:pPr>
            <w:r>
              <w:rPr>
                <w:rFonts w:ascii="Arial" w:cs="Arial" w:eastAsia="Arial" w:hAnsi="Arial"/>
                <w:sz w:val="13"/>
                <w:szCs w:val="13"/>
                <w:b w:val="1"/>
                <w:bCs w:val="1"/>
                <w:color w:val="auto"/>
                <w:w w:val="96"/>
              </w:rPr>
              <w:t>NUMBER OF</w:t>
            </w: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NUMBER OF</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NUMBER OF</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SHARES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4"/>
              </w:rPr>
              <w:t>SECURITIES</w:t>
            </w: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SECURITIES</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SHARES OR</w:t>
            </w:r>
          </w:p>
        </w:tc>
        <w:tc>
          <w:tcPr>
            <w:tcW w:w="42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OR UNITS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5"/>
              </w:rPr>
              <w:t>UNDERLYING</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UNDERLYING</w:t>
            </w: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OPTION</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UNITS OF</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8"/>
              </w:rPr>
              <w:t>OF STOCK</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UNEXERCISED</w:t>
            </w:r>
          </w:p>
        </w:tc>
        <w:tc>
          <w:tcPr>
            <w:tcW w:w="920" w:type="dxa"/>
            <w:vAlign w:val="bottom"/>
            <w:gridSpan w:val="2"/>
            <w:vMerge w:val="continue"/>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OPTION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THAT HAVE</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GRANT</w:t>
            </w: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9"/>
              </w:rPr>
              <w:t>OPTIONS</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9"/>
              </w:rPr>
              <w:t>OPTIONS</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EXERCISE</w:t>
            </w:r>
          </w:p>
        </w:tc>
        <w:tc>
          <w:tcPr>
            <w:tcW w:w="1160" w:type="dxa"/>
            <w:vAlign w:val="bottom"/>
            <w:gridSpan w:val="2"/>
            <w:vMerge w:val="continue"/>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NOT</w:t>
            </w:r>
          </w:p>
        </w:tc>
        <w:tc>
          <w:tcPr>
            <w:tcW w:w="0" w:type="dxa"/>
            <w:vAlign w:val="bottom"/>
          </w:tcPr>
          <w:p>
            <w:pPr>
              <w:spacing w:after="0"/>
              <w:rPr>
                <w:sz w:val="1"/>
                <w:szCs w:val="1"/>
                <w:color w:val="auto"/>
              </w:rPr>
            </w:pPr>
          </w:p>
        </w:tc>
      </w:tr>
      <w:tr>
        <w:trPr>
          <w:trHeight w:val="135"/>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w w:val="93"/>
              </w:rPr>
              <w:t>NAME</w:t>
            </w:r>
          </w:p>
        </w:tc>
        <w:tc>
          <w:tcPr>
            <w:tcW w:w="26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7"/>
              </w:rPr>
              <w:t>EXERCISABLE</w:t>
            </w: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UNEXERCISABLE</w:t>
            </w: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PRICE</w:t>
            </w: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EXPIRATION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NOT</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VESTED</w:t>
            </w:r>
          </w:p>
        </w:tc>
        <w:tc>
          <w:tcPr>
            <w:tcW w:w="0" w:type="dxa"/>
            <w:vAlign w:val="bottom"/>
          </w:tcPr>
          <w:p>
            <w:pPr>
              <w:spacing w:after="0"/>
              <w:rPr>
                <w:sz w:val="1"/>
                <w:szCs w:val="1"/>
                <w:color w:val="auto"/>
              </w:rPr>
            </w:pPr>
          </w:p>
        </w:tc>
      </w:tr>
      <w:tr>
        <w:trPr>
          <w:trHeight w:val="165"/>
        </w:trPr>
        <w:tc>
          <w:tcPr>
            <w:tcW w:w="38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460"/>
              <w:spacing w:after="0" w:line="146"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10"/>
                <w:szCs w:val="10"/>
                <w:b w:val="1"/>
                <w:bCs w:val="1"/>
                <w:color w:val="auto"/>
              </w:rPr>
              <w:t>(1)</w:t>
            </w:r>
          </w:p>
        </w:tc>
        <w:tc>
          <w:tcPr>
            <w:tcW w:w="9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7"/>
              </w:rPr>
              <w:t>(#)</w:t>
            </w:r>
          </w:p>
        </w:tc>
        <w:tc>
          <w:tcPr>
            <w:tcW w:w="420" w:type="dxa"/>
            <w:vAlign w:val="bottom"/>
          </w:tcPr>
          <w:p>
            <w:pPr>
              <w:spacing w:after="0"/>
              <w:rPr>
                <w:sz w:val="14"/>
                <w:szCs w:val="14"/>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4"/>
                <w:szCs w:val="14"/>
                <w:color w:val="auto"/>
              </w:rPr>
            </w:pPr>
          </w:p>
        </w:tc>
        <w:tc>
          <w:tcPr>
            <w:tcW w:w="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(2)</w:t>
            </w:r>
          </w:p>
        </w:tc>
        <w:tc>
          <w:tcPr>
            <w:tcW w:w="260" w:type="dxa"/>
            <w:vAlign w:val="bottom"/>
          </w:tcPr>
          <w:p>
            <w:pPr>
              <w:spacing w:after="0"/>
              <w:rPr>
                <w:sz w:val="14"/>
                <w:szCs w:val="14"/>
                <w:color w:val="auto"/>
              </w:rPr>
            </w:pPr>
          </w:p>
        </w:tc>
        <w:tc>
          <w:tcPr>
            <w:tcW w:w="116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5"/>
              </w:rPr>
              <w:t>DATE</w:t>
            </w: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7"/>
              </w:rPr>
              <w:t>VESTED (#)</w:t>
            </w:r>
          </w:p>
        </w:tc>
        <w:tc>
          <w:tcPr>
            <w:tcW w:w="420" w:type="dxa"/>
            <w:vAlign w:val="bottom"/>
          </w:tcPr>
          <w:p>
            <w:pPr>
              <w:spacing w:after="0"/>
              <w:rPr>
                <w:sz w:val="14"/>
                <w:szCs w:val="14"/>
                <w:color w:val="auto"/>
              </w:rPr>
            </w:pPr>
          </w:p>
        </w:tc>
        <w:tc>
          <w:tcPr>
            <w:tcW w:w="7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7"/>
                <w:szCs w:val="17"/>
                <w:color w:val="auto"/>
              </w:rPr>
              <w:t>Jaume Pons, Ph.D</w:t>
            </w:r>
          </w:p>
        </w:tc>
        <w:tc>
          <w:tcPr>
            <w:tcW w:w="1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7"/>
                <w:szCs w:val="17"/>
                <w:color w:val="auto"/>
              </w:rPr>
              <w:t>03/30/2017</w:t>
            </w:r>
          </w:p>
        </w:tc>
        <w:tc>
          <w:tcPr>
            <w:tcW w:w="2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7"/>
                <w:szCs w:val="17"/>
                <w:color w:val="auto"/>
              </w:rPr>
              <w:t>174,786</w:t>
            </w:r>
          </w:p>
        </w:tc>
        <w:tc>
          <w:tcPr>
            <w:tcW w:w="420" w:type="dxa"/>
            <w:vAlign w:val="bottom"/>
            <w:tcBorders>
              <w:top w:val="single" w:sz="8" w:color="CCEEFF"/>
            </w:tcBorders>
            <w:shd w:val="clear" w:color="auto" w:fill="CCEEFF"/>
          </w:tcPr>
          <w:p>
            <w:pPr>
              <w:jc w:val="right"/>
              <w:ind w:right="168"/>
              <w:spacing w:after="0" w:line="148" w:lineRule="exact"/>
              <w:rPr>
                <w:sz w:val="20"/>
                <w:szCs w:val="20"/>
                <w:color w:val="auto"/>
              </w:rPr>
            </w:pPr>
            <w:r>
              <w:rPr>
                <w:rFonts w:ascii="Arial" w:cs="Arial" w:eastAsia="Arial" w:hAnsi="Arial"/>
                <w:sz w:val="15"/>
                <w:szCs w:val="15"/>
                <w:color w:val="auto"/>
                <w:w w:val="87"/>
              </w:rPr>
              <w:t>(4)</w:t>
            </w:r>
          </w:p>
        </w:tc>
        <w:tc>
          <w:tcPr>
            <w:tcW w:w="10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7"/>
                <w:szCs w:val="17"/>
                <w:color w:val="auto"/>
              </w:rPr>
              <w:t>87,393</w:t>
            </w: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7"/>
                <w:szCs w:val="17"/>
                <w:color w:val="auto"/>
              </w:rPr>
              <w:t>0.99</w:t>
            </w:r>
          </w:p>
        </w:tc>
        <w:tc>
          <w:tcPr>
            <w:tcW w:w="2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7"/>
                <w:szCs w:val="17"/>
                <w:color w:val="auto"/>
              </w:rPr>
              <w:t>03/30/2027</w:t>
            </w: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38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340" w:type="dxa"/>
            <w:vAlign w:val="bottom"/>
            <w:gridSpan w:val="3"/>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09/12/2019</w:t>
            </w:r>
          </w:p>
        </w:tc>
        <w:tc>
          <w:tcPr>
            <w:tcW w:w="1340" w:type="dxa"/>
            <w:vAlign w:val="bottom"/>
            <w:gridSpan w:val="2"/>
            <w:shd w:val="clear" w:color="auto" w:fill="CCEEFF"/>
          </w:tcPr>
          <w:p>
            <w:pPr>
              <w:jc w:val="right"/>
              <w:ind w:right="348"/>
              <w:spacing w:after="0" w:line="32" w:lineRule="exact"/>
              <w:rPr>
                <w:sz w:val="20"/>
                <w:szCs w:val="20"/>
                <w:color w:val="auto"/>
              </w:rPr>
            </w:pPr>
            <w:r>
              <w:rPr>
                <w:rFonts w:ascii="Arial" w:cs="Arial" w:eastAsia="Arial" w:hAnsi="Arial"/>
                <w:sz w:val="3"/>
                <w:szCs w:val="3"/>
                <w:color w:val="auto"/>
              </w:rPr>
              <w:t>105,719</w:t>
            </w:r>
          </w:p>
        </w:tc>
        <w:tc>
          <w:tcPr>
            <w:tcW w:w="132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w:t>
            </w:r>
          </w:p>
        </w:tc>
        <w:tc>
          <w:tcPr>
            <w:tcW w:w="920" w:type="dxa"/>
            <w:vAlign w:val="bottom"/>
            <w:gridSpan w:val="2"/>
            <w:shd w:val="clear" w:color="auto" w:fill="CCEEFF"/>
          </w:tcPr>
          <w:p>
            <w:pPr>
              <w:jc w:val="right"/>
              <w:ind w:right="260"/>
              <w:spacing w:after="0" w:line="32" w:lineRule="exact"/>
              <w:rPr>
                <w:sz w:val="20"/>
                <w:szCs w:val="20"/>
                <w:color w:val="auto"/>
              </w:rPr>
            </w:pPr>
            <w:r>
              <w:rPr>
                <w:rFonts w:ascii="Arial" w:cs="Arial" w:eastAsia="Arial" w:hAnsi="Arial"/>
                <w:sz w:val="3"/>
                <w:szCs w:val="3"/>
                <w:color w:val="auto"/>
              </w:rPr>
              <w:t>1.91</w:t>
            </w:r>
          </w:p>
        </w:tc>
        <w:tc>
          <w:tcPr>
            <w:tcW w:w="116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09/12/2029</w:t>
            </w:r>
          </w:p>
        </w:tc>
        <w:tc>
          <w:tcPr>
            <w:tcW w:w="780" w:type="dxa"/>
            <w:vAlign w:val="bottom"/>
            <w:shd w:val="clear" w:color="auto" w:fill="CCEEFF"/>
          </w:tcPr>
          <w:p>
            <w:pPr>
              <w:jc w:val="right"/>
              <w:spacing w:after="0" w:line="32" w:lineRule="exact"/>
              <w:rPr>
                <w:sz w:val="20"/>
                <w:szCs w:val="20"/>
                <w:color w:val="auto"/>
              </w:rPr>
            </w:pPr>
            <w:r>
              <w:rPr>
                <w:rFonts w:ascii="Arial" w:cs="Arial" w:eastAsia="Arial" w:hAnsi="Arial"/>
                <w:sz w:val="3"/>
                <w:szCs w:val="3"/>
                <w:color w:val="auto"/>
              </w:rPr>
              <w:t>—</w:t>
            </w:r>
          </w:p>
        </w:tc>
        <w:tc>
          <w:tcPr>
            <w:tcW w:w="420" w:type="dxa"/>
            <w:vAlign w:val="bottom"/>
            <w:shd w:val="clear" w:color="auto" w:fill="CCEEFF"/>
          </w:tcPr>
          <w:p>
            <w:pPr>
              <w:spacing w:after="0"/>
              <w:rPr>
                <w:sz w:val="2"/>
                <w:szCs w:val="2"/>
                <w:color w:val="auto"/>
              </w:rPr>
            </w:pPr>
          </w:p>
        </w:tc>
        <w:tc>
          <w:tcPr>
            <w:tcW w:w="760" w:type="dxa"/>
            <w:vAlign w:val="bottom"/>
            <w:gridSpan w:val="2"/>
            <w:shd w:val="clear" w:color="auto" w:fill="CCEEFF"/>
          </w:tcPr>
          <w:p>
            <w:pPr>
              <w:jc w:val="right"/>
              <w:ind w:right="60"/>
              <w:spacing w:after="0" w:line="32"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85"/>
        </w:trPr>
        <w:tc>
          <w:tcPr>
            <w:tcW w:w="38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80" w:type="dxa"/>
            <w:vAlign w:val="bottom"/>
            <w:gridSpan w:val="2"/>
          </w:tcPr>
          <w:p>
            <w:pPr>
              <w:spacing w:after="0" w:line="135" w:lineRule="exact"/>
              <w:rPr>
                <w:sz w:val="20"/>
                <w:szCs w:val="20"/>
                <w:color w:val="auto"/>
              </w:rPr>
            </w:pPr>
            <w:r>
              <w:rPr>
                <w:rFonts w:ascii="Arial" w:cs="Arial" w:eastAsia="Arial" w:hAnsi="Arial"/>
                <w:sz w:val="15"/>
                <w:szCs w:val="15"/>
                <w:color w:val="auto"/>
              </w:rPr>
              <w:t>Sophia Randolph, M.D., Ph.D</w:t>
            </w:r>
          </w:p>
        </w:tc>
        <w:tc>
          <w:tcPr>
            <w:tcW w:w="1340" w:type="dxa"/>
            <w:vAlign w:val="bottom"/>
            <w:gridSpan w:val="3"/>
          </w:tcPr>
          <w:p>
            <w:pPr>
              <w:jc w:val="right"/>
              <w:ind w:right="240"/>
              <w:spacing w:after="0" w:line="135" w:lineRule="exact"/>
              <w:rPr>
                <w:sz w:val="20"/>
                <w:szCs w:val="20"/>
                <w:color w:val="auto"/>
              </w:rPr>
            </w:pPr>
            <w:r>
              <w:rPr>
                <w:rFonts w:ascii="Arial" w:cs="Arial" w:eastAsia="Arial" w:hAnsi="Arial"/>
                <w:sz w:val="15"/>
                <w:szCs w:val="15"/>
                <w:color w:val="auto"/>
              </w:rPr>
              <w:t>11/10/2016</w:t>
            </w:r>
          </w:p>
        </w:tc>
        <w:tc>
          <w:tcPr>
            <w:tcW w:w="1340" w:type="dxa"/>
            <w:vAlign w:val="bottom"/>
            <w:gridSpan w:val="2"/>
          </w:tcPr>
          <w:p>
            <w:pPr>
              <w:jc w:val="right"/>
              <w:ind w:right="348"/>
              <w:spacing w:after="0" w:line="135" w:lineRule="exact"/>
              <w:rPr>
                <w:sz w:val="20"/>
                <w:szCs w:val="20"/>
                <w:color w:val="auto"/>
              </w:rPr>
            </w:pPr>
            <w:r>
              <w:rPr>
                <w:rFonts w:ascii="Arial" w:cs="Arial" w:eastAsia="Arial" w:hAnsi="Arial"/>
                <w:sz w:val="15"/>
                <w:szCs w:val="15"/>
                <w:color w:val="auto"/>
              </w:rPr>
              <w:t>—</w:t>
            </w:r>
          </w:p>
        </w:tc>
        <w:tc>
          <w:tcPr>
            <w:tcW w:w="1320" w:type="dxa"/>
            <w:vAlign w:val="bottom"/>
            <w:gridSpan w:val="2"/>
          </w:tcPr>
          <w:p>
            <w:pPr>
              <w:jc w:val="right"/>
              <w:ind w:right="240"/>
              <w:spacing w:after="0" w:line="135"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60"/>
              <w:spacing w:after="0" w:line="135" w:lineRule="exact"/>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240"/>
              <w:spacing w:after="0" w:line="135" w:lineRule="exact"/>
              <w:rPr>
                <w:sz w:val="20"/>
                <w:szCs w:val="20"/>
                <w:color w:val="auto"/>
              </w:rPr>
            </w:pPr>
            <w:r>
              <w:rPr>
                <w:rFonts w:ascii="Arial" w:cs="Arial" w:eastAsia="Arial" w:hAnsi="Arial"/>
                <w:sz w:val="15"/>
                <w:szCs w:val="15"/>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5"/>
                <w:szCs w:val="15"/>
                <w:color w:val="auto"/>
              </w:rPr>
              <w:t>16,620</w:t>
            </w:r>
          </w:p>
        </w:tc>
        <w:tc>
          <w:tcPr>
            <w:tcW w:w="420" w:type="dxa"/>
            <w:vAlign w:val="bottom"/>
            <w:vMerge w:val="restart"/>
          </w:tcPr>
          <w:p>
            <w:pPr>
              <w:jc w:val="right"/>
              <w:ind w:right="167"/>
              <w:spacing w:after="0"/>
              <w:rPr>
                <w:sz w:val="20"/>
                <w:szCs w:val="20"/>
                <w:color w:val="auto"/>
              </w:rPr>
            </w:pPr>
            <w:r>
              <w:rPr>
                <w:rFonts w:ascii="Arial" w:cs="Arial" w:eastAsia="Arial" w:hAnsi="Arial"/>
                <w:sz w:val="15"/>
                <w:szCs w:val="15"/>
                <w:color w:val="auto"/>
                <w:w w:val="87"/>
              </w:rPr>
              <w:t>(6)</w:t>
            </w: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31,718</w:t>
            </w:r>
          </w:p>
        </w:tc>
        <w:tc>
          <w:tcPr>
            <w:tcW w:w="0" w:type="dxa"/>
            <w:vAlign w:val="bottom"/>
          </w:tcPr>
          <w:p>
            <w:pPr>
              <w:spacing w:after="0"/>
              <w:rPr>
                <w:sz w:val="1"/>
                <w:szCs w:val="1"/>
                <w:color w:val="auto"/>
              </w:rPr>
            </w:pPr>
          </w:p>
        </w:tc>
      </w:tr>
      <w:tr>
        <w:trPr>
          <w:trHeight w:val="58"/>
        </w:trPr>
        <w:tc>
          <w:tcPr>
            <w:tcW w:w="3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340" w:type="dxa"/>
            <w:vAlign w:val="bottom"/>
            <w:gridSpan w:val="3"/>
          </w:tcPr>
          <w:p>
            <w:pPr>
              <w:jc w:val="right"/>
              <w:ind w:right="240"/>
              <w:spacing w:after="0" w:line="58" w:lineRule="exact"/>
              <w:rPr>
                <w:sz w:val="20"/>
                <w:szCs w:val="20"/>
                <w:color w:val="auto"/>
              </w:rPr>
            </w:pPr>
            <w:r>
              <w:rPr>
                <w:rFonts w:ascii="Arial" w:cs="Arial" w:eastAsia="Arial" w:hAnsi="Arial"/>
                <w:sz w:val="6"/>
                <w:szCs w:val="6"/>
                <w:color w:val="auto"/>
              </w:rPr>
              <w:t>03/30/2017</w:t>
            </w:r>
          </w:p>
        </w:tc>
        <w:tc>
          <w:tcPr>
            <w:tcW w:w="1340" w:type="dxa"/>
            <w:vAlign w:val="bottom"/>
            <w:gridSpan w:val="2"/>
          </w:tcPr>
          <w:p>
            <w:pPr>
              <w:jc w:val="right"/>
              <w:ind w:right="348"/>
              <w:spacing w:after="0" w:line="58" w:lineRule="exact"/>
              <w:rPr>
                <w:sz w:val="20"/>
                <w:szCs w:val="20"/>
                <w:color w:val="auto"/>
              </w:rPr>
            </w:pPr>
            <w:r>
              <w:rPr>
                <w:rFonts w:ascii="Arial" w:cs="Arial" w:eastAsia="Arial" w:hAnsi="Arial"/>
                <w:sz w:val="6"/>
                <w:szCs w:val="6"/>
                <w:color w:val="auto"/>
              </w:rPr>
              <w:t>45,487</w:t>
            </w:r>
          </w:p>
        </w:tc>
        <w:tc>
          <w:tcPr>
            <w:tcW w:w="1320" w:type="dxa"/>
            <w:vAlign w:val="bottom"/>
            <w:gridSpan w:val="2"/>
          </w:tcPr>
          <w:p>
            <w:pPr>
              <w:jc w:val="right"/>
              <w:ind w:right="240"/>
              <w:spacing w:after="0" w:line="58" w:lineRule="exact"/>
              <w:rPr>
                <w:sz w:val="20"/>
                <w:szCs w:val="20"/>
                <w:color w:val="auto"/>
              </w:rPr>
            </w:pPr>
            <w:r>
              <w:rPr>
                <w:rFonts w:ascii="Arial" w:cs="Arial" w:eastAsia="Arial" w:hAnsi="Arial"/>
                <w:sz w:val="6"/>
                <w:szCs w:val="6"/>
                <w:color w:val="auto"/>
              </w:rPr>
              <w:t>22,743</w:t>
            </w:r>
          </w:p>
        </w:tc>
        <w:tc>
          <w:tcPr>
            <w:tcW w:w="920" w:type="dxa"/>
            <w:vAlign w:val="bottom"/>
            <w:gridSpan w:val="2"/>
          </w:tcPr>
          <w:p>
            <w:pPr>
              <w:jc w:val="right"/>
              <w:ind w:right="260"/>
              <w:spacing w:after="0" w:line="58" w:lineRule="exact"/>
              <w:rPr>
                <w:sz w:val="20"/>
                <w:szCs w:val="20"/>
                <w:color w:val="auto"/>
              </w:rPr>
            </w:pPr>
            <w:r>
              <w:rPr>
                <w:rFonts w:ascii="Arial" w:cs="Arial" w:eastAsia="Arial" w:hAnsi="Arial"/>
                <w:sz w:val="6"/>
                <w:szCs w:val="6"/>
                <w:color w:val="auto"/>
              </w:rPr>
              <w:t>0.99</w:t>
            </w:r>
          </w:p>
        </w:tc>
        <w:tc>
          <w:tcPr>
            <w:tcW w:w="1160" w:type="dxa"/>
            <w:vAlign w:val="bottom"/>
            <w:gridSpan w:val="2"/>
          </w:tcPr>
          <w:p>
            <w:pPr>
              <w:jc w:val="right"/>
              <w:ind w:right="240"/>
              <w:spacing w:after="0" w:line="58" w:lineRule="exact"/>
              <w:rPr>
                <w:sz w:val="20"/>
                <w:szCs w:val="20"/>
                <w:color w:val="auto"/>
              </w:rPr>
            </w:pPr>
            <w:r>
              <w:rPr>
                <w:rFonts w:ascii="Arial" w:cs="Arial" w:eastAsia="Arial" w:hAnsi="Arial"/>
                <w:sz w:val="6"/>
                <w:szCs w:val="6"/>
                <w:color w:val="auto"/>
              </w:rPr>
              <w:t>03/30/2027</w:t>
            </w:r>
          </w:p>
        </w:tc>
        <w:tc>
          <w:tcPr>
            <w:tcW w:w="780" w:type="dxa"/>
            <w:vAlign w:val="bottom"/>
          </w:tcPr>
          <w:p>
            <w:pPr>
              <w:jc w:val="right"/>
              <w:spacing w:after="0" w:line="58" w:lineRule="exact"/>
              <w:rPr>
                <w:sz w:val="20"/>
                <w:szCs w:val="20"/>
                <w:color w:val="auto"/>
              </w:rPr>
            </w:pPr>
            <w:r>
              <w:rPr>
                <w:rFonts w:ascii="Arial" w:cs="Arial" w:eastAsia="Arial" w:hAnsi="Arial"/>
                <w:sz w:val="6"/>
                <w:szCs w:val="6"/>
                <w:color w:val="auto"/>
              </w:rPr>
              <w:t>—</w:t>
            </w:r>
          </w:p>
        </w:tc>
        <w:tc>
          <w:tcPr>
            <w:tcW w:w="420" w:type="dxa"/>
            <w:vAlign w:val="bottom"/>
            <w:vMerge w:val="continue"/>
          </w:tcPr>
          <w:p>
            <w:pPr>
              <w:spacing w:after="0"/>
              <w:rPr>
                <w:sz w:val="5"/>
                <w:szCs w:val="5"/>
                <w:color w:val="auto"/>
              </w:rPr>
            </w:pPr>
          </w:p>
        </w:tc>
        <w:tc>
          <w:tcPr>
            <w:tcW w:w="760" w:type="dxa"/>
            <w:vAlign w:val="bottom"/>
            <w:gridSpan w:val="2"/>
          </w:tcPr>
          <w:p>
            <w:pPr>
              <w:jc w:val="right"/>
              <w:ind w:right="60"/>
              <w:spacing w:after="0" w:line="58" w:lineRule="exact"/>
              <w:rPr>
                <w:sz w:val="20"/>
                <w:szCs w:val="20"/>
                <w:color w:val="auto"/>
              </w:rPr>
            </w:pPr>
            <w:r>
              <w:rPr>
                <w:rFonts w:ascii="Arial" w:cs="Arial" w:eastAsia="Arial" w:hAnsi="Arial"/>
                <w:sz w:val="6"/>
                <w:szCs w:val="6"/>
                <w:color w:val="auto"/>
              </w:rPr>
              <w:t>—</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40" w:type="dxa"/>
            <w:vAlign w:val="bottom"/>
            <w:gridSpan w:val="3"/>
            <w:vMerge w:val="restart"/>
          </w:tcPr>
          <w:p>
            <w:pPr>
              <w:jc w:val="right"/>
              <w:ind w:right="240"/>
              <w:spacing w:after="0" w:line="189" w:lineRule="exact"/>
              <w:rPr>
                <w:sz w:val="20"/>
                <w:szCs w:val="20"/>
                <w:color w:val="auto"/>
              </w:rPr>
            </w:pPr>
            <w:r>
              <w:rPr>
                <w:rFonts w:ascii="Arial" w:cs="Arial" w:eastAsia="Arial" w:hAnsi="Arial"/>
                <w:sz w:val="17"/>
                <w:szCs w:val="17"/>
                <w:color w:val="auto"/>
              </w:rPr>
              <w:t>09/12/2019</w:t>
            </w:r>
          </w:p>
        </w:tc>
        <w:tc>
          <w:tcPr>
            <w:tcW w:w="1340" w:type="dxa"/>
            <w:vAlign w:val="bottom"/>
            <w:gridSpan w:val="2"/>
          </w:tcPr>
          <w:p>
            <w:pPr>
              <w:jc w:val="right"/>
              <w:ind w:right="168"/>
              <w:spacing w:after="0" w:line="157" w:lineRule="exact"/>
              <w:rPr>
                <w:sz w:val="20"/>
                <w:szCs w:val="20"/>
                <w:color w:val="auto"/>
              </w:rPr>
            </w:pPr>
            <w:r>
              <w:rPr>
                <w:rFonts w:ascii="Arial" w:cs="Arial" w:eastAsia="Arial" w:hAnsi="Arial"/>
                <w:sz w:val="15"/>
                <w:szCs w:val="15"/>
                <w:color w:val="auto"/>
              </w:rPr>
              <w:t>(4)</w:t>
            </w:r>
          </w:p>
        </w:tc>
        <w:tc>
          <w:tcPr>
            <w:tcW w:w="1320" w:type="dxa"/>
            <w:vAlign w:val="bottom"/>
            <w:gridSpan w:val="2"/>
            <w:vMerge w:val="restart"/>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vMerge w:val="restart"/>
          </w:tcPr>
          <w:p>
            <w:pPr>
              <w:jc w:val="right"/>
              <w:ind w:right="260"/>
              <w:spacing w:after="0" w:line="189" w:lineRule="exact"/>
              <w:rPr>
                <w:sz w:val="20"/>
                <w:szCs w:val="20"/>
                <w:color w:val="auto"/>
              </w:rPr>
            </w:pPr>
            <w:r>
              <w:rPr>
                <w:rFonts w:ascii="Arial" w:cs="Arial" w:eastAsia="Arial" w:hAnsi="Arial"/>
                <w:sz w:val="17"/>
                <w:szCs w:val="17"/>
                <w:color w:val="auto"/>
              </w:rPr>
              <w:t>1.91</w:t>
            </w:r>
          </w:p>
        </w:tc>
        <w:tc>
          <w:tcPr>
            <w:tcW w:w="1160" w:type="dxa"/>
            <w:vAlign w:val="bottom"/>
            <w:gridSpan w:val="2"/>
            <w:vMerge w:val="restart"/>
          </w:tcPr>
          <w:p>
            <w:pPr>
              <w:jc w:val="right"/>
              <w:ind w:right="240"/>
              <w:spacing w:after="0" w:line="189" w:lineRule="exact"/>
              <w:rPr>
                <w:sz w:val="20"/>
                <w:szCs w:val="20"/>
                <w:color w:val="auto"/>
              </w:rPr>
            </w:pPr>
            <w:r>
              <w:rPr>
                <w:rFonts w:ascii="Arial" w:cs="Arial" w:eastAsia="Arial" w:hAnsi="Arial"/>
                <w:sz w:val="17"/>
                <w:szCs w:val="17"/>
                <w:color w:val="auto"/>
              </w:rPr>
              <w:t>09/12/2029</w:t>
            </w:r>
          </w:p>
        </w:tc>
        <w:tc>
          <w:tcPr>
            <w:tcW w:w="780" w:type="dxa"/>
            <w:vAlign w:val="bottom"/>
            <w:vMerge w:val="restart"/>
          </w:tcPr>
          <w:p>
            <w:pPr>
              <w:jc w:val="right"/>
              <w:spacing w:after="0" w:line="189" w:lineRule="exact"/>
              <w:rPr>
                <w:sz w:val="20"/>
                <w:szCs w:val="20"/>
                <w:color w:val="auto"/>
              </w:rPr>
            </w:pPr>
            <w:r>
              <w:rPr>
                <w:rFonts w:ascii="Arial" w:cs="Arial" w:eastAsia="Arial" w:hAnsi="Arial"/>
                <w:sz w:val="17"/>
                <w:szCs w:val="17"/>
                <w:color w:val="auto"/>
              </w:rPr>
              <w:t>—</w:t>
            </w:r>
          </w:p>
        </w:tc>
        <w:tc>
          <w:tcPr>
            <w:tcW w:w="420" w:type="dxa"/>
            <w:vAlign w:val="bottom"/>
          </w:tcPr>
          <w:p>
            <w:pPr>
              <w:spacing w:after="0"/>
              <w:rPr>
                <w:sz w:val="13"/>
                <w:szCs w:val="13"/>
                <w:color w:val="auto"/>
              </w:rPr>
            </w:pPr>
          </w:p>
        </w:tc>
        <w:tc>
          <w:tcPr>
            <w:tcW w:w="760" w:type="dxa"/>
            <w:vAlign w:val="bottom"/>
            <w:gridSpan w:val="2"/>
            <w:vMerge w:val="restart"/>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2"/>
        </w:trPr>
        <w:tc>
          <w:tcPr>
            <w:tcW w:w="3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340" w:type="dxa"/>
            <w:vAlign w:val="bottom"/>
            <w:gridSpan w:val="2"/>
          </w:tcPr>
          <w:p>
            <w:pPr>
              <w:jc w:val="right"/>
              <w:ind w:right="348"/>
              <w:spacing w:after="0" w:line="32" w:lineRule="exact"/>
              <w:rPr>
                <w:sz w:val="20"/>
                <w:szCs w:val="20"/>
                <w:color w:val="auto"/>
              </w:rPr>
            </w:pPr>
            <w:r>
              <w:rPr>
                <w:rFonts w:ascii="Arial" w:cs="Arial" w:eastAsia="Arial" w:hAnsi="Arial"/>
                <w:sz w:val="3"/>
                <w:szCs w:val="3"/>
                <w:color w:val="auto"/>
              </w:rPr>
              <w:t>32,215</w:t>
            </w:r>
          </w:p>
        </w:tc>
        <w:tc>
          <w:tcPr>
            <w:tcW w:w="13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3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298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Hong Wan, Ph.D</w:t>
            </w:r>
          </w:p>
        </w:tc>
        <w:tc>
          <w:tcPr>
            <w:tcW w:w="1340" w:type="dxa"/>
            <w:vAlign w:val="bottom"/>
            <w:gridSpan w:val="3"/>
            <w:shd w:val="clear" w:color="auto" w:fill="CCEEFF"/>
          </w:tcPr>
          <w:p>
            <w:pPr>
              <w:jc w:val="right"/>
              <w:ind w:right="240"/>
              <w:spacing w:after="0" w:line="4" w:lineRule="exact"/>
              <w:rPr>
                <w:sz w:val="20"/>
                <w:szCs w:val="20"/>
                <w:color w:val="auto"/>
              </w:rPr>
            </w:pPr>
            <w:r>
              <w:rPr>
                <w:rFonts w:ascii="Arial" w:cs="Arial" w:eastAsia="Arial" w:hAnsi="Arial"/>
                <w:sz w:val="1"/>
                <w:szCs w:val="1"/>
                <w:color w:val="auto"/>
              </w:rPr>
              <w:t>03/30/2017</w:t>
            </w:r>
          </w:p>
        </w:tc>
        <w:tc>
          <w:tcPr>
            <w:tcW w:w="1340" w:type="dxa"/>
            <w:vAlign w:val="bottom"/>
            <w:gridSpan w:val="2"/>
            <w:shd w:val="clear" w:color="auto" w:fill="CCEEFF"/>
          </w:tcPr>
          <w:p>
            <w:pPr>
              <w:jc w:val="right"/>
              <w:ind w:right="348"/>
              <w:spacing w:after="0" w:line="4" w:lineRule="exact"/>
              <w:rPr>
                <w:sz w:val="20"/>
                <w:szCs w:val="20"/>
                <w:color w:val="auto"/>
              </w:rPr>
            </w:pPr>
            <w:r>
              <w:rPr>
                <w:rFonts w:ascii="Arial" w:cs="Arial" w:eastAsia="Arial" w:hAnsi="Arial"/>
                <w:sz w:val="1"/>
                <w:szCs w:val="1"/>
                <w:color w:val="auto"/>
              </w:rPr>
              <w:t>45,223</w:t>
            </w:r>
          </w:p>
        </w:tc>
        <w:tc>
          <w:tcPr>
            <w:tcW w:w="1320" w:type="dxa"/>
            <w:vAlign w:val="bottom"/>
            <w:gridSpan w:val="2"/>
            <w:shd w:val="clear" w:color="auto" w:fill="CCEEFF"/>
          </w:tcPr>
          <w:p>
            <w:pPr>
              <w:jc w:val="right"/>
              <w:ind w:right="240"/>
              <w:spacing w:after="0" w:line="4" w:lineRule="exact"/>
              <w:rPr>
                <w:sz w:val="20"/>
                <w:szCs w:val="20"/>
                <w:color w:val="auto"/>
              </w:rPr>
            </w:pPr>
            <w:r>
              <w:rPr>
                <w:rFonts w:ascii="Arial" w:cs="Arial" w:eastAsia="Arial" w:hAnsi="Arial"/>
                <w:sz w:val="1"/>
                <w:szCs w:val="1"/>
                <w:color w:val="auto"/>
              </w:rPr>
              <w:t>22,612</w:t>
            </w:r>
          </w:p>
        </w:tc>
        <w:tc>
          <w:tcPr>
            <w:tcW w:w="920" w:type="dxa"/>
            <w:vAlign w:val="bottom"/>
            <w:gridSpan w:val="2"/>
            <w:shd w:val="clear" w:color="auto" w:fill="CCEEFF"/>
          </w:tcPr>
          <w:p>
            <w:pPr>
              <w:jc w:val="right"/>
              <w:ind w:right="260"/>
              <w:spacing w:after="0" w:line="4" w:lineRule="exact"/>
              <w:rPr>
                <w:sz w:val="20"/>
                <w:szCs w:val="20"/>
                <w:color w:val="auto"/>
              </w:rPr>
            </w:pPr>
            <w:r>
              <w:rPr>
                <w:rFonts w:ascii="Arial" w:cs="Arial" w:eastAsia="Arial" w:hAnsi="Arial"/>
                <w:sz w:val="1"/>
                <w:szCs w:val="1"/>
                <w:color w:val="auto"/>
              </w:rPr>
              <w:t>0.99</w:t>
            </w:r>
          </w:p>
        </w:tc>
        <w:tc>
          <w:tcPr>
            <w:tcW w:w="1160" w:type="dxa"/>
            <w:vAlign w:val="bottom"/>
            <w:gridSpan w:val="2"/>
            <w:shd w:val="clear" w:color="auto" w:fill="CCEEFF"/>
          </w:tcPr>
          <w:p>
            <w:pPr>
              <w:jc w:val="right"/>
              <w:ind w:right="240"/>
              <w:spacing w:after="0" w:line="4" w:lineRule="exact"/>
              <w:rPr>
                <w:sz w:val="20"/>
                <w:szCs w:val="20"/>
                <w:color w:val="auto"/>
              </w:rPr>
            </w:pPr>
            <w:r>
              <w:rPr>
                <w:rFonts w:ascii="Arial" w:cs="Arial" w:eastAsia="Arial" w:hAnsi="Arial"/>
                <w:sz w:val="1"/>
                <w:szCs w:val="1"/>
                <w:color w:val="auto"/>
              </w:rPr>
              <w:t>03/30/2027</w:t>
            </w:r>
          </w:p>
        </w:tc>
        <w:tc>
          <w:tcPr>
            <w:tcW w:w="780" w:type="dxa"/>
            <w:vAlign w:val="bottom"/>
            <w:shd w:val="clear" w:color="auto" w:fill="CCEEFF"/>
          </w:tcPr>
          <w:p>
            <w:pPr>
              <w:jc w:val="right"/>
              <w:spacing w:after="0" w:line="4" w:lineRule="exact"/>
              <w:rPr>
                <w:sz w:val="20"/>
                <w:szCs w:val="20"/>
                <w:color w:val="auto"/>
              </w:rPr>
            </w:pPr>
            <w:r>
              <w:rPr>
                <w:rFonts w:ascii="Arial" w:cs="Arial" w:eastAsia="Arial" w:hAnsi="Arial"/>
                <w:sz w:val="1"/>
                <w:szCs w:val="1"/>
                <w:color w:val="auto"/>
              </w:rPr>
              <w:t>—</w:t>
            </w:r>
          </w:p>
        </w:tc>
        <w:tc>
          <w:tcPr>
            <w:tcW w:w="42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57"/>
        </w:trPr>
        <w:tc>
          <w:tcPr>
            <w:tcW w:w="38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68"/>
              <w:spacing w:after="0" w:line="157" w:lineRule="exact"/>
              <w:rPr>
                <w:sz w:val="20"/>
                <w:szCs w:val="20"/>
                <w:color w:val="auto"/>
              </w:rPr>
            </w:pPr>
            <w:r>
              <w:rPr>
                <w:rFonts w:ascii="Arial" w:cs="Arial" w:eastAsia="Arial" w:hAnsi="Arial"/>
                <w:sz w:val="15"/>
                <w:szCs w:val="15"/>
                <w:color w:val="auto"/>
              </w:rPr>
              <w:t>(4)</w:t>
            </w: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38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340" w:type="dxa"/>
            <w:vAlign w:val="bottom"/>
            <w:gridSpan w:val="3"/>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09/12/2019</w:t>
            </w:r>
          </w:p>
        </w:tc>
        <w:tc>
          <w:tcPr>
            <w:tcW w:w="1340" w:type="dxa"/>
            <w:vAlign w:val="bottom"/>
            <w:gridSpan w:val="2"/>
            <w:shd w:val="clear" w:color="auto" w:fill="CCEEFF"/>
          </w:tcPr>
          <w:p>
            <w:pPr>
              <w:jc w:val="right"/>
              <w:ind w:right="348"/>
              <w:spacing w:after="0" w:line="32" w:lineRule="exact"/>
              <w:rPr>
                <w:sz w:val="20"/>
                <w:szCs w:val="20"/>
                <w:color w:val="auto"/>
              </w:rPr>
            </w:pPr>
            <w:r>
              <w:rPr>
                <w:rFonts w:ascii="Arial" w:cs="Arial" w:eastAsia="Arial" w:hAnsi="Arial"/>
                <w:sz w:val="3"/>
                <w:szCs w:val="3"/>
                <w:color w:val="auto"/>
              </w:rPr>
              <w:t>31,851</w:t>
            </w:r>
          </w:p>
        </w:tc>
        <w:tc>
          <w:tcPr>
            <w:tcW w:w="132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w:t>
            </w:r>
          </w:p>
        </w:tc>
        <w:tc>
          <w:tcPr>
            <w:tcW w:w="920" w:type="dxa"/>
            <w:vAlign w:val="bottom"/>
            <w:gridSpan w:val="2"/>
            <w:shd w:val="clear" w:color="auto" w:fill="CCEEFF"/>
          </w:tcPr>
          <w:p>
            <w:pPr>
              <w:jc w:val="right"/>
              <w:ind w:right="260"/>
              <w:spacing w:after="0" w:line="32" w:lineRule="exact"/>
              <w:rPr>
                <w:sz w:val="20"/>
                <w:szCs w:val="20"/>
                <w:color w:val="auto"/>
              </w:rPr>
            </w:pPr>
            <w:r>
              <w:rPr>
                <w:rFonts w:ascii="Arial" w:cs="Arial" w:eastAsia="Arial" w:hAnsi="Arial"/>
                <w:sz w:val="3"/>
                <w:szCs w:val="3"/>
                <w:color w:val="auto"/>
              </w:rPr>
              <w:t>1.91</w:t>
            </w:r>
          </w:p>
        </w:tc>
        <w:tc>
          <w:tcPr>
            <w:tcW w:w="1160" w:type="dxa"/>
            <w:vAlign w:val="bottom"/>
            <w:gridSpan w:val="2"/>
            <w:shd w:val="clear" w:color="auto" w:fill="CCEEFF"/>
          </w:tcPr>
          <w:p>
            <w:pPr>
              <w:jc w:val="right"/>
              <w:ind w:right="240"/>
              <w:spacing w:after="0" w:line="32" w:lineRule="exact"/>
              <w:rPr>
                <w:sz w:val="20"/>
                <w:szCs w:val="20"/>
                <w:color w:val="auto"/>
              </w:rPr>
            </w:pPr>
            <w:r>
              <w:rPr>
                <w:rFonts w:ascii="Arial" w:cs="Arial" w:eastAsia="Arial" w:hAnsi="Arial"/>
                <w:sz w:val="3"/>
                <w:szCs w:val="3"/>
                <w:color w:val="auto"/>
              </w:rPr>
              <w:t>09/12/2029</w:t>
            </w:r>
          </w:p>
        </w:tc>
        <w:tc>
          <w:tcPr>
            <w:tcW w:w="780" w:type="dxa"/>
            <w:vAlign w:val="bottom"/>
            <w:shd w:val="clear" w:color="auto" w:fill="CCEEFF"/>
          </w:tcPr>
          <w:p>
            <w:pPr>
              <w:jc w:val="right"/>
              <w:spacing w:after="0" w:line="32" w:lineRule="exact"/>
              <w:rPr>
                <w:sz w:val="20"/>
                <w:szCs w:val="20"/>
                <w:color w:val="auto"/>
              </w:rPr>
            </w:pPr>
            <w:r>
              <w:rPr>
                <w:rFonts w:ascii="Arial" w:cs="Arial" w:eastAsia="Arial" w:hAnsi="Arial"/>
                <w:sz w:val="3"/>
                <w:szCs w:val="3"/>
                <w:color w:val="auto"/>
              </w:rPr>
              <w:t>—</w:t>
            </w:r>
          </w:p>
        </w:tc>
        <w:tc>
          <w:tcPr>
            <w:tcW w:w="420" w:type="dxa"/>
            <w:vAlign w:val="bottom"/>
            <w:shd w:val="clear" w:color="auto" w:fill="CCEEFF"/>
          </w:tcPr>
          <w:p>
            <w:pPr>
              <w:spacing w:after="0"/>
              <w:rPr>
                <w:sz w:val="2"/>
                <w:szCs w:val="2"/>
                <w:color w:val="auto"/>
              </w:rPr>
            </w:pPr>
          </w:p>
        </w:tc>
        <w:tc>
          <w:tcPr>
            <w:tcW w:w="760" w:type="dxa"/>
            <w:vAlign w:val="bottom"/>
            <w:gridSpan w:val="2"/>
            <w:shd w:val="clear" w:color="auto" w:fill="CCEEFF"/>
          </w:tcPr>
          <w:p>
            <w:pPr>
              <w:jc w:val="right"/>
              <w:ind w:right="60"/>
              <w:spacing w:after="0" w:line="32"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85"/>
        </w:trPr>
        <w:tc>
          <w:tcPr>
            <w:tcW w:w="38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138</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2" w:lineRule="exact"/>
        <w:rPr>
          <w:sz w:val="20"/>
          <w:szCs w:val="20"/>
          <w:color w:val="auto"/>
        </w:rPr>
      </w:pPr>
    </w:p>
    <w:p>
      <w:pPr>
        <w:ind w:left="540" w:hanging="276"/>
        <w:spacing w:after="0" w:line="256" w:lineRule="auto"/>
        <w:tabs>
          <w:tab w:leader="none" w:pos="5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outstanding options to purchase shares of our common stock, or ALX Options, were originally granted as options to purchase ordinary shares of ALX Oncology Limited, or ALX Ireland Options, pursuant to its share award scheme and U.S. sub-scheme. In connection with the reorganization effective as of April 1, 2020, the ALX Ireland Options have been substituted and replaced with ALX Options under our 2020 Plan. While the grant date of the ALX Option is April 1, 2020, each ALX Option has the same vesting terms, exercise price and expiration date as the corresponding ALX Ireland Option.</w:t>
      </w:r>
    </w:p>
    <w:p>
      <w:pPr>
        <w:spacing w:after="0" w:line="1" w:lineRule="exact"/>
        <w:rPr>
          <w:rFonts w:ascii="Arial" w:cs="Arial" w:eastAsia="Arial" w:hAnsi="Arial"/>
          <w:sz w:val="14"/>
          <w:szCs w:val="14"/>
          <w:color w:val="auto"/>
        </w:rPr>
      </w:pPr>
    </w:p>
    <w:p>
      <w:pPr>
        <w:ind w:left="540" w:right="440" w:hanging="276"/>
        <w:spacing w:after="0" w:line="271" w:lineRule="auto"/>
        <w:tabs>
          <w:tab w:leader="none" w:pos="5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on the date of grant, as determined by the board of directors of ALX Oncology Limited.</w:t>
      </w:r>
    </w:p>
    <w:p>
      <w:pPr>
        <w:ind w:left="540" w:right="200" w:hanging="276"/>
        <w:spacing w:after="0" w:line="271" w:lineRule="auto"/>
        <w:tabs>
          <w:tab w:leader="none" w:pos="5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of $1.91 as of December 31, 2019 (the determination of the fair market value by our board of directors as of the most proximate date) multiplied by the amount shown in the column for the number of shares or units that have not vested.</w:t>
      </w:r>
    </w:p>
    <w:p>
      <w:pPr>
        <w:ind w:left="540" w:hanging="276"/>
        <w:spacing w:after="0"/>
        <w:tabs>
          <w:tab w:leader="none" w:pos="5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shares underlying this option vest in 48 equal monthly installments beginning on May 1, 2017, subject to continued service to the Company.</w:t>
      </w:r>
    </w:p>
    <w:p>
      <w:pPr>
        <w:spacing w:after="0" w:line="41" w:lineRule="exact"/>
        <w:rPr>
          <w:rFonts w:ascii="Arial" w:cs="Arial" w:eastAsia="Arial" w:hAnsi="Arial"/>
          <w:sz w:val="14"/>
          <w:szCs w:val="14"/>
          <w:color w:val="auto"/>
        </w:rPr>
      </w:pPr>
    </w:p>
    <w:p>
      <w:pPr>
        <w:ind w:left="540" w:right="100" w:hanging="276"/>
        <w:spacing w:after="0" w:line="271" w:lineRule="auto"/>
        <w:tabs>
          <w:tab w:leader="none" w:pos="5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option is subject to an early exercise provision and is immediately exercisable. The shares underlying this option vest in 48 equal monthly installments beginning on June 16, 2019, subject to continued service to the Company.</w:t>
      </w:r>
    </w:p>
    <w:p>
      <w:pPr>
        <w:ind w:left="540" w:right="180" w:hanging="276"/>
        <w:spacing w:after="0" w:line="291" w:lineRule="auto"/>
        <w:tabs>
          <w:tab w:leader="none" w:pos="5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shares were acquired pursuant to an early exercise provision and remain subject to our repurchase right in accordance with the vesting schedule of this option. The remaining shares underlying this option vest in six equal monthly installments beginning on January 1, 2020, subject to continued service to the Company.</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Named Executive Officer Equity Awards</w:t>
      </w:r>
    </w:p>
    <w:p>
      <w:pPr>
        <w:spacing w:after="0" w:line="73"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June 2020, our board of directors, upon the recommendation of our compensation committee, and with input from Compensia, approved option grants to certain of our named executive officers to provide them additional incentives to remain with us and to promote further alignment between their interests and those of our stockholders. The number of shares subject to each option grant was determined with input from Compensia as follows: 272,771 (Dr. Pons) and 89,657 (Dr. Randolph). These grants became effective on the effective date of the registration statement related to our initial public offering and have an exercise price per share equal to $19.00, the initial public offering price. The grants are subject to the terms and conditions of the 2020 Plan and form of option agreement thereunder. Each of the options will vest as to 1/48th of the shares subject to the option on a monthly basis from the grant date, in each case subject to continued service through each applicable vesting date, and further subject to vesting acceleration under certain circumstances as described under “—Change in Control and Severance Agreements.”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Jaume Pons</w:t>
      </w:r>
    </w:p>
    <w:p>
      <w:pPr>
        <w:spacing w:after="0" w:line="59" w:lineRule="exact"/>
        <w:rPr>
          <w:sz w:val="20"/>
          <w:szCs w:val="20"/>
          <w:color w:val="auto"/>
        </w:rPr>
      </w:pPr>
    </w:p>
    <w:p>
      <w:pPr>
        <w:ind w:left="120" w:right="80"/>
        <w:spacing w:after="0" w:line="246" w:lineRule="auto"/>
        <w:rPr>
          <w:sz w:val="20"/>
          <w:szCs w:val="20"/>
          <w:color w:val="auto"/>
        </w:rPr>
      </w:pPr>
      <w:r>
        <w:rPr>
          <w:rFonts w:ascii="Arial" w:cs="Arial" w:eastAsia="Arial" w:hAnsi="Arial"/>
          <w:sz w:val="17"/>
          <w:szCs w:val="17"/>
          <w:color w:val="auto"/>
        </w:rPr>
        <w:t>In July 2020, we entered into a confirmatory employment letter with Dr. Jaume Pons, our President and Chief Executive Officer. The confirmatory employment letter has no specific term and provides that Dr. Pons is an at-will employee. The employment letter supersedes all existing agreements and understandings that Dr. Pons may have entered into concerning his employment relationship with us. Dr. Pons’ current annual base salary is $550,000, and he is eligible for an annual target cash incentive payment equal to 50.0% of his annual base salary.</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Sophia Randolph</w:t>
      </w:r>
    </w:p>
    <w:p>
      <w:pPr>
        <w:spacing w:after="0" w:line="43"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In July 2020, we entered into a confirmatory employment letter with Dr. Sophia Randolph, our Chief Medical Officer. The confirmatory employment letter has no specific term and provides that Dr. Randolph is an at-will employee. The employment letter supersedes all existing agreements and understandings that Dr. Randolph may have entered into concerning her employment relationship with us. Dr. Randolph’s current annual base salary is $440,000, and she is eligible for an annual target cash incentive payment equal to 40.0% of her annual base salary.</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Hong Wan</w:t>
      </w:r>
    </w:p>
    <w:p>
      <w:pPr>
        <w:spacing w:after="0" w:line="43" w:lineRule="exact"/>
        <w:rPr>
          <w:sz w:val="20"/>
          <w:szCs w:val="20"/>
          <w:color w:val="auto"/>
        </w:rPr>
      </w:pPr>
    </w:p>
    <w:p>
      <w:pPr>
        <w:ind w:left="120" w:right="160"/>
        <w:spacing w:after="0" w:line="246" w:lineRule="auto"/>
        <w:rPr>
          <w:sz w:val="20"/>
          <w:szCs w:val="20"/>
          <w:color w:val="auto"/>
        </w:rPr>
      </w:pPr>
      <w:r>
        <w:rPr>
          <w:rFonts w:ascii="Arial" w:cs="Arial" w:eastAsia="Arial" w:hAnsi="Arial"/>
          <w:sz w:val="17"/>
          <w:szCs w:val="17"/>
          <w:color w:val="auto"/>
        </w:rPr>
        <w:t>Dr. Hong Wan, our former Chief Scientific Officer, resigned effective June 30, 2020 as described in “Certain Relationships and Related-Party Transactions—Tallac Therapeutics Agreements.” We have entered into a consulting agreement with Dr. Wan that provides for continued vesting of her outstanding options to purchase shares of our common stock while she provides consulting services to us under such agreement.</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Executive Incentive Compensation Plan</w:t>
      </w:r>
    </w:p>
    <w:p>
      <w:pPr>
        <w:spacing w:after="0" w:line="43" w:lineRule="exact"/>
        <w:rPr>
          <w:sz w:val="20"/>
          <w:szCs w:val="20"/>
          <w:color w:val="auto"/>
        </w:rPr>
      </w:pPr>
    </w:p>
    <w:p>
      <w:pPr>
        <w:ind w:left="120" w:right="1080"/>
        <w:spacing w:after="0" w:line="261" w:lineRule="auto"/>
        <w:rPr>
          <w:sz w:val="20"/>
          <w:szCs w:val="20"/>
          <w:color w:val="auto"/>
        </w:rPr>
      </w:pPr>
      <w:r>
        <w:rPr>
          <w:rFonts w:ascii="Arial" w:cs="Arial" w:eastAsia="Arial" w:hAnsi="Arial"/>
          <w:sz w:val="17"/>
          <w:szCs w:val="17"/>
          <w:color w:val="auto"/>
        </w:rPr>
        <w:t>Our board of directors has adopted our Executive Incentive Compensation Plan, or the Incentive Compensation Plan. Our Incentive Compensation Plan will be administered by the compensation committee of our board of directors,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00"/>
        <w:spacing w:after="0" w:line="253" w:lineRule="auto"/>
        <w:rPr>
          <w:sz w:val="20"/>
          <w:szCs w:val="20"/>
          <w:color w:val="auto"/>
        </w:rPr>
      </w:pPr>
      <w:r>
        <w:rPr>
          <w:rFonts w:ascii="Arial" w:cs="Arial" w:eastAsia="Arial" w:hAnsi="Arial"/>
          <w:sz w:val="17"/>
          <w:szCs w:val="17"/>
          <w:color w:val="auto"/>
        </w:rPr>
        <w:t>unless and until our board of directors determines otherwise. Our Incentive Compensation Plan allows us to grant incentive awards, generally payable in cash, to employees selected by the administrator, including our named executive officers, based upon performance goals that may be established by the administrator.</w:t>
      </w:r>
    </w:p>
    <w:p>
      <w:pPr>
        <w:spacing w:after="0" w:line="11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Under our Incentive Compensation Plan, the administrator determines the performance goals applicable to any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regularly-related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in the compensation committee’s sole discretion.</w:t>
      </w:r>
    </w:p>
    <w:p>
      <w:pPr>
        <w:spacing w:after="0" w:line="126" w:lineRule="exact"/>
        <w:rPr>
          <w:sz w:val="20"/>
          <w:szCs w:val="20"/>
          <w:color w:val="auto"/>
        </w:rPr>
      </w:pPr>
    </w:p>
    <w:p>
      <w:pPr>
        <w:ind w:left="120" w:right="100"/>
        <w:spacing w:after="0" w:line="242" w:lineRule="auto"/>
        <w:rPr>
          <w:sz w:val="20"/>
          <w:szCs w:val="20"/>
          <w:color w:val="auto"/>
        </w:rPr>
      </w:pPr>
      <w:r>
        <w:rPr>
          <w:rFonts w:ascii="Arial" w:cs="Arial" w:eastAsia="Arial" w:hAnsi="Arial"/>
          <w:sz w:val="17"/>
          <w:szCs w:val="17"/>
          <w:color w:val="auto"/>
        </w:rPr>
        <w:t>The administrator of our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21"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Actual awards generally will be paid in cash (or its equivalent) only after they are earned, and, unless otherwise determined by the administrator, a participant must be employed with us through the date the actual award is paid. The administrator of our Incentive Compensation Plan reserves the right to settle an actual award with a grant of an equity award under our then-current equity compensation plan, which equity award may have such terms and conditions, including vesting, as the administrator of such equity compensation plan determines. Payment of awards occurs as soon as administratively practicable after they are earned, but no later than the dates set forth in our Incentive Compensation Plan.</w:t>
      </w:r>
    </w:p>
    <w:p>
      <w:pPr>
        <w:spacing w:after="0" w:line="121"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Awards under our Incentive Compensation Plan are subject to any clawback policy of ours, which we may be required to adopt from time to time to comply with applicable laws. The administrator also may impose such other clawback, recovery or recoupment provisions with respect to an award under our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22"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7"/>
          <w:szCs w:val="17"/>
          <w:color w:val="auto"/>
        </w:rPr>
        <w:t>The administrator of our Incentive Compensation Plan has the authority to amend, alter, suspend or terminate our Incentive Compensation Plan, provided such action does not impair the existing rights of any participant with respect to any earned awards. Our Incentive Compensation Plan will remain in effect until terminated in accordance with its terms.</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 in Control and Severance Agreements</w:t>
      </w:r>
    </w:p>
    <w:p>
      <w:pPr>
        <w:spacing w:after="0" w:line="41" w:lineRule="exact"/>
        <w:rPr>
          <w:sz w:val="20"/>
          <w:szCs w:val="20"/>
          <w:color w:val="auto"/>
        </w:rPr>
      </w:pPr>
    </w:p>
    <w:p>
      <w:pPr>
        <w:ind w:left="120" w:right="220"/>
        <w:spacing w:after="0" w:line="248" w:lineRule="auto"/>
        <w:rPr>
          <w:sz w:val="20"/>
          <w:szCs w:val="20"/>
          <w:color w:val="auto"/>
        </w:rPr>
      </w:pPr>
      <w:r>
        <w:rPr>
          <w:rFonts w:ascii="Arial" w:cs="Arial" w:eastAsia="Arial" w:hAnsi="Arial"/>
          <w:sz w:val="17"/>
          <w:szCs w:val="17"/>
          <w:color w:val="auto"/>
        </w:rPr>
        <w:t>In July 2020, we entered into a change in control and severance agreement, or CIC Agreement, with each of Dr. Pons and Dr. Randolph, which provide for certain severance and change in control benefits, as summarized below.</w:t>
      </w:r>
    </w:p>
    <w:p>
      <w:pPr>
        <w:spacing w:after="0" w:line="114"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color w:val="auto"/>
        </w:rPr>
        <w:t>Each CIC Agreement supersedes any prior agreement or arrangement that the named executive officer may have had with us that provides for severance or change in control payments and benefits. The CIC Agreements have no specific term and will terminate upon written consent by the parties or when all obligations under the CIC Agreement are satisfied.</w:t>
      </w:r>
    </w:p>
    <w:p>
      <w:pPr>
        <w:spacing w:after="0" w:line="57" w:lineRule="exact"/>
        <w:rPr>
          <w:sz w:val="20"/>
          <w:szCs w:val="20"/>
          <w:color w:val="auto"/>
        </w:rPr>
      </w:pPr>
    </w:p>
    <w:p>
      <w:pPr>
        <w:ind w:left="120" w:right="160"/>
        <w:spacing w:after="0" w:line="242" w:lineRule="auto"/>
        <w:rPr>
          <w:sz w:val="20"/>
          <w:szCs w:val="20"/>
          <w:color w:val="auto"/>
        </w:rPr>
      </w:pPr>
      <w:r>
        <w:rPr>
          <w:rFonts w:ascii="Arial" w:cs="Arial" w:eastAsia="Arial" w:hAnsi="Arial"/>
          <w:sz w:val="17"/>
          <w:szCs w:val="17"/>
          <w:color w:val="auto"/>
        </w:rPr>
        <w:t>The CIC Agreements provide that if, other than during the period beginning three months before our change in control through the one-year anniversary of our change in control, or the CIC Period, the named executive officer’s employment with us is terminated by us without cause (as defined in the CIC Agreement, and excluding by reason of his or her death or disability) or by the named executive officer for good reason (as defined in the CIC Agreement), the named executive officer will receive the following severance payments and benefits if he or she timely executes and does not revoke a release of claims in our favor:</w:t>
      </w:r>
    </w:p>
    <w:p>
      <w:pPr>
        <w:spacing w:after="0" w:line="162" w:lineRule="exact"/>
        <w:rPr>
          <w:sz w:val="20"/>
          <w:szCs w:val="20"/>
          <w:color w:val="auto"/>
        </w:rPr>
      </w:pPr>
    </w:p>
    <w:p>
      <w:pPr>
        <w:ind w:left="980" w:right="300" w:hanging="432"/>
        <w:spacing w:after="0" w:line="257" w:lineRule="auto"/>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100% for Dr. Pons, or 75% for Dr. Randolph, of the named executive officer’s base salary as in effect immediately before such termination; and</w:t>
      </w:r>
    </w:p>
    <w:p>
      <w:pPr>
        <w:spacing w:after="0" w:line="1" w:lineRule="exact"/>
        <w:rPr>
          <w:rFonts w:ascii="MS PGothic" w:cs="MS PGothic" w:eastAsia="MS PGothic" w:hAnsi="MS PGothic"/>
          <w:sz w:val="13"/>
          <w:szCs w:val="13"/>
          <w:color w:val="auto"/>
        </w:rPr>
      </w:pPr>
    </w:p>
    <w:p>
      <w:pPr>
        <w:ind w:left="980" w:right="740" w:hanging="432"/>
        <w:spacing w:after="0" w:line="273" w:lineRule="auto"/>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Company-paid group health, dental and vision coverage under COBRA for the named executive officer and his or her eligible dependents for up to twelve months for Dr. Pons, or nine months for Dr. Randolph.</w:t>
      </w:r>
    </w:p>
    <w:p>
      <w:pPr>
        <w:spacing w:after="0" w:line="40"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If, during the CIC Period, the named executive officer’s employment with us is terminated by us without cause (as defined in the CIC Agreement, and excluding by reason of his or her death or disability) or by the named executive officer for good reason (as defined in the CIC Agreement), the named executive officer will receive the following severance payments and benefits if he or she timely executes and does not revoke a separation agreement and release of claims in our favor:</w:t>
      </w:r>
    </w:p>
    <w:p>
      <w:pPr>
        <w:spacing w:after="0" w:line="157" w:lineRule="exact"/>
        <w:rPr>
          <w:sz w:val="20"/>
          <w:szCs w:val="20"/>
          <w:color w:val="auto"/>
        </w:rPr>
      </w:pPr>
    </w:p>
    <w:p>
      <w:pPr>
        <w:ind w:left="980" w:right="200" w:hanging="432"/>
        <w:spacing w:after="0" w:line="257" w:lineRule="auto"/>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150% for Dr. Pons, or 100% for Dr. Randolph, of the named executive officer’s base salary as in effect immediately before such termination or if greater, the base salary in effect immediately before our change in control;</w:t>
      </w:r>
    </w:p>
    <w:p>
      <w:pPr>
        <w:spacing w:after="0" w:line="1" w:lineRule="exact"/>
        <w:rPr>
          <w:rFonts w:ascii="MS PGothic" w:cs="MS PGothic" w:eastAsia="MS PGothic" w:hAnsi="MS PGothic"/>
          <w:sz w:val="13"/>
          <w:szCs w:val="13"/>
          <w:color w:val="auto"/>
        </w:rPr>
      </w:pPr>
    </w:p>
    <w:p>
      <w:pPr>
        <w:ind w:left="980" w:right="80" w:hanging="432"/>
        <w:spacing w:after="0" w:line="248" w:lineRule="auto"/>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150% for Dr. Pons, or 100% for Dr. Randolph, of the named executive officer’s target bonus opportunity as in effect immediately before such termination or if greater, the target bonus opportunity in effect immediately before our change in control;</w:t>
      </w:r>
    </w:p>
    <w:p>
      <w:pPr>
        <w:spacing w:after="0" w:line="1" w:lineRule="exact"/>
        <w:rPr>
          <w:rFonts w:ascii="MS PGothic" w:cs="MS PGothic" w:eastAsia="MS PGothic" w:hAnsi="MS PGothic"/>
          <w:sz w:val="13"/>
          <w:szCs w:val="13"/>
          <w:color w:val="auto"/>
        </w:rPr>
      </w:pPr>
    </w:p>
    <w:p>
      <w:pPr>
        <w:ind w:left="980" w:right="740" w:hanging="432"/>
        <w:spacing w:after="0" w:line="256" w:lineRule="auto"/>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Company-paid group health, dental and vision coverage under COBRA for the named executive officer and his or her eligible dependents for up to eighteen months for Dr. Pons, or twelve months for Dr. Randolph; and</w:t>
      </w:r>
    </w:p>
    <w:p>
      <w:pPr>
        <w:spacing w:after="0" w:line="1" w:lineRule="exact"/>
        <w:rPr>
          <w:rFonts w:ascii="MS PGothic" w:cs="MS PGothic" w:eastAsia="MS PGothic" w:hAnsi="MS PGothic"/>
          <w:sz w:val="13"/>
          <w:szCs w:val="13"/>
          <w:color w:val="auto"/>
        </w:rPr>
      </w:pPr>
    </w:p>
    <w:p>
      <w:pPr>
        <w:ind w:left="980" w:right="320" w:hanging="432"/>
        <w:spacing w:after="0" w:line="273" w:lineRule="auto"/>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100% accelerated vesting and exercisability of the outstanding and unvested Company equity awards (other than Company equity awards subject to performance-based vesting criteria) granted to the named executive officer.</w:t>
      </w:r>
    </w:p>
    <w:p>
      <w:pPr>
        <w:spacing w:after="0" w:line="94"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In addition, the CIC Agreement for Dr. Pons provides that in the event of our change in control, 100% of his outstanding Company equity awards (other than Company equity awards subject to performance-based vesting criteria) will accelerate vesting.</w:t>
      </w:r>
    </w:p>
    <w:p>
      <w:pPr>
        <w:spacing w:after="0" w:line="92" w:lineRule="exact"/>
        <w:rPr>
          <w:sz w:val="20"/>
          <w:szCs w:val="20"/>
          <w:color w:val="auto"/>
        </w:rPr>
      </w:pPr>
    </w:p>
    <w:p>
      <w:pPr>
        <w:ind w:left="120" w:right="40"/>
        <w:spacing w:after="0"/>
        <w:rPr>
          <w:sz w:val="20"/>
          <w:szCs w:val="20"/>
          <w:color w:val="auto"/>
        </w:rPr>
      </w:pPr>
      <w:r>
        <w:rPr>
          <w:rFonts w:ascii="Arial" w:cs="Arial" w:eastAsia="Arial" w:hAnsi="Arial"/>
          <w:sz w:val="17"/>
          <w:szCs w:val="17"/>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be entitled to receive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our change in control.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Amended and Restated 2020 Equity Incentive Plan</w:t>
      </w:r>
    </w:p>
    <w:p>
      <w:pPr>
        <w:spacing w:after="0" w:line="43"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Our 2020 Plan initially was adopted by our board of directors and approved by our stockholders in April 2020 and was amended and restated effective on the business day immediately prior to the effective date of our registration statement related to our initial public offering.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performance units and performance shares to our employees, directors and consultants and any of our parent or subsidiary corporations’ employees and consultants.</w:t>
      </w:r>
    </w:p>
    <w:p>
      <w:pPr>
        <w:spacing w:after="0" w:line="122"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As of September 30, 2020, a total of 7,874,862 shares of our common stock are reserved for issuance pursuant to our 2020</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number of shares available for issuance under our 2020 Plan will also include an annual increase on the first day of each fiscal year beginning on January 1, 2021, and ending on (and inclusive of) January 1, 2030, equal to the least of:</w:t>
      </w:r>
    </w:p>
    <w:p>
      <w:pPr>
        <w:spacing w:after="0" w:line="151" w:lineRule="exact"/>
        <w:rPr>
          <w:sz w:val="20"/>
          <w:szCs w:val="20"/>
          <w:color w:val="auto"/>
        </w:rPr>
      </w:pPr>
    </w:p>
    <w:p>
      <w:pPr>
        <w:ind w:left="980" w:hanging="432"/>
        <w:spacing w:after="0"/>
        <w:tabs>
          <w:tab w:leader="none" w:pos="9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4,000,000 shares;</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four percent of the outstanding shares of our common stock as of the last day of the immediately preceding fiscal year;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Shares issuable under our 2020 Plan will be authorized, but unissued, or reacquired shares of our common stock. If an award expires or becomes unexercisable without having been exercised in full, is surrendered pursuant to an exchange program, or, with respect to restricted stock, restricted stock units, performance units or performance shares,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have actually been issued under the 2020 Plan under any award will not be returned to the 2020 Plan; except if shares issued pursuant to awards of restricted stock, restricted stock units, performance shares or performance units are repurchased or forfeited, such shares will become available for future grant under the 2020 Plan. Shares used to pay the exercise price of an award or satisfy the tax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 For clarity, shares subject to awards that may return to and become available for issuance under the 2020 Plan as described in this paragraph will include shares subject to awards granted under our 2020 Plan prior to its amendment and restatement that are outstanding as of the effective date of the 2020 Plan.</w:t>
      </w:r>
    </w:p>
    <w:p>
      <w:pPr>
        <w:spacing w:after="0" w:line="131"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one or more committees appointed by our board of directors has authority to administer our 2020</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compensation committee of our board of directors will initially administer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including but not limited to the discretionary authority to extend the post-termination exercisability period of awards (except no option or stock</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12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may be granted under our 2020 Plan. The exercise price of options granted under our 2020 Plan must at least be</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the fair market value of our common stock on the date of grant. The term of an option may not exceed ten years. With respect to any participant who owns more than 10% of the voting power of all classes of our (or any of our parent’s or subsidiaries’) outstanding stock, the term of an incentive stock option granted to such participant must not exceed five years and the per-share exercise price must equal at least 110% of the fair market value of a share of our common stock on the grant date. The administrator may grant incentive stock options under the 2020 Plan for a period of ten years from the earlier of the date our board of directors approved the 2020 Plan or the date that our stockholders approved the 2020 Plan. The administrator will determine the methods of payment of the exercise price of an option, which may include cash, certain shares, promissory notes if permitted by applicable law,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An option, however, may not be exercised later than the expiration of its term. Subject to the provisions of our 2020 Plan, the administrator determines the terms of options.</w:t>
      </w:r>
    </w:p>
    <w:p>
      <w:pPr>
        <w:spacing w:after="0" w:line="13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may be granted under our 2020 Plan. Stock appreciation rights allow the recipient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12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2020 Plan. Restricted stock awards are grants of shares of our common stock that</w:t>
      </w:r>
      <w:r>
        <w:rPr>
          <w:rFonts w:ascii="Arial" w:cs="Arial" w:eastAsia="Arial" w:hAnsi="Arial"/>
          <w:sz w:val="17"/>
          <w:szCs w:val="17"/>
          <w:i w:val="1"/>
          <w:iCs w:val="1"/>
          <w:color w:val="auto"/>
        </w:rPr>
        <w:t xml:space="preserve"> </w:t>
      </w:r>
      <w:r>
        <w:rPr>
          <w:rFonts w:ascii="Arial" w:cs="Arial" w:eastAsia="Arial" w:hAnsi="Arial"/>
          <w:sz w:val="17"/>
          <w:szCs w:val="17"/>
          <w:color w:val="auto"/>
        </w:rPr>
        <w:t>may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123"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Restricted stock units may be granted under our 2020 Plan. Restricted stock units are bookkeeping entries representing</w:t>
      </w:r>
      <w:r>
        <w:rPr>
          <w:rFonts w:ascii="Arial" w:cs="Arial" w:eastAsia="Arial" w:hAnsi="Arial"/>
          <w:sz w:val="17"/>
          <w:szCs w:val="17"/>
          <w:i w:val="1"/>
          <w:iCs w:val="1"/>
          <w:color w:val="auto"/>
        </w:rPr>
        <w:t xml:space="preserve"> </w:t>
      </w:r>
      <w:r>
        <w:rPr>
          <w:rFonts w:ascii="Arial" w:cs="Arial" w:eastAsia="Arial" w:hAnsi="Arial"/>
          <w:sz w:val="17"/>
          <w:szCs w:val="17"/>
          <w:color w:val="auto"/>
        </w:rPr>
        <w:t>an amount equal to the fair market value of one share of our common stock.</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140"/>
          </w:cols>
          <w:pgMar w:left="320" w:top="455" w:right="4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40"/>
        <w:spacing w:after="0"/>
        <w:rPr>
          <w:sz w:val="20"/>
          <w:szCs w:val="20"/>
          <w:color w:val="auto"/>
        </w:rPr>
      </w:pPr>
      <w:r>
        <w:rPr>
          <w:rFonts w:ascii="Arial" w:cs="Arial" w:eastAsia="Arial" w:hAnsi="Arial"/>
          <w:sz w:val="17"/>
          <w:szCs w:val="17"/>
          <w:color w:val="auto"/>
        </w:rPr>
        <w:t>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accelerate the time at which any restrictions will lapse or be removed.</w:t>
      </w:r>
    </w:p>
    <w:p>
      <w:pPr>
        <w:spacing w:after="0" w:line="123"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Performance Units and Performance Shares</w:t>
      </w:r>
      <w:r>
        <w:rPr>
          <w:rFonts w:ascii="Arial" w:cs="Arial" w:eastAsia="Arial" w:hAnsi="Arial"/>
          <w:sz w:val="17"/>
          <w:szCs w:val="17"/>
          <w:color w:val="auto"/>
        </w:rPr>
        <w:t>. Performance units and performance shares may be granted under our 2020 Plan.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units and performance shares are awards that will result in a payment to a participant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dollar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2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All outside (non-employee) directors are eligible to receive all types of awards (except for incentive stock options)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2020 Plan. Pursuant to our Outside Director Compensation Policy, our outside directors are eligible to receive equity awards under our 2020 Plan. Our 2020 Plan provides that in any given fiscal year, no outside director may be granted awards (the value of which will be based on their grant-date fair value) under our 2020 Plan and any other compensation (including without limitation any cash retainers and fees) greater than $1,000,000. The grant-date fair values of awards granted under our 2020 Plan will be determined according to U.S. GAAP. Any awards or other compensation provided to an individual for his or her services as an employee or a consultant (other than an outside director), or prior to the effective date of the registration statement related to our initial public offering, do not count toward this limit. The maximum limit does not reflect the intended size of any potential grants or a commitment to make grants to our outside directors under our 2020 Plan in the future.</w:t>
      </w:r>
    </w:p>
    <w:p>
      <w:pPr>
        <w:spacing w:after="0" w:line="123" w:lineRule="exact"/>
        <w:rPr>
          <w:sz w:val="20"/>
          <w:szCs w:val="20"/>
          <w:color w:val="auto"/>
        </w:rPr>
      </w:pPr>
    </w:p>
    <w:p>
      <w:pPr>
        <w:ind w:left="120"/>
        <w:spacing w:after="0" w:line="247" w:lineRule="auto"/>
        <w:rPr>
          <w:sz w:val="20"/>
          <w:szCs w:val="20"/>
          <w:color w:val="auto"/>
        </w:rPr>
      </w:pPr>
      <w:r>
        <w:rPr>
          <w:rFonts w:ascii="Arial" w:cs="Arial" w:eastAsia="Arial" w:hAnsi="Arial"/>
          <w:sz w:val="17"/>
          <w:szCs w:val="17"/>
          <w:i w:val="1"/>
          <w:iCs w:val="1"/>
          <w:color w:val="auto"/>
        </w:rPr>
        <w:t>Non-Transferability of Awards</w:t>
      </w:r>
      <w:r>
        <w:rPr>
          <w:rFonts w:ascii="Arial" w:cs="Arial" w:eastAsia="Arial" w:hAnsi="Arial"/>
          <w:sz w:val="17"/>
          <w:szCs w:val="17"/>
          <w:color w:val="auto"/>
        </w:rPr>
        <w:t>. Unless the administrator provides otherwise, our 2020 Plan generally does not allow for the transfer of awards</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314" w:lineRule="exact"/>
        <w:rPr>
          <w:sz w:val="20"/>
          <w:szCs w:val="20"/>
          <w:color w:val="auto"/>
        </w:rPr>
      </w:pPr>
    </w:p>
    <w:p>
      <w:pPr>
        <w:ind w:left="120" w:right="20"/>
        <w:spacing w:after="0"/>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such as a dividend or other distribution,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123"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In the event of our proposed liquidation or dissolution, the administrator will notify participants as soon as practicable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all awards will terminate immediately prior to the consummation of such proposed transaction.</w:t>
      </w:r>
    </w:p>
    <w:p>
      <w:pPr>
        <w:spacing w:after="0" w:line="92" w:lineRule="exact"/>
        <w:rPr>
          <w:sz w:val="20"/>
          <w:szCs w:val="20"/>
          <w:color w:val="auto"/>
        </w:rPr>
      </w:pPr>
    </w:p>
    <w:p>
      <w:pPr>
        <w:ind w:left="120" w:right="120"/>
        <w:spacing w:after="0" w:line="246" w:lineRule="auto"/>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Our 2020 Plan provides that in the event of a merger or change in control, as defined under our 2020 Plan, each</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7"/>
          <w:szCs w:val="17"/>
          <w:color w:val="auto"/>
        </w:rPr>
        <w:t>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11"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In the event that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26"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If an outside director’s awards are assumed or substituted for in a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121"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Awards are subject to any clawback policy of ours, which we may establish and/or amend from time to time to comply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121" w:lineRule="exact"/>
        <w:rPr>
          <w:sz w:val="20"/>
          <w:szCs w:val="20"/>
          <w:color w:val="auto"/>
        </w:rPr>
      </w:pPr>
    </w:p>
    <w:p>
      <w:pPr>
        <w:ind w:left="120" w:right="60"/>
        <w:spacing w:after="0" w:line="253"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The administrator has the authority to amend, suspend or terminate our 2020 Plan, provided such action does not</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materially impair the rights of any participant unless mutually agreed otherwise. Our 2020 Plan will remain in effect until terminated in accordance with its terms.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59" w:lineRule="exact"/>
        <w:rPr>
          <w:sz w:val="20"/>
          <w:szCs w:val="20"/>
          <w:color w:val="auto"/>
        </w:rPr>
      </w:pPr>
    </w:p>
    <w:p>
      <w:pPr>
        <w:ind w:left="120" w:right="300"/>
        <w:spacing w:after="0" w:line="253" w:lineRule="auto"/>
        <w:rPr>
          <w:sz w:val="20"/>
          <w:szCs w:val="20"/>
          <w:color w:val="auto"/>
        </w:rPr>
      </w:pPr>
      <w:r>
        <w:rPr>
          <w:rFonts w:ascii="Arial" w:cs="Arial" w:eastAsia="Arial" w:hAnsi="Arial"/>
          <w:sz w:val="17"/>
          <w:szCs w:val="17"/>
          <w:color w:val="auto"/>
        </w:rPr>
        <w:t>In July 2020, our board of directors adopted, and our stockholders approved, our ESPP. Our ESPP became effective one business day immediately before the effective date of our registration statement related to our initial public offering. However, no offering period or purchase period under the ESPP will begin unless and until determined by our board of directors or its compensation committee.</w:t>
      </w:r>
    </w:p>
    <w:p>
      <w:pPr>
        <w:spacing w:after="0" w:line="111" w:lineRule="exact"/>
        <w:rPr>
          <w:sz w:val="20"/>
          <w:szCs w:val="20"/>
          <w:color w:val="auto"/>
        </w:rPr>
      </w:pPr>
    </w:p>
    <w:p>
      <w:pPr>
        <w:ind w:left="120" w:right="180"/>
        <w:spacing w:after="0" w:line="253"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400,000 shares of our common stock are available for issuance under our ESPP. In addition, our ESPP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for annual increases in the number of shares of our common stock available for issuance under our ESPP on the first day of each of our fiscal years beginning with our fiscal year 2021, equal to the least of:</w:t>
      </w:r>
    </w:p>
    <w:p>
      <w:pPr>
        <w:spacing w:after="0" w:line="151" w:lineRule="exact"/>
        <w:rPr>
          <w:sz w:val="20"/>
          <w:szCs w:val="20"/>
          <w:color w:val="auto"/>
        </w:rPr>
      </w:pPr>
    </w:p>
    <w:p>
      <w:pPr>
        <w:ind w:left="980" w:hanging="432"/>
        <w:spacing w:after="0"/>
        <w:tabs>
          <w:tab w:leader="none" w:pos="9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800,000 shares;</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one percent of the outstanding shares of our common stock on the last day of our immediately preceding fiscal year;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8"/>
        </w:numPr>
        <w:rPr>
          <w:rFonts w:ascii="MS PGothic" w:cs="MS PGothic" w:eastAsia="MS PGothic" w:hAnsi="MS PGothic"/>
          <w:sz w:val="13"/>
          <w:szCs w:val="13"/>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issuable under the ESPP will be authorized, but unissued, or reacquired shares of our common stock.</w:t>
      </w:r>
    </w:p>
    <w:p>
      <w:pPr>
        <w:spacing w:after="0" w:line="156"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committee appointed by our board of directors has the authority to administer our ESPP. Unless</w:t>
      </w:r>
      <w:r>
        <w:rPr>
          <w:rFonts w:ascii="Arial" w:cs="Arial" w:eastAsia="Arial" w:hAnsi="Arial"/>
          <w:sz w:val="17"/>
          <w:szCs w:val="17"/>
          <w:i w:val="1"/>
          <w:iCs w:val="1"/>
          <w:color w:val="auto"/>
        </w:rPr>
        <w:t xml:space="preserve"> </w:t>
      </w:r>
      <w:r>
        <w:rPr>
          <w:rFonts w:ascii="Arial" w:cs="Arial" w:eastAsia="Arial" w:hAnsi="Arial"/>
          <w:sz w:val="17"/>
          <w:szCs w:val="17"/>
          <w:color w:val="auto"/>
        </w:rPr>
        <w:t>and until determined otherwise by our board of directors, the compensation committee</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of our board of directors will administer the ESPP. The administrator has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are final and binding on all participants to the maximum extent permitted by law.</w:t>
      </w:r>
    </w:p>
    <w:p>
      <w:pPr>
        <w:spacing w:after="0" w:line="12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Generally, any of our employees are eligible to participate in our ESPP if they are customarily employed by us or any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w:t>
      </w:r>
    </w:p>
    <w:p>
      <w:pPr>
        <w:spacing w:after="0" w:line="123"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92"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7"/>
          <w:szCs w:val="17"/>
          <w:i w:val="1"/>
          <w:iCs w:val="1"/>
          <w:color w:val="auto"/>
        </w:rPr>
        <w:t>Offering Periods and Purchase Periods</w:t>
      </w:r>
      <w:r>
        <w:rPr>
          <w:rFonts w:ascii="Arial" w:cs="Arial" w:eastAsia="Arial" w:hAnsi="Arial"/>
          <w:sz w:val="17"/>
          <w:szCs w:val="17"/>
          <w:color w:val="auto"/>
        </w:rPr>
        <w:t>. Our ESPP includes a component, or the 423 Component, that is intended to qualify as an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stock purchase plan” under Code Section 423, and a component that does not comply with Code Section 423, or the Non-423 Component. For purposes of this summary, a reference to our ESPP generally will mean the terms and operations of the 423 Component.</w:t>
      </w:r>
    </w:p>
    <w:p>
      <w:pPr>
        <w:spacing w:after="0" w:line="111"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Our ESPP provides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our ESPP, including the starting and ending dates of offering periods and purchase periods and the number of purchase periods in any offering periods. Unless determined otherwise by the administrator, if the fair market value of a share of our common stock on a purchase date 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123" w:lineRule="exact"/>
        <w:rPr>
          <w:sz w:val="20"/>
          <w:szCs w:val="20"/>
          <w:color w:val="auto"/>
        </w:rPr>
      </w:pPr>
    </w:p>
    <w:p>
      <w:pPr>
        <w:ind w:left="120" w:right="100"/>
        <w:spacing w:after="0" w:line="246" w:lineRule="auto"/>
        <w:rPr>
          <w:sz w:val="20"/>
          <w:szCs w:val="20"/>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Our ESPP permits participants to purchase shares of our common stock through payroll deductions of up to 15% of their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117"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i w:val="1"/>
          <w:iCs w:val="1"/>
          <w:color w:val="auto"/>
        </w:rPr>
        <w:t>Exercise of Purchase Right</w:t>
      </w:r>
      <w:r>
        <w:rPr>
          <w:rFonts w:ascii="Arial" w:cs="Arial" w:eastAsia="Arial" w:hAnsi="Arial"/>
          <w:sz w:val="17"/>
          <w:szCs w:val="17"/>
          <w:color w:val="auto"/>
        </w:rPr>
        <w:t>. Amounts deducted and accumulated by a participant under our ESPP are used to purchase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3,000 shares during each offering period. Until shares of our common stock are issued (as evidenced by the appropriate entry on our books or the books of a duly authorized transfer agent of</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460"/>
        <w:spacing w:after="0" w:line="275" w:lineRule="auto"/>
        <w:rPr>
          <w:sz w:val="20"/>
          <w:szCs w:val="20"/>
          <w:color w:val="auto"/>
        </w:rPr>
      </w:pPr>
      <w:r>
        <w:rPr>
          <w:rFonts w:ascii="Arial" w:cs="Arial" w:eastAsia="Arial" w:hAnsi="Arial"/>
          <w:sz w:val="17"/>
          <w:szCs w:val="17"/>
          <w:color w:val="auto"/>
        </w:rPr>
        <w:t>our) to a participant, the participant will have only rights of an unsecured creditor with respect to such shares, and no right to vote or receive dividends or any other rights as a stockholder with respect to such shares.</w:t>
      </w:r>
    </w:p>
    <w:p>
      <w:pPr>
        <w:spacing w:after="0" w:line="92"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i w:val="1"/>
          <w:iCs w:val="1"/>
          <w:color w:val="auto"/>
        </w:rPr>
        <w:t>Non-transferability</w:t>
      </w:r>
      <w:r>
        <w:rPr>
          <w:rFonts w:ascii="Arial" w:cs="Arial" w:eastAsia="Arial" w:hAnsi="Arial"/>
          <w:sz w:val="17"/>
          <w:szCs w:val="17"/>
          <w:color w:val="auto"/>
        </w:rPr>
        <w:t>. A participant may not transfer the contributions credited to his or her ESPP account or rights granted under our ESPP,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by will or the laws of descent and distribution.</w:t>
      </w:r>
    </w:p>
    <w:p>
      <w:pPr>
        <w:spacing w:after="0" w:line="92"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Our ESPP provides that in the event that any dividend or other distribution (whether in the form of cash,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other securities or other property), recapitalization, stock split, reverse stock split, reorganization, merger, consolidation, split-up, spin-off,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23" w:lineRule="exact"/>
        <w:rPr>
          <w:sz w:val="20"/>
          <w:szCs w:val="20"/>
          <w:color w:val="auto"/>
        </w:rPr>
      </w:pPr>
    </w:p>
    <w:p>
      <w:pPr>
        <w:ind w:left="120" w:right="100"/>
        <w:spacing w:after="0" w:line="242" w:lineRule="auto"/>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In the event of our merger or change in control, as defined in our ESPP, a successor corporation may assume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21"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The administrator has the authority to modify, amend, suspend or terminate our ESPP except that,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related to our initial public offering, unless we terminate it earlier.</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60"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Plan Sales</w:t>
      </w:r>
    </w:p>
    <w:p>
      <w:pPr>
        <w:spacing w:after="0" w:line="60"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90th day after the date of this offering, the sale of any shares under such plan would be subject to the lock-up agreement that the director or executive officer has entered into with the underwriters.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316" w:lineRule="exact"/>
        <w:rPr>
          <w:sz w:val="20"/>
          <w:szCs w:val="20"/>
          <w:color w:val="auto"/>
        </w:rPr>
      </w:pPr>
    </w:p>
    <w:p>
      <w:pPr>
        <w:ind w:left="120" w:right="160"/>
        <w:spacing w:after="0" w:line="253" w:lineRule="auto"/>
        <w:rPr>
          <w:sz w:val="20"/>
          <w:szCs w:val="20"/>
          <w:color w:val="auto"/>
        </w:rPr>
      </w:pPr>
      <w:r>
        <w:rPr>
          <w:rFonts w:ascii="Arial" w:cs="Arial" w:eastAsia="Arial" w:hAnsi="Arial"/>
          <w:sz w:val="17"/>
          <w:szCs w:val="17"/>
          <w:color w:val="auto"/>
        </w:rPr>
        <w:t>The following is a description of certain relationships and transactions since January 2017 involving our directors, executive officers or beneficial holders of more than 5% of our capital stock. Compensation arrangements with our directors and officers are described in “Management— Director Compensation,” “Executive Compensation” and “Management.”</w:t>
      </w:r>
    </w:p>
    <w:p>
      <w:pPr>
        <w:spacing w:after="0" w:line="111" w:lineRule="exact"/>
        <w:rPr>
          <w:sz w:val="20"/>
          <w:szCs w:val="20"/>
          <w:color w:val="auto"/>
        </w:rPr>
      </w:pPr>
    </w:p>
    <w:p>
      <w:pPr>
        <w:ind w:left="120" w:right="240"/>
        <w:spacing w:after="0" w:line="242" w:lineRule="auto"/>
        <w:rPr>
          <w:sz w:val="20"/>
          <w:szCs w:val="20"/>
          <w:color w:val="auto"/>
        </w:rPr>
      </w:pPr>
      <w:r>
        <w:rPr>
          <w:rFonts w:ascii="Arial" w:cs="Arial" w:eastAsia="Arial" w:hAnsi="Arial"/>
          <w:sz w:val="17"/>
          <w:szCs w:val="17"/>
          <w:color w:val="auto"/>
        </w:rPr>
        <w:t>Prior to April 1, 2020, all of our beneficial holders were shareholders of our predecessor, ALX Oncology Limited. On April 1, 2020, we were incorporated in Delaware and completed a reorganization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w:t>
      </w:r>
    </w:p>
    <w:p>
      <w:pPr>
        <w:spacing w:after="0" w:line="121" w:lineRule="exact"/>
        <w:rPr>
          <w:sz w:val="20"/>
          <w:szCs w:val="20"/>
          <w:color w:val="auto"/>
        </w:rPr>
      </w:pPr>
    </w:p>
    <w:p>
      <w:pPr>
        <w:ind w:left="120" w:right="140"/>
        <w:spacing w:after="0" w:line="253" w:lineRule="auto"/>
        <w:rPr>
          <w:sz w:val="20"/>
          <w:szCs w:val="20"/>
          <w:color w:val="auto"/>
        </w:rPr>
      </w:pPr>
      <w:r>
        <w:rPr>
          <w:rFonts w:ascii="Arial" w:cs="Arial" w:eastAsia="Arial" w:hAnsi="Arial"/>
          <w:sz w:val="17"/>
          <w:szCs w:val="17"/>
          <w:color w:val="auto"/>
        </w:rPr>
        <w:t>The related-party transaction disclosures included below reflect transactions between ALX Oncology Limited and related parties from January 1, 2017 to September 30, 2020, the period prior to our incorporation and the effectiveness of the reorganization. For all other times, it includes transactions between us and related parties.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Transaction</w:t>
      </w:r>
    </w:p>
    <w:p>
      <w:pPr>
        <w:spacing w:after="0" w:line="4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As described above, on April 1, 2020, we consummated a reorganization whereby we issued and sold to the existing shareholders of ALX Oncology Limited an aggregate of 3,166,946 shares of our common stock at purchase prices per share ranging from $0.007 to $1.91, an aggregate of 9,297,081 shares of our Series A convertible preferred stock at a purchase price per share of $6.58, an aggregate of 1,016,727 shares of our Series B convertible preferred stock at a purchase price per share of $9.4972 and an aggregate of 11,055,966 shares of our Series C convertible preferred stock at a purchase price per share of $9.4972, in exchange for promissory notes with an aggregate principal amount of $176.3 million. We also acquired 525,000,000 ordinary shares of ALX Oncology Limited in exchange for the promissory notes that were acquired in connection with such issuance and sale of our capital stock.</w:t>
      </w:r>
    </w:p>
    <w:p>
      <w:pPr>
        <w:spacing w:after="0" w:line="123" w:lineRule="exact"/>
        <w:rPr>
          <w:sz w:val="20"/>
          <w:szCs w:val="20"/>
          <w:color w:val="auto"/>
        </w:rPr>
      </w:pPr>
    </w:p>
    <w:p>
      <w:pPr>
        <w:ind w:left="120" w:right="120"/>
        <w:spacing w:after="0" w:line="246" w:lineRule="auto"/>
        <w:rPr>
          <w:sz w:val="20"/>
          <w:szCs w:val="20"/>
          <w:color w:val="auto"/>
        </w:rPr>
      </w:pPr>
      <w:r>
        <w:rPr>
          <w:rFonts w:ascii="Arial" w:cs="Arial" w:eastAsia="Arial" w:hAnsi="Arial"/>
          <w:sz w:val="17"/>
          <w:szCs w:val="17"/>
          <w:color w:val="auto"/>
        </w:rPr>
        <w:t>Purchasers of our shares of common stock, Series A convertible preferred stock, Series B convertible preferred stock and Series C convertible preferred stock include certain of our directors and executive officers and venture capital funds that beneficially own more than 5% of our outstanding capital stock and/or are represented on our board of directors. The following table presents the number of shares purchased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154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 OF</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9"/>
        </w:trPr>
        <w:tc>
          <w:tcPr>
            <w:tcW w:w="740" w:type="dxa"/>
            <w:vAlign w:val="bottom"/>
            <w:tcBorders>
              <w:bottom w:val="single" w:sz="8" w:color="auto"/>
            </w:tcBorders>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COMMON STOCK</w:t>
            </w:r>
          </w:p>
        </w:tc>
        <w:tc>
          <w:tcPr>
            <w:tcW w:w="260" w:type="dxa"/>
            <w:vAlign w:val="bottom"/>
          </w:tcPr>
          <w:p>
            <w:pPr>
              <w:spacing w:after="0"/>
              <w:rPr>
                <w:sz w:val="14"/>
                <w:szCs w:val="14"/>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w w:val="99"/>
              </w:rPr>
              <w:t>Sophia Randolph, M.D., Ph.D.</w:t>
            </w:r>
          </w:p>
        </w:tc>
        <w:tc>
          <w:tcPr>
            <w:tcW w:w="5500" w:type="dxa"/>
            <w:vAlign w:val="bottom"/>
            <w:vMerge w:val="restart"/>
            <w:shd w:val="clear" w:color="auto" w:fill="CCEEFF"/>
          </w:tcPr>
          <w:p>
            <w:pPr>
              <w:jc w:val="right"/>
              <w:ind w:right="5247"/>
              <w:spacing w:after="0" w:line="156" w:lineRule="exact"/>
              <w:rPr>
                <w:sz w:val="20"/>
                <w:szCs w:val="20"/>
                <w:color w:val="auto"/>
              </w:rPr>
            </w:pPr>
            <w:r>
              <w:rPr>
                <w:rFonts w:ascii="Arial" w:cs="Arial" w:eastAsia="Arial" w:hAnsi="Arial"/>
                <w:sz w:val="15"/>
                <w:szCs w:val="15"/>
                <w:color w:val="auto"/>
                <w:w w:val="87"/>
              </w:rPr>
              <w:t>(1)</w:t>
            </w: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280" w:type="dxa"/>
            <w:vAlign w:val="bottom"/>
            <w:gridSpan w:val="2"/>
            <w:vMerge w:val="continue"/>
            <w:shd w:val="clear" w:color="auto" w:fill="CCEEFF"/>
          </w:tcPr>
          <w:p>
            <w:pPr>
              <w:spacing w:after="0"/>
              <w:rPr>
                <w:sz w:val="11"/>
                <w:szCs w:val="11"/>
                <w:color w:val="auto"/>
              </w:rPr>
            </w:pPr>
          </w:p>
        </w:tc>
        <w:tc>
          <w:tcPr>
            <w:tcW w:w="5500" w:type="dxa"/>
            <w:vAlign w:val="bottom"/>
            <w:vMerge w:val="continue"/>
            <w:shd w:val="clear" w:color="auto" w:fill="CCEEFF"/>
          </w:tcPr>
          <w:p>
            <w:pPr>
              <w:spacing w:after="0"/>
              <w:rPr>
                <w:sz w:val="11"/>
                <w:szCs w:val="11"/>
                <w:color w:val="auto"/>
              </w:rPr>
            </w:pPr>
          </w:p>
        </w:tc>
        <w:tc>
          <w:tcPr>
            <w:tcW w:w="1860" w:type="dxa"/>
            <w:vAlign w:val="bottom"/>
            <w:gridSpan w:val="2"/>
            <w:vMerge w:val="restart"/>
            <w:shd w:val="clear" w:color="auto" w:fill="CCEEFF"/>
          </w:tcPr>
          <w:p>
            <w:pPr>
              <w:jc w:val="right"/>
              <w:ind w:right="660"/>
              <w:spacing w:after="0" w:line="176" w:lineRule="exact"/>
              <w:rPr>
                <w:sz w:val="20"/>
                <w:szCs w:val="20"/>
                <w:color w:val="auto"/>
              </w:rPr>
            </w:pPr>
            <w:r>
              <w:rPr>
                <w:rFonts w:ascii="Arial" w:cs="Arial" w:eastAsia="Arial" w:hAnsi="Arial"/>
                <w:sz w:val="17"/>
                <w:szCs w:val="17"/>
                <w:color w:val="auto"/>
              </w:rPr>
              <w:t>132,966</w:t>
            </w:r>
          </w:p>
        </w:tc>
        <w:tc>
          <w:tcPr>
            <w:tcW w:w="260" w:type="dxa"/>
            <w:vAlign w:val="bottom"/>
            <w:vMerge w:val="restart"/>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vMerge w:val="restart"/>
            <w:shd w:val="clear" w:color="auto" w:fill="CCEEFF"/>
          </w:tcPr>
          <w:p>
            <w:pPr>
              <w:jc w:val="right"/>
              <w:spacing w:after="0" w:line="176" w:lineRule="exact"/>
              <w:rPr>
                <w:sz w:val="20"/>
                <w:szCs w:val="20"/>
                <w:color w:val="auto"/>
              </w:rPr>
            </w:pPr>
            <w:r>
              <w:rPr>
                <w:rFonts w:ascii="Arial" w:cs="Arial" w:eastAsia="Arial" w:hAnsi="Arial"/>
                <w:sz w:val="17"/>
                <w:szCs w:val="17"/>
                <w:color w:val="auto"/>
              </w:rPr>
              <w:t>131,250</w:t>
            </w:r>
          </w:p>
        </w:tc>
        <w:tc>
          <w:tcPr>
            <w:tcW w:w="0" w:type="dxa"/>
            <w:vAlign w:val="bottom"/>
          </w:tcPr>
          <w:p>
            <w:pPr>
              <w:spacing w:after="0"/>
              <w:rPr>
                <w:sz w:val="1"/>
                <w:szCs w:val="1"/>
                <w:color w:val="auto"/>
              </w:rPr>
            </w:pPr>
          </w:p>
        </w:tc>
      </w:tr>
      <w:tr>
        <w:trPr>
          <w:trHeight w:val="40"/>
        </w:trPr>
        <w:tc>
          <w:tcPr>
            <w:tcW w:w="2280" w:type="dxa"/>
            <w:vAlign w:val="bottom"/>
            <w:gridSpan w:val="2"/>
            <w:vMerge w:val="continue"/>
            <w:shd w:val="clear" w:color="auto" w:fill="CCEEFF"/>
          </w:tcPr>
          <w:p>
            <w:pPr>
              <w:spacing w:after="0"/>
              <w:rPr>
                <w:sz w:val="3"/>
                <w:szCs w:val="3"/>
                <w:color w:val="auto"/>
              </w:rPr>
            </w:pPr>
          </w:p>
        </w:tc>
        <w:tc>
          <w:tcPr>
            <w:tcW w:w="5500" w:type="dxa"/>
            <w:vAlign w:val="bottom"/>
            <w:shd w:val="clear" w:color="auto" w:fill="CCEEFF"/>
          </w:tcPr>
          <w:p>
            <w:pPr>
              <w:spacing w:after="0"/>
              <w:rPr>
                <w:sz w:val="3"/>
                <w:szCs w:val="3"/>
                <w:color w:val="auto"/>
              </w:rPr>
            </w:pPr>
          </w:p>
        </w:tc>
        <w:tc>
          <w:tcPr>
            <w:tcW w:w="1860" w:type="dxa"/>
            <w:vAlign w:val="bottom"/>
            <w:gridSpan w:val="2"/>
            <w:vMerge w:val="continue"/>
            <w:shd w:val="clear" w:color="auto" w:fill="CCEEFF"/>
          </w:tcPr>
          <w:p>
            <w:pPr>
              <w:spacing w:after="0"/>
              <w:rPr>
                <w:sz w:val="3"/>
                <w:szCs w:val="3"/>
                <w:color w:val="auto"/>
              </w:rPr>
            </w:pPr>
          </w:p>
        </w:tc>
        <w:tc>
          <w:tcPr>
            <w:tcW w:w="260" w:type="dxa"/>
            <w:vAlign w:val="bottom"/>
            <w:vMerge w:val="continue"/>
            <w:shd w:val="clear" w:color="auto" w:fill="CCEEFF"/>
          </w:tcPr>
          <w:p>
            <w:pPr>
              <w:spacing w:after="0"/>
              <w:rPr>
                <w:sz w:val="3"/>
                <w:szCs w:val="3"/>
                <w:color w:val="auto"/>
              </w:rPr>
            </w:pPr>
          </w:p>
        </w:tc>
        <w:tc>
          <w:tcPr>
            <w:tcW w:w="1120" w:type="dxa"/>
            <w:vAlign w:val="bottom"/>
            <w:tcBorders>
              <w:right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Dr. Randolph currently serves as our 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line="232" w:lineRule="auto"/>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Jason Lettmann</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SHARES OF</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SERIES A</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CONVERTIBLE</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PREFERRED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7"/>
        </w:trPr>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54"/>
        </w:trPr>
        <w:tc>
          <w:tcPr>
            <w:tcW w:w="10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5,498,608</w:t>
            </w:r>
          </w:p>
        </w:tc>
        <w:tc>
          <w:tcPr>
            <w:tcW w:w="700" w:type="dxa"/>
            <w:vAlign w:val="bottom"/>
          </w:tcPr>
          <w:p>
            <w:pPr>
              <w:spacing w:after="0"/>
              <w:rPr>
                <w:sz w:val="13"/>
                <w:szCs w:val="13"/>
                <w:color w:val="auto"/>
              </w:rPr>
            </w:pPr>
          </w:p>
        </w:tc>
        <w:tc>
          <w:tcPr>
            <w:tcW w:w="26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36,184,150</w:t>
            </w:r>
          </w:p>
        </w:tc>
        <w:tc>
          <w:tcPr>
            <w:tcW w:w="20" w:type="dxa"/>
            <w:vAlign w:val="bottom"/>
          </w:tcPr>
          <w:p>
            <w:pPr>
              <w:spacing w:after="0"/>
              <w:rPr>
                <w:sz w:val="13"/>
                <w:szCs w:val="13"/>
                <w:color w:val="auto"/>
              </w:rPr>
            </w:pPr>
          </w:p>
        </w:tc>
      </w:tr>
      <w:tr>
        <w:trPr>
          <w:trHeight w:val="189"/>
        </w:trPr>
        <w:tc>
          <w:tcPr>
            <w:tcW w:w="174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2,579,776</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16,976,504</w:t>
            </w:r>
          </w:p>
        </w:tc>
      </w:tr>
      <w:tr>
        <w:trPr>
          <w:trHeight w:val="189"/>
        </w:trPr>
        <w:tc>
          <w:tcPr>
            <w:tcW w:w="174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78,175</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514,446</w:t>
            </w:r>
          </w:p>
        </w:tc>
      </w:tr>
      <w:tr>
        <w:trPr>
          <w:trHeight w:val="231"/>
        </w:trPr>
        <w:tc>
          <w:tcPr>
            <w:tcW w:w="1740" w:type="dxa"/>
            <w:vAlign w:val="bottom"/>
            <w:gridSpan w:val="2"/>
          </w:tcPr>
          <w:p>
            <w:pPr>
              <w:jc w:val="right"/>
              <w:ind w:right="700"/>
              <w:spacing w:after="0"/>
              <w:rPr>
                <w:sz w:val="20"/>
                <w:szCs w:val="20"/>
                <w:color w:val="auto"/>
              </w:rPr>
            </w:pPr>
            <w:r>
              <w:rPr>
                <w:rFonts w:ascii="Arial" w:cs="Arial" w:eastAsia="Arial" w:hAnsi="Arial"/>
                <w:sz w:val="17"/>
                <w:szCs w:val="17"/>
                <w:color w:val="auto"/>
              </w:rPr>
              <w:t>78,175</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514,446</w:t>
            </w:r>
          </w:p>
        </w:tc>
      </w:tr>
    </w:tbl>
    <w:p>
      <w:pPr>
        <w:spacing w:after="0" w:line="200" w:lineRule="exact"/>
        <w:rPr>
          <w:sz w:val="20"/>
          <w:szCs w:val="20"/>
          <w:color w:val="auto"/>
        </w:rPr>
      </w:pPr>
    </w:p>
    <w:p>
      <w:pPr>
        <w:sectPr>
          <w:pgSz w:w="11900" w:h="16838" w:orient="portrait"/>
          <w:cols w:equalWidth="0" w:num="2">
            <w:col w:w="7300" w:space="720"/>
            <w:col w:w="3120"/>
          </w:cols>
          <w:pgMar w:left="320" w:top="455" w:right="439" w:bottom="1440" w:gutter="0" w:footer="0" w:header="0"/>
          <w:type w:val="continuous"/>
        </w:sectPr>
      </w:pPr>
    </w:p>
    <w:p>
      <w:pPr>
        <w:spacing w:after="0" w:line="43" w:lineRule="exact"/>
        <w:rPr>
          <w:sz w:val="20"/>
          <w:szCs w:val="20"/>
          <w:color w:val="auto"/>
        </w:rPr>
      </w:pPr>
    </w:p>
    <w:p>
      <w:pPr>
        <w:ind w:left="540" w:right="60" w:hanging="276"/>
        <w:spacing w:after="0" w:line="261"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1" w:lineRule="exact"/>
        <w:rPr>
          <w:rFonts w:ascii="Arial" w:cs="Arial" w:eastAsia="Arial" w:hAnsi="Arial"/>
          <w:sz w:val="14"/>
          <w:szCs w:val="14"/>
          <w:color w:val="auto"/>
        </w:rPr>
      </w:pPr>
    </w:p>
    <w:p>
      <w:pPr>
        <w:ind w:left="540" w:right="20" w:hanging="276"/>
        <w:spacing w:after="0" w:line="266"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140"/>
          </w:cols>
          <w:pgMar w:left="320" w:top="455" w:right="439" w:bottom="1440" w:gutter="0" w:footer="0" w:header="0"/>
          <w:type w:val="continuous"/>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28" w:lineRule="exact"/>
        <w:rPr>
          <w:sz w:val="20"/>
          <w:szCs w:val="20"/>
          <w:color w:val="auto"/>
        </w:rPr>
      </w:pPr>
    </w:p>
    <w:p>
      <w:pPr>
        <w:ind w:left="540" w:hanging="276"/>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2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00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SHARES OF SERIES B</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7"/>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54"/>
        </w:trPr>
        <w:tc>
          <w:tcPr>
            <w:tcW w:w="15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490,411</w:t>
            </w:r>
          </w:p>
        </w:tc>
        <w:tc>
          <w:tcPr>
            <w:tcW w:w="840" w:type="dxa"/>
            <w:vAlign w:val="bottom"/>
          </w:tcPr>
          <w:p>
            <w:pPr>
              <w:spacing w:after="0"/>
              <w:rPr>
                <w:sz w:val="13"/>
                <w:szCs w:val="13"/>
                <w:color w:val="auto"/>
              </w:rPr>
            </w:pPr>
          </w:p>
        </w:tc>
        <w:tc>
          <w:tcPr>
            <w:tcW w:w="26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4,657,496</w:t>
            </w:r>
          </w:p>
        </w:tc>
        <w:tc>
          <w:tcPr>
            <w:tcW w:w="20" w:type="dxa"/>
            <w:vAlign w:val="bottom"/>
          </w:tcPr>
          <w:p>
            <w:pPr>
              <w:spacing w:after="0"/>
              <w:rPr>
                <w:sz w:val="13"/>
                <w:szCs w:val="13"/>
                <w:color w:val="auto"/>
              </w:rPr>
            </w:pPr>
          </w:p>
        </w:tc>
      </w:tr>
      <w:tr>
        <w:trPr>
          <w:trHeight w:val="189"/>
        </w:trPr>
        <w:tc>
          <w:tcPr>
            <w:tcW w:w="2400" w:type="dxa"/>
            <w:vAlign w:val="bottom"/>
            <w:gridSpan w:val="2"/>
          </w:tcPr>
          <w:p>
            <w:pPr>
              <w:jc w:val="right"/>
              <w:ind w:right="840"/>
              <w:spacing w:after="0" w:line="189" w:lineRule="exact"/>
              <w:rPr>
                <w:sz w:val="20"/>
                <w:szCs w:val="20"/>
                <w:color w:val="auto"/>
              </w:rPr>
            </w:pPr>
            <w:r>
              <w:rPr>
                <w:rFonts w:ascii="Arial" w:cs="Arial" w:eastAsia="Arial" w:hAnsi="Arial"/>
                <w:sz w:val="17"/>
                <w:szCs w:val="17"/>
                <w:color w:val="auto"/>
              </w:rPr>
              <w:t>230,084</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2,185,155</w:t>
            </w:r>
          </w:p>
        </w:tc>
      </w:tr>
      <w:tr>
        <w:trPr>
          <w:trHeight w:val="231"/>
        </w:trPr>
        <w:tc>
          <w:tcPr>
            <w:tcW w:w="2400" w:type="dxa"/>
            <w:vAlign w:val="bottom"/>
            <w:gridSpan w:val="2"/>
          </w:tcPr>
          <w:p>
            <w:pPr>
              <w:jc w:val="right"/>
              <w:ind w:right="840"/>
              <w:spacing w:after="0"/>
              <w:rPr>
                <w:sz w:val="20"/>
                <w:szCs w:val="20"/>
                <w:color w:val="auto"/>
              </w:rPr>
            </w:pPr>
            <w:r>
              <w:rPr>
                <w:rFonts w:ascii="Arial" w:cs="Arial" w:eastAsia="Arial" w:hAnsi="Arial"/>
                <w:sz w:val="17"/>
                <w:szCs w:val="17"/>
                <w:color w:val="auto"/>
              </w:rPr>
              <w:t>15,794</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149,999</w:t>
            </w:r>
          </w:p>
        </w:tc>
      </w:tr>
    </w:tbl>
    <w:p>
      <w:pPr>
        <w:spacing w:after="0" w:line="200" w:lineRule="exact"/>
        <w:rPr>
          <w:sz w:val="20"/>
          <w:szCs w:val="20"/>
          <w:color w:val="auto"/>
        </w:rPr>
      </w:pPr>
    </w:p>
    <w:p>
      <w:pPr>
        <w:sectPr>
          <w:pgSz w:w="11900" w:h="16838" w:orient="portrait"/>
          <w:cols w:equalWidth="0" w:num="2">
            <w:col w:w="6640" w:space="720"/>
            <w:col w:w="3780"/>
          </w:cols>
          <w:pgMar w:left="320" w:top="455" w:right="439" w:bottom="1440" w:gutter="0" w:footer="0" w:header="0"/>
          <w:type w:val="continuous"/>
        </w:sectPr>
      </w:pPr>
    </w:p>
    <w:p>
      <w:pPr>
        <w:spacing w:after="0" w:line="43" w:lineRule="exact"/>
        <w:rPr>
          <w:sz w:val="20"/>
          <w:szCs w:val="20"/>
          <w:color w:val="auto"/>
        </w:rPr>
      </w:pPr>
    </w:p>
    <w:p>
      <w:pPr>
        <w:ind w:left="540" w:right="60" w:hanging="276"/>
        <w:spacing w:after="0" w:line="261"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1" w:lineRule="exact"/>
        <w:rPr>
          <w:rFonts w:ascii="Arial" w:cs="Arial" w:eastAsia="Arial" w:hAnsi="Arial"/>
          <w:sz w:val="14"/>
          <w:szCs w:val="14"/>
          <w:color w:val="auto"/>
        </w:rPr>
      </w:pPr>
    </w:p>
    <w:p>
      <w:pPr>
        <w:ind w:left="540" w:right="20" w:hanging="276"/>
        <w:spacing w:after="0" w:line="261"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1" w:lineRule="exact"/>
        <w:rPr>
          <w:rFonts w:ascii="Arial" w:cs="Arial" w:eastAsia="Arial" w:hAnsi="Arial"/>
          <w:sz w:val="14"/>
          <w:szCs w:val="14"/>
          <w:color w:val="auto"/>
        </w:rPr>
      </w:pPr>
    </w:p>
    <w:p>
      <w:pPr>
        <w:ind w:left="540" w:hanging="276"/>
        <w:spacing w:after="0"/>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SHARES OF 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4"/>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260" w:type="dxa"/>
            <w:vAlign w:val="bottom"/>
          </w:tcPr>
          <w:p>
            <w:pPr>
              <w:spacing w:after="0"/>
              <w:rPr>
                <w:sz w:val="15"/>
                <w:szCs w:val="15"/>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26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52,647</w:t>
            </w:r>
          </w:p>
        </w:tc>
        <w:tc>
          <w:tcPr>
            <w:tcW w:w="6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260" w:type="dxa"/>
            <w:vAlign w:val="bottom"/>
            <w:vMerge w:val="restart"/>
          </w:tcPr>
          <w:p>
            <w:pPr>
              <w:jc w:val="right"/>
              <w:ind w:right="3007"/>
              <w:spacing w:after="0"/>
              <w:rPr>
                <w:sz w:val="20"/>
                <w:szCs w:val="20"/>
                <w:color w:val="auto"/>
              </w:rPr>
            </w:pPr>
            <w:r>
              <w:rPr>
                <w:rFonts w:ascii="Arial" w:cs="Arial" w:eastAsia="Arial" w:hAnsi="Arial"/>
                <w:sz w:val="15"/>
                <w:szCs w:val="15"/>
                <w:color w:val="auto"/>
                <w:w w:val="87"/>
              </w:rPr>
              <w:t>(2)</w:t>
            </w:r>
          </w:p>
        </w:tc>
        <w:tc>
          <w:tcPr>
            <w:tcW w:w="2220" w:type="dxa"/>
            <w:vAlign w:val="bottom"/>
            <w:gridSpan w:val="2"/>
          </w:tcPr>
          <w:p>
            <w:pPr>
              <w:jc w:val="right"/>
              <w:ind w:right="660"/>
              <w:spacing w:after="0" w:line="135" w:lineRule="exact"/>
              <w:rPr>
                <w:sz w:val="20"/>
                <w:szCs w:val="20"/>
                <w:color w:val="auto"/>
              </w:rPr>
            </w:pPr>
            <w:r>
              <w:rPr>
                <w:rFonts w:ascii="Arial" w:cs="Arial" w:eastAsia="Arial" w:hAnsi="Arial"/>
                <w:sz w:val="15"/>
                <w:szCs w:val="15"/>
                <w:color w:val="auto"/>
              </w:rPr>
              <w:t>1,052,950</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26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859,311</w:t>
            </w:r>
          </w:p>
        </w:tc>
        <w:tc>
          <w:tcPr>
            <w:tcW w:w="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260" w:type="dxa"/>
            <w:vAlign w:val="bottom"/>
          </w:tcPr>
          <w:p>
            <w:pPr>
              <w:spacing w:after="0" w:line="20" w:lineRule="exact"/>
              <w:rPr>
                <w:sz w:val="1"/>
                <w:szCs w:val="1"/>
                <w:color w:val="auto"/>
              </w:rPr>
            </w:pPr>
          </w:p>
        </w:tc>
        <w:tc>
          <w:tcPr>
            <w:tcW w:w="2220" w:type="dxa"/>
            <w:vAlign w:val="bottom"/>
            <w:gridSpan w:val="2"/>
          </w:tcPr>
          <w:p>
            <w:pPr>
              <w:jc w:val="right"/>
              <w:ind w:right="660"/>
              <w:spacing w:after="0" w:line="4" w:lineRule="exact"/>
              <w:rPr>
                <w:sz w:val="20"/>
                <w:szCs w:val="20"/>
                <w:color w:val="auto"/>
              </w:rPr>
            </w:pPr>
            <w:r>
              <w:rPr>
                <w:rFonts w:ascii="Arial" w:cs="Arial" w:eastAsia="Arial" w:hAnsi="Arial"/>
                <w:sz w:val="1"/>
                <w:szCs w:val="1"/>
                <w:color w:val="auto"/>
              </w:rPr>
              <w:t>2,105,901</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16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Vivo Capital Fund IX, LP</w:t>
            </w:r>
          </w:p>
        </w:tc>
        <w:tc>
          <w:tcPr>
            <w:tcW w:w="3260" w:type="dxa"/>
            <w:vAlign w:val="bottom"/>
            <w:shd w:val="clear" w:color="auto" w:fill="CCEEFF"/>
          </w:tcPr>
          <w:p>
            <w:pPr>
              <w:spacing w:after="0" w:line="20" w:lineRule="exact"/>
              <w:rPr>
                <w:sz w:val="1"/>
                <w:szCs w:val="1"/>
                <w:color w:val="auto"/>
              </w:rPr>
            </w:pPr>
          </w:p>
        </w:tc>
        <w:tc>
          <w:tcPr>
            <w:tcW w:w="2220" w:type="dxa"/>
            <w:vAlign w:val="bottom"/>
            <w:gridSpan w:val="2"/>
            <w:shd w:val="clear" w:color="auto" w:fill="CCEEFF"/>
          </w:tcPr>
          <w:p>
            <w:pPr>
              <w:jc w:val="right"/>
              <w:ind w:right="660"/>
              <w:spacing w:after="0" w:line="4" w:lineRule="exact"/>
              <w:rPr>
                <w:sz w:val="20"/>
                <w:szCs w:val="20"/>
                <w:color w:val="auto"/>
              </w:rPr>
            </w:pPr>
            <w:r>
              <w:rPr>
                <w:rFonts w:ascii="Arial" w:cs="Arial" w:eastAsia="Arial" w:hAnsi="Arial"/>
                <w:sz w:val="1"/>
                <w:szCs w:val="1"/>
                <w:color w:val="auto"/>
              </w:rPr>
              <w:t>3,158,851</w:t>
            </w:r>
          </w:p>
        </w:tc>
        <w:tc>
          <w:tcPr>
            <w:tcW w:w="26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7" w:lineRule="exact"/>
        <w:rPr>
          <w:sz w:val="20"/>
          <w:szCs w:val="20"/>
          <w:color w:val="auto"/>
        </w:rPr>
      </w:pPr>
    </w:p>
    <w:p>
      <w:pPr>
        <w:ind w:left="540" w:hanging="276"/>
        <w:spacing w:after="0"/>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61"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1" w:lineRule="exact"/>
        <w:rPr>
          <w:rFonts w:ascii="Arial" w:cs="Arial" w:eastAsia="Arial" w:hAnsi="Arial"/>
          <w:sz w:val="14"/>
          <w:szCs w:val="14"/>
          <w:color w:val="auto"/>
        </w:rPr>
      </w:pPr>
    </w:p>
    <w:p>
      <w:pPr>
        <w:ind w:left="540" w:right="20" w:hanging="276"/>
        <w:spacing w:after="0" w:line="261"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1" w:lineRule="exact"/>
        <w:rPr>
          <w:rFonts w:ascii="Arial" w:cs="Arial" w:eastAsia="Arial" w:hAnsi="Arial"/>
          <w:sz w:val="14"/>
          <w:szCs w:val="14"/>
          <w:color w:val="auto"/>
        </w:rPr>
      </w:pPr>
    </w:p>
    <w:p>
      <w:pPr>
        <w:ind w:left="540" w:hanging="276"/>
        <w:spacing w:after="0"/>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Share Financings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C Convertible Preferred Shares Transaction</w:t>
      </w:r>
    </w:p>
    <w:p>
      <w:pPr>
        <w:spacing w:after="0" w:line="43" w:lineRule="exact"/>
        <w:rPr>
          <w:sz w:val="20"/>
          <w:szCs w:val="20"/>
          <w:color w:val="auto"/>
        </w:rPr>
      </w:pPr>
    </w:p>
    <w:p>
      <w:pPr>
        <w:ind w:left="120" w:right="420"/>
        <w:spacing w:after="0" w:line="261" w:lineRule="auto"/>
        <w:rPr>
          <w:sz w:val="20"/>
          <w:szCs w:val="20"/>
          <w:color w:val="auto"/>
        </w:rPr>
      </w:pPr>
      <w:r>
        <w:rPr>
          <w:rFonts w:ascii="Arial" w:cs="Arial" w:eastAsia="Arial" w:hAnsi="Arial"/>
          <w:sz w:val="17"/>
          <w:szCs w:val="17"/>
          <w:color w:val="auto"/>
        </w:rPr>
        <w:t>In February 2020, we issued and sold an aggregate of 11,055,966 shares of our Series C convertible preferred shares at a purchase price of $9.4972 per share for an aggregate purchase price of approximately $105.0 million.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140"/>
          </w:cols>
          <w:pgMar w:left="320" w:top="455" w:right="439" w:bottom="1440" w:gutter="0" w:footer="0" w:header="0"/>
          <w:type w:val="continuous"/>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7"/>
          <w:szCs w:val="17"/>
          <w:color w:val="auto"/>
        </w:rPr>
        <w:t>Purchasers of our Series C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4"/>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3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52,647</w:t>
            </w:r>
          </w:p>
        </w:tc>
        <w:tc>
          <w:tcPr>
            <w:tcW w:w="5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360" w:type="dxa"/>
            <w:vAlign w:val="bottom"/>
            <w:vMerge w:val="restart"/>
          </w:tcPr>
          <w:p>
            <w:pPr>
              <w:jc w:val="right"/>
              <w:ind w:right="3107"/>
              <w:spacing w:after="0"/>
              <w:rPr>
                <w:sz w:val="20"/>
                <w:szCs w:val="20"/>
                <w:color w:val="auto"/>
              </w:rPr>
            </w:pPr>
            <w:r>
              <w:rPr>
                <w:rFonts w:ascii="Arial" w:cs="Arial" w:eastAsia="Arial" w:hAnsi="Arial"/>
                <w:sz w:val="15"/>
                <w:szCs w:val="15"/>
                <w:color w:val="auto"/>
                <w:w w:val="87"/>
              </w:rPr>
              <w:t>(2)</w:t>
            </w:r>
          </w:p>
        </w:tc>
        <w:tc>
          <w:tcPr>
            <w:tcW w:w="2120" w:type="dxa"/>
            <w:vAlign w:val="bottom"/>
            <w:gridSpan w:val="2"/>
          </w:tcPr>
          <w:p>
            <w:pPr>
              <w:jc w:val="right"/>
              <w:ind w:right="580"/>
              <w:spacing w:after="0" w:line="135" w:lineRule="exact"/>
              <w:rPr>
                <w:sz w:val="20"/>
                <w:szCs w:val="20"/>
                <w:color w:val="auto"/>
              </w:rPr>
            </w:pPr>
            <w:r>
              <w:rPr>
                <w:rFonts w:ascii="Arial" w:cs="Arial" w:eastAsia="Arial" w:hAnsi="Arial"/>
                <w:sz w:val="15"/>
                <w:szCs w:val="15"/>
                <w:color w:val="auto"/>
              </w:rPr>
              <w:t>1,052,950</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54"/>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36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859,311</w:t>
            </w:r>
          </w:p>
        </w:tc>
        <w:tc>
          <w:tcPr>
            <w:tcW w:w="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360" w:type="dxa"/>
            <w:vAlign w:val="bottom"/>
          </w:tcPr>
          <w:p>
            <w:pPr>
              <w:spacing w:after="0" w:line="20" w:lineRule="exact"/>
              <w:rPr>
                <w:sz w:val="1"/>
                <w:szCs w:val="1"/>
                <w:color w:val="auto"/>
              </w:rPr>
            </w:pPr>
          </w:p>
        </w:tc>
        <w:tc>
          <w:tcPr>
            <w:tcW w:w="2120" w:type="dxa"/>
            <w:vAlign w:val="bottom"/>
            <w:gridSpan w:val="2"/>
          </w:tcPr>
          <w:p>
            <w:pPr>
              <w:jc w:val="right"/>
              <w:ind w:right="580"/>
              <w:spacing w:after="0" w:line="4" w:lineRule="exact"/>
              <w:rPr>
                <w:sz w:val="20"/>
                <w:szCs w:val="20"/>
                <w:color w:val="auto"/>
              </w:rPr>
            </w:pPr>
            <w:r>
              <w:rPr>
                <w:rFonts w:ascii="Arial" w:cs="Arial" w:eastAsia="Arial" w:hAnsi="Arial"/>
                <w:sz w:val="1"/>
                <w:szCs w:val="1"/>
                <w:color w:val="auto"/>
              </w:rPr>
              <w:t>2,105,901</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16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Vivo Capital Fund IX, LP</w:t>
            </w:r>
          </w:p>
        </w:tc>
        <w:tc>
          <w:tcPr>
            <w:tcW w:w="3360" w:type="dxa"/>
            <w:vAlign w:val="bottom"/>
            <w:shd w:val="clear" w:color="auto" w:fill="CCEEFF"/>
          </w:tcPr>
          <w:p>
            <w:pPr>
              <w:spacing w:after="0" w:line="20" w:lineRule="exact"/>
              <w:rPr>
                <w:sz w:val="1"/>
                <w:szCs w:val="1"/>
                <w:color w:val="auto"/>
              </w:rPr>
            </w:pPr>
          </w:p>
        </w:tc>
        <w:tc>
          <w:tcPr>
            <w:tcW w:w="2120" w:type="dxa"/>
            <w:vAlign w:val="bottom"/>
            <w:gridSpan w:val="2"/>
            <w:shd w:val="clear" w:color="auto" w:fill="CCEEFF"/>
          </w:tcPr>
          <w:p>
            <w:pPr>
              <w:jc w:val="right"/>
              <w:ind w:right="580"/>
              <w:spacing w:after="0" w:line="4" w:lineRule="exact"/>
              <w:rPr>
                <w:sz w:val="20"/>
                <w:szCs w:val="20"/>
                <w:color w:val="auto"/>
              </w:rPr>
            </w:pPr>
            <w:r>
              <w:rPr>
                <w:rFonts w:ascii="Arial" w:cs="Arial" w:eastAsia="Arial" w:hAnsi="Arial"/>
                <w:sz w:val="1"/>
                <w:szCs w:val="1"/>
                <w:color w:val="auto"/>
              </w:rPr>
              <w:t>3,158,851</w:t>
            </w:r>
          </w:p>
        </w:tc>
        <w:tc>
          <w:tcPr>
            <w:tcW w:w="26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ind w:left="540" w:hanging="276"/>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61" w:lineRule="auto"/>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1" w:lineRule="exact"/>
        <w:rPr>
          <w:rFonts w:ascii="Arial" w:cs="Arial" w:eastAsia="Arial" w:hAnsi="Arial"/>
          <w:sz w:val="14"/>
          <w:szCs w:val="14"/>
          <w:color w:val="auto"/>
        </w:rPr>
      </w:pPr>
    </w:p>
    <w:p>
      <w:pPr>
        <w:ind w:left="540" w:right="20" w:hanging="276"/>
        <w:spacing w:after="0" w:line="261" w:lineRule="auto"/>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1" w:lineRule="exact"/>
        <w:rPr>
          <w:rFonts w:ascii="Arial" w:cs="Arial" w:eastAsia="Arial" w:hAnsi="Arial"/>
          <w:sz w:val="14"/>
          <w:szCs w:val="14"/>
          <w:color w:val="auto"/>
        </w:rPr>
      </w:pPr>
    </w:p>
    <w:p>
      <w:pPr>
        <w:ind w:left="540" w:hanging="276"/>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Shares Transaction</w:t>
      </w:r>
    </w:p>
    <w:p>
      <w:pPr>
        <w:spacing w:after="0" w:line="43" w:lineRule="exact"/>
        <w:rPr>
          <w:sz w:val="20"/>
          <w:szCs w:val="20"/>
          <w:color w:val="auto"/>
        </w:rPr>
      </w:pPr>
    </w:p>
    <w:p>
      <w:pPr>
        <w:ind w:left="120" w:right="220"/>
        <w:spacing w:after="0" w:line="261" w:lineRule="auto"/>
        <w:rPr>
          <w:sz w:val="20"/>
          <w:szCs w:val="20"/>
          <w:color w:val="auto"/>
        </w:rPr>
      </w:pPr>
      <w:r>
        <w:rPr>
          <w:rFonts w:ascii="Arial" w:cs="Arial" w:eastAsia="Arial" w:hAnsi="Arial"/>
          <w:sz w:val="17"/>
          <w:szCs w:val="17"/>
          <w:color w:val="auto"/>
        </w:rPr>
        <w:t>In May 2019, we issued and sold an aggregate of 1,016,727 shares of our Series B convertible preferred shares at a purchase price of $9.4972 per share for an aggregate purchase price of approximately $9.6 million.</w:t>
      </w:r>
    </w:p>
    <w:p>
      <w:pPr>
        <w:spacing w:after="0" w:line="104" w:lineRule="exact"/>
        <w:rPr>
          <w:sz w:val="20"/>
          <w:szCs w:val="20"/>
          <w:color w:val="auto"/>
        </w:rPr>
      </w:pPr>
    </w:p>
    <w:p>
      <w:pPr>
        <w:jc w:val="both"/>
        <w:ind w:left="120" w:right="300"/>
        <w:spacing w:after="0" w:line="253" w:lineRule="auto"/>
        <w:rPr>
          <w:sz w:val="20"/>
          <w:szCs w:val="20"/>
          <w:color w:val="auto"/>
        </w:rPr>
      </w:pPr>
      <w:r>
        <w:rPr>
          <w:rFonts w:ascii="Arial" w:cs="Arial" w:eastAsia="Arial" w:hAnsi="Arial"/>
          <w:sz w:val="17"/>
          <w:szCs w:val="17"/>
          <w:color w:val="auto"/>
        </w:rPr>
        <w:t>Purchasers of our Series B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SERIES B</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9"/>
        </w:trPr>
        <w:tc>
          <w:tcPr>
            <w:tcW w:w="740" w:type="dxa"/>
            <w:vAlign w:val="bottom"/>
            <w:tcBorders>
              <w:bottom w:val="single" w:sz="8" w:color="auto"/>
            </w:tcBorders>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4"/>
                <w:szCs w:val="14"/>
                <w:color w:val="auto"/>
              </w:rPr>
            </w:pPr>
          </w:p>
        </w:tc>
        <w:tc>
          <w:tcPr>
            <w:tcW w:w="1120" w:type="dxa"/>
            <w:vAlign w:val="bottom"/>
          </w:tcPr>
          <w:p>
            <w:pPr>
              <w:jc w:val="right"/>
              <w:ind w:right="44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7"/>
        </w:trPr>
        <w:tc>
          <w:tcPr>
            <w:tcW w:w="4160" w:type="dxa"/>
            <w:vAlign w:val="bottom"/>
            <w:tcBorders>
              <w:bottom w:val="single" w:sz="8" w:color="CCEEFF"/>
            </w:tcBorders>
            <w:gridSpan w:val="2"/>
            <w:shd w:val="clear" w:color="auto" w:fill="CCEEFF"/>
          </w:tcPr>
          <w:p>
            <w:pPr>
              <w:spacing w:after="0" w:line="7" w:lineRule="exact"/>
              <w:rPr>
                <w:sz w:val="20"/>
                <w:szCs w:val="20"/>
                <w:color w:val="auto"/>
              </w:rPr>
            </w:pPr>
            <w:r>
              <w:rPr>
                <w:rFonts w:ascii="Arial" w:cs="Arial" w:eastAsia="Arial" w:hAnsi="Arial"/>
                <w:sz w:val="1"/>
                <w:szCs w:val="1"/>
                <w:color w:val="auto"/>
              </w:rPr>
              <w:t>Entities affiliated with venBio Global Strategic Fund, LP</w:t>
            </w:r>
          </w:p>
        </w:tc>
        <w:tc>
          <w:tcPr>
            <w:tcW w:w="3200" w:type="dxa"/>
            <w:vAlign w:val="bottom"/>
            <w:tcBorders>
              <w:bottom w:val="single" w:sz="8" w:color="CCEEFF"/>
            </w:tcBorders>
            <w:vMerge w:val="restart"/>
            <w:shd w:val="clear" w:color="auto" w:fill="CCEEFF"/>
          </w:tcPr>
          <w:p>
            <w:pPr>
              <w:jc w:val="right"/>
              <w:ind w:right="2947"/>
              <w:spacing w:after="0"/>
              <w:rPr>
                <w:sz w:val="20"/>
                <w:szCs w:val="20"/>
                <w:color w:val="auto"/>
              </w:rPr>
            </w:pPr>
            <w:r>
              <w:rPr>
                <w:rFonts w:ascii="Arial" w:cs="Arial" w:eastAsia="Arial" w:hAnsi="Arial"/>
                <w:sz w:val="15"/>
                <w:szCs w:val="15"/>
                <w:color w:val="auto"/>
                <w:w w:val="87"/>
              </w:rPr>
              <w:t>(1)</w:t>
            </w:r>
          </w:p>
        </w:tc>
        <w:tc>
          <w:tcPr>
            <w:tcW w:w="1540" w:type="dxa"/>
            <w:vAlign w:val="bottom"/>
            <w:tcBorders>
              <w:bottom w:val="single" w:sz="8" w:color="auto"/>
            </w:tcBorders>
            <w:shd w:val="clear" w:color="auto" w:fill="000000"/>
          </w:tcPr>
          <w:p>
            <w:pPr>
              <w:jc w:val="right"/>
              <w:spacing w:after="0" w:line="7" w:lineRule="exact"/>
              <w:rPr>
                <w:sz w:val="20"/>
                <w:szCs w:val="20"/>
                <w:color w:val="auto"/>
              </w:rPr>
            </w:pPr>
            <w:r>
              <w:rPr>
                <w:rFonts w:ascii="Arial" w:cs="Arial" w:eastAsia="Arial" w:hAnsi="Arial"/>
                <w:sz w:val="1"/>
                <w:szCs w:val="1"/>
                <w:color w:val="auto"/>
              </w:rPr>
              <w:t>490,411</w:t>
            </w:r>
          </w:p>
        </w:tc>
        <w:tc>
          <w:tcPr>
            <w:tcW w:w="74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7" w:lineRule="exact"/>
              <w:rPr>
                <w:sz w:val="20"/>
                <w:szCs w:val="20"/>
                <w:color w:val="auto"/>
              </w:rPr>
            </w:pPr>
            <w:r>
              <w:rPr>
                <w:rFonts w:ascii="Arial" w:cs="Arial" w:eastAsia="Arial" w:hAnsi="Arial"/>
                <w:sz w:val="1"/>
                <w:szCs w:val="1"/>
                <w:color w:val="auto"/>
              </w:rPr>
              <w:t>$</w:t>
            </w:r>
          </w:p>
        </w:tc>
        <w:tc>
          <w:tcPr>
            <w:tcW w:w="1120" w:type="dxa"/>
            <w:vAlign w:val="bottom"/>
            <w:tcBorders>
              <w:bottom w:val="single" w:sz="8" w:color="auto"/>
              <w:right w:val="single" w:sz="8" w:color="CCEEFF"/>
            </w:tcBorders>
            <w:shd w:val="clear" w:color="auto" w:fill="000000"/>
          </w:tcPr>
          <w:p>
            <w:pPr>
              <w:jc w:val="right"/>
              <w:ind w:right="6"/>
              <w:spacing w:after="0" w:line="7" w:lineRule="exact"/>
              <w:rPr>
                <w:sz w:val="20"/>
                <w:szCs w:val="20"/>
                <w:color w:val="auto"/>
              </w:rPr>
            </w:pPr>
            <w:r>
              <w:rPr>
                <w:rFonts w:ascii="Arial" w:cs="Arial" w:eastAsia="Arial" w:hAnsi="Arial"/>
                <w:sz w:val="1"/>
                <w:szCs w:val="1"/>
                <w:color w:val="auto"/>
              </w:rPr>
              <w:t>4,657,496</w:t>
            </w:r>
          </w:p>
        </w:tc>
        <w:tc>
          <w:tcPr>
            <w:tcW w:w="0" w:type="dxa"/>
            <w:vAlign w:val="bottom"/>
          </w:tcPr>
          <w:p>
            <w:pPr>
              <w:spacing w:after="0" w:line="20" w:lineRule="exact"/>
              <w:rPr>
                <w:sz w:val="1"/>
                <w:szCs w:val="1"/>
                <w:color w:val="auto"/>
              </w:rPr>
            </w:pPr>
          </w:p>
        </w:tc>
      </w:tr>
      <w:tr>
        <w:trPr>
          <w:trHeight w:val="169"/>
        </w:trPr>
        <w:tc>
          <w:tcPr>
            <w:tcW w:w="740" w:type="dxa"/>
            <w:vAlign w:val="bottom"/>
            <w:shd w:val="clear" w:color="auto" w:fill="CCEEFF"/>
          </w:tcPr>
          <w:p>
            <w:pPr>
              <w:spacing w:after="0"/>
              <w:rPr>
                <w:sz w:val="14"/>
                <w:szCs w:val="14"/>
                <w:color w:val="auto"/>
              </w:rPr>
            </w:pPr>
          </w:p>
        </w:tc>
        <w:tc>
          <w:tcPr>
            <w:tcW w:w="3420" w:type="dxa"/>
            <w:vAlign w:val="bottom"/>
            <w:shd w:val="clear" w:color="auto" w:fill="CCEEFF"/>
          </w:tcPr>
          <w:p>
            <w:pPr>
              <w:spacing w:after="0"/>
              <w:rPr>
                <w:sz w:val="14"/>
                <w:szCs w:val="14"/>
                <w:color w:val="auto"/>
              </w:rPr>
            </w:pPr>
          </w:p>
        </w:tc>
        <w:tc>
          <w:tcPr>
            <w:tcW w:w="3200" w:type="dxa"/>
            <w:vAlign w:val="bottom"/>
            <w:vMerge w:val="continue"/>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160" w:type="dxa"/>
            <w:vAlign w:val="bottom"/>
            <w:gridSpan w:val="2"/>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3200" w:type="dxa"/>
            <w:vAlign w:val="bottom"/>
          </w:tcPr>
          <w:p>
            <w:pPr>
              <w:spacing w:after="0"/>
              <w:rPr>
                <w:sz w:val="20"/>
                <w:szCs w:val="20"/>
                <w:color w:val="auto"/>
              </w:rPr>
            </w:pPr>
          </w:p>
        </w:tc>
        <w:tc>
          <w:tcPr>
            <w:tcW w:w="2280" w:type="dxa"/>
            <w:vAlign w:val="bottom"/>
            <w:gridSpan w:val="2"/>
          </w:tcPr>
          <w:p>
            <w:pPr>
              <w:jc w:val="right"/>
              <w:ind w:right="740"/>
              <w:spacing w:after="0"/>
              <w:rPr>
                <w:sz w:val="20"/>
                <w:szCs w:val="20"/>
                <w:color w:val="auto"/>
              </w:rPr>
            </w:pPr>
            <w:r>
              <w:rPr>
                <w:rFonts w:ascii="Arial" w:cs="Arial" w:eastAsia="Arial" w:hAnsi="Arial"/>
                <w:sz w:val="17"/>
                <w:szCs w:val="17"/>
                <w:color w:val="auto"/>
              </w:rPr>
              <w:t>230,084</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6"/>
              <w:spacing w:after="0"/>
              <w:rPr>
                <w:sz w:val="20"/>
                <w:szCs w:val="20"/>
                <w:color w:val="auto"/>
              </w:rPr>
            </w:pPr>
            <w:r>
              <w:rPr>
                <w:rFonts w:ascii="Arial" w:cs="Arial" w:eastAsia="Arial" w:hAnsi="Arial"/>
                <w:sz w:val="17"/>
                <w:szCs w:val="17"/>
                <w:color w:val="auto"/>
              </w:rPr>
              <w:t>2,185,155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540" w:right="20" w:hanging="276"/>
        <w:spacing w:after="0" w:line="256"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1" w:lineRule="exact"/>
        <w:rPr>
          <w:rFonts w:ascii="Arial" w:cs="Arial" w:eastAsia="Arial" w:hAnsi="Arial"/>
          <w:sz w:val="14"/>
          <w:szCs w:val="14"/>
          <w:color w:val="auto"/>
        </w:rPr>
      </w:pPr>
    </w:p>
    <w:p>
      <w:pPr>
        <w:ind w:left="540" w:right="20" w:hanging="276"/>
        <w:spacing w:after="0" w:line="253"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Promissory Notes Transaction</w:t>
      </w:r>
    </w:p>
    <w:p>
      <w:pPr>
        <w:spacing w:after="0" w:line="43" w:lineRule="exact"/>
        <w:rPr>
          <w:sz w:val="20"/>
          <w:szCs w:val="20"/>
          <w:color w:val="auto"/>
        </w:rPr>
      </w:pPr>
    </w:p>
    <w:p>
      <w:pPr>
        <w:jc w:val="both"/>
        <w:ind w:left="120" w:right="120"/>
        <w:spacing w:after="0" w:line="241" w:lineRule="auto"/>
        <w:rPr>
          <w:sz w:val="20"/>
          <w:szCs w:val="20"/>
          <w:color w:val="auto"/>
        </w:rPr>
      </w:pPr>
      <w:r>
        <w:rPr>
          <w:rFonts w:ascii="Arial" w:cs="Arial" w:eastAsia="Arial" w:hAnsi="Arial"/>
          <w:sz w:val="17"/>
          <w:szCs w:val="17"/>
          <w:color w:val="auto"/>
        </w:rPr>
        <w:t>In March 2017, we entered into a convertible promissory note agreement with certain of our directors and venture capital funds that beneficially owned more than 5% of our outstanding share capital and/or are represented on our board of directors, pursuant to which we issued convertible promissory notes in an aggregate principal amount of approximately $25.0 million. The convertible promissory notes bore interest at a rate of 2% per annum, had a maturity date of December 31, 2018 and were convertible into our Series A convertible preferred shares at a</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440"/>
        <w:spacing w:after="0" w:line="275" w:lineRule="auto"/>
        <w:rPr>
          <w:sz w:val="20"/>
          <w:szCs w:val="20"/>
          <w:color w:val="auto"/>
        </w:rPr>
      </w:pPr>
      <w:r>
        <w:rPr>
          <w:rFonts w:ascii="Arial" w:cs="Arial" w:eastAsia="Arial" w:hAnsi="Arial"/>
          <w:sz w:val="17"/>
          <w:szCs w:val="17"/>
          <w:color w:val="auto"/>
        </w:rPr>
        <w:t>conversion price of $6.58 per share. In September 2017, all of the convertible promissory notes were converted into our Series A convertible preferred shares.</w:t>
      </w:r>
    </w:p>
    <w:p>
      <w:pPr>
        <w:spacing w:after="0" w:line="92" w:lineRule="exact"/>
        <w:rPr>
          <w:sz w:val="20"/>
          <w:szCs w:val="20"/>
          <w:color w:val="auto"/>
        </w:rPr>
      </w:pPr>
    </w:p>
    <w:p>
      <w:pPr>
        <w:ind w:left="120" w:right="480"/>
        <w:spacing w:after="0" w:line="275" w:lineRule="auto"/>
        <w:rPr>
          <w:sz w:val="20"/>
          <w:szCs w:val="20"/>
          <w:color w:val="auto"/>
        </w:rPr>
      </w:pPr>
      <w:r>
        <w:rPr>
          <w:rFonts w:ascii="Arial" w:cs="Arial" w:eastAsia="Arial" w:hAnsi="Arial"/>
          <w:sz w:val="17"/>
          <w:szCs w:val="17"/>
          <w:color w:val="auto"/>
        </w:rPr>
        <w:t>Purchasers of our Series A convertible preferred shares include venture capital funds that beneficially own more than 5% of our outstanding share capital and/or are represented on its board of directors and are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5980" w:type="dxa"/>
            <w:vAlign w:val="bottom"/>
          </w:tcPr>
          <w:p>
            <w:pPr>
              <w:jc w:val="center"/>
              <w:ind w:left="4188"/>
              <w:spacing w:after="0"/>
              <w:rPr>
                <w:sz w:val="20"/>
                <w:szCs w:val="20"/>
                <w:color w:val="auto"/>
              </w:rPr>
            </w:pPr>
            <w:r>
              <w:rPr>
                <w:rFonts w:ascii="Arial" w:cs="Arial" w:eastAsia="Arial" w:hAnsi="Arial"/>
                <w:sz w:val="14"/>
                <w:szCs w:val="14"/>
                <w:b w:val="1"/>
                <w:bCs w:val="1"/>
                <w:color w:val="auto"/>
              </w:rPr>
              <w:t>AGGREGATE PRINCIPAL</w:t>
            </w:r>
          </w:p>
        </w:tc>
        <w:tc>
          <w:tcPr>
            <w:tcW w:w="0" w:type="dxa"/>
            <w:vAlign w:val="bottom"/>
          </w:tcPr>
          <w:p>
            <w:pPr>
              <w:spacing w:after="0"/>
              <w:rPr>
                <w:sz w:val="1"/>
                <w:szCs w:val="1"/>
                <w:color w:val="auto"/>
              </w:rPr>
            </w:pPr>
          </w:p>
        </w:tc>
      </w:tr>
      <w:tr>
        <w:trPr>
          <w:trHeight w:val="164"/>
        </w:trPr>
        <w:tc>
          <w:tcPr>
            <w:tcW w:w="4980" w:type="dxa"/>
            <w:vAlign w:val="bottom"/>
            <w:vMerge w:val="continue"/>
          </w:tcPr>
          <w:p>
            <w:pPr>
              <w:spacing w:after="0"/>
              <w:rPr>
                <w:sz w:val="14"/>
                <w:szCs w:val="14"/>
                <w:color w:val="auto"/>
              </w:rPr>
            </w:pPr>
          </w:p>
        </w:tc>
        <w:tc>
          <w:tcPr>
            <w:tcW w:w="5980" w:type="dxa"/>
            <w:vAlign w:val="bottom"/>
          </w:tcPr>
          <w:p>
            <w:pPr>
              <w:jc w:val="center"/>
              <w:ind w:left="41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4"/>
        </w:trPr>
        <w:tc>
          <w:tcPr>
            <w:tcW w:w="9220" w:type="dxa"/>
            <w:vAlign w:val="bottom"/>
            <w:tcBorders>
              <w:bottom w:val="single" w:sz="8" w:color="CCEEFF"/>
            </w:tcBorders>
            <w:gridSpan w:val="2"/>
            <w:shd w:val="clear" w:color="auto" w:fill="000000"/>
          </w:tcPr>
          <w:p>
            <w:pPr>
              <w:spacing w:after="0"/>
              <w:rPr>
                <w:sz w:val="20"/>
                <w:szCs w:val="20"/>
                <w:color w:val="auto"/>
              </w:rPr>
            </w:pPr>
            <w:r>
              <w:rPr>
                <w:rFonts w:ascii="Arial" w:cs="Arial" w:eastAsia="Arial" w:hAnsi="Arial"/>
                <w:sz w:val="1"/>
                <w:szCs w:val="1"/>
                <w:color w:val="auto"/>
              </w:rPr>
              <w:t>venBio Global Strategic Fund, II LP</w:t>
            </w:r>
          </w:p>
        </w:tc>
        <w:tc>
          <w:tcPr>
            <w:tcW w:w="500" w:type="dxa"/>
            <w:vAlign w:val="bottom"/>
            <w:tcBorders>
              <w:bottom w:val="single" w:sz="8" w:color="auto"/>
            </w:tcBorders>
            <w:shd w:val="clear" w:color="auto" w:fill="000000"/>
          </w:tcPr>
          <w:p>
            <w:pPr>
              <w:jc w:val="right"/>
              <w:ind w:right="379"/>
              <w:spacing w:after="0"/>
              <w:rPr>
                <w:sz w:val="20"/>
                <w:szCs w:val="20"/>
                <w:color w:val="auto"/>
              </w:rPr>
            </w:pPr>
            <w:r>
              <w:rPr>
                <w:rFonts w:ascii="Arial" w:cs="Arial" w:eastAsia="Arial" w:hAnsi="Arial"/>
                <w:sz w:val="1"/>
                <w:szCs w:val="1"/>
                <w:color w:val="auto"/>
              </w:rPr>
              <w:t>$</w:t>
            </w:r>
          </w:p>
        </w:tc>
        <w:tc>
          <w:tcPr>
            <w:tcW w:w="1300" w:type="dxa"/>
            <w:vAlign w:val="bottom"/>
            <w:tcBorders>
              <w:bottom w:val="single" w:sz="8" w:color="auto"/>
              <w:right w:val="single" w:sz="8" w:color="CCEEFF"/>
            </w:tcBorders>
            <w:shd w:val="clear" w:color="auto" w:fill="000000"/>
          </w:tcPr>
          <w:p>
            <w:pPr>
              <w:jc w:val="right"/>
              <w:ind w:right="39"/>
              <w:spacing w:after="0"/>
              <w:rPr>
                <w:sz w:val="20"/>
                <w:szCs w:val="20"/>
                <w:color w:val="auto"/>
              </w:rPr>
            </w:pPr>
            <w:r>
              <w:rPr>
                <w:rFonts w:ascii="Arial" w:cs="Arial" w:eastAsia="Arial" w:hAnsi="Arial"/>
                <w:sz w:val="1"/>
                <w:szCs w:val="1"/>
                <w:color w:val="auto"/>
              </w:rPr>
              <w:t>15,652,073</w:t>
            </w:r>
          </w:p>
        </w:tc>
      </w:tr>
      <w:tr>
        <w:trPr>
          <w:trHeight w:val="176"/>
        </w:trPr>
        <w:tc>
          <w:tcPr>
            <w:tcW w:w="9220" w:type="dxa"/>
            <w:vAlign w:val="bottom"/>
            <w:gridSpan w:val="2"/>
            <w:shd w:val="clear" w:color="auto" w:fill="CCEEFF"/>
          </w:tcPr>
          <w:p>
            <w:pPr>
              <w:ind w:left="2660"/>
              <w:spacing w:after="0"/>
              <w:rPr>
                <w:sz w:val="20"/>
                <w:szCs w:val="20"/>
                <w:color w:val="auto"/>
              </w:rPr>
            </w:pPr>
            <w:r>
              <w:rPr>
                <w:rFonts w:ascii="Arial" w:cs="Arial" w:eastAsia="Arial" w:hAnsi="Arial"/>
                <w:sz w:val="15"/>
                <w:szCs w:val="15"/>
                <w:color w:val="auto"/>
              </w:rPr>
              <w:t>(1)</w:t>
            </w:r>
          </w:p>
        </w:tc>
        <w:tc>
          <w:tcPr>
            <w:tcW w:w="500" w:type="dxa"/>
            <w:vAlign w:val="bottom"/>
            <w:shd w:val="clear" w:color="auto" w:fill="CCEEFF"/>
          </w:tcPr>
          <w:p>
            <w:pPr>
              <w:spacing w:after="0"/>
              <w:rPr>
                <w:sz w:val="15"/>
                <w:szCs w:val="15"/>
                <w:color w:val="auto"/>
              </w:rPr>
            </w:pPr>
          </w:p>
        </w:tc>
        <w:tc>
          <w:tcPr>
            <w:tcW w:w="1300" w:type="dxa"/>
            <w:vAlign w:val="bottom"/>
            <w:tcBorders>
              <w:right w:val="single" w:sz="8" w:color="CCEEFF"/>
            </w:tcBorders>
            <w:shd w:val="clear" w:color="auto" w:fill="CCEEFF"/>
          </w:tcPr>
          <w:p>
            <w:pPr>
              <w:spacing w:after="0"/>
              <w:rPr>
                <w:sz w:val="15"/>
                <w:szCs w:val="15"/>
                <w:color w:val="auto"/>
              </w:rPr>
            </w:pPr>
          </w:p>
        </w:tc>
      </w:tr>
      <w:tr>
        <w:trPr>
          <w:trHeight w:val="189"/>
        </w:trPr>
        <w:tc>
          <w:tcPr>
            <w:tcW w:w="922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500" w:type="dxa"/>
            <w:vAlign w:val="bottom"/>
          </w:tcPr>
          <w:p>
            <w:pPr>
              <w:jc w:val="right"/>
              <w:ind w:right="379"/>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9"/>
              <w:spacing w:after="0" w:line="189" w:lineRule="exact"/>
              <w:rPr>
                <w:sz w:val="20"/>
                <w:szCs w:val="20"/>
                <w:color w:val="auto"/>
              </w:rPr>
            </w:pPr>
            <w:r>
              <w:rPr>
                <w:rFonts w:ascii="Arial" w:cs="Arial" w:eastAsia="Arial" w:hAnsi="Arial"/>
                <w:sz w:val="17"/>
                <w:szCs w:val="17"/>
                <w:color w:val="auto"/>
              </w:rPr>
              <w:t>6,750,000</w:t>
            </w:r>
          </w:p>
        </w:tc>
      </w:tr>
      <w:tr>
        <w:trPr>
          <w:trHeight w:val="4"/>
        </w:trPr>
        <w:tc>
          <w:tcPr>
            <w:tcW w:w="922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500" w:type="dxa"/>
            <w:vAlign w:val="bottom"/>
            <w:shd w:val="clear" w:color="auto" w:fill="CCEEFF"/>
          </w:tcPr>
          <w:p>
            <w:pPr>
              <w:jc w:val="right"/>
              <w:ind w:right="379"/>
              <w:spacing w:after="0" w:line="4"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4" w:lineRule="exact"/>
              <w:rPr>
                <w:sz w:val="20"/>
                <w:szCs w:val="20"/>
                <w:color w:val="auto"/>
              </w:rPr>
            </w:pPr>
            <w:r>
              <w:rPr>
                <w:rFonts w:ascii="Arial" w:cs="Arial" w:eastAsia="Arial" w:hAnsi="Arial"/>
                <w:sz w:val="1"/>
                <w:szCs w:val="1"/>
                <w:color w:val="auto"/>
              </w:rPr>
              <w:t>222,568</w:t>
            </w:r>
          </w:p>
        </w:tc>
      </w:tr>
      <w:tr>
        <w:trPr>
          <w:trHeight w:val="185"/>
        </w:trPr>
        <w:tc>
          <w:tcPr>
            <w:tcW w:w="9220" w:type="dxa"/>
            <w:vAlign w:val="bottom"/>
            <w:gridSpan w:val="2"/>
            <w:shd w:val="clear" w:color="auto" w:fill="CCEEFF"/>
          </w:tcPr>
          <w:p>
            <w:pPr>
              <w:ind w:left="1780"/>
              <w:spacing w:after="0"/>
              <w:rPr>
                <w:sz w:val="20"/>
                <w:szCs w:val="20"/>
                <w:color w:val="auto"/>
              </w:rPr>
            </w:pPr>
            <w:r>
              <w:rPr>
                <w:rFonts w:ascii="Arial" w:cs="Arial" w:eastAsia="Arial" w:hAnsi="Arial"/>
                <w:sz w:val="15"/>
                <w:szCs w:val="15"/>
                <w:color w:val="auto"/>
              </w:rPr>
              <w:t>(1)</w:t>
            </w:r>
          </w:p>
        </w:tc>
        <w:tc>
          <w:tcPr>
            <w:tcW w:w="500" w:type="dxa"/>
            <w:vAlign w:val="bottom"/>
            <w:shd w:val="clear" w:color="auto" w:fill="CCEEFF"/>
          </w:tcPr>
          <w:p>
            <w:pPr>
              <w:spacing w:after="0"/>
              <w:rPr>
                <w:sz w:val="16"/>
                <w:szCs w:val="16"/>
                <w:color w:val="auto"/>
              </w:rPr>
            </w:pPr>
          </w:p>
        </w:tc>
        <w:tc>
          <w:tcPr>
            <w:tcW w:w="1300" w:type="dxa"/>
            <w:vAlign w:val="bottom"/>
            <w:tcBorders>
              <w:right w:val="single" w:sz="8" w:color="CCEEFF"/>
            </w:tcBorders>
            <w:shd w:val="clear" w:color="auto" w:fill="CCEEFF"/>
          </w:tcPr>
          <w:p>
            <w:pPr>
              <w:spacing w:after="0"/>
              <w:rPr>
                <w:sz w:val="16"/>
                <w:szCs w:val="16"/>
                <w:color w:val="auto"/>
              </w:rPr>
            </w:pPr>
          </w:p>
        </w:tc>
      </w:tr>
      <w:tr>
        <w:trPr>
          <w:trHeight w:val="4"/>
        </w:trPr>
        <w:tc>
          <w:tcPr>
            <w:tcW w:w="9220" w:type="dxa"/>
            <w:vAlign w:val="bottom"/>
            <w:gridSpan w:val="2"/>
          </w:tcPr>
          <w:p>
            <w:pPr>
              <w:spacing w:after="0" w:line="4" w:lineRule="exact"/>
              <w:rPr>
                <w:sz w:val="20"/>
                <w:szCs w:val="20"/>
                <w:color w:val="auto"/>
              </w:rPr>
            </w:pPr>
            <w:r>
              <w:rPr>
                <w:rFonts w:ascii="Arial" w:cs="Arial" w:eastAsia="Arial" w:hAnsi="Arial"/>
                <w:sz w:val="1"/>
                <w:szCs w:val="1"/>
                <w:color w:val="auto"/>
              </w:rPr>
              <w:t>Robert Adelman, M.D.</w:t>
            </w:r>
          </w:p>
        </w:tc>
        <w:tc>
          <w:tcPr>
            <w:tcW w:w="500" w:type="dxa"/>
            <w:vAlign w:val="bottom"/>
          </w:tcPr>
          <w:p>
            <w:pPr>
              <w:jc w:val="right"/>
              <w:ind w:right="379"/>
              <w:spacing w:after="0" w:line="4" w:lineRule="exact"/>
              <w:rPr>
                <w:sz w:val="20"/>
                <w:szCs w:val="20"/>
                <w:color w:val="auto"/>
              </w:rPr>
            </w:pPr>
            <w:r>
              <w:rPr>
                <w:rFonts w:ascii="Arial" w:cs="Arial" w:eastAsia="Arial" w:hAnsi="Arial"/>
                <w:sz w:val="1"/>
                <w:szCs w:val="1"/>
                <w:color w:val="auto"/>
              </w:rPr>
              <w:t>$</w:t>
            </w:r>
          </w:p>
        </w:tc>
        <w:tc>
          <w:tcPr>
            <w:tcW w:w="1300" w:type="dxa"/>
            <w:vAlign w:val="bottom"/>
          </w:tcPr>
          <w:p>
            <w:pPr>
              <w:jc w:val="right"/>
              <w:ind w:right="39"/>
              <w:spacing w:after="0" w:line="4" w:lineRule="exact"/>
              <w:rPr>
                <w:sz w:val="20"/>
                <w:szCs w:val="20"/>
                <w:color w:val="auto"/>
              </w:rPr>
            </w:pPr>
            <w:r>
              <w:rPr>
                <w:rFonts w:ascii="Arial" w:cs="Arial" w:eastAsia="Arial" w:hAnsi="Arial"/>
                <w:sz w:val="1"/>
                <w:szCs w:val="1"/>
                <w:color w:val="auto"/>
              </w:rPr>
              <w:t>222,568</w:t>
            </w:r>
          </w:p>
        </w:tc>
      </w:tr>
      <w:tr>
        <w:trPr>
          <w:trHeight w:val="185"/>
        </w:trPr>
        <w:tc>
          <w:tcPr>
            <w:tcW w:w="9220" w:type="dxa"/>
            <w:vAlign w:val="bottom"/>
            <w:gridSpan w:val="2"/>
          </w:tcPr>
          <w:p>
            <w:pPr>
              <w:ind w:left="1680"/>
              <w:spacing w:after="0"/>
              <w:rPr>
                <w:sz w:val="20"/>
                <w:szCs w:val="20"/>
                <w:color w:val="auto"/>
              </w:rPr>
            </w:pPr>
            <w:r>
              <w:rPr>
                <w:rFonts w:ascii="Arial" w:cs="Arial" w:eastAsia="Arial" w:hAnsi="Arial"/>
                <w:sz w:val="15"/>
                <w:szCs w:val="15"/>
                <w:color w:val="auto"/>
              </w:rPr>
              <w:t>(1)</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4"/>
        </w:trPr>
        <w:tc>
          <w:tcPr>
            <w:tcW w:w="922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Jason Lettmann</w:t>
            </w:r>
          </w:p>
        </w:tc>
        <w:tc>
          <w:tcPr>
            <w:tcW w:w="500" w:type="dxa"/>
            <w:vAlign w:val="bottom"/>
            <w:shd w:val="clear" w:color="auto" w:fill="CCEEFF"/>
          </w:tcPr>
          <w:p>
            <w:pPr>
              <w:jc w:val="right"/>
              <w:ind w:right="379"/>
              <w:spacing w:after="0" w:line="4"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4" w:lineRule="exact"/>
              <w:rPr>
                <w:sz w:val="20"/>
                <w:szCs w:val="20"/>
                <w:color w:val="auto"/>
              </w:rPr>
            </w:pPr>
            <w:r>
              <w:rPr>
                <w:rFonts w:ascii="Arial" w:cs="Arial" w:eastAsia="Arial" w:hAnsi="Arial"/>
                <w:sz w:val="1"/>
                <w:szCs w:val="1"/>
                <w:color w:val="auto"/>
              </w:rPr>
              <w:t>222,568</w:t>
            </w:r>
          </w:p>
        </w:tc>
      </w:tr>
      <w:tr>
        <w:trPr>
          <w:trHeight w:val="185"/>
        </w:trPr>
        <w:tc>
          <w:tcPr>
            <w:tcW w:w="922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rPr>
              <w:t>(3)</w:t>
            </w:r>
          </w:p>
        </w:tc>
        <w:tc>
          <w:tcPr>
            <w:tcW w:w="500" w:type="dxa"/>
            <w:vAlign w:val="bottom"/>
            <w:shd w:val="clear" w:color="auto" w:fill="CCEEFF"/>
          </w:tcPr>
          <w:p>
            <w:pPr>
              <w:spacing w:after="0"/>
              <w:rPr>
                <w:sz w:val="16"/>
                <w:szCs w:val="16"/>
                <w:color w:val="auto"/>
              </w:rPr>
            </w:pPr>
          </w:p>
        </w:tc>
        <w:tc>
          <w:tcPr>
            <w:tcW w:w="1300" w:type="dxa"/>
            <w:vAlign w:val="bottom"/>
            <w:tcBorders>
              <w:right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7" w:lineRule="exact"/>
        <w:rPr>
          <w:sz w:val="20"/>
          <w:szCs w:val="20"/>
          <w:color w:val="auto"/>
        </w:rPr>
      </w:pPr>
    </w:p>
    <w:p>
      <w:pPr>
        <w:jc w:val="both"/>
        <w:ind w:left="540" w:right="160" w:hanging="276"/>
        <w:spacing w:after="0" w:line="261"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1" w:lineRule="exact"/>
        <w:rPr>
          <w:rFonts w:ascii="Arial" w:cs="Arial" w:eastAsia="Arial" w:hAnsi="Arial"/>
          <w:sz w:val="14"/>
          <w:szCs w:val="14"/>
          <w:color w:val="auto"/>
        </w:rPr>
      </w:pPr>
    </w:p>
    <w:p>
      <w:pPr>
        <w:ind w:left="540" w:right="20" w:hanging="276"/>
        <w:spacing w:after="0" w:line="253"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1" w:lineRule="exact"/>
        <w:rPr>
          <w:rFonts w:ascii="Arial" w:cs="Arial" w:eastAsia="Arial" w:hAnsi="Arial"/>
          <w:sz w:val="14"/>
          <w:szCs w:val="14"/>
          <w:color w:val="auto"/>
        </w:rPr>
      </w:pPr>
    </w:p>
    <w:p>
      <w:pPr>
        <w:ind w:left="540" w:hanging="276"/>
        <w:spacing w:after="0"/>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60" w:lineRule="exact"/>
        <w:rPr>
          <w:sz w:val="20"/>
          <w:szCs w:val="20"/>
          <w:color w:val="auto"/>
        </w:rPr>
      </w:pPr>
    </w:p>
    <w:p>
      <w:pPr>
        <w:ind w:left="120" w:right="80"/>
        <w:spacing w:after="0" w:line="246" w:lineRule="auto"/>
        <w:rPr>
          <w:sz w:val="20"/>
          <w:szCs w:val="20"/>
          <w:color w:val="auto"/>
        </w:rPr>
      </w:pPr>
      <w:r>
        <w:rPr>
          <w:rFonts w:ascii="Arial" w:cs="Arial" w:eastAsia="Arial" w:hAnsi="Arial"/>
          <w:sz w:val="17"/>
          <w:szCs w:val="17"/>
          <w:color w:val="auto"/>
        </w:rPr>
        <w:t>We are party to an investors’ rights agreement, as amended, with certain holders of our capital stock, including venBio, Lightstone Ventures, Vivo Capital and Logos Capital.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venBio Consulting Agreement</w:t>
      </w:r>
    </w:p>
    <w:p>
      <w:pPr>
        <w:spacing w:after="0" w:line="100" w:lineRule="exact"/>
        <w:rPr>
          <w:sz w:val="20"/>
          <w:szCs w:val="20"/>
          <w:color w:val="auto"/>
        </w:rPr>
      </w:pPr>
    </w:p>
    <w:p>
      <w:pPr>
        <w:ind w:left="120" w:right="80"/>
        <w:spacing w:after="0" w:line="242" w:lineRule="auto"/>
        <w:rPr>
          <w:sz w:val="20"/>
          <w:szCs w:val="20"/>
          <w:color w:val="auto"/>
        </w:rPr>
      </w:pPr>
      <w:r>
        <w:rPr>
          <w:rFonts w:ascii="Arial" w:cs="Arial" w:eastAsia="Arial" w:hAnsi="Arial"/>
          <w:sz w:val="17"/>
          <w:szCs w:val="17"/>
          <w:color w:val="auto"/>
        </w:rPr>
        <w:t>In January 2017, Dr. Jaume Pons, our Chief Executive Officer and the Chief Executive Officer of ALX Oncology Limited, entered into a consulting agreement with venBio, one of our stockholders and an affiliate of one of our directors, Dr. Corey Goodman, to provide assistance with deal generation, evaluate potential investments and serve on boards of venBio’s portfolio companies. In accordance with this agreement as compensation for services provided, venBio paid Dr. Pons approximately $125,000 per year in 2017, 2018 and 2019. The consulting agreement remains in effect until terminated by either party with or without prior notice.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Tallac Therapeutics Agreements</w:t>
      </w:r>
    </w:p>
    <w:p>
      <w:pPr>
        <w:spacing w:after="0" w:line="60" w:lineRule="exact"/>
        <w:rPr>
          <w:sz w:val="20"/>
          <w:szCs w:val="20"/>
          <w:color w:val="auto"/>
        </w:rPr>
      </w:pPr>
    </w:p>
    <w:p>
      <w:pPr>
        <w:ind w:left="120" w:right="160"/>
        <w:spacing w:after="0" w:line="242" w:lineRule="auto"/>
        <w:rPr>
          <w:sz w:val="20"/>
          <w:szCs w:val="20"/>
          <w:color w:val="auto"/>
        </w:rPr>
      </w:pPr>
      <w:r>
        <w:rPr>
          <w:rFonts w:ascii="Arial" w:cs="Arial" w:eastAsia="Arial" w:hAnsi="Arial"/>
          <w:sz w:val="17"/>
          <w:szCs w:val="17"/>
          <w:color w:val="auto"/>
        </w:rPr>
        <w:t>In May 2018, Dr. Jaume Pons, our Chief Executive Officer, entered into a consulting agreement with Tallac Therapeutics. Dr. Pons was engaged to provide management services. In accordance with this agreement as compensation for his services, Tallac Therapeutics issued Dr. Pons shares of its common stock. The consulting agreement will terminate automatically upon the later of completion of all projects under the consulting agreement or two years. In addition, Tallac Therapeutics may terminate the agreement at any time without prior notice, and Dr. Pons may terminate the agreement upon 30 days’ prior written notice if no services remain outstanding under the agreement.</w:t>
      </w:r>
    </w:p>
    <w:p>
      <w:pPr>
        <w:spacing w:after="0" w:line="121" w:lineRule="exact"/>
        <w:rPr>
          <w:sz w:val="20"/>
          <w:szCs w:val="20"/>
          <w:color w:val="auto"/>
        </w:rPr>
      </w:pPr>
    </w:p>
    <w:p>
      <w:pPr>
        <w:ind w:left="120" w:right="360"/>
        <w:spacing w:after="0" w:line="253" w:lineRule="auto"/>
        <w:rPr>
          <w:sz w:val="20"/>
          <w:szCs w:val="20"/>
          <w:color w:val="auto"/>
        </w:rPr>
      </w:pPr>
      <w:r>
        <w:rPr>
          <w:rFonts w:ascii="Arial" w:cs="Arial" w:eastAsia="Arial" w:hAnsi="Arial"/>
          <w:sz w:val="17"/>
          <w:szCs w:val="17"/>
          <w:color w:val="auto"/>
        </w:rPr>
        <w:t>Dr. Pons served as the Chief Executive Officer of Tallac Therapeutics until April 2020, and Dr. Hong Wan, our former Chief Scientific Officer, currently serves as the Chief Executive Officer of Tallac Therapeutics. Dr. Pons also currently serves as a member of the board of directors of Tallac Therapeutics.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In addition, two of our current investors, venBio and Lightstone Ventures, who were also investors of ALX Oncology Limited prior to April 1, 2020, are also investors in Tallac Therapeutics.</w:t>
      </w:r>
    </w:p>
    <w:p>
      <w:pPr>
        <w:spacing w:after="0" w:line="92" w:lineRule="exact"/>
        <w:rPr>
          <w:sz w:val="20"/>
          <w:szCs w:val="20"/>
          <w:color w:val="auto"/>
        </w:rPr>
      </w:pPr>
    </w:p>
    <w:p>
      <w:pPr>
        <w:ind w:left="120" w:right="40"/>
        <w:spacing w:after="0" w:line="239" w:lineRule="auto"/>
        <w:rPr>
          <w:sz w:val="20"/>
          <w:szCs w:val="20"/>
          <w:color w:val="auto"/>
        </w:rPr>
      </w:pPr>
      <w:r>
        <w:rPr>
          <w:rFonts w:ascii="Arial" w:cs="Arial" w:eastAsia="Arial" w:hAnsi="Arial"/>
          <w:sz w:val="17"/>
          <w:szCs w:val="17"/>
          <w:color w:val="auto"/>
        </w:rPr>
        <w:t>In June 2018, we entered into the Tollnine Agreement to provide research and development services to Tallac Therapeutics. Pursuant to the terms of the Tollnine Agreement, which was amended in May 2019 and was terminated effective as of June 30, 2020, ALX Oncology Inc. (f/k/a Alexo Therapeutics Inc.), our indirectly wholly-owned subsidiary, provided certain research and development services to Tallac Therapeutics for a service fee based on the costs incurred by the Company plus a mark-up. For the years ended December 31, 2018 and December 31, 2019, and for the nine months ended September 30, 2019 and September 30, 2020, we recognized related-party revenues of $2.1 million and $4.8 million, and $3.6 million and $1.2 million, respectively. As of December 31, 2018, December 31, 2019 and September 30, 2020, we had outstanding related-party receivables from Tallac Therapeutics of $0.9 million, $0.5 million and $0.5 million, respectively.</w:t>
      </w:r>
    </w:p>
    <w:p>
      <w:pPr>
        <w:spacing w:after="0" w:line="122" w:lineRule="exact"/>
        <w:rPr>
          <w:sz w:val="20"/>
          <w:szCs w:val="20"/>
          <w:color w:val="auto"/>
        </w:rPr>
      </w:pPr>
    </w:p>
    <w:p>
      <w:pPr>
        <w:ind w:left="120" w:right="480"/>
        <w:spacing w:after="0" w:line="275" w:lineRule="auto"/>
        <w:rPr>
          <w:sz w:val="20"/>
          <w:szCs w:val="20"/>
          <w:color w:val="auto"/>
        </w:rPr>
      </w:pPr>
      <w:r>
        <w:rPr>
          <w:rFonts w:ascii="Arial" w:cs="Arial" w:eastAsia="Arial" w:hAnsi="Arial"/>
          <w:sz w:val="17"/>
          <w:szCs w:val="17"/>
          <w:color w:val="auto"/>
        </w:rPr>
        <w:t>As of July 1, 2020, we terminated the Tollnine Agreement and entered into a series of transactions with Tallac Therapeutics and Dr. Wan as described below.</w:t>
      </w:r>
    </w:p>
    <w:p>
      <w:pPr>
        <w:spacing w:after="0" w:line="131" w:lineRule="exact"/>
        <w:rPr>
          <w:sz w:val="20"/>
          <w:szCs w:val="20"/>
          <w:color w:val="auto"/>
        </w:rPr>
      </w:pPr>
    </w:p>
    <w:p>
      <w:pPr>
        <w:ind w:left="980" w:right="20" w:hanging="432"/>
        <w:spacing w:after="0" w:line="245" w:lineRule="auto"/>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Entry into the Tallac Services Agreement: </w:t>
      </w:r>
      <w:r>
        <w:rPr>
          <w:rFonts w:ascii="Arial" w:cs="Arial" w:eastAsia="Arial" w:hAnsi="Arial"/>
          <w:sz w:val="17"/>
          <w:szCs w:val="17"/>
          <w:color w:val="auto"/>
        </w:rPr>
        <w:t>We entered into the Tallac Services Agreement, with Tallac Therapeutics effective as of</w:t>
      </w:r>
      <w:r>
        <w:rPr>
          <w:rFonts w:ascii="Arial" w:cs="Arial" w:eastAsia="Arial" w:hAnsi="Arial"/>
          <w:sz w:val="17"/>
          <w:szCs w:val="17"/>
          <w:b w:val="1"/>
          <w:bCs w:val="1"/>
          <w:color w:val="auto"/>
        </w:rPr>
        <w:t xml:space="preserve"> </w:t>
      </w:r>
      <w:r>
        <w:rPr>
          <w:rFonts w:ascii="Arial" w:cs="Arial" w:eastAsia="Arial" w:hAnsi="Arial"/>
          <w:sz w:val="17"/>
          <w:szCs w:val="17"/>
          <w:color w:val="auto"/>
        </w:rPr>
        <w:t>July 1, 2020. The Tallac Services Agreement provides that Tallac Therapeutics will provide certain preclinical research services to us for a service fee based on the costs incurred by Tallac Therapeutics plus a mark-up equal to 10.0% of such costs. The Tallac Services Agreement has an initial term of four years and is renewed automatically for additional one year terms thereafter.</w:t>
      </w:r>
    </w:p>
    <w:p>
      <w:pPr>
        <w:spacing w:after="0" w:line="1"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Resignation of Dr. Wan and entry into Consulting Agreement: </w:t>
      </w:r>
      <w:r>
        <w:rPr>
          <w:rFonts w:ascii="Arial" w:cs="Arial" w:eastAsia="Arial" w:hAnsi="Arial"/>
          <w:sz w:val="17"/>
          <w:szCs w:val="17"/>
          <w:color w:val="auto"/>
        </w:rPr>
        <w:t>Dr. Wan resigned from her position as our Chief Scientific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ceased to be our employee effective as of June 30, 2020. In connection with her resignation, we entered into a Consulting Agreement with Dr. Wan effective as of July 1, 2020. Under the Consulting Agreement, Dr. Wan will serve as our Chief Science Consultant and, among other things, spend approximately 20% of her time performing activities typically performed by a consulting scientific adviser in the biotechnology industry. In exchange for such services, the options to purchase shares of our common stock that were previously granted to Dr. Wan will continue to vest and be exercisable subject to Dr. Wan remaining a service provider under the Consulting Agreement or the Tallac Services Agreement. The Consulting Agreement has an initial term of four years and is renewed automatically for additional one year terms thereafter.</w:t>
      </w:r>
    </w:p>
    <w:p>
      <w:pPr>
        <w:spacing w:after="0" w:line="1" w:lineRule="exact"/>
        <w:rPr>
          <w:rFonts w:ascii="MS PGothic" w:cs="MS PGothic" w:eastAsia="MS PGothic" w:hAnsi="MS PGothic"/>
          <w:sz w:val="13"/>
          <w:szCs w:val="13"/>
          <w:color w:val="auto"/>
        </w:rPr>
      </w:pPr>
    </w:p>
    <w:p>
      <w:pPr>
        <w:ind w:left="980" w:right="300" w:hanging="432"/>
        <w:spacing w:after="0" w:line="241" w:lineRule="auto"/>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Transfer of employees to Tallac Therapeutics: </w:t>
      </w:r>
      <w:r>
        <w:rPr>
          <w:rFonts w:ascii="Arial" w:cs="Arial" w:eastAsia="Arial" w:hAnsi="Arial"/>
          <w:sz w:val="17"/>
          <w:szCs w:val="17"/>
          <w:color w:val="auto"/>
        </w:rPr>
        <w:t>In addition to Dr. Wan, eight of our employees, or Transferred Employees, also</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their employment with us effective as of June 30, 2020 and became employees of Tallac Therapeutics effective as of July 1, 2020. The options to purchase shares of our common stock that were previously granted to the Transferred Employees will continue to vest and be exercisable subject to the Transferred Employees remaining service providers under the Tallac Services Agreement.</w:t>
      </w:r>
    </w:p>
    <w:p>
      <w:pPr>
        <w:spacing w:after="0" w:line="4" w:lineRule="exact"/>
        <w:rPr>
          <w:rFonts w:ascii="MS PGothic" w:cs="MS PGothic" w:eastAsia="MS PGothic" w:hAnsi="MS PGothic"/>
          <w:sz w:val="13"/>
          <w:szCs w:val="13"/>
          <w:color w:val="auto"/>
        </w:rPr>
      </w:pPr>
    </w:p>
    <w:p>
      <w:pPr>
        <w:ind w:left="980" w:right="200" w:hanging="432"/>
        <w:spacing w:after="0" w:line="252" w:lineRule="auto"/>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Entry into Asset Transfer Agreement: </w:t>
      </w:r>
      <w:r>
        <w:rPr>
          <w:rFonts w:ascii="Arial" w:cs="Arial" w:eastAsia="Arial" w:hAnsi="Arial"/>
          <w:sz w:val="17"/>
          <w:szCs w:val="17"/>
          <w:color w:val="auto"/>
        </w:rPr>
        <w:t>ALX Oncology Inc. entered into an Asset Transfer Agreement with Tallac 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in July 2020, pursuant to which Tallac Therapeutics purchased certain lab equipment and other assets from ALX Oncology Inc. for minimal cash consideration representing the aggregate book value of such assets.</w:t>
      </w:r>
    </w:p>
    <w:p>
      <w:pPr>
        <w:spacing w:after="0" w:line="112" w:lineRule="exact"/>
        <w:rPr>
          <w:sz w:val="20"/>
          <w:szCs w:val="20"/>
          <w:color w:val="auto"/>
        </w:rPr>
      </w:pPr>
    </w:p>
    <w:p>
      <w:pPr>
        <w:ind w:left="120" w:right="280"/>
        <w:spacing w:after="0" w:line="275" w:lineRule="auto"/>
        <w:rPr>
          <w:sz w:val="20"/>
          <w:szCs w:val="20"/>
          <w:color w:val="auto"/>
        </w:rPr>
      </w:pPr>
      <w:r>
        <w:rPr>
          <w:rFonts w:ascii="Arial" w:cs="Arial" w:eastAsia="Arial" w:hAnsi="Arial"/>
          <w:sz w:val="17"/>
          <w:szCs w:val="17"/>
          <w:color w:val="auto"/>
        </w:rPr>
        <w:t>In addition to the transactions described above, we also assigned to Tallac Therapeutics our lease with respect to our premises located at 866 Malcolm Road, Burlingame, California, and received a sublease for such premises from Tallac Therapeutics.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60" w:lineRule="exact"/>
        <w:rPr>
          <w:sz w:val="20"/>
          <w:szCs w:val="20"/>
          <w:color w:val="auto"/>
        </w:rPr>
      </w:pPr>
    </w:p>
    <w:p>
      <w:pPr>
        <w:ind w:left="120" w:right="80"/>
        <w:spacing w:after="0" w:line="242" w:lineRule="auto"/>
        <w:rPr>
          <w:sz w:val="20"/>
          <w:szCs w:val="20"/>
          <w:color w:val="auto"/>
        </w:rPr>
      </w:pPr>
      <w:r>
        <w:rPr>
          <w:rFonts w:ascii="Arial" w:cs="Arial" w:eastAsia="Arial" w:hAnsi="Arial"/>
          <w:sz w:val="17"/>
          <w:szCs w:val="17"/>
          <w:color w:val="auto"/>
        </w:rPr>
        <w:t>In July 2020, we issued and sold 9,775,000 shares of common stock at a public offering price of $19.00 per share for gross proceeds of $185,725,000. At our request, an affiliate of Jefferies LLC, one of the underwriters in our initial public offering, sold 100,000 of the shares of common stock offered in our initial public offering to certain of our officers, directors, employees and other persons who do business with us. The shares purchased by our executive officers and members of their households are subject to the 180-day lock-up entered into in connection with our initial public offering and will be subject to the 90-day lock-up described elsewhere in this prospectus in connection with this offering.</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contains provisions limiting the liability of the members of our board of directors, and our amended and restated bylaws provide that we will indemnify each of our officers and the members of our board of directors to the fullest extent permitted under Delaware law. Our amended and restated certificate of incorporation and amended and restated bylaws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 See the section titled “Executive Compensation—Limitation on Liability and Indemnification of Directors and Officers.”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Related-Party Transaction Policy</w:t>
      </w:r>
    </w:p>
    <w:p>
      <w:pPr>
        <w:spacing w:after="0" w:line="60" w:lineRule="exact"/>
        <w:rPr>
          <w:sz w:val="20"/>
          <w:szCs w:val="20"/>
          <w:color w:val="auto"/>
        </w:rPr>
      </w:pPr>
    </w:p>
    <w:p>
      <w:pPr>
        <w:ind w:left="120" w:right="120"/>
        <w:spacing w:after="0" w:line="246" w:lineRule="auto"/>
        <w:rPr>
          <w:sz w:val="20"/>
          <w:szCs w:val="20"/>
          <w:color w:val="auto"/>
        </w:rPr>
      </w:pPr>
      <w:r>
        <w:rPr>
          <w:rFonts w:ascii="Arial" w:cs="Arial" w:eastAsia="Arial" w:hAnsi="Arial"/>
          <w:sz w:val="17"/>
          <w:szCs w:val="17"/>
          <w:color w:val="auto"/>
        </w:rPr>
        <w:t>Our audit committee has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charter of our audit committee provides that our audit committee shall review and approve in advance any related-party transaction.</w:t>
      </w:r>
    </w:p>
    <w:p>
      <w:pPr>
        <w:spacing w:after="0" w:line="117"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Our board of directors has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STOCKHOLDERS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beneficial ownership of our common stock as of November 1, 2020 by:</w:t>
      </w:r>
    </w:p>
    <w:p>
      <w:pPr>
        <w:spacing w:after="0" w:line="196" w:lineRule="exact"/>
        <w:rPr>
          <w:sz w:val="20"/>
          <w:szCs w:val="20"/>
          <w:color w:val="auto"/>
        </w:rPr>
      </w:pPr>
    </w:p>
    <w:p>
      <w:pPr>
        <w:ind w:left="980" w:hanging="432"/>
        <w:spacing w:after="0"/>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each of the named executive officers;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each of our directors;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all of our executive officers and directors as a group.</w:t>
      </w:r>
    </w:p>
    <w:p>
      <w:pPr>
        <w:spacing w:after="0" w:line="154" w:lineRule="exact"/>
        <w:rPr>
          <w:sz w:val="20"/>
          <w:szCs w:val="20"/>
          <w:color w:val="auto"/>
        </w:rPr>
      </w:pPr>
    </w:p>
    <w:p>
      <w:pPr>
        <w:ind w:left="120" w:right="120"/>
        <w:spacing w:after="0" w:line="242"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21"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have based our calculation of the percentage of beneficial ownership prior to this offering on 37,107,522 shares of our common stock outstanding as of November 1, 2020, which includes 191 shares of common stock that are subject to a right of repurchase. We have based our calculation of the percentage of beneficial ownership after this offering on 39,107,522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November 1,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22"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The following table does not reflect any potential purchases by our executive officers, directors, their affiliated entities or holders of more than 5% of our common stock in this offering. If any shares are purchased by these persons or entities, the number and percentage of shares of our common stock beneficially owned by them after this offering will differ from the amounts set forth in the following table.</w:t>
      </w:r>
    </w:p>
    <w:p>
      <w:pPr>
        <w:spacing w:after="0" w:line="11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Unless otherwise indicated, the address of each beneficial owner listed in the table below is c/o ALX Oncology Holdings Inc., 866 Malcolm Road, Suite 100, Burlingame, California 94010.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060"/>
          </w:cols>
          <w:pgMar w:left="320" w:top="455" w:right="51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NUMBER OF SHARES</w:t>
            </w:r>
          </w:p>
        </w:tc>
        <w:tc>
          <w:tcPr>
            <w:tcW w:w="25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7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BENEFICIALLY OWNED</w:t>
            </w:r>
          </w:p>
        </w:tc>
        <w:tc>
          <w:tcPr>
            <w:tcW w:w="25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0"/>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8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tcBorders>
              <w:top w:val="single" w:sz="8" w:color="auto"/>
            </w:tcBorders>
            <w:gridSpan w:val="2"/>
          </w:tcPr>
          <w:p>
            <w:pPr>
              <w:jc w:val="center"/>
              <w:ind w:right="440"/>
              <w:spacing w:after="0" w:line="141" w:lineRule="exact"/>
              <w:rPr>
                <w:sz w:val="20"/>
                <w:szCs w:val="20"/>
                <w:color w:val="auto"/>
              </w:rPr>
            </w:pPr>
            <w:r>
              <w:rPr>
                <w:rFonts w:ascii="Arial" w:cs="Arial" w:eastAsia="Arial" w:hAnsi="Arial"/>
                <w:sz w:val="14"/>
                <w:szCs w:val="14"/>
                <w:b w:val="1"/>
                <w:bCs w:val="1"/>
                <w:color w:val="auto"/>
              </w:rPr>
              <w:t>BEFORE THE</w:t>
            </w:r>
          </w:p>
        </w:tc>
        <w:tc>
          <w:tcPr>
            <w:tcW w:w="9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AFTER THE</w:t>
            </w:r>
          </w:p>
        </w:tc>
        <w:tc>
          <w:tcPr>
            <w:tcW w:w="440" w:type="dxa"/>
            <w:vAlign w:val="bottom"/>
          </w:tcPr>
          <w:p>
            <w:pPr>
              <w:spacing w:after="0"/>
              <w:rPr>
                <w:sz w:val="12"/>
                <w:szCs w:val="12"/>
                <w:color w:val="auto"/>
              </w:rPr>
            </w:pPr>
          </w:p>
        </w:tc>
        <w:tc>
          <w:tcPr>
            <w:tcW w:w="1500" w:type="dxa"/>
            <w:vAlign w:val="bottom"/>
            <w:tcBorders>
              <w:top w:val="single" w:sz="8" w:color="auto"/>
            </w:tcBorders>
            <w:gridSpan w:val="2"/>
          </w:tcPr>
          <w:p>
            <w:pPr>
              <w:jc w:val="right"/>
              <w:ind w:right="560"/>
              <w:spacing w:after="0" w:line="141" w:lineRule="exact"/>
              <w:rPr>
                <w:sz w:val="20"/>
                <w:szCs w:val="20"/>
                <w:color w:val="auto"/>
              </w:rPr>
            </w:pPr>
            <w:r>
              <w:rPr>
                <w:rFonts w:ascii="Arial" w:cs="Arial" w:eastAsia="Arial" w:hAnsi="Arial"/>
                <w:sz w:val="14"/>
                <w:szCs w:val="14"/>
                <w:b w:val="1"/>
                <w:bCs w:val="1"/>
                <w:color w:val="auto"/>
              </w:rPr>
              <w:t>BEFORE THE</w:t>
            </w:r>
          </w:p>
        </w:tc>
        <w:tc>
          <w:tcPr>
            <w:tcW w:w="8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9"/>
              </w:rPr>
              <w:t>AFTER THE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1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OFFERING</w:t>
            </w: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OFFERING</w:t>
            </w:r>
          </w:p>
        </w:tc>
        <w:tc>
          <w:tcPr>
            <w:tcW w:w="15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OFFERING</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63"/>
        </w:trPr>
        <w:tc>
          <w:tcPr>
            <w:tcW w:w="44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5% or Greater Stockholders:</w:t>
            </w:r>
          </w:p>
        </w:tc>
        <w:tc>
          <w:tcPr>
            <w:tcW w:w="13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venBio Partners</w:t>
            </w:r>
            <w:r>
              <w:rPr>
                <w:rFonts w:ascii="Arial" w:cs="Arial" w:eastAsia="Arial" w:hAnsi="Arial"/>
                <w:sz w:val="14"/>
                <w:szCs w:val="14"/>
                <w:color w:val="auto"/>
              </w:rPr>
              <w:t>(1)</w:t>
            </w:r>
          </w:p>
        </w:tc>
        <w:tc>
          <w:tcPr>
            <w:tcW w:w="1340" w:type="dxa"/>
            <w:vAlign w:val="bottom"/>
          </w:tcPr>
          <w:p>
            <w:pPr>
              <w:spacing w:after="0"/>
              <w:rPr>
                <w:sz w:val="16"/>
                <w:szCs w:val="16"/>
                <w:color w:val="auto"/>
              </w:rPr>
            </w:pP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9,699,925</w:t>
            </w:r>
          </w:p>
        </w:tc>
        <w:tc>
          <w:tcPr>
            <w:tcW w:w="13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9,699,925</w:t>
            </w:r>
          </w:p>
        </w:tc>
        <w:tc>
          <w:tcPr>
            <w:tcW w:w="150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26.1%</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Entities affiliated with Lightstone Ventures</w:t>
            </w:r>
            <w:r>
              <w:rPr>
                <w:rFonts w:ascii="Arial" w:cs="Arial" w:eastAsia="Arial" w:hAnsi="Arial"/>
                <w:sz w:val="14"/>
                <w:szCs w:val="14"/>
                <w:color w:val="auto"/>
              </w:rPr>
              <w:t>(2)</w:t>
            </w:r>
          </w:p>
        </w:tc>
        <w:tc>
          <w:tcPr>
            <w:tcW w:w="1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4,720,990</w:t>
            </w:r>
          </w:p>
        </w:tc>
        <w:tc>
          <w:tcPr>
            <w:tcW w:w="13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4,720,990</w:t>
            </w:r>
          </w:p>
        </w:tc>
        <w:tc>
          <w:tcPr>
            <w:tcW w:w="150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12.7</w:t>
            </w:r>
          </w:p>
        </w:tc>
        <w:tc>
          <w:tcPr>
            <w:tcW w:w="10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Vivo Capital Fund IX, L.P.</w:t>
            </w:r>
            <w:r>
              <w:rPr>
                <w:rFonts w:ascii="Arial" w:cs="Arial" w:eastAsia="Arial" w:hAnsi="Arial"/>
                <w:sz w:val="14"/>
                <w:szCs w:val="14"/>
                <w:color w:val="auto"/>
              </w:rPr>
              <w:t>(3)</w:t>
            </w:r>
          </w:p>
        </w:tc>
        <w:tc>
          <w:tcPr>
            <w:tcW w:w="1340" w:type="dxa"/>
            <w:vAlign w:val="bottom"/>
          </w:tcPr>
          <w:p>
            <w:pPr>
              <w:spacing w:after="0"/>
              <w:rPr>
                <w:sz w:val="16"/>
                <w:szCs w:val="16"/>
                <w:color w:val="auto"/>
              </w:rPr>
            </w:pP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4,220,048</w:t>
            </w:r>
          </w:p>
        </w:tc>
        <w:tc>
          <w:tcPr>
            <w:tcW w:w="13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4,220,048</w:t>
            </w:r>
          </w:p>
        </w:tc>
        <w:tc>
          <w:tcPr>
            <w:tcW w:w="150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11.4</w:t>
            </w: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Logos Opportunities Fund I, L.P.</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3,136,981</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3,136,981</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8.5</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8.0</w:t>
            </w: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(4)</w:t>
            </w: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Named Executive Officers:</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Jaume Pons, Ph.D.</w:t>
            </w:r>
            <w:r>
              <w:rPr>
                <w:rFonts w:ascii="Arial" w:cs="Arial" w:eastAsia="Arial" w:hAnsi="Arial"/>
                <w:sz w:val="14"/>
                <w:szCs w:val="14"/>
                <w:color w:val="auto"/>
              </w:rPr>
              <w:t>(5)</w:t>
            </w:r>
          </w:p>
        </w:tc>
        <w:tc>
          <w:tcPr>
            <w:tcW w:w="1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1,501,392</w:t>
            </w:r>
          </w:p>
        </w:tc>
        <w:tc>
          <w:tcPr>
            <w:tcW w:w="13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1,501,392</w:t>
            </w:r>
          </w:p>
        </w:tc>
        <w:tc>
          <w:tcPr>
            <w:tcW w:w="150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3.9</w:t>
            </w:r>
          </w:p>
        </w:tc>
        <w:tc>
          <w:tcPr>
            <w:tcW w:w="10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4"/>
        </w:trPr>
        <w:tc>
          <w:tcPr>
            <w:tcW w:w="4440" w:type="dxa"/>
            <w:vAlign w:val="bottom"/>
            <w:gridSpan w:val="2"/>
          </w:tcPr>
          <w:p>
            <w:pPr>
              <w:spacing w:after="0" w:line="4" w:lineRule="exact"/>
              <w:rPr>
                <w:sz w:val="20"/>
                <w:szCs w:val="20"/>
                <w:color w:val="auto"/>
              </w:rPr>
            </w:pPr>
            <w:r>
              <w:rPr>
                <w:rFonts w:ascii="Arial" w:cs="Arial" w:eastAsia="Arial" w:hAnsi="Arial"/>
                <w:sz w:val="1"/>
                <w:szCs w:val="1"/>
                <w:color w:val="auto"/>
              </w:rPr>
              <w:t>Sophia Randolph, M.D., Ph.D.</w:t>
            </w:r>
          </w:p>
        </w:tc>
        <w:tc>
          <w:tcPr>
            <w:tcW w:w="1340" w:type="dxa"/>
            <w:vAlign w:val="bottom"/>
          </w:tcPr>
          <w:p>
            <w:pPr>
              <w:spacing w:after="0" w:line="20" w:lineRule="exact"/>
              <w:rPr>
                <w:sz w:val="1"/>
                <w:szCs w:val="1"/>
                <w:color w:val="auto"/>
              </w:rPr>
            </w:pPr>
          </w:p>
        </w:tc>
        <w:tc>
          <w:tcPr>
            <w:tcW w:w="1380" w:type="dxa"/>
            <w:vAlign w:val="bottom"/>
            <w:gridSpan w:val="2"/>
          </w:tcPr>
          <w:p>
            <w:pPr>
              <w:jc w:val="right"/>
              <w:ind w:right="440"/>
              <w:spacing w:after="0" w:line="4" w:lineRule="exact"/>
              <w:rPr>
                <w:sz w:val="20"/>
                <w:szCs w:val="20"/>
                <w:color w:val="auto"/>
              </w:rPr>
            </w:pPr>
            <w:r>
              <w:rPr>
                <w:rFonts w:ascii="Arial" w:cs="Arial" w:eastAsia="Arial" w:hAnsi="Arial"/>
                <w:sz w:val="1"/>
                <w:szCs w:val="1"/>
                <w:color w:val="auto"/>
              </w:rPr>
              <w:t>450,616</w:t>
            </w:r>
          </w:p>
        </w:tc>
        <w:tc>
          <w:tcPr>
            <w:tcW w:w="1340" w:type="dxa"/>
            <w:vAlign w:val="bottom"/>
            <w:gridSpan w:val="2"/>
          </w:tcPr>
          <w:p>
            <w:pPr>
              <w:jc w:val="right"/>
              <w:ind w:right="440"/>
              <w:spacing w:after="0" w:line="4" w:lineRule="exact"/>
              <w:rPr>
                <w:sz w:val="20"/>
                <w:szCs w:val="20"/>
                <w:color w:val="auto"/>
              </w:rPr>
            </w:pPr>
            <w:r>
              <w:rPr>
                <w:rFonts w:ascii="Arial" w:cs="Arial" w:eastAsia="Arial" w:hAnsi="Arial"/>
                <w:sz w:val="1"/>
                <w:szCs w:val="1"/>
                <w:color w:val="auto"/>
              </w:rPr>
              <w:t>450,616</w:t>
            </w:r>
          </w:p>
        </w:tc>
        <w:tc>
          <w:tcPr>
            <w:tcW w:w="1500" w:type="dxa"/>
            <w:vAlign w:val="bottom"/>
            <w:gridSpan w:val="2"/>
          </w:tcPr>
          <w:p>
            <w:pPr>
              <w:jc w:val="right"/>
              <w:ind w:right="560"/>
              <w:spacing w:after="0" w:line="4" w:lineRule="exact"/>
              <w:rPr>
                <w:sz w:val="20"/>
                <w:szCs w:val="20"/>
                <w:color w:val="auto"/>
              </w:rPr>
            </w:pPr>
            <w:r>
              <w:rPr>
                <w:rFonts w:ascii="Arial" w:cs="Arial" w:eastAsia="Arial" w:hAnsi="Arial"/>
                <w:sz w:val="1"/>
                <w:szCs w:val="1"/>
                <w:color w:val="auto"/>
              </w:rPr>
              <w:t>1.2</w:t>
            </w:r>
          </w:p>
        </w:tc>
        <w:tc>
          <w:tcPr>
            <w:tcW w:w="1020" w:type="dxa"/>
            <w:vAlign w:val="bottom"/>
            <w:gridSpan w:val="2"/>
          </w:tcPr>
          <w:p>
            <w:pPr>
              <w:jc w:val="right"/>
              <w:ind w:right="220"/>
              <w:spacing w:after="0" w:line="4" w:lineRule="exact"/>
              <w:rPr>
                <w:sz w:val="20"/>
                <w:szCs w:val="20"/>
                <w:color w:val="auto"/>
              </w:rPr>
            </w:pPr>
            <w:r>
              <w:rPr>
                <w:rFonts w:ascii="Arial" w:cs="Arial" w:eastAsia="Arial" w:hAnsi="Arial"/>
                <w:sz w:val="1"/>
                <w:szCs w:val="1"/>
                <w:color w:val="auto"/>
              </w:rPr>
              <w:t>1.1</w:t>
            </w:r>
          </w:p>
        </w:tc>
        <w:tc>
          <w:tcPr>
            <w:tcW w:w="0" w:type="dxa"/>
            <w:vAlign w:val="bottom"/>
          </w:tcPr>
          <w:p>
            <w:pPr>
              <w:spacing w:after="0" w:line="20" w:lineRule="exact"/>
              <w:rPr>
                <w:sz w:val="1"/>
                <w:szCs w:val="1"/>
                <w:color w:val="auto"/>
              </w:rPr>
            </w:pPr>
          </w:p>
        </w:tc>
      </w:tr>
      <w:tr>
        <w:trPr>
          <w:trHeight w:val="185"/>
        </w:trPr>
        <w:tc>
          <w:tcPr>
            <w:tcW w:w="4440" w:type="dxa"/>
            <w:vAlign w:val="bottom"/>
            <w:gridSpan w:val="2"/>
          </w:tcPr>
          <w:p>
            <w:pPr>
              <w:ind w:left="2280"/>
              <w:spacing w:after="0"/>
              <w:rPr>
                <w:sz w:val="20"/>
                <w:szCs w:val="20"/>
                <w:color w:val="auto"/>
              </w:rPr>
            </w:pPr>
            <w:r>
              <w:rPr>
                <w:rFonts w:ascii="Arial" w:cs="Arial" w:eastAsia="Arial" w:hAnsi="Arial"/>
                <w:sz w:val="15"/>
                <w:szCs w:val="15"/>
                <w:color w:val="auto"/>
              </w:rPr>
              <w:t>(6)</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Hong Wan, Ph.D.</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402,140</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402,140</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1.1</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1.0</w:t>
            </w: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320"/>
              <w:spacing w:after="0"/>
              <w:rPr>
                <w:sz w:val="20"/>
                <w:szCs w:val="20"/>
                <w:color w:val="auto"/>
              </w:rPr>
            </w:pPr>
            <w:r>
              <w:rPr>
                <w:rFonts w:ascii="Arial" w:cs="Arial" w:eastAsia="Arial" w:hAnsi="Arial"/>
                <w:sz w:val="15"/>
                <w:szCs w:val="15"/>
                <w:color w:val="auto"/>
              </w:rPr>
              <w:t>(7)</w:t>
            </w:r>
          </w:p>
        </w:tc>
        <w:tc>
          <w:tcPr>
            <w:tcW w:w="2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Non-Employee Directors:</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9,870,629</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9,870,629</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26.6</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25.2</w:t>
            </w: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780"/>
              <w:spacing w:after="0"/>
              <w:rPr>
                <w:sz w:val="20"/>
                <w:szCs w:val="20"/>
                <w:color w:val="auto"/>
              </w:rPr>
            </w:pPr>
            <w:r>
              <w:rPr>
                <w:rFonts w:ascii="Arial" w:cs="Arial" w:eastAsia="Arial" w:hAnsi="Arial"/>
                <w:sz w:val="15"/>
                <w:szCs w:val="15"/>
                <w:color w:val="auto"/>
              </w:rPr>
              <w:t>(8)</w:t>
            </w:r>
          </w:p>
        </w:tc>
        <w:tc>
          <w:tcPr>
            <w:tcW w:w="2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tcPr>
          <w:p>
            <w:pPr>
              <w:spacing w:after="0" w:line="4" w:lineRule="exact"/>
              <w:rPr>
                <w:sz w:val="20"/>
                <w:szCs w:val="20"/>
                <w:color w:val="auto"/>
              </w:rPr>
            </w:pPr>
            <w:r>
              <w:rPr>
                <w:rFonts w:ascii="Arial" w:cs="Arial" w:eastAsia="Arial" w:hAnsi="Arial"/>
                <w:sz w:val="1"/>
                <w:szCs w:val="1"/>
                <w:color w:val="auto"/>
              </w:rPr>
              <w:t>Rekha Hemrajani</w:t>
            </w:r>
          </w:p>
        </w:tc>
        <w:tc>
          <w:tcPr>
            <w:tcW w:w="1340" w:type="dxa"/>
            <w:vAlign w:val="bottom"/>
          </w:tcPr>
          <w:p>
            <w:pPr>
              <w:spacing w:after="0" w:line="20" w:lineRule="exact"/>
              <w:rPr>
                <w:sz w:val="1"/>
                <w:szCs w:val="1"/>
                <w:color w:val="auto"/>
              </w:rPr>
            </w:pPr>
          </w:p>
        </w:tc>
        <w:tc>
          <w:tcPr>
            <w:tcW w:w="1380" w:type="dxa"/>
            <w:vAlign w:val="bottom"/>
            <w:gridSpan w:val="2"/>
          </w:tcPr>
          <w:p>
            <w:pPr>
              <w:jc w:val="right"/>
              <w:ind w:right="440"/>
              <w:spacing w:after="0" w:line="4" w:lineRule="exact"/>
              <w:rPr>
                <w:sz w:val="20"/>
                <w:szCs w:val="20"/>
                <w:color w:val="auto"/>
              </w:rPr>
            </w:pPr>
            <w:r>
              <w:rPr>
                <w:rFonts w:ascii="Arial" w:cs="Arial" w:eastAsia="Arial" w:hAnsi="Arial"/>
                <w:sz w:val="1"/>
                <w:szCs w:val="1"/>
                <w:color w:val="auto"/>
              </w:rPr>
              <w:t>3,000</w:t>
            </w:r>
          </w:p>
        </w:tc>
        <w:tc>
          <w:tcPr>
            <w:tcW w:w="1340" w:type="dxa"/>
            <w:vAlign w:val="bottom"/>
            <w:gridSpan w:val="2"/>
          </w:tcPr>
          <w:p>
            <w:pPr>
              <w:jc w:val="right"/>
              <w:ind w:right="440"/>
              <w:spacing w:after="0" w:line="4" w:lineRule="exact"/>
              <w:rPr>
                <w:sz w:val="20"/>
                <w:szCs w:val="20"/>
                <w:color w:val="auto"/>
              </w:rPr>
            </w:pPr>
            <w:r>
              <w:rPr>
                <w:rFonts w:ascii="Arial" w:cs="Arial" w:eastAsia="Arial" w:hAnsi="Arial"/>
                <w:sz w:val="1"/>
                <w:szCs w:val="1"/>
                <w:color w:val="auto"/>
              </w:rPr>
              <w:t>3,000</w:t>
            </w:r>
          </w:p>
        </w:tc>
        <w:tc>
          <w:tcPr>
            <w:tcW w:w="1500" w:type="dxa"/>
            <w:vAlign w:val="bottom"/>
            <w:gridSpan w:val="2"/>
          </w:tcPr>
          <w:p>
            <w:pPr>
              <w:jc w:val="right"/>
              <w:ind w:right="560"/>
              <w:spacing w:after="0" w:line="4" w:lineRule="exact"/>
              <w:rPr>
                <w:sz w:val="20"/>
                <w:szCs w:val="20"/>
                <w:color w:val="auto"/>
              </w:rPr>
            </w:pPr>
            <w:r>
              <w:rPr>
                <w:rFonts w:ascii="Arial" w:cs="Arial" w:eastAsia="Arial" w:hAnsi="Arial"/>
                <w:sz w:val="1"/>
                <w:szCs w:val="1"/>
                <w:color w:val="auto"/>
              </w:rPr>
              <w:t>*</w:t>
            </w:r>
          </w:p>
        </w:tc>
        <w:tc>
          <w:tcPr>
            <w:tcW w:w="1020" w:type="dxa"/>
            <w:vAlign w:val="bottom"/>
            <w:gridSpan w:val="2"/>
          </w:tcPr>
          <w:p>
            <w:pPr>
              <w:jc w:val="right"/>
              <w:ind w:right="220"/>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85"/>
        </w:trPr>
        <w:tc>
          <w:tcPr>
            <w:tcW w:w="2160" w:type="dxa"/>
            <w:vAlign w:val="bottom"/>
          </w:tcPr>
          <w:p>
            <w:pPr>
              <w:ind w:left="1320"/>
              <w:spacing w:after="0"/>
              <w:rPr>
                <w:sz w:val="20"/>
                <w:szCs w:val="20"/>
                <w:color w:val="auto"/>
              </w:rPr>
            </w:pPr>
            <w:r>
              <w:rPr>
                <w:rFonts w:ascii="Arial" w:cs="Arial" w:eastAsia="Arial" w:hAnsi="Arial"/>
                <w:sz w:val="15"/>
                <w:szCs w:val="15"/>
                <w:color w:val="auto"/>
              </w:rPr>
              <w:t>(9)</w:t>
            </w:r>
          </w:p>
        </w:tc>
        <w:tc>
          <w:tcPr>
            <w:tcW w:w="2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Jason Lettmann</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4,831,544</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4,831,544</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13.0</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12.4</w:t>
            </w: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220"/>
              <w:spacing w:after="0"/>
              <w:rPr>
                <w:sz w:val="20"/>
                <w:szCs w:val="20"/>
                <w:color w:val="auto"/>
              </w:rPr>
            </w:pPr>
            <w:r>
              <w:rPr>
                <w:rFonts w:ascii="Arial" w:cs="Arial" w:eastAsia="Arial" w:hAnsi="Arial"/>
                <w:sz w:val="15"/>
                <w:szCs w:val="15"/>
                <w:color w:val="auto"/>
              </w:rPr>
              <w:t>(10)</w:t>
            </w:r>
          </w:p>
        </w:tc>
        <w:tc>
          <w:tcPr>
            <w:tcW w:w="2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tcPr>
          <w:p>
            <w:pPr>
              <w:spacing w:after="0" w:line="4" w:lineRule="exact"/>
              <w:rPr>
                <w:sz w:val="20"/>
                <w:szCs w:val="20"/>
                <w:color w:val="auto"/>
              </w:rPr>
            </w:pPr>
            <w:r>
              <w:rPr>
                <w:rFonts w:ascii="Arial" w:cs="Arial" w:eastAsia="Arial" w:hAnsi="Arial"/>
                <w:sz w:val="1"/>
                <w:szCs w:val="1"/>
                <w:color w:val="auto"/>
              </w:rPr>
              <w:t>Jack Nielsen</w:t>
            </w:r>
          </w:p>
        </w:tc>
        <w:tc>
          <w:tcPr>
            <w:tcW w:w="1340" w:type="dxa"/>
            <w:vAlign w:val="bottom"/>
          </w:tcPr>
          <w:p>
            <w:pPr>
              <w:spacing w:after="0" w:line="20" w:lineRule="exact"/>
              <w:rPr>
                <w:sz w:val="1"/>
                <w:szCs w:val="1"/>
                <w:color w:val="auto"/>
              </w:rPr>
            </w:pPr>
          </w:p>
        </w:tc>
        <w:tc>
          <w:tcPr>
            <w:tcW w:w="1380" w:type="dxa"/>
            <w:vAlign w:val="bottom"/>
            <w:gridSpan w:val="2"/>
          </w:tcPr>
          <w:p>
            <w:pPr>
              <w:jc w:val="right"/>
              <w:ind w:right="440"/>
              <w:spacing w:after="0" w:line="4" w:lineRule="exact"/>
              <w:rPr>
                <w:sz w:val="20"/>
                <w:szCs w:val="20"/>
                <w:color w:val="auto"/>
              </w:rPr>
            </w:pPr>
            <w:r>
              <w:rPr>
                <w:rFonts w:ascii="Arial" w:cs="Arial" w:eastAsia="Arial" w:hAnsi="Arial"/>
                <w:sz w:val="1"/>
                <w:szCs w:val="1"/>
                <w:color w:val="auto"/>
              </w:rPr>
              <w:t>3,334</w:t>
            </w:r>
          </w:p>
        </w:tc>
        <w:tc>
          <w:tcPr>
            <w:tcW w:w="1340" w:type="dxa"/>
            <w:vAlign w:val="bottom"/>
            <w:gridSpan w:val="2"/>
          </w:tcPr>
          <w:p>
            <w:pPr>
              <w:jc w:val="right"/>
              <w:ind w:right="440"/>
              <w:spacing w:after="0" w:line="4" w:lineRule="exact"/>
              <w:rPr>
                <w:sz w:val="20"/>
                <w:szCs w:val="20"/>
                <w:color w:val="auto"/>
              </w:rPr>
            </w:pPr>
            <w:r>
              <w:rPr>
                <w:rFonts w:ascii="Arial" w:cs="Arial" w:eastAsia="Arial" w:hAnsi="Arial"/>
                <w:sz w:val="1"/>
                <w:szCs w:val="1"/>
                <w:color w:val="auto"/>
              </w:rPr>
              <w:t>3,334</w:t>
            </w:r>
          </w:p>
        </w:tc>
        <w:tc>
          <w:tcPr>
            <w:tcW w:w="1500" w:type="dxa"/>
            <w:vAlign w:val="bottom"/>
            <w:gridSpan w:val="2"/>
          </w:tcPr>
          <w:p>
            <w:pPr>
              <w:jc w:val="right"/>
              <w:ind w:right="560"/>
              <w:spacing w:after="0" w:line="4" w:lineRule="exact"/>
              <w:rPr>
                <w:sz w:val="20"/>
                <w:szCs w:val="20"/>
                <w:color w:val="auto"/>
              </w:rPr>
            </w:pPr>
            <w:r>
              <w:rPr>
                <w:rFonts w:ascii="Arial" w:cs="Arial" w:eastAsia="Arial" w:hAnsi="Arial"/>
                <w:sz w:val="1"/>
                <w:szCs w:val="1"/>
                <w:color w:val="auto"/>
              </w:rPr>
              <w:t>*</w:t>
            </w:r>
          </w:p>
        </w:tc>
        <w:tc>
          <w:tcPr>
            <w:tcW w:w="1020" w:type="dxa"/>
            <w:vAlign w:val="bottom"/>
            <w:gridSpan w:val="2"/>
          </w:tcPr>
          <w:p>
            <w:pPr>
              <w:jc w:val="right"/>
              <w:ind w:right="220"/>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85"/>
        </w:trPr>
        <w:tc>
          <w:tcPr>
            <w:tcW w:w="2160" w:type="dxa"/>
            <w:vAlign w:val="bottom"/>
          </w:tcPr>
          <w:p>
            <w:pPr>
              <w:ind w:left="960"/>
              <w:spacing w:after="0"/>
              <w:rPr>
                <w:sz w:val="20"/>
                <w:szCs w:val="20"/>
                <w:color w:val="auto"/>
              </w:rPr>
            </w:pPr>
            <w:r>
              <w:rPr>
                <w:rFonts w:ascii="Arial" w:cs="Arial" w:eastAsia="Arial" w:hAnsi="Arial"/>
                <w:sz w:val="15"/>
                <w:szCs w:val="15"/>
                <w:color w:val="auto"/>
              </w:rPr>
              <w:t>(11)</w:t>
            </w:r>
          </w:p>
        </w:tc>
        <w:tc>
          <w:tcPr>
            <w:tcW w:w="2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Graham Walmsley, M.D., Ph.D.</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3,140,315</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3,140,315</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8.5</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8.0</w:t>
            </w: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(12)</w:t>
            </w: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5"/>
                <w:szCs w:val="15"/>
                <w:color w:val="auto"/>
              </w:rPr>
              <w:t>All executive officers and directors as a group (10 persons)</w:t>
            </w:r>
          </w:p>
        </w:tc>
        <w:tc>
          <w:tcPr>
            <w:tcW w:w="1340" w:type="dxa"/>
            <w:vAlign w:val="bottom"/>
            <w:vMerge w:val="restart"/>
          </w:tcPr>
          <w:p>
            <w:pPr>
              <w:jc w:val="right"/>
              <w:ind w:right="1007"/>
              <w:spacing w:after="0"/>
              <w:rPr>
                <w:sz w:val="20"/>
                <w:szCs w:val="20"/>
                <w:color w:val="auto"/>
              </w:rPr>
            </w:pPr>
            <w:r>
              <w:rPr>
                <w:rFonts w:ascii="Arial" w:cs="Arial" w:eastAsia="Arial" w:hAnsi="Arial"/>
                <w:sz w:val="15"/>
                <w:szCs w:val="15"/>
                <w:color w:val="auto"/>
                <w:w w:val="89"/>
              </w:rPr>
              <w:t>(13)</w:t>
            </w:r>
          </w:p>
        </w:tc>
        <w:tc>
          <w:tcPr>
            <w:tcW w:w="1380" w:type="dxa"/>
            <w:vAlign w:val="bottom"/>
            <w:gridSpan w:val="2"/>
          </w:tcPr>
          <w:p>
            <w:pPr>
              <w:jc w:val="right"/>
              <w:ind w:right="440"/>
              <w:spacing w:after="0" w:line="135" w:lineRule="exact"/>
              <w:rPr>
                <w:sz w:val="20"/>
                <w:szCs w:val="20"/>
                <w:color w:val="auto"/>
              </w:rPr>
            </w:pPr>
            <w:r>
              <w:rPr>
                <w:rFonts w:ascii="Arial" w:cs="Arial" w:eastAsia="Arial" w:hAnsi="Arial"/>
                <w:sz w:val="15"/>
                <w:szCs w:val="15"/>
                <w:color w:val="auto"/>
              </w:rPr>
              <w:t>20,626,719</w:t>
            </w:r>
          </w:p>
        </w:tc>
        <w:tc>
          <w:tcPr>
            <w:tcW w:w="1340" w:type="dxa"/>
            <w:vAlign w:val="bottom"/>
            <w:gridSpan w:val="2"/>
          </w:tcPr>
          <w:p>
            <w:pPr>
              <w:jc w:val="right"/>
              <w:ind w:right="440"/>
              <w:spacing w:after="0" w:line="135" w:lineRule="exact"/>
              <w:rPr>
                <w:sz w:val="20"/>
                <w:szCs w:val="20"/>
                <w:color w:val="auto"/>
              </w:rPr>
            </w:pPr>
            <w:r>
              <w:rPr>
                <w:rFonts w:ascii="Arial" w:cs="Arial" w:eastAsia="Arial" w:hAnsi="Arial"/>
                <w:sz w:val="15"/>
                <w:szCs w:val="15"/>
                <w:color w:val="auto"/>
              </w:rPr>
              <w:t>20,626,719</w:t>
            </w:r>
          </w:p>
        </w:tc>
        <w:tc>
          <w:tcPr>
            <w:tcW w:w="1500" w:type="dxa"/>
            <w:vAlign w:val="bottom"/>
            <w:gridSpan w:val="2"/>
          </w:tcPr>
          <w:p>
            <w:pPr>
              <w:jc w:val="right"/>
              <w:ind w:right="560"/>
              <w:spacing w:after="0" w:line="135" w:lineRule="exact"/>
              <w:rPr>
                <w:sz w:val="20"/>
                <w:szCs w:val="20"/>
                <w:color w:val="auto"/>
              </w:rPr>
            </w:pPr>
            <w:r>
              <w:rPr>
                <w:rFonts w:ascii="Arial" w:cs="Arial" w:eastAsia="Arial" w:hAnsi="Arial"/>
                <w:sz w:val="15"/>
                <w:szCs w:val="15"/>
                <w:color w:val="auto"/>
              </w:rPr>
              <w:t>52.9</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5"/>
                <w:szCs w:val="15"/>
                <w:color w:val="auto"/>
              </w:rPr>
              <w:t>50.3</w:t>
            </w:r>
          </w:p>
        </w:tc>
        <w:tc>
          <w:tcPr>
            <w:tcW w:w="0" w:type="dxa"/>
            <w:vAlign w:val="bottom"/>
          </w:tcPr>
          <w:p>
            <w:pPr>
              <w:spacing w:after="0"/>
              <w:rPr>
                <w:sz w:val="1"/>
                <w:szCs w:val="1"/>
                <w:color w:val="auto"/>
              </w:rPr>
            </w:pPr>
          </w:p>
        </w:tc>
      </w:tr>
      <w:tr>
        <w:trPr>
          <w:trHeight w:val="60"/>
        </w:trPr>
        <w:tc>
          <w:tcPr>
            <w:tcW w:w="21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Represents beneficial ownership of less than one percent (1%) of the outstanding shares of our common stock.</w:t>
      </w:r>
    </w:p>
    <w:p>
      <w:pPr>
        <w:spacing w:after="0" w:line="42" w:lineRule="exact"/>
        <w:rPr>
          <w:sz w:val="20"/>
          <w:szCs w:val="20"/>
          <w:color w:val="auto"/>
        </w:rPr>
      </w:pPr>
    </w:p>
    <w:p>
      <w:pPr>
        <w:ind w:left="540" w:right="20" w:hanging="276"/>
        <w:spacing w:after="0" w:line="249"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(i) 5,268,325 shares held of record by venBio Global Strategic Fund II, L.P. (GSF II LP); (ii) 3,969,789 shares held of record by venBio Global Strategic Fund, L.P. (GSF LP); and (iii) 461,811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venBio Global GS GP II Ltd and GS GP Ltd and the Managing Directors of venBio SPV, LLC (SPV LLC), Robert Adelman and Corey Goodman, one of our directors, share voting and dispositive power with respect to the shares held of record by GSF II LP, GSF LP and SPV LLC. An additional 96,406 shares are held of record by Dr. Adelman. The address for these entities is c/o venBio Partners, LLC, 1700 Owens Street, Suite 595, San Francisco, California 94158.</w:t>
      </w:r>
    </w:p>
    <w:p>
      <w:pPr>
        <w:spacing w:after="0" w:line="5" w:lineRule="exact"/>
        <w:rPr>
          <w:rFonts w:ascii="Arial" w:cs="Arial" w:eastAsia="Arial" w:hAnsi="Arial"/>
          <w:sz w:val="14"/>
          <w:szCs w:val="14"/>
          <w:color w:val="auto"/>
        </w:rPr>
      </w:pPr>
    </w:p>
    <w:p>
      <w:pPr>
        <w:ind w:left="540" w:right="80" w:hanging="276"/>
        <w:spacing w:after="0" w:line="249"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(i) 2,268,087 shares held of record by Lightstone Ventures, LP (LV LP); (ii) 2,023,469 shares held of record by Lightstone Ventures II, LP (LV II LP); (iii) 309,222 shares held of record by Lightstone Ventures (A), LP (LV(A) LP); and (iv) 120,212 shares held of record by Lightstone Ventures II (A), LP (LV II(A) LP).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 The address for these entities is c/o LSV Capital Management, LLC, 2884 Sand Hill Road, Suite 121, Menlo Park, California 94025.</w:t>
      </w:r>
    </w:p>
    <w:p>
      <w:pPr>
        <w:spacing w:after="0" w:line="5" w:lineRule="exact"/>
        <w:rPr>
          <w:rFonts w:ascii="Arial" w:cs="Arial" w:eastAsia="Arial" w:hAnsi="Arial"/>
          <w:sz w:val="14"/>
          <w:szCs w:val="14"/>
          <w:color w:val="auto"/>
        </w:rPr>
      </w:pPr>
    </w:p>
    <w:p>
      <w:pPr>
        <w:ind w:left="540" w:right="40" w:hanging="276"/>
        <w:spacing w:after="0" w:line="249"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(i) 4,034,522 shares held of record by Vivo Capital Fund IX, L.P. (VIVO IX LP) and (ii) 185,526 shares held of record by Vivo Opportunity Fund, L.P. (VOF). Vivo Capital IX, LLC (VIVO IX LLC) is the General Partner of VIVO IX LP. As the managing members of VIVO IX LLC, Frank Kung, Edgar Engleman, Shan Fu, Jack Nielsen and Michael Chang share voting and dispositive power with respect to the shares held of record by VIVO IX LP, but each disclaims beneficial ownership of such shares except to the extent of his individual pecuniary interest therein. Vivo Opportunity, LLC is the general partner of VOF. As the managing members of Vivo Opportunity, LLC, Gaurav Aggarwal, Shan Fu, Frank King and Michael Chang share voting and dispositive power with respect to the shares held of record by VOF but each disclaims beneficial ownership of such shares except to the extent of his individual pecuniary interest therein. The address for these entities is c/o Vivo Capital, 192 Lytton Avenue, Palo Alto, California 94301.</w:t>
      </w:r>
    </w:p>
    <w:p>
      <w:pPr>
        <w:spacing w:after="0" w:line="5" w:lineRule="exact"/>
        <w:rPr>
          <w:rFonts w:ascii="Arial" w:cs="Arial" w:eastAsia="Arial" w:hAnsi="Arial"/>
          <w:sz w:val="14"/>
          <w:szCs w:val="14"/>
          <w:color w:val="auto"/>
        </w:rPr>
      </w:pPr>
    </w:p>
    <w:p>
      <w:pPr>
        <w:ind w:left="540" w:right="180" w:hanging="276"/>
        <w:spacing w:after="0" w:line="253"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(i) 2,161,981 shares held of record by Logos Opportunities Fund I, L.P. (LOS I LP) and (ii) 975,000 shares held of record by Logos Global Master Fund, L.P. (LGMF LP). Logos Opportunities GP, LLC (Logos Opportunities GP) is the general partner of LOS I LP, and Logos GP LLC (Logos GP) is the general partner of LGMF LP. Arsani William and Graham Walmsley are the managing members of Logos Opportunities GP and Logos GP and share voting and dispositive power with respect to the shares held of record by LOS I LP and LGMF LP. The address for these entities is c/o Logos Global Management, LP, 1 Letterman Drive, Building D, Suite D3-700, San Francisco, California 94129.</w:t>
      </w:r>
    </w:p>
    <w:p>
      <w:pPr>
        <w:spacing w:after="0" w:line="1" w:lineRule="exact"/>
        <w:rPr>
          <w:rFonts w:ascii="Arial" w:cs="Arial" w:eastAsia="Arial" w:hAnsi="Arial"/>
          <w:sz w:val="14"/>
          <w:szCs w:val="14"/>
          <w:color w:val="auto"/>
        </w:rPr>
      </w:pPr>
    </w:p>
    <w:p>
      <w:pPr>
        <w:ind w:left="540" w:right="20" w:hanging="276"/>
        <w:spacing w:after="0" w:line="271"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(i) 541,346 shares held of record by Dr. Pons and (ii) 960,046 shares issuable upon option exercise within 60 days of November 1, 2020, of which 447,240 are fully vested.</w:t>
      </w:r>
    </w:p>
    <w:p>
      <w:pPr>
        <w:ind w:left="540" w:right="300" w:hanging="276"/>
        <w:spacing w:after="0" w:line="291" w:lineRule="auto"/>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Consists of (i) 208,524 shares held of record by Dr. Randolph and (ii) 242,092 shares issuable upon option exercise within 60 days of November 1, 2020, of which 121,028 are fully vested.</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28" w:lineRule="exact"/>
        <w:rPr>
          <w:sz w:val="20"/>
          <w:szCs w:val="20"/>
          <w:color w:val="auto"/>
        </w:rPr>
      </w:pPr>
    </w:p>
    <w:p>
      <w:pPr>
        <w:ind w:left="540" w:right="140" w:hanging="276"/>
        <w:spacing w:after="0" w:line="261"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(i) 22,610 shares held of record by the Kwauk and Wan Family Trust for which Dr. Wan serves as trustee; (ii) 131,687 shares held of record by Dr. Wan and (iii) 247,843 shares issuable upon option exercise within 60 days of November 1, 2020, of which 110,686 are fully vested. Dr. Wan, our former Chief Scientific Officer, resigned effective June 30, 2020.</w:t>
      </w:r>
    </w:p>
    <w:p>
      <w:pPr>
        <w:spacing w:after="0" w:line="1" w:lineRule="exact"/>
        <w:rPr>
          <w:rFonts w:ascii="Arial" w:cs="Arial" w:eastAsia="Arial" w:hAnsi="Arial"/>
          <w:sz w:val="14"/>
          <w:szCs w:val="14"/>
          <w:color w:val="auto"/>
        </w:rPr>
      </w:pPr>
    </w:p>
    <w:p>
      <w:pPr>
        <w:jc w:val="both"/>
        <w:ind w:left="540" w:right="80" w:hanging="276"/>
        <w:spacing w:after="0" w:line="261"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(i) the shares disclosed in footnote (1) above which are held of record by entities affiliated with venBio Partners; (ii) 113,287 shares held of record by the Goodman Barinaga Trust for which Dr. Goodman serves as trustee; (iii) 54,083 shares held of record by the Emaldi Corporation for which Dr. Goodman serves as a director and (iv) 3,334 shares issuable upon option exercise within 60 days of November 1, 2020, of which 3,334 are fully vested.</w:t>
      </w:r>
    </w:p>
    <w:p>
      <w:pPr>
        <w:spacing w:after="0" w:line="1" w:lineRule="exact"/>
        <w:rPr>
          <w:rFonts w:ascii="Arial" w:cs="Arial" w:eastAsia="Arial" w:hAnsi="Arial"/>
          <w:sz w:val="14"/>
          <w:szCs w:val="14"/>
          <w:color w:val="auto"/>
        </w:rPr>
      </w:pPr>
    </w:p>
    <w:p>
      <w:pPr>
        <w:ind w:left="540" w:hanging="276"/>
        <w:spacing w:after="0"/>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3,000 shares held of record by Rekha Hemrajani.</w:t>
      </w:r>
    </w:p>
    <w:p>
      <w:pPr>
        <w:spacing w:after="0" w:line="41" w:lineRule="exact"/>
        <w:rPr>
          <w:rFonts w:ascii="Arial" w:cs="Arial" w:eastAsia="Arial" w:hAnsi="Arial"/>
          <w:sz w:val="14"/>
          <w:szCs w:val="14"/>
          <w:color w:val="auto"/>
        </w:rPr>
      </w:pPr>
    </w:p>
    <w:p>
      <w:pPr>
        <w:ind w:left="540" w:right="60" w:hanging="356"/>
        <w:spacing w:after="0" w:line="271"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(i) the shares disclosed in footnote (2) above which are held of record by entities affiliated with Lightstone Ventures; (ii) 107,220 shares held of record by Mr. Lettmann and (iii) 3,334 shares issuable upon option exercise within 60 days of November 1, 2020, of which 3,334 are fully vested.</w:t>
      </w:r>
    </w:p>
    <w:p>
      <w:pPr>
        <w:ind w:left="540" w:hanging="345"/>
        <w:spacing w:after="0"/>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3,334 shares issuable upon option exercise within 60 days of November 1, 2020, of which 3,334 are fully vested.</w:t>
      </w:r>
    </w:p>
    <w:p>
      <w:pPr>
        <w:spacing w:after="0" w:line="41" w:lineRule="exact"/>
        <w:rPr>
          <w:rFonts w:ascii="Arial" w:cs="Arial" w:eastAsia="Arial" w:hAnsi="Arial"/>
          <w:sz w:val="14"/>
          <w:szCs w:val="14"/>
          <w:color w:val="auto"/>
        </w:rPr>
      </w:pPr>
    </w:p>
    <w:p>
      <w:pPr>
        <w:ind w:left="540" w:right="260" w:hanging="356"/>
        <w:spacing w:after="0" w:line="271"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(i) the shares disclosed in footnote (4) above which are held of record by LOS I LP and LGMF LP and (ii) 3,334 shares issuable upon option exercise within 60 days of November 1, 2020, of which 3,334 are fully vested.</w:t>
      </w:r>
    </w:p>
    <w:p>
      <w:pPr>
        <w:ind w:left="540" w:hanging="356"/>
        <w:spacing w:after="0" w:line="266" w:lineRule="auto"/>
        <w:tabs>
          <w:tab w:leader="none" w:pos="5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Consists of (i) 18,745,653 shares beneficially owned by our executive officers and directors and (ii) 1,881,066 shares issuable upon option exercise within 60 days of November 1, 2020, of which 705,823 are fully vested. Includes shares beneficially owned or issuable upon option exercise within 60 days of November 1, 2020 by Dr. Wan, our former Chief Scientific Officer, who resigned effective June 30, 2020.</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020"/>
          </w:cols>
          <w:pgMar w:left="320" w:top="455" w:right="5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16"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our amended and restated certificate of incorporation and amended and restated bylaws. Copies of these documents were filed with the SEC as exhibits to our registration statement, of which this prospectus forms a part.</w:t>
      </w:r>
    </w:p>
    <w:p>
      <w:pPr>
        <w:spacing w:after="0" w:line="111" w:lineRule="exact"/>
        <w:rPr>
          <w:sz w:val="20"/>
          <w:szCs w:val="20"/>
          <w:color w:val="auto"/>
        </w:rPr>
      </w:pPr>
    </w:p>
    <w:p>
      <w:pPr>
        <w:ind w:left="120" w:right="720"/>
        <w:spacing w:after="0" w:line="275" w:lineRule="auto"/>
        <w:rPr>
          <w:sz w:val="20"/>
          <w:szCs w:val="20"/>
          <w:color w:val="auto"/>
        </w:rPr>
      </w:pPr>
      <w:r>
        <w:rPr>
          <w:rFonts w:ascii="Arial" w:cs="Arial" w:eastAsia="Arial" w:hAnsi="Arial"/>
          <w:sz w:val="17"/>
          <w:szCs w:val="17"/>
          <w:color w:val="auto"/>
        </w:rPr>
        <w:t>Our authorized capital stock consists of 1,000,000,000 shares of common stock, par value $0.001 per share, and 100,000,000 shares of convertible preferred stock, par value $0.001 per share.</w:t>
      </w:r>
    </w:p>
    <w:p>
      <w:pPr>
        <w:spacing w:after="0" w:line="92" w:lineRule="exact"/>
        <w:rPr>
          <w:sz w:val="20"/>
          <w:szCs w:val="20"/>
          <w:color w:val="auto"/>
        </w:rPr>
      </w:pPr>
    </w:p>
    <w:p>
      <w:pPr>
        <w:ind w:left="120" w:right="220"/>
        <w:spacing w:after="0" w:line="253" w:lineRule="auto"/>
        <w:rPr>
          <w:sz w:val="20"/>
          <w:szCs w:val="20"/>
          <w:color w:val="auto"/>
        </w:rPr>
      </w:pPr>
      <w:r>
        <w:rPr>
          <w:rFonts w:ascii="Arial" w:cs="Arial" w:eastAsia="Arial" w:hAnsi="Arial"/>
          <w:sz w:val="17"/>
          <w:szCs w:val="17"/>
          <w:color w:val="auto"/>
        </w:rPr>
        <w:t>Upon the completion of this offering and the issuance of 2,000,000 shares of common stock in this offering, there will be 39,107,522 shares of common stock outstanding upon the closing of this offering. As of September 30, 2020, we had 71 stockholders of record. As of September 30, 2020, there were 4,751,589 shares of common stock subject to outstanding options.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Voting Rights</w:t>
      </w:r>
    </w:p>
    <w:p>
      <w:pPr>
        <w:spacing w:after="0" w:line="100"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Dividends</w:t>
      </w:r>
    </w:p>
    <w:p>
      <w:pPr>
        <w:spacing w:after="0" w:line="43" w:lineRule="exact"/>
        <w:rPr>
          <w:sz w:val="20"/>
          <w:szCs w:val="20"/>
          <w:color w:val="auto"/>
        </w:rPr>
      </w:pPr>
    </w:p>
    <w:p>
      <w:pPr>
        <w:ind w:left="120" w:right="280"/>
        <w:spacing w:after="0" w:line="261" w:lineRule="auto"/>
        <w:rPr>
          <w:sz w:val="20"/>
          <w:szCs w:val="20"/>
          <w:color w:val="auto"/>
        </w:rPr>
      </w:pPr>
      <w:r>
        <w:rPr>
          <w:rFonts w:ascii="Arial" w:cs="Arial" w:eastAsia="Arial" w:hAnsi="Arial"/>
          <w:sz w:val="17"/>
          <w:szCs w:val="17"/>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Liquidation</w:t>
      </w:r>
    </w:p>
    <w:p>
      <w:pPr>
        <w:spacing w:after="0" w:line="43" w:lineRule="exact"/>
        <w:rPr>
          <w:sz w:val="20"/>
          <w:szCs w:val="20"/>
          <w:color w:val="auto"/>
        </w:rPr>
      </w:pPr>
    </w:p>
    <w:p>
      <w:pPr>
        <w:ind w:left="120" w:right="100"/>
        <w:spacing w:after="0" w:line="246"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43" w:lineRule="exact"/>
        <w:rPr>
          <w:sz w:val="20"/>
          <w:szCs w:val="20"/>
          <w:color w:val="auto"/>
        </w:rPr>
      </w:pPr>
    </w:p>
    <w:p>
      <w:pPr>
        <w:ind w:left="120" w:right="100"/>
        <w:spacing w:after="0" w:line="24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43" w:lineRule="exact"/>
        <w:rPr>
          <w:sz w:val="20"/>
          <w:szCs w:val="20"/>
          <w:color w:val="auto"/>
        </w:rPr>
      </w:pPr>
    </w:p>
    <w:p>
      <w:pPr>
        <w:ind w:left="120" w:right="240"/>
        <w:spacing w:after="0" w:line="261" w:lineRule="auto"/>
        <w:rPr>
          <w:sz w:val="20"/>
          <w:szCs w:val="20"/>
          <w:color w:val="auto"/>
        </w:rPr>
      </w:pPr>
      <w:r>
        <w:rPr>
          <w:rFonts w:ascii="Arial" w:cs="Arial" w:eastAsia="Arial" w:hAnsi="Arial"/>
          <w:sz w:val="17"/>
          <w:szCs w:val="17"/>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60" w:lineRule="exact"/>
        <w:rPr>
          <w:sz w:val="20"/>
          <w:szCs w:val="20"/>
          <w:color w:val="auto"/>
        </w:rPr>
      </w:pPr>
    </w:p>
    <w:p>
      <w:pPr>
        <w:ind w:left="120" w:right="80"/>
        <w:spacing w:after="0" w:line="246" w:lineRule="auto"/>
        <w:rPr>
          <w:sz w:val="20"/>
          <w:szCs w:val="20"/>
          <w:color w:val="auto"/>
        </w:rPr>
      </w:pPr>
      <w:r>
        <w:rPr>
          <w:rFonts w:ascii="Arial" w:cs="Arial" w:eastAsia="Arial" w:hAnsi="Arial"/>
          <w:sz w:val="17"/>
          <w:szCs w:val="17"/>
          <w:color w:val="auto"/>
        </w:rPr>
        <w:t>Our board of directors has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0"/>
        <w:spacing w:after="0" w:line="246" w:lineRule="auto"/>
        <w:rPr>
          <w:sz w:val="20"/>
          <w:szCs w:val="20"/>
          <w:color w:val="auto"/>
        </w:rPr>
      </w:pPr>
      <w:r>
        <w:rPr>
          <w:rFonts w:ascii="Arial" w:cs="Arial" w:eastAsia="Arial" w:hAnsi="Arial"/>
          <w:sz w:val="17"/>
          <w:szCs w:val="17"/>
          <w:color w:val="auto"/>
        </w:rPr>
        <w:t>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 and we have no present plan to issue any shares of preferred stock.</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60" w:lineRule="exact"/>
        <w:rPr>
          <w:sz w:val="20"/>
          <w:szCs w:val="20"/>
          <w:color w:val="auto"/>
        </w:rPr>
      </w:pPr>
    </w:p>
    <w:p>
      <w:pPr>
        <w:ind w:left="120" w:right="340"/>
        <w:spacing w:after="0" w:line="275" w:lineRule="auto"/>
        <w:rPr>
          <w:sz w:val="20"/>
          <w:szCs w:val="20"/>
          <w:color w:val="auto"/>
        </w:rPr>
      </w:pPr>
      <w:r>
        <w:rPr>
          <w:rFonts w:ascii="Arial" w:cs="Arial" w:eastAsia="Arial" w:hAnsi="Arial"/>
          <w:sz w:val="17"/>
          <w:szCs w:val="17"/>
          <w:color w:val="auto"/>
        </w:rPr>
        <w:t>As of September 30, 2020, we had outstanding options to purchase an aggregate of 4,751,589 shares of our common stock, with a weighted-average exercise price of $8.09 per share, under our 2020 Plan and our Amended and Restated 2020 Plan.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60"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We are party to an amended and restated investors’ rights agreement that provides that certain holders of our common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41"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The holders of an aggregate of 24,429,399 shares of our common stock are entitled to certain demand registration rights. At any time beginning 180 days after the effective date of our initial public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S-3 Registration Rights</w:t>
      </w:r>
    </w:p>
    <w:p>
      <w:pPr>
        <w:spacing w:after="0" w:line="43" w:lineRule="exact"/>
        <w:rPr>
          <w:sz w:val="20"/>
          <w:szCs w:val="20"/>
          <w:color w:val="auto"/>
        </w:rPr>
      </w:pPr>
    </w:p>
    <w:p>
      <w:pPr>
        <w:ind w:left="120" w:right="20"/>
        <w:spacing w:after="0" w:line="241" w:lineRule="auto"/>
        <w:rPr>
          <w:sz w:val="20"/>
          <w:szCs w:val="20"/>
          <w:color w:val="auto"/>
        </w:rPr>
      </w:pPr>
      <w:r>
        <w:rPr>
          <w:rFonts w:ascii="Arial" w:cs="Arial" w:eastAsia="Arial" w:hAnsi="Arial"/>
          <w:sz w:val="17"/>
          <w:szCs w:val="17"/>
          <w:color w:val="auto"/>
        </w:rPr>
        <w:t>The holders of an aggregate of 24,429,399 shares of our common stock are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43" w:lineRule="exact"/>
        <w:rPr>
          <w:sz w:val="20"/>
          <w:szCs w:val="20"/>
          <w:color w:val="auto"/>
        </w:rPr>
      </w:pPr>
    </w:p>
    <w:p>
      <w:pPr>
        <w:ind w:left="120" w:right="320"/>
        <w:spacing w:after="0" w:line="237" w:lineRule="auto"/>
        <w:rPr>
          <w:sz w:val="20"/>
          <w:szCs w:val="20"/>
          <w:color w:val="auto"/>
        </w:rPr>
      </w:pPr>
      <w:r>
        <w:rPr>
          <w:rFonts w:ascii="Arial" w:cs="Arial" w:eastAsia="Arial" w:hAnsi="Arial"/>
          <w:sz w:val="17"/>
          <w:szCs w:val="17"/>
          <w:color w:val="auto"/>
        </w:rPr>
        <w:t>In connection with this offering, the holders of an aggregate of 24,429,399 shares of our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43" w:lineRule="exact"/>
        <w:rPr>
          <w:sz w:val="20"/>
          <w:szCs w:val="20"/>
          <w:color w:val="auto"/>
        </w:rPr>
      </w:pPr>
    </w:p>
    <w:p>
      <w:pPr>
        <w:ind w:left="120" w:right="100"/>
        <w:spacing w:after="0" w:line="246" w:lineRule="auto"/>
        <w:rPr>
          <w:sz w:val="20"/>
          <w:szCs w:val="20"/>
          <w:color w:val="auto"/>
        </w:rPr>
      </w:pPr>
      <w:r>
        <w:rPr>
          <w:rFonts w:ascii="Arial" w:cs="Arial" w:eastAsia="Arial" w:hAnsi="Arial"/>
          <w:sz w:val="17"/>
          <w:szCs w:val="17"/>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43" w:lineRule="exact"/>
        <w:rPr>
          <w:sz w:val="20"/>
          <w:szCs w:val="20"/>
          <w:color w:val="auto"/>
        </w:rPr>
      </w:pPr>
    </w:p>
    <w:p>
      <w:pPr>
        <w:ind w:left="120" w:right="20"/>
        <w:spacing w:after="0" w:line="261" w:lineRule="auto"/>
        <w:rPr>
          <w:sz w:val="20"/>
          <w:szCs w:val="20"/>
          <w:color w:val="auto"/>
        </w:rPr>
      </w:pPr>
      <w:r>
        <w:rPr>
          <w:rFonts w:ascii="Arial" w:cs="Arial" w:eastAsia="Arial" w:hAnsi="Arial"/>
          <w:sz w:val="17"/>
          <w:szCs w:val="17"/>
          <w:color w:val="auto"/>
        </w:rPr>
        <w:t>We will pay the registration expenses, other than underwriting discounts and commissions, of the shares registered by the demand, Form S-3 and piggyback registrations described above.</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43" w:lineRule="exact"/>
        <w:rPr>
          <w:sz w:val="20"/>
          <w:szCs w:val="20"/>
          <w:color w:val="auto"/>
        </w:rPr>
      </w:pPr>
    </w:p>
    <w:p>
      <w:pPr>
        <w:ind w:left="120" w:right="80"/>
        <w:spacing w:after="0" w:line="261" w:lineRule="auto"/>
        <w:rPr>
          <w:sz w:val="20"/>
          <w:szCs w:val="20"/>
          <w:color w:val="auto"/>
        </w:rPr>
      </w:pPr>
      <w:r>
        <w:rPr>
          <w:rFonts w:ascii="Arial" w:cs="Arial" w:eastAsia="Arial" w:hAnsi="Arial"/>
          <w:sz w:val="17"/>
          <w:szCs w:val="17"/>
          <w:color w:val="auto"/>
        </w:rPr>
        <w:t>The demand, Form S-3 and piggyback registration described above will expire upon the earliest of (1) the fifth anniversary after the closing of our initial public offering, (2) a deemed liquidation event (as defined in our amended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and restated certificate of incorporation, in effect prior to the completion of our initial public offering) and (3) such time after the completion of our initial public offering that such stockholder can sell all of its shares entitled to registration rights under Rule 144 of the Securities Act.</w:t>
      </w:r>
    </w:p>
    <w:p>
      <w:pPr>
        <w:spacing w:after="0" w:line="149" w:lineRule="exact"/>
        <w:rPr>
          <w:sz w:val="20"/>
          <w:szCs w:val="20"/>
          <w:color w:val="auto"/>
        </w:rPr>
      </w:pPr>
    </w:p>
    <w:p>
      <w:pPr>
        <w:ind w:left="120" w:right="280"/>
        <w:spacing w:after="0" w:line="27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ind w:left="120" w:right="20"/>
        <w:spacing w:after="0" w:line="246" w:lineRule="auto"/>
        <w:rPr>
          <w:sz w:val="20"/>
          <w:szCs w:val="20"/>
          <w:color w:val="auto"/>
        </w:rPr>
      </w:pPr>
      <w:r>
        <w:rPr>
          <w:rFonts w:ascii="Arial" w:cs="Arial" w:eastAsia="Arial" w:hAnsi="Arial"/>
          <w:sz w:val="17"/>
          <w:szCs w:val="17"/>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43" w:lineRule="exact"/>
        <w:rPr>
          <w:sz w:val="20"/>
          <w:szCs w:val="20"/>
          <w:color w:val="auto"/>
        </w:rPr>
      </w:pPr>
    </w:p>
    <w:p>
      <w:pPr>
        <w:ind w:left="120" w:right="220"/>
        <w:spacing w:after="0" w:line="241"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Classified Board</w:t>
      </w:r>
    </w:p>
    <w:p>
      <w:pPr>
        <w:spacing w:after="0" w:line="43"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Our amended and restated certificate of incorporation provides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2021 annual meeting, the term of the initial Class II directors shall terminate on the date of the 2022 annual meeting, and the term of the initial Class III directors shall terminate on the date of the 2023 annual meeting. At each annual meeting of stockholders beginning in 2021, successors to the class of directors whose term expires at that annual meeting will be elected for a three-year term.</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43" w:lineRule="exact"/>
        <w:rPr>
          <w:sz w:val="20"/>
          <w:szCs w:val="20"/>
          <w:color w:val="auto"/>
        </w:rPr>
      </w:pPr>
    </w:p>
    <w:p>
      <w:pPr>
        <w:ind w:left="120" w:right="20"/>
        <w:spacing w:after="0" w:line="261" w:lineRule="auto"/>
        <w:rPr>
          <w:sz w:val="20"/>
          <w:szCs w:val="20"/>
          <w:color w:val="auto"/>
        </w:rPr>
      </w:pPr>
      <w:r>
        <w:rPr>
          <w:rFonts w:ascii="Arial" w:cs="Arial" w:eastAsia="Arial" w:hAnsi="Arial"/>
          <w:sz w:val="17"/>
          <w:szCs w:val="17"/>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Director Vacancies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authorizes only our board of directors to fill vacant directorships.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43" w:lineRule="exact"/>
        <w:rPr>
          <w:sz w:val="20"/>
          <w:szCs w:val="20"/>
          <w:color w:val="auto"/>
        </w:rPr>
      </w:pPr>
    </w:p>
    <w:p>
      <w:pPr>
        <w:ind w:left="120" w:right="640"/>
        <w:spacing w:after="0" w:line="261" w:lineRule="auto"/>
        <w:rPr>
          <w:sz w:val="20"/>
          <w:szCs w:val="20"/>
          <w:color w:val="auto"/>
        </w:rPr>
      </w:pPr>
      <w:r>
        <w:rPr>
          <w:rFonts w:ascii="Arial" w:cs="Arial" w:eastAsia="Arial" w:hAnsi="Arial"/>
          <w:sz w:val="17"/>
          <w:szCs w:val="17"/>
          <w:color w:val="auto"/>
        </w:rPr>
        <w:t>Our amended and restated certificate of incorporation provides that stockholders do not have the right to cumulate votes in the election of directors.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Special Meetings of Stockholders</w:t>
      </w:r>
    </w:p>
    <w:p>
      <w:pPr>
        <w:spacing w:after="0" w:line="43" w:lineRule="exact"/>
        <w:rPr>
          <w:sz w:val="20"/>
          <w:szCs w:val="20"/>
          <w:color w:val="auto"/>
        </w:rPr>
      </w:pPr>
    </w:p>
    <w:p>
      <w:pPr>
        <w:ind w:left="120" w:right="380"/>
        <w:spacing w:after="0" w:line="24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Advance Notice Procedures for Director Nominations</w:t>
      </w:r>
    </w:p>
    <w:p>
      <w:pPr>
        <w:spacing w:after="0" w:line="4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Action by Written Consent</w:t>
      </w:r>
    </w:p>
    <w:p>
      <w:pPr>
        <w:spacing w:after="0" w:line="41" w:lineRule="exact"/>
        <w:rPr>
          <w:sz w:val="20"/>
          <w:szCs w:val="20"/>
          <w:color w:val="auto"/>
        </w:rPr>
      </w:pPr>
    </w:p>
    <w:p>
      <w:pPr>
        <w:ind w:left="120" w:right="120"/>
        <w:spacing w:after="0" w:line="248"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Amending our Certificate of Incorporation and Bylaws</w:t>
      </w:r>
    </w:p>
    <w:p>
      <w:pPr>
        <w:spacing w:after="0" w:line="41"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Authorized but Unissued Shares</w:t>
      </w:r>
    </w:p>
    <w:p>
      <w:pPr>
        <w:spacing w:after="0" w:line="43" w:lineRule="exact"/>
        <w:rPr>
          <w:sz w:val="20"/>
          <w:szCs w:val="20"/>
          <w:color w:val="auto"/>
        </w:rPr>
      </w:pPr>
    </w:p>
    <w:p>
      <w:pPr>
        <w:ind w:left="120" w:right="80"/>
        <w:spacing w:after="0" w:line="239" w:lineRule="auto"/>
        <w:rPr>
          <w:sz w:val="20"/>
          <w:szCs w:val="20"/>
          <w:color w:val="auto"/>
        </w:rPr>
      </w:pPr>
      <w:r>
        <w:rPr>
          <w:rFonts w:ascii="Arial" w:cs="Arial" w:eastAsia="Arial" w:hAnsi="Arial"/>
          <w:sz w:val="17"/>
          <w:szCs w:val="17"/>
          <w:color w:val="auto"/>
        </w:rPr>
        <w:t>Our authorized but unissued shares of common stock and preferred stock are available for future issuances without stockholder approval, except as required by the listing standards of Nasdaq, and may be utilized for a variety of corporate purposes, including future offerings to raise additional capital, acquisitions and employee benefit plans. The existence of authorized but unissued and unreserved common stock and preferred stock may render more difficult or discourage an attempt to obtain control of the company by means of a proxy contest, tender offer, merger or otherwise.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Exclusive Jurisdiction</w:t>
      </w:r>
    </w:p>
    <w:p>
      <w:pPr>
        <w:spacing w:after="0" w:line="4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For additional information, please also see the section titled “Risk Factors—Our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Combinations with Interested Stockholders</w:t>
      </w:r>
    </w:p>
    <w:p>
      <w:pPr>
        <w:spacing w:after="0" w:line="43"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600"/>
        <w:spacing w:after="0" w:line="275" w:lineRule="auto"/>
        <w:rPr>
          <w:sz w:val="20"/>
          <w:szCs w:val="20"/>
          <w:color w:val="auto"/>
        </w:rPr>
      </w:pPr>
      <w:r>
        <w:rPr>
          <w:rFonts w:ascii="Arial" w:cs="Arial" w:eastAsia="Arial" w:hAnsi="Arial"/>
          <w:sz w:val="17"/>
          <w:szCs w:val="17"/>
          <w:color w:val="auto"/>
        </w:rPr>
        <w:t>written consent) by the affirmative vote of at least 66 2/3% of the outstanding voting stock of such corporation not owned by the interested stockholder.</w:t>
      </w:r>
    </w:p>
    <w:p>
      <w:pPr>
        <w:spacing w:after="0" w:line="92" w:lineRule="exact"/>
        <w:rPr>
          <w:sz w:val="20"/>
          <w:szCs w:val="20"/>
          <w:color w:val="auto"/>
        </w:rPr>
      </w:pPr>
    </w:p>
    <w:p>
      <w:pPr>
        <w:ind w:left="120" w:right="60"/>
        <w:spacing w:after="0" w:line="246" w:lineRule="auto"/>
        <w:rPr>
          <w:sz w:val="20"/>
          <w:szCs w:val="20"/>
          <w:color w:val="auto"/>
        </w:rPr>
      </w:pPr>
      <w:r>
        <w:rPr>
          <w:rFonts w:ascii="Arial" w:cs="Arial" w:eastAsia="Arial" w:hAnsi="Arial"/>
          <w:sz w:val="17"/>
          <w:szCs w:val="17"/>
          <w:color w:val="auto"/>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17"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Listing</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is listed on the Nasdaq Global Select Market under the symbol “ALXO.”</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Transfer Agent and Registrar</w:t>
      </w:r>
    </w:p>
    <w:p>
      <w:pPr>
        <w:spacing w:after="0" w:line="41" w:lineRule="exact"/>
        <w:rPr>
          <w:sz w:val="20"/>
          <w:szCs w:val="20"/>
          <w:color w:val="auto"/>
        </w:rPr>
      </w:pPr>
    </w:p>
    <w:p>
      <w:pPr>
        <w:ind w:left="120" w:right="140"/>
        <w:spacing w:after="0" w:line="248" w:lineRule="auto"/>
        <w:rPr>
          <w:sz w:val="20"/>
          <w:szCs w:val="20"/>
          <w:color w:val="auto"/>
        </w:rPr>
      </w:pPr>
      <w:r>
        <w:rPr>
          <w:rFonts w:ascii="Arial" w:cs="Arial" w:eastAsia="Arial" w:hAnsi="Arial"/>
          <w:sz w:val="17"/>
          <w:szCs w:val="17"/>
          <w:color w:val="auto"/>
        </w:rPr>
        <w:t>The transfer agent and registrar for our common stock is Computershare Trust Company, N.A. The transfer agent and registrar’s address is 250 Royal Street, Canton, Massachusetts 02021.</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316" w:lineRule="exact"/>
        <w:rPr>
          <w:sz w:val="20"/>
          <w:szCs w:val="20"/>
          <w:color w:val="auto"/>
        </w:rPr>
      </w:pPr>
    </w:p>
    <w:p>
      <w:pPr>
        <w:ind w:left="120" w:right="160"/>
        <w:spacing w:after="0" w:line="253" w:lineRule="auto"/>
        <w:rPr>
          <w:sz w:val="20"/>
          <w:szCs w:val="20"/>
          <w:color w:val="auto"/>
        </w:rPr>
      </w:pPr>
      <w:r>
        <w:rPr>
          <w:rFonts w:ascii="Arial" w:cs="Arial" w:eastAsia="Arial" w:hAnsi="Arial"/>
          <w:sz w:val="17"/>
          <w:szCs w:val="17"/>
          <w:color w:val="auto"/>
        </w:rPr>
        <w:t>Sales of substantial amounts of common stock in the public market, including shares issued upon exercise of outstanding options, or the perception that such sales may occur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11"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Upon completion of this offering, based on our shares outstanding as of September 30, 2020, 39,107,522 shares of our common stock will be outstanding, or 39,407,522 shares of common stock if the underwriters exercise their option to purchase additional shares in full. All of the shares of common stock that were sold in our initial public offering are, and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23" w:lineRule="exact"/>
        <w:rPr>
          <w:sz w:val="20"/>
          <w:szCs w:val="20"/>
          <w:color w:val="auto"/>
        </w:rPr>
      </w:pPr>
    </w:p>
    <w:p>
      <w:pPr>
        <w:ind w:left="120" w:right="60"/>
        <w:spacing w:after="0" w:line="253" w:lineRule="auto"/>
        <w:rPr>
          <w:sz w:val="20"/>
          <w:szCs w:val="20"/>
          <w:color w:val="auto"/>
        </w:rPr>
      </w:pPr>
      <w:r>
        <w:rPr>
          <w:rFonts w:ascii="Arial" w:cs="Arial" w:eastAsia="Arial" w:hAnsi="Arial"/>
          <w:sz w:val="17"/>
          <w:szCs w:val="17"/>
          <w:color w:val="auto"/>
        </w:rPr>
        <w:t>As a result of the lock-up agreements described below and the provisions of Rules 144 or 701 and no exercise of the underwriters’ option to purchase additional shares, the shares of our common stock will be available for sale in the public market following the completion of this offering as follows:</w:t>
      </w:r>
    </w:p>
    <w:p>
      <w:pPr>
        <w:spacing w:after="0" w:line="151" w:lineRule="exact"/>
        <w:rPr>
          <w:sz w:val="20"/>
          <w:szCs w:val="20"/>
          <w:color w:val="auto"/>
        </w:rPr>
      </w:pPr>
    </w:p>
    <w:p>
      <w:pPr>
        <w:ind w:left="980" w:right="180" w:hanging="432"/>
        <w:spacing w:after="0" w:line="257" w:lineRule="auto"/>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8,566,000 shares will be eligible for sale on the date of this prospectus subject in some cases to the volume and other restrictions of Rule 144;</w:t>
      </w:r>
    </w:p>
    <w:p>
      <w:pPr>
        <w:spacing w:after="0" w:line="1" w:lineRule="exact"/>
        <w:rPr>
          <w:rFonts w:ascii="MS PGothic" w:cs="MS PGothic" w:eastAsia="MS PGothic" w:hAnsi="MS PGothic"/>
          <w:sz w:val="13"/>
          <w:szCs w:val="13"/>
          <w:color w:val="auto"/>
        </w:rPr>
      </w:pPr>
    </w:p>
    <w:p>
      <w:pPr>
        <w:ind w:left="980" w:right="220" w:hanging="432"/>
        <w:spacing w:after="0" w:line="248" w:lineRule="auto"/>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7,575,821 shares will be eligible for sale upon expiration of the lock-up agreements and market stand-off provisions beginning more than 180 days after the date of the prospectus related to our initial public offering subject in some cases to the volume and other restrictions of Rule 144; and</w:t>
      </w:r>
    </w:p>
    <w:p>
      <w:pPr>
        <w:spacing w:after="0" w:line="1" w:lineRule="exact"/>
        <w:rPr>
          <w:rFonts w:ascii="MS PGothic" w:cs="MS PGothic" w:eastAsia="MS PGothic" w:hAnsi="MS PGothic"/>
          <w:sz w:val="13"/>
          <w:szCs w:val="13"/>
          <w:color w:val="auto"/>
        </w:rPr>
      </w:pPr>
    </w:p>
    <w:p>
      <w:pPr>
        <w:ind w:left="980" w:right="200" w:hanging="432"/>
        <w:spacing w:after="0" w:line="273" w:lineRule="auto"/>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22,965,701 shares will be eligible for sale upon expiration of the lock-up agreements described below, beginning more than 90 days after the date of this prospectus subject in some cases to the volume and other restrictions of Rule 144.</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60"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In connection with our initial public offering, our officers, directors and the holders of substantially all of our securities entered into market stand-off agreements with us and entered into lock-up agreements with the underwriters, subject to certain exceptions, not to dispose of or hedge any of their common stock or securities convertible into or exchangeable for shares of common stock during the period from the date of the prospectus related to our initial public offering continuing through the date 180 days after the date of the prospectus related to our initial public offering, except with the prior consent of Jefferies LLC, Credit Suisse Securities (USA) LLC and Piper Sandler &amp; Co.</w:t>
      </w:r>
    </w:p>
    <w:p>
      <w:pPr>
        <w:spacing w:after="0" w:line="121"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In addition, our executive officers, directors and certain of our other stockholders that are affiliated with certain of our directors have entered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90 days after the date of this prospectus, except with the prior consent of Jefferies LLC, Credit Suisse Securities (USA) LLC and Piper Sandler &amp; Co.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See the section titled “Underwriting” for additional information.</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60"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17"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 month period beginning 90 days after the date of this prospectus a number of shares that does not exceed the greater of the following:</w:t>
      </w:r>
    </w:p>
    <w:p>
      <w:pPr>
        <w:spacing w:after="0" w:line="157" w:lineRule="exact"/>
        <w:rPr>
          <w:sz w:val="20"/>
          <w:szCs w:val="20"/>
          <w:color w:val="auto"/>
        </w:rPr>
      </w:pPr>
    </w:p>
    <w:p>
      <w:pPr>
        <w:ind w:left="980" w:right="60" w:hanging="432"/>
        <w:spacing w:after="0" w:line="249"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1% of the number of shares of our capital stock then outstanding, which will equal 391,075 shares immediately after the completion of this offering, assuming no exercise by the underwriters of their option to purchase additional shares (calculated as of September 30, 2020); or</w:t>
      </w:r>
    </w:p>
    <w:p>
      <w:pPr>
        <w:ind w:left="980" w:right="140" w:hanging="432"/>
        <w:spacing w:after="0" w:line="273"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the average weekly trading volume of our common stock during the four calendar weeks preceding the filing of a notice on Form 144 with respect to such sale.</w:t>
      </w:r>
    </w:p>
    <w:p>
      <w:pPr>
        <w:spacing w:after="0" w:line="94"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60"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60" w:lineRule="exact"/>
        <w:rPr>
          <w:sz w:val="20"/>
          <w:szCs w:val="20"/>
          <w:color w:val="auto"/>
        </w:rPr>
      </w:pPr>
    </w:p>
    <w:p>
      <w:pPr>
        <w:ind w:left="120" w:right="20"/>
        <w:spacing w:after="0" w:line="242" w:lineRule="auto"/>
        <w:rPr>
          <w:sz w:val="20"/>
          <w:szCs w:val="20"/>
          <w:color w:val="auto"/>
        </w:rPr>
      </w:pPr>
      <w:r>
        <w:rPr>
          <w:rFonts w:ascii="Arial" w:cs="Arial" w:eastAsia="Arial" w:hAnsi="Arial"/>
          <w:sz w:val="17"/>
          <w:szCs w:val="17"/>
          <w:color w:val="auto"/>
        </w:rPr>
        <w:t>The holders of up to 24,429,399 shares of our common stock are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Plans</w:t>
      </w:r>
    </w:p>
    <w:p>
      <w:pPr>
        <w:spacing w:after="0" w:line="73" w:lineRule="exact"/>
        <w:rPr>
          <w:sz w:val="20"/>
          <w:szCs w:val="20"/>
          <w:color w:val="auto"/>
        </w:rPr>
      </w:pPr>
    </w:p>
    <w:p>
      <w:pPr>
        <w:ind w:left="120" w:right="120"/>
        <w:spacing w:after="0"/>
        <w:rPr>
          <w:sz w:val="20"/>
          <w:szCs w:val="20"/>
          <w:color w:val="auto"/>
        </w:rPr>
      </w:pPr>
      <w:r>
        <w:rPr>
          <w:rFonts w:ascii="Arial" w:cs="Arial" w:eastAsia="Arial" w:hAnsi="Arial"/>
          <w:sz w:val="17"/>
          <w:szCs w:val="17"/>
          <w:color w:val="auto"/>
        </w:rPr>
        <w:t>We filed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are eligible for sale in the public market without 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AND TAX CONSIDERATIONS FOR NON-U.S. HOLDERS</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OUR COMMON STOCK</w:t>
      </w:r>
    </w:p>
    <w:p>
      <w:pPr>
        <w:spacing w:after="0" w:line="292"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The following is a summary of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68"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157" w:lineRule="exact"/>
        <w:rPr>
          <w:sz w:val="20"/>
          <w:szCs w:val="20"/>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banks, insurance companies, regulated investment companies, real estate investment trusts or other financial institutions;</w:t>
      </w:r>
    </w:p>
    <w:p>
      <w:pPr>
        <w:spacing w:after="0" w:line="35"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persons subject to the alternative minimum tax;</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tax-exempt organizations;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pension plans and tax-qualified retirement plans;</w:t>
      </w:r>
    </w:p>
    <w:p>
      <w:pPr>
        <w:spacing w:after="0" w:line="34" w:lineRule="exact"/>
        <w:rPr>
          <w:rFonts w:ascii="MS PGothic" w:cs="MS PGothic" w:eastAsia="MS PGothic" w:hAnsi="MS PGothic"/>
          <w:sz w:val="13"/>
          <w:szCs w:val="13"/>
          <w:color w:val="auto"/>
        </w:rPr>
      </w:pPr>
    </w:p>
    <w:p>
      <w:pPr>
        <w:ind w:left="980" w:right="540" w:hanging="432"/>
        <w:spacing w:after="0" w:line="256" w:lineRule="auto"/>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1" w:lineRule="exact"/>
        <w:rPr>
          <w:rFonts w:ascii="MS PGothic" w:cs="MS PGothic" w:eastAsia="MS PGothic" w:hAnsi="MS PGothic"/>
          <w:sz w:val="13"/>
          <w:szCs w:val="13"/>
          <w:color w:val="auto"/>
        </w:rPr>
      </w:pPr>
    </w:p>
    <w:p>
      <w:pPr>
        <w:ind w:left="980" w:right="620" w:hanging="432"/>
        <w:spacing w:after="0" w:line="256" w:lineRule="auto"/>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entities or arrangements classified as partnerships for U.S. federal income tax purposes or other pass through entities such as subchapter S corporations (or investors in such entities or arrangements);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brokers or dealers in securities or currencies;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certain former citizens or long-term residents of the United States;</w:t>
      </w:r>
    </w:p>
    <w:p>
      <w:pPr>
        <w:spacing w:after="0" w:line="34" w:lineRule="exact"/>
        <w:rPr>
          <w:rFonts w:ascii="MS PGothic" w:cs="MS PGothic" w:eastAsia="MS PGothic" w:hAnsi="MS PGothic"/>
          <w:sz w:val="13"/>
          <w:szCs w:val="13"/>
          <w:color w:val="auto"/>
        </w:rPr>
      </w:pPr>
    </w:p>
    <w:p>
      <w:pPr>
        <w:ind w:left="980" w:hanging="432"/>
        <w:spacing w:after="0" w:line="256" w:lineRule="auto"/>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persons who hold our common stock as a position in a hedging transaction, “straddle,” “conversion transaction,” or other risk reduction transaction;</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persons who hold or receive our common stock pursuant to the exercise of any option or otherwise as compensation;</w:t>
      </w:r>
    </w:p>
    <w:p>
      <w:pPr>
        <w:spacing w:after="0" w:line="34" w:lineRule="exact"/>
        <w:rPr>
          <w:rFonts w:ascii="MS PGothic" w:cs="MS PGothic" w:eastAsia="MS PGothic" w:hAnsi="MS PGothic"/>
          <w:sz w:val="13"/>
          <w:szCs w:val="13"/>
          <w:color w:val="auto"/>
        </w:rPr>
      </w:pPr>
    </w:p>
    <w:p>
      <w:pPr>
        <w:ind w:left="980" w:right="320" w:hanging="432"/>
        <w:spacing w:after="0" w:line="256" w:lineRule="auto"/>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persons who do not hold our common stock as a capital asset within the meaning of Section 1221 of the Code (generally, property held for investment) or</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persons deemed to sell our common stock under the constructive sale provisions of the Code.</w:t>
      </w:r>
    </w:p>
    <w:p>
      <w:pPr>
        <w:spacing w:after="0" w:line="154" w:lineRule="exact"/>
        <w:rPr>
          <w:sz w:val="20"/>
          <w:szCs w:val="20"/>
          <w:color w:val="auto"/>
        </w:rPr>
      </w:pPr>
    </w:p>
    <w:p>
      <w:pPr>
        <w:ind w:left="120" w:right="40"/>
        <w:spacing w:after="0" w:line="246" w:lineRule="auto"/>
        <w:rPr>
          <w:sz w:val="20"/>
          <w:szCs w:val="20"/>
          <w:color w:val="auto"/>
        </w:rPr>
      </w:pPr>
      <w:r>
        <w:rPr>
          <w:rFonts w:ascii="Arial" w:cs="Arial" w:eastAsia="Arial" w:hAnsi="Arial"/>
          <w:sz w:val="17"/>
          <w:szCs w:val="17"/>
          <w:color w:val="auto"/>
        </w:rPr>
        <w:t>In addition, if a partnership (or other entity or arrangement classified as a partnership for U.S. federal income tax purposes) holds our common stock, the tax treatment of a partner in the partnership generally will depend on the status of the partner and upon the activities of the partnership. A partner in a partnership that will hold our common stock should consult his, her or its own tax advisor regarding the tax considerations of the purchase, ownership and disposition of our common stock through a partnership.</w:t>
      </w:r>
    </w:p>
    <w:p>
      <w:pPr>
        <w:spacing w:after="0" w:line="115" w:lineRule="exact"/>
        <w:rPr>
          <w:sz w:val="20"/>
          <w:szCs w:val="20"/>
          <w:color w:val="auto"/>
        </w:rPr>
      </w:pPr>
    </w:p>
    <w:p>
      <w:pPr>
        <w:jc w:val="both"/>
        <w:ind w:left="120"/>
        <w:spacing w:after="0" w:line="261"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considerations of the purchase, ownership and disposition of our common stock arising under the U.S. federal gift or estate tax rules or under the laws of any state, local, non-U.S. or other taxing jurisdiction or under any applicable tax treaty.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 Defined</w:t>
      </w:r>
    </w:p>
    <w:p>
      <w:pPr>
        <w:spacing w:after="0" w:line="60"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that, for U.S. federal income tax purposes, is neither a partnership nor:</w:t>
      </w:r>
    </w:p>
    <w:p>
      <w:pPr>
        <w:spacing w:after="0" w:line="133" w:lineRule="exact"/>
        <w:rPr>
          <w:sz w:val="20"/>
          <w:szCs w:val="20"/>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5" w:lineRule="exact"/>
        <w:rPr>
          <w:rFonts w:ascii="MS PGothic" w:cs="MS PGothic" w:eastAsia="MS PGothic" w:hAnsi="MS PGothic"/>
          <w:sz w:val="13"/>
          <w:szCs w:val="13"/>
          <w:color w:val="auto"/>
        </w:rPr>
      </w:pPr>
    </w:p>
    <w:p>
      <w:pPr>
        <w:ind w:left="980" w:right="100" w:hanging="432"/>
        <w:spacing w:after="0" w:line="256" w:lineRule="auto"/>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an estate whose income is subject to U.S. federal income tax regardless of its source; or</w:t>
      </w:r>
    </w:p>
    <w:p>
      <w:pPr>
        <w:spacing w:after="0" w:line="34" w:lineRule="exact"/>
        <w:rPr>
          <w:rFonts w:ascii="MS PGothic" w:cs="MS PGothic" w:eastAsia="MS PGothic" w:hAnsi="MS PGothic"/>
          <w:sz w:val="13"/>
          <w:szCs w:val="13"/>
          <w:color w:val="auto"/>
        </w:rPr>
      </w:pPr>
    </w:p>
    <w:p>
      <w:pPr>
        <w:ind w:left="980" w:right="20" w:hanging="432"/>
        <w:spacing w:after="0" w:line="252" w:lineRule="auto"/>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60" w:lineRule="exact"/>
        <w:rPr>
          <w:sz w:val="20"/>
          <w:szCs w:val="20"/>
          <w:color w:val="auto"/>
        </w:rPr>
      </w:pPr>
    </w:p>
    <w:p>
      <w:pPr>
        <w:ind w:left="120" w:right="60"/>
        <w:spacing w:after="0"/>
        <w:rPr>
          <w:sz w:val="20"/>
          <w:szCs w:val="20"/>
          <w:color w:val="auto"/>
        </w:rPr>
      </w:pPr>
      <w:r>
        <w:rPr>
          <w:rFonts w:ascii="Arial" w:cs="Arial" w:eastAsia="Arial" w:hAnsi="Arial"/>
          <w:sz w:val="17"/>
          <w:szCs w:val="17"/>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123"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common stock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22"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 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the application of any applicable tax treaties that may provide for different rules.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60" w:lineRule="exact"/>
        <w:rPr>
          <w:sz w:val="20"/>
          <w:szCs w:val="20"/>
          <w:color w:val="auto"/>
        </w:rPr>
      </w:pPr>
    </w:p>
    <w:p>
      <w:pPr>
        <w:ind w:left="120" w:right="380"/>
        <w:spacing w:after="0" w:line="275" w:lineRule="auto"/>
        <w:rPr>
          <w:sz w:val="20"/>
          <w:szCs w:val="20"/>
          <w:color w:val="auto"/>
        </w:rPr>
      </w:pPr>
      <w:r>
        <w:rPr>
          <w:rFonts w:ascii="Arial" w:cs="Arial" w:eastAsia="Arial" w:hAnsi="Arial"/>
          <w:sz w:val="17"/>
          <w:szCs w:val="17"/>
          <w:color w:val="auto"/>
        </w:rPr>
        <w:t>Subject to the discussions below regarding backup withholding and FATCA withholding, you generally will not be required to pay U.S. federal income tax on any gain realized upon the sale or other disposition of our common stock unless:</w:t>
      </w:r>
    </w:p>
    <w:p>
      <w:pPr>
        <w:spacing w:after="0" w:line="133" w:lineRule="exact"/>
        <w:rPr>
          <w:sz w:val="20"/>
          <w:szCs w:val="20"/>
          <w:color w:val="auto"/>
        </w:rPr>
      </w:pPr>
    </w:p>
    <w:p>
      <w:pPr>
        <w:ind w:left="980" w:right="40" w:hanging="432"/>
        <w:spacing w:after="0" w:line="257" w:lineRule="auto"/>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1" w:lineRule="exact"/>
        <w:rPr>
          <w:rFonts w:ascii="MS PGothic" w:cs="MS PGothic" w:eastAsia="MS PGothic" w:hAnsi="MS PGothic"/>
          <w:sz w:val="13"/>
          <w:szCs w:val="13"/>
          <w:color w:val="auto"/>
        </w:rPr>
      </w:pPr>
    </w:p>
    <w:p>
      <w:pPr>
        <w:ind w:left="980" w:right="320" w:hanging="432"/>
        <w:spacing w:after="0" w:line="256" w:lineRule="auto"/>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or</w:t>
      </w:r>
    </w:p>
    <w:p>
      <w:pPr>
        <w:spacing w:after="0" w:line="1" w:lineRule="exact"/>
        <w:rPr>
          <w:rFonts w:ascii="MS PGothic" w:cs="MS PGothic" w:eastAsia="MS PGothic" w:hAnsi="MS PGothic"/>
          <w:sz w:val="13"/>
          <w:szCs w:val="13"/>
          <w:color w:val="auto"/>
        </w:rPr>
      </w:pPr>
    </w:p>
    <w:p>
      <w:pPr>
        <w:jc w:val="both"/>
        <w:ind w:left="980" w:right="140" w:hanging="432"/>
        <w:spacing w:after="0" w:line="252" w:lineRule="auto"/>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our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common stock.</w:t>
      </w:r>
    </w:p>
    <w:p>
      <w:pPr>
        <w:spacing w:after="0" w:line="112"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122"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60" w:lineRule="exact"/>
        <w:rPr>
          <w:sz w:val="20"/>
          <w:szCs w:val="20"/>
          <w:color w:val="auto"/>
        </w:rPr>
      </w:pPr>
    </w:p>
    <w:p>
      <w:pPr>
        <w:ind w:left="120" w:right="20"/>
        <w:spacing w:after="0" w:line="253"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11" w:lineRule="exact"/>
        <w:rPr>
          <w:sz w:val="20"/>
          <w:szCs w:val="20"/>
          <w:color w:val="auto"/>
        </w:rPr>
      </w:pPr>
    </w:p>
    <w:p>
      <w:pPr>
        <w:ind w:left="120" w:right="320"/>
        <w:spacing w:after="0" w:line="242"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21" w:lineRule="exact"/>
        <w:rPr>
          <w:sz w:val="20"/>
          <w:szCs w:val="20"/>
          <w:color w:val="auto"/>
        </w:rPr>
      </w:pPr>
    </w:p>
    <w:p>
      <w:pPr>
        <w:jc w:val="both"/>
        <w:ind w:left="120"/>
        <w:spacing w:after="0" w:line="253" w:lineRule="auto"/>
        <w:rPr>
          <w:sz w:val="20"/>
          <w:szCs w:val="20"/>
          <w:color w:val="auto"/>
        </w:rPr>
      </w:pPr>
      <w:r>
        <w:rPr>
          <w:rFonts w:ascii="Arial" w:cs="Arial" w:eastAsia="Arial" w:hAnsi="Arial"/>
          <w:sz w:val="17"/>
          <w:szCs w:val="17"/>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 under the Foreign Account Tax Compliance Act</w:t>
      </w:r>
    </w:p>
    <w:p>
      <w:pPr>
        <w:spacing w:after="0" w:line="73"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Sections 1471 through 1474 of the Code and the Treasury Regulations and other official IRS guidance issued thereunder, or collectively FATCA, generally impose a U.S. federal withholding tax of 30% on dividends on, and the</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23"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The withholding obligations under FATCA generally apply to dividends on our common stock and to the payment of gross proceeds of a sale or other disposition of our common stock. However, the U.S. Treasury Department has issued proposed regulations that, if finalized in their present form, would eliminate FATCA withholding on gross proceeds of the sale or other disposition of our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common stock.</w:t>
      </w:r>
    </w:p>
    <w:p>
      <w:pPr>
        <w:spacing w:after="0" w:line="124" w:lineRule="exact"/>
        <w:rPr>
          <w:sz w:val="20"/>
          <w:szCs w:val="20"/>
          <w:color w:val="auto"/>
        </w:rPr>
      </w:pPr>
    </w:p>
    <w:p>
      <w:pPr>
        <w:ind w:left="120" w:right="40"/>
        <w:spacing w:after="0" w:line="251"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common stock, including the consequences of any proposed change in applicable laws.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316" w:lineRule="exact"/>
        <w:rPr>
          <w:sz w:val="20"/>
          <w:szCs w:val="20"/>
          <w:color w:val="auto"/>
        </w:rPr>
      </w:pPr>
    </w:p>
    <w:p>
      <w:pPr>
        <w:jc w:val="both"/>
        <w:ind w:left="120" w:right="280"/>
        <w:spacing w:after="0" w:line="246" w:lineRule="auto"/>
        <w:rPr>
          <w:sz w:val="20"/>
          <w:szCs w:val="20"/>
          <w:color w:val="auto"/>
        </w:rPr>
      </w:pPr>
      <w:r>
        <w:rPr>
          <w:rFonts w:ascii="Arial" w:cs="Arial" w:eastAsia="Arial" w:hAnsi="Arial"/>
          <w:sz w:val="17"/>
          <w:szCs w:val="17"/>
          <w:color w:val="auto"/>
        </w:rPr>
        <w:t>Subject to the terms and conditions set forth in the underwriting agreement, dated , 2020, between us and Jefferies LLC, Credit Suisse Securities (USA) LLC, Piper Sandler &amp; Co. and Cantor Fitzgerald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8820" w:type="dxa"/>
            <w:vAlign w:val="bottom"/>
            <w:vMerge w:val="restart"/>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4"/>
        </w:trPr>
        <w:tc>
          <w:tcPr>
            <w:tcW w:w="1080" w:type="dxa"/>
            <w:vAlign w:val="bottom"/>
            <w:tcBorders>
              <w:bottom w:val="single" w:sz="8" w:color="auto"/>
            </w:tcBorders>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6"/>
        </w:trPr>
        <w:tc>
          <w:tcPr>
            <w:tcW w:w="99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Jefferies LLC</w:t>
            </w: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Credit Suisse Securities (USA) LLC</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Piper Sandler &amp; Co.</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Cantor Fitzgerald &amp; Co.</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UBS Securities LLC</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LifeSci Capital LLC</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Total</w:t>
            </w:r>
          </w:p>
        </w:tc>
        <w:tc>
          <w:tcPr>
            <w:tcW w:w="11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2,000,000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8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20" w:right="40"/>
        <w:spacing w:after="0" w:line="239"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2"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 and Expenses</w:t>
      </w:r>
    </w:p>
    <w:p>
      <w:pPr>
        <w:spacing w:after="0" w:line="73" w:lineRule="exact"/>
        <w:rPr>
          <w:sz w:val="20"/>
          <w:szCs w:val="20"/>
          <w:color w:val="auto"/>
        </w:rPr>
      </w:pPr>
    </w:p>
    <w:p>
      <w:pPr>
        <w:ind w:left="120" w:right="180"/>
        <w:spacing w:after="0" w:line="241"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public offering price set forth on the cover page of this prospectus and to certain dealers, which may include the underwriters, at that price less a concession not in excess of $ per share of common stock. The underwriters may allow, and certain dealers may reallow, a discount from the concession not in excess of $</w:t>
      </w:r>
    </w:p>
    <w:p>
      <w:pPr>
        <w:ind w:left="120" w:right="40"/>
        <w:spacing w:after="0"/>
        <w:rPr>
          <w:sz w:val="20"/>
          <w:szCs w:val="20"/>
          <w:color w:val="auto"/>
        </w:rPr>
      </w:pPr>
      <w:r>
        <w:rPr>
          <w:rFonts w:ascii="Arial" w:cs="Arial" w:eastAsia="Arial" w:hAnsi="Arial"/>
          <w:sz w:val="17"/>
          <w:szCs w:val="17"/>
          <w:color w:val="auto"/>
        </w:rPr>
        <w:t>per share of common stock to certain brokers and dealers. After the offering, the public offering price, concession and reallowance to dealers may be reduced by the representatives. No such reduction will change the amount of proceeds to be received by us as set forth on the cover page of this prospectus.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140"/>
          </w:cols>
          <w:pgMar w:left="320" w:top="455" w:right="4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300"/>
        <w:spacing w:after="0" w:line="253"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6480" w:type="dxa"/>
            <w:vAlign w:val="bottom"/>
          </w:tcPr>
          <w:p>
            <w:pPr>
              <w:spacing w:after="0"/>
              <w:rPr>
                <w:sz w:val="15"/>
                <w:szCs w:val="15"/>
                <w:color w:val="auto"/>
              </w:rPr>
            </w:pPr>
          </w:p>
        </w:tc>
        <w:tc>
          <w:tcPr>
            <w:tcW w:w="2380" w:type="dxa"/>
            <w:vAlign w:val="bottom"/>
            <w:gridSpan w:val="4"/>
          </w:tcPr>
          <w:p>
            <w:pPr>
              <w:ind w:left="620"/>
              <w:spacing w:after="0"/>
              <w:rPr>
                <w:sz w:val="20"/>
                <w:szCs w:val="20"/>
                <w:color w:val="auto"/>
              </w:rPr>
            </w:pPr>
            <w:r>
              <w:rPr>
                <w:rFonts w:ascii="Arial" w:cs="Arial" w:eastAsia="Arial" w:hAnsi="Arial"/>
                <w:sz w:val="14"/>
                <w:szCs w:val="14"/>
                <w:b w:val="1"/>
                <w:bCs w:val="1"/>
                <w:color w:val="auto"/>
              </w:rPr>
              <w:t>PER SHARE</w:t>
            </w:r>
          </w:p>
        </w:tc>
        <w:tc>
          <w:tcPr>
            <w:tcW w:w="21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TOTAL</w:t>
            </w:r>
          </w:p>
        </w:tc>
      </w:tr>
      <w:tr>
        <w:trPr>
          <w:trHeight w:val="140"/>
        </w:trPr>
        <w:tc>
          <w:tcPr>
            <w:tcW w:w="648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rPr>
              <w:t>WITHOUT</w:t>
            </w:r>
          </w:p>
        </w:tc>
        <w:tc>
          <w:tcPr>
            <w:tcW w:w="9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WITH</w:t>
            </w:r>
          </w:p>
        </w:tc>
        <w:tc>
          <w:tcPr>
            <w:tcW w:w="28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rPr>
              <w:t>WITHOUT</w:t>
            </w:r>
          </w:p>
        </w:tc>
        <w:tc>
          <w:tcPr>
            <w:tcW w:w="92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64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64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PURCHASE</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PURCHASE</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PURCHASE</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r>
      <w:tr>
        <w:trPr>
          <w:trHeight w:val="153"/>
        </w:trPr>
        <w:tc>
          <w:tcPr>
            <w:tcW w:w="648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ADDITIONAL</w:t>
            </w: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ADDITIONAL</w:t>
            </w: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ADDITIONAL</w:t>
            </w:r>
          </w:p>
        </w:tc>
        <w:tc>
          <w:tcPr>
            <w:tcW w:w="980" w:type="dxa"/>
            <w:vAlign w:val="bottom"/>
            <w:gridSpan w:val="2"/>
          </w:tcPr>
          <w:p>
            <w:pPr>
              <w:jc w:val="center"/>
              <w:ind w:right="60"/>
              <w:spacing w:after="0" w:line="153" w:lineRule="exact"/>
              <w:rPr>
                <w:sz w:val="20"/>
                <w:szCs w:val="20"/>
                <w:color w:val="auto"/>
              </w:rPr>
            </w:pPr>
            <w:r>
              <w:rPr>
                <w:rFonts w:ascii="Arial" w:cs="Arial" w:eastAsia="Arial" w:hAnsi="Arial"/>
                <w:sz w:val="14"/>
                <w:szCs w:val="14"/>
                <w:b w:val="1"/>
                <w:bCs w:val="1"/>
                <w:color w:val="auto"/>
              </w:rPr>
              <w:t>ADDITIONAL</w:t>
            </w:r>
          </w:p>
        </w:tc>
      </w:tr>
      <w:tr>
        <w:trPr>
          <w:trHeight w:val="159"/>
        </w:trPr>
        <w:tc>
          <w:tcPr>
            <w:tcW w:w="648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SHARES</w:t>
            </w: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SHARES</w:t>
            </w:r>
          </w:p>
        </w:tc>
        <w:tc>
          <w:tcPr>
            <w:tcW w:w="11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SHARES</w:t>
            </w:r>
          </w:p>
        </w:tc>
        <w:tc>
          <w:tcPr>
            <w:tcW w:w="9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SHARES</w:t>
            </w:r>
          </w:p>
        </w:tc>
      </w:tr>
      <w:tr>
        <w:trPr>
          <w:trHeight w:val="183"/>
        </w:trPr>
        <w:tc>
          <w:tcPr>
            <w:tcW w:w="64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920" w:type="dxa"/>
            <w:vAlign w:val="bottom"/>
            <w:tcBorders>
              <w:top w:val="single" w:sz="8" w:color="auto"/>
            </w:tcBorders>
            <w:shd w:val="clear" w:color="auto" w:fill="CCEEFF"/>
          </w:tcPr>
          <w:p>
            <w:pPr>
              <w:jc w:val="right"/>
              <w:ind w:right="745"/>
              <w:spacing w:after="0" w:line="183" w:lineRule="exact"/>
              <w:rPr>
                <w:sz w:val="20"/>
                <w:szCs w:val="20"/>
                <w:color w:val="auto"/>
              </w:rPr>
            </w:pPr>
            <w:r>
              <w:rPr>
                <w:rFonts w:ascii="Arial" w:cs="Arial" w:eastAsia="Arial" w:hAnsi="Arial"/>
                <w:sz w:val="17"/>
                <w:szCs w:val="17"/>
                <w:color w:val="auto"/>
                <w:w w:val="84"/>
              </w:rPr>
              <w:t>$</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44"/>
              <w:spacing w:after="0" w:line="183" w:lineRule="exact"/>
              <w:rPr>
                <w:sz w:val="20"/>
                <w:szCs w:val="20"/>
                <w:color w:val="auto"/>
              </w:rPr>
            </w:pPr>
            <w:r>
              <w:rPr>
                <w:rFonts w:ascii="Arial" w:cs="Arial" w:eastAsia="Arial" w:hAnsi="Arial"/>
                <w:sz w:val="17"/>
                <w:szCs w:val="17"/>
                <w:color w:val="auto"/>
                <w:w w:val="84"/>
              </w:rPr>
              <w:t>$</w:t>
            </w: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4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44"/>
              <w:spacing w:after="0" w:line="183"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920" w:type="dxa"/>
            <w:vAlign w:val="bottom"/>
          </w:tcPr>
          <w:p>
            <w:pPr>
              <w:jc w:val="right"/>
              <w:ind w:right="745"/>
              <w:spacing w:after="0" w:line="189" w:lineRule="exact"/>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6"/>
                <w:szCs w:val="16"/>
                <w:color w:val="auto"/>
              </w:rPr>
            </w:pPr>
          </w:p>
        </w:tc>
        <w:tc>
          <w:tcPr>
            <w:tcW w:w="920" w:type="dxa"/>
            <w:vAlign w:val="bottom"/>
          </w:tcPr>
          <w:p>
            <w:pPr>
              <w:jc w:val="right"/>
              <w:ind w:right="744"/>
              <w:spacing w:after="0" w:line="189" w:lineRule="exact"/>
              <w:rPr>
                <w:sz w:val="20"/>
                <w:szCs w:val="20"/>
                <w:color w:val="auto"/>
              </w:rPr>
            </w:pPr>
            <w:r>
              <w:rPr>
                <w:rFonts w:ascii="Arial" w:cs="Arial" w:eastAsia="Arial" w:hAnsi="Arial"/>
                <w:sz w:val="17"/>
                <w:szCs w:val="17"/>
                <w:color w:val="auto"/>
                <w:w w:val="84"/>
              </w:rPr>
              <w:t>$</w:t>
            </w:r>
          </w:p>
        </w:tc>
        <w:tc>
          <w:tcPr>
            <w:tcW w:w="28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6"/>
                <w:szCs w:val="16"/>
                <w:color w:val="auto"/>
              </w:rPr>
            </w:pPr>
          </w:p>
        </w:tc>
        <w:tc>
          <w:tcPr>
            <w:tcW w:w="920" w:type="dxa"/>
            <w:vAlign w:val="bottom"/>
          </w:tcPr>
          <w:p>
            <w:pPr>
              <w:jc w:val="right"/>
              <w:ind w:right="744"/>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6"/>
                <w:szCs w:val="16"/>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920" w:type="dxa"/>
            <w:vAlign w:val="bottom"/>
            <w:shd w:val="clear" w:color="auto" w:fill="CCEEFF"/>
          </w:tcPr>
          <w:p>
            <w:pPr>
              <w:jc w:val="right"/>
              <w:ind w:right="745"/>
              <w:spacing w:after="0" w:line="189" w:lineRule="exact"/>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44"/>
              <w:spacing w:after="0" w:line="189" w:lineRule="exact"/>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44"/>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3" w:lineRule="exact"/>
        <w:rPr>
          <w:sz w:val="20"/>
          <w:szCs w:val="20"/>
          <w:color w:val="auto"/>
        </w:rPr>
      </w:pPr>
    </w:p>
    <w:p>
      <w:pPr>
        <w:ind w:left="120" w:right="240"/>
        <w:spacing w:after="0" w:line="253" w:lineRule="auto"/>
        <w:rPr>
          <w:sz w:val="20"/>
          <w:szCs w:val="20"/>
          <w:color w:val="auto"/>
        </w:rPr>
      </w:pPr>
      <w:r>
        <w:rPr>
          <w:rFonts w:ascii="Arial" w:cs="Arial" w:eastAsia="Arial" w:hAnsi="Arial"/>
          <w:sz w:val="17"/>
          <w:szCs w:val="17"/>
          <w:color w:val="auto"/>
        </w:rPr>
        <w:t>The expenses payable by us in connection with this offering, other than the underwriting discounts and commissions referred to above, will be approximately $600,000. We have also agreed to reimburse the underwriters for up to $20,000 for their Financial Industry Regulatory Authority, Inc., or FINRA, counsel fee. In accordance with FINRA Rule 5110, this reimbursed fee is deemed underwriting compensation for this offering.</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is listed on The Nasdaq Global Select Market under the trading symbol “ALXO.”</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60" w:lineRule="exact"/>
        <w:rPr>
          <w:sz w:val="20"/>
          <w:szCs w:val="20"/>
          <w:color w:val="auto"/>
        </w:rPr>
      </w:pPr>
    </w:p>
    <w:p>
      <w:pPr>
        <w:ind w:left="120" w:right="140"/>
        <w:spacing w:after="0" w:line="242"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 part, up to an aggregate of 300,000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60" w:lineRule="exact"/>
        <w:rPr>
          <w:sz w:val="20"/>
          <w:szCs w:val="20"/>
          <w:color w:val="auto"/>
        </w:rPr>
      </w:pPr>
    </w:p>
    <w:p>
      <w:pPr>
        <w:ind w:left="120" w:right="120"/>
        <w:spacing w:after="0" w:line="242" w:lineRule="auto"/>
        <w:rPr>
          <w:sz w:val="20"/>
          <w:szCs w:val="20"/>
          <w:color w:val="auto"/>
        </w:rPr>
      </w:pPr>
      <w:r>
        <w:rPr>
          <w:rFonts w:ascii="Arial" w:cs="Arial" w:eastAsia="Arial" w:hAnsi="Arial"/>
          <w:sz w:val="17"/>
          <w:szCs w:val="17"/>
          <w:color w:val="auto"/>
        </w:rPr>
        <w:t>In connection with our initial public offering, our officers, directors and the holders of substantially all of our securities entered into lock-up agreements with the underwriters, subject to certain exceptions, not to dispose of or hedge any of their common stock or securities convertible into or exchangeable for shares of common stock during the period from the date of the prospectus related to our initial public offering continuing through the date 180 days after the date of the prospectus related to our initial public offering, except with the prior consent of Jefferies LLC, Credit Suisse Securities (USA) LLC and Piper Sandler &amp; Co.</w:t>
      </w:r>
    </w:p>
    <w:p>
      <w:pPr>
        <w:spacing w:after="0" w:line="175" w:lineRule="exact"/>
        <w:rPr>
          <w:sz w:val="20"/>
          <w:szCs w:val="20"/>
          <w:color w:val="auto"/>
        </w:rPr>
      </w:pPr>
    </w:p>
    <w:p>
      <w:pPr>
        <w:ind w:left="120" w:right="380"/>
        <w:spacing w:after="0" w:line="275" w:lineRule="auto"/>
        <w:rPr>
          <w:sz w:val="20"/>
          <w:szCs w:val="20"/>
          <w:color w:val="auto"/>
        </w:rPr>
      </w:pPr>
      <w:r>
        <w:rPr>
          <w:rFonts w:ascii="Arial" w:cs="Arial" w:eastAsia="Arial" w:hAnsi="Arial"/>
          <w:sz w:val="17"/>
          <w:szCs w:val="17"/>
          <w:color w:val="auto"/>
        </w:rPr>
        <w:t>In addition, we, our officers, directors and certain stockholders affiliated with our directors have agreed, subject to specified exceptions, not to directly or indirectly:</w:t>
      </w:r>
    </w:p>
    <w:p>
      <w:pPr>
        <w:spacing w:after="0" w:line="133" w:lineRule="exact"/>
        <w:rPr>
          <w:sz w:val="20"/>
          <w:szCs w:val="20"/>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sell, offer to sell, contract to sell or lend any of our securities,</w:t>
      </w:r>
    </w:p>
    <w:p>
      <w:pPr>
        <w:spacing w:after="0" w:line="35" w:lineRule="exact"/>
        <w:rPr>
          <w:rFonts w:ascii="MS PGothic" w:cs="MS PGothic" w:eastAsia="MS PGothic" w:hAnsi="MS PGothic"/>
          <w:sz w:val="13"/>
          <w:szCs w:val="13"/>
          <w:color w:val="auto"/>
        </w:rPr>
      </w:pPr>
    </w:p>
    <w:p>
      <w:pPr>
        <w:ind w:left="980" w:right="300" w:hanging="432"/>
        <w:spacing w:after="0" w:line="256"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effect any short sale, or establish or increase any “put equivalent position” (as defined in Rule 16a-1(h) under the Exchange Act) or liquidate or decrease any “call equivalent position” (as defined in Rule 16a-1(b) under the Exchange Act) of any of our securities,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pledge, hypothecate or grant any security interest in any of our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in any other way transfer or dispose of our securities,</w:t>
      </w:r>
    </w:p>
    <w:p>
      <w:pPr>
        <w:spacing w:after="0" w:line="34" w:lineRule="exact"/>
        <w:rPr>
          <w:rFonts w:ascii="MS PGothic" w:cs="MS PGothic" w:eastAsia="MS PGothic" w:hAnsi="MS PGothic"/>
          <w:sz w:val="13"/>
          <w:szCs w:val="13"/>
          <w:color w:val="auto"/>
        </w:rPr>
      </w:pPr>
    </w:p>
    <w:p>
      <w:pPr>
        <w:ind w:left="980" w:right="160" w:hanging="432"/>
        <w:spacing w:after="0" w:line="256"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enter into any swap, hedge or similar arrangement or agreement that transfers, in whole or in part, the economic risk of ownership of any of our securities, regardless of whether any such transaction is to be settled in securities, in cash or otherwise,</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announce the offering of any of our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submit or file any registration statement under the Securities Act in respect of any of our securities, or</w:t>
      </w:r>
    </w:p>
    <w:p>
      <w:pPr>
        <w:spacing w:after="0" w:line="34" w:lineRule="exact"/>
        <w:rPr>
          <w:rFonts w:ascii="MS PGothic" w:cs="MS PGothic" w:eastAsia="MS PGothic" w:hAnsi="MS PGothic"/>
          <w:sz w:val="13"/>
          <w:szCs w:val="13"/>
          <w:color w:val="auto"/>
        </w:rPr>
      </w:pPr>
    </w:p>
    <w:p>
      <w:pPr>
        <w:ind w:left="980" w:right="420" w:hanging="432"/>
        <w:spacing w:after="0" w:line="273"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publicly announce an intention to do any of the foregoing for a period of 90 days after the date of this prospectus without the prior written consent of Jefferies LLC, Credit Suisse Securities (USA) LLC and Piper Sandler &amp; Co.</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90th day after the date of this prospectus.</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140"/>
          </w:cols>
          <w:pgMar w:left="320" w:top="455" w:right="4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40"/>
        <w:spacing w:after="0" w:line="246" w:lineRule="auto"/>
        <w:rPr>
          <w:sz w:val="20"/>
          <w:szCs w:val="20"/>
          <w:color w:val="auto"/>
        </w:rPr>
      </w:pPr>
      <w:r>
        <w:rPr>
          <w:rFonts w:ascii="Arial" w:cs="Arial" w:eastAsia="Arial" w:hAnsi="Arial"/>
          <w:sz w:val="17"/>
          <w:szCs w:val="17"/>
          <w:color w:val="auto"/>
        </w:rPr>
        <w:t>Jefferies LLC, Credit Suisse Securities (USA) LLC and Piper Sandler &amp; Co. may, in their sole discretion and at any time or from time to time before the termination of the 90-day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w:t>
      </w:r>
    </w:p>
    <w:p>
      <w:pPr>
        <w:spacing w:after="0" w:line="60" w:lineRule="exact"/>
        <w:rPr>
          <w:sz w:val="20"/>
          <w:szCs w:val="20"/>
          <w:color w:val="auto"/>
        </w:rPr>
      </w:pPr>
    </w:p>
    <w:p>
      <w:pPr>
        <w:ind w:left="120" w:right="40"/>
        <w:spacing w:after="0" w:line="246"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17" w:lineRule="exact"/>
        <w:rPr>
          <w:sz w:val="20"/>
          <w:szCs w:val="20"/>
          <w:color w:val="auto"/>
        </w:rPr>
      </w:pPr>
    </w:p>
    <w:p>
      <w:pPr>
        <w:ind w:left="120" w:right="100"/>
        <w:spacing w:after="0" w:line="242"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21" w:lineRule="exact"/>
        <w:rPr>
          <w:sz w:val="20"/>
          <w:szCs w:val="20"/>
          <w:color w:val="auto"/>
        </w:rPr>
      </w:pPr>
    </w:p>
    <w:p>
      <w:pPr>
        <w:ind w:left="120" w:right="280"/>
        <w:spacing w:after="0" w:line="246"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17"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23"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11" w:lineRule="exact"/>
        <w:rPr>
          <w:sz w:val="20"/>
          <w:szCs w:val="20"/>
          <w:color w:val="auto"/>
        </w:rPr>
      </w:pPr>
    </w:p>
    <w:p>
      <w:pPr>
        <w:ind w:left="120" w:right="180"/>
        <w:spacing w:after="0" w:line="242" w:lineRule="auto"/>
        <w:rPr>
          <w:sz w:val="20"/>
          <w:szCs w:val="20"/>
          <w:color w:val="auto"/>
        </w:rPr>
      </w:pPr>
      <w:r>
        <w:rPr>
          <w:rFonts w:ascii="Arial" w:cs="Arial" w:eastAsia="Arial" w:hAnsi="Arial"/>
          <w:sz w:val="17"/>
          <w:szCs w:val="17"/>
          <w:color w:val="auto"/>
        </w:rPr>
        <w:t>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60"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7"/>
          <w:szCs w:val="17"/>
          <w:color w:val="auto"/>
        </w:rPr>
        <w:t>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Activities and Relationships</w:t>
      </w:r>
    </w:p>
    <w:p>
      <w:pPr>
        <w:spacing w:after="0" w:line="60" w:lineRule="exact"/>
        <w:rPr>
          <w:sz w:val="20"/>
          <w:szCs w:val="20"/>
          <w:color w:val="auto"/>
        </w:rPr>
      </w:pPr>
    </w:p>
    <w:p>
      <w:pPr>
        <w:ind w:left="120" w:right="320"/>
        <w:spacing w:after="0"/>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 For example, certain of the underwriters also served as underwriters in our initial public offering in July 2020.</w:t>
      </w:r>
    </w:p>
    <w:p>
      <w:pPr>
        <w:spacing w:after="0" w:line="12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European Economic Area and the United Kingdom</w:t>
      </w:r>
    </w:p>
    <w:p>
      <w:pPr>
        <w:spacing w:after="0" w:line="43"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63" w:lineRule="exact"/>
        <w:rPr>
          <w:sz w:val="20"/>
          <w:szCs w:val="20"/>
          <w:color w:val="auto"/>
        </w:rPr>
      </w:pPr>
    </w:p>
    <w:p>
      <w:pPr>
        <w:ind w:left="980" w:hanging="432"/>
        <w:spacing w:after="0"/>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to any legal entity which is a qualified investor as defined under the Prospectus Regulation;</w:t>
      </w:r>
    </w:p>
    <w:p>
      <w:pPr>
        <w:spacing w:after="0" w:line="35" w:lineRule="exact"/>
        <w:rPr>
          <w:rFonts w:ascii="MS PGothic" w:cs="MS PGothic" w:eastAsia="MS PGothic" w:hAnsi="MS PGothic"/>
          <w:sz w:val="13"/>
          <w:szCs w:val="13"/>
          <w:color w:val="auto"/>
        </w:rPr>
      </w:pPr>
    </w:p>
    <w:p>
      <w:pPr>
        <w:ind w:left="980" w:right="440" w:hanging="432"/>
        <w:spacing w:after="0" w:line="256" w:lineRule="auto"/>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underwriters; or</w:t>
      </w:r>
    </w:p>
    <w:p>
      <w:pPr>
        <w:spacing w:after="0" w:line="1" w:lineRule="exact"/>
        <w:rPr>
          <w:rFonts w:ascii="MS PGothic" w:cs="MS PGothic" w:eastAsia="MS PGothic" w:hAnsi="MS PGothic"/>
          <w:sz w:val="13"/>
          <w:szCs w:val="13"/>
          <w:color w:val="auto"/>
        </w:rPr>
      </w:pPr>
    </w:p>
    <w:p>
      <w:pPr>
        <w:ind w:left="980" w:right="60" w:hanging="432"/>
        <w:spacing w:after="0" w:line="237" w:lineRule="auto"/>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in any other circumstances falling within Article 1(4) of the Prospectus Regulation, 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United Kingdom</w:t>
      </w:r>
    </w:p>
    <w:p>
      <w:pPr>
        <w:spacing w:after="0" w:line="43"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23" w:lineRule="exact"/>
        <w:rPr>
          <w:sz w:val="20"/>
          <w:szCs w:val="20"/>
          <w:color w:val="auto"/>
        </w:rPr>
      </w:pPr>
    </w:p>
    <w:p>
      <w:pPr>
        <w:jc w:val="both"/>
        <w:ind w:left="120" w:right="340"/>
        <w:spacing w:after="0" w:line="253"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Canada</w:t>
      </w:r>
    </w:p>
    <w:p>
      <w:pPr>
        <w:spacing w:after="0" w:line="41" w:lineRule="exact"/>
        <w:rPr>
          <w:sz w:val="20"/>
          <w:szCs w:val="20"/>
          <w:color w:val="auto"/>
        </w:rPr>
      </w:pPr>
    </w:p>
    <w:p>
      <w:pPr>
        <w:ind w:left="400" w:hanging="284"/>
        <w:spacing w:after="0"/>
        <w:tabs>
          <w:tab w:leader="none" w:pos="4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Resale Restrictions</w:t>
      </w:r>
    </w:p>
    <w:p>
      <w:pPr>
        <w:spacing w:after="0" w:line="13" w:lineRule="exact"/>
        <w:rPr>
          <w:sz w:val="20"/>
          <w:szCs w:val="20"/>
          <w:color w:val="auto"/>
        </w:rPr>
      </w:pPr>
    </w:p>
    <w:p>
      <w:pPr>
        <w:ind w:left="120" w:right="80"/>
        <w:spacing w:after="0"/>
        <w:rPr>
          <w:sz w:val="20"/>
          <w:szCs w:val="20"/>
          <w:color w:val="auto"/>
        </w:rPr>
      </w:pPr>
      <w:r>
        <w:rPr>
          <w:rFonts w:ascii="Arial" w:cs="Arial" w:eastAsia="Arial" w:hAnsi="Arial"/>
          <w:sz w:val="17"/>
          <w:szCs w:val="17"/>
          <w:color w:val="auto"/>
        </w:rPr>
        <w:t>The distribution of shares of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common stock.</w:t>
      </w:r>
    </w:p>
    <w:p>
      <w:pPr>
        <w:spacing w:after="0" w:line="29" w:lineRule="exact"/>
        <w:rPr>
          <w:sz w:val="20"/>
          <w:szCs w:val="20"/>
          <w:color w:val="auto"/>
        </w:rPr>
      </w:pPr>
    </w:p>
    <w:p>
      <w:pPr>
        <w:ind w:left="400" w:hanging="284"/>
        <w:spacing w:after="0"/>
        <w:tabs>
          <w:tab w:leader="none" w:pos="40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Representations of Canadian Purchasers</w:t>
      </w:r>
    </w:p>
    <w:p>
      <w:pPr>
        <w:spacing w:after="0" w:line="33"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color w:val="auto"/>
        </w:rPr>
        <w:t>By purchasing shares of our common stock in Canada and accepting delivery of a purchase confirmation, a purchaser is representing to us and the dealer from whom the purchase confirmation is received that:</w:t>
      </w:r>
    </w:p>
    <w:p>
      <w:pPr>
        <w:spacing w:after="0" w:line="135" w:lineRule="exact"/>
        <w:rPr>
          <w:sz w:val="20"/>
          <w:szCs w:val="20"/>
          <w:color w:val="auto"/>
        </w:rPr>
      </w:pPr>
    </w:p>
    <w:p>
      <w:pPr>
        <w:ind w:left="980" w:right="60" w:hanging="432"/>
        <w:spacing w:after="0" w:line="249" w:lineRule="auto"/>
        <w:tabs>
          <w:tab w:leader="none" w:pos="980" w:val="left"/>
        </w:tabs>
        <w:numPr>
          <w:ilvl w:val="1"/>
          <w:numId w:val="109"/>
        </w:numPr>
        <w:rPr>
          <w:rFonts w:ascii="MS PGothic" w:cs="MS PGothic" w:eastAsia="MS PGothic" w:hAnsi="MS PGothic"/>
          <w:sz w:val="13"/>
          <w:szCs w:val="13"/>
          <w:color w:val="auto"/>
        </w:rPr>
      </w:pPr>
      <w:r>
        <w:rPr>
          <w:rFonts w:ascii="Arial" w:cs="Arial" w:eastAsia="Arial" w:hAnsi="Arial"/>
          <w:sz w:val="17"/>
          <w:szCs w:val="17"/>
          <w:color w:val="auto"/>
        </w:rPr>
        <w:t>the purchaser is entitled under applicable provincial securities laws to purchase the shares of our common stock without the benefit of a prospectus qualified under those securities laws as it is an “accredited investor” as defined under National Instrument 45-106 – Prospectus Exemptions,</w:t>
      </w:r>
    </w:p>
    <w:p>
      <w:pPr>
        <w:ind w:left="980" w:right="120" w:hanging="432"/>
        <w:spacing w:after="0" w:line="256" w:lineRule="auto"/>
        <w:tabs>
          <w:tab w:leader="none" w:pos="980" w:val="left"/>
        </w:tabs>
        <w:numPr>
          <w:ilvl w:val="1"/>
          <w:numId w:val="109"/>
        </w:numPr>
        <w:rPr>
          <w:rFonts w:ascii="MS PGothic" w:cs="MS PGothic" w:eastAsia="MS PGothic" w:hAnsi="MS PGothic"/>
          <w:sz w:val="13"/>
          <w:szCs w:val="13"/>
          <w:color w:val="auto"/>
        </w:rPr>
      </w:pPr>
      <w:r>
        <w:rPr>
          <w:rFonts w:ascii="Arial" w:cs="Arial" w:eastAsia="Arial" w:hAnsi="Arial"/>
          <w:sz w:val="17"/>
          <w:szCs w:val="17"/>
          <w:color w:val="auto"/>
        </w:rPr>
        <w:t>the purchaser is a “permitted client” as defined in National Instrument 31-103—Registration Requirements, Exemptions and Ongoing Registrant Obligations,</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1"/>
          <w:numId w:val="109"/>
        </w:numPr>
        <w:rPr>
          <w:rFonts w:ascii="MS PGothic" w:cs="MS PGothic" w:eastAsia="MS PGothic" w:hAnsi="MS PGothic"/>
          <w:sz w:val="13"/>
          <w:szCs w:val="13"/>
          <w:color w:val="auto"/>
        </w:rPr>
      </w:pPr>
      <w:r>
        <w:rPr>
          <w:rFonts w:ascii="Arial" w:cs="Arial" w:eastAsia="Arial" w:hAnsi="Arial"/>
          <w:sz w:val="17"/>
          <w:szCs w:val="17"/>
          <w:color w:val="auto"/>
        </w:rPr>
        <w:t>where required by law, the purchaser is purchasing as principal and not as agent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1"/>
          <w:numId w:val="109"/>
        </w:numPr>
        <w:rPr>
          <w:rFonts w:ascii="MS PGothic" w:cs="MS PGothic" w:eastAsia="MS PGothic" w:hAnsi="MS PGothic"/>
          <w:sz w:val="13"/>
          <w:szCs w:val="13"/>
          <w:color w:val="auto"/>
        </w:rPr>
      </w:pPr>
      <w:r>
        <w:rPr>
          <w:rFonts w:ascii="Arial" w:cs="Arial" w:eastAsia="Arial" w:hAnsi="Arial"/>
          <w:sz w:val="17"/>
          <w:szCs w:val="17"/>
          <w:color w:val="auto"/>
        </w:rPr>
        <w:t>the purchaser has reviewed the text above under Resale Restrictions.</w:t>
      </w:r>
    </w:p>
    <w:p>
      <w:pPr>
        <w:spacing w:after="0" w:line="61" w:lineRule="exact"/>
        <w:rPr>
          <w:rFonts w:ascii="MS PGothic" w:cs="MS PGothic" w:eastAsia="MS PGothic" w:hAnsi="MS PGothic"/>
          <w:sz w:val="13"/>
          <w:szCs w:val="13"/>
          <w:color w:val="auto"/>
        </w:rPr>
      </w:pPr>
    </w:p>
    <w:p>
      <w:pPr>
        <w:ind w:left="400" w:hanging="284"/>
        <w:spacing w:after="0"/>
        <w:tabs>
          <w:tab w:leader="none" w:pos="40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Conflicts of Interest</w:t>
      </w:r>
    </w:p>
    <w:p>
      <w:pPr>
        <w:spacing w:after="0" w:line="33" w:lineRule="exact"/>
        <w:rPr>
          <w:sz w:val="20"/>
          <w:szCs w:val="20"/>
          <w:color w:val="auto"/>
        </w:rPr>
      </w:pPr>
    </w:p>
    <w:p>
      <w:pPr>
        <w:ind w:left="120" w:right="320"/>
        <w:spacing w:after="0" w:line="272" w:lineRule="auto"/>
        <w:rPr>
          <w:sz w:val="20"/>
          <w:szCs w:val="20"/>
          <w:color w:val="auto"/>
        </w:rPr>
      </w:pPr>
      <w:r>
        <w:rPr>
          <w:rFonts w:ascii="Arial" w:cs="Arial" w:eastAsia="Arial" w:hAnsi="Arial"/>
          <w:sz w:val="17"/>
          <w:szCs w:val="17"/>
          <w:color w:val="auto"/>
        </w:rPr>
        <w:t>Canadian purchasers are hereby notified that the representatives are relying on the exemption set out in section 3A.3 or 3A.4, if applicable, of National Instrument 33-105 – Underwriting Conflicts from having to provide certain conflict of interest disclosure in this document.</w:t>
      </w:r>
    </w:p>
    <w:p>
      <w:pPr>
        <w:spacing w:after="0" w:line="3" w:lineRule="exact"/>
        <w:rPr>
          <w:sz w:val="20"/>
          <w:szCs w:val="20"/>
          <w:color w:val="auto"/>
        </w:rPr>
      </w:pPr>
    </w:p>
    <w:p>
      <w:pPr>
        <w:ind w:left="400" w:hanging="284"/>
        <w:spacing w:after="0"/>
        <w:tabs>
          <w:tab w:leader="none" w:pos="40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Statutory Rights of Action</w:t>
      </w:r>
    </w:p>
    <w:p>
      <w:pPr>
        <w:spacing w:after="0" w:line="33" w:lineRule="exact"/>
        <w:rPr>
          <w:sz w:val="20"/>
          <w:szCs w:val="20"/>
          <w:color w:val="auto"/>
        </w:rPr>
      </w:pPr>
    </w:p>
    <w:p>
      <w:pPr>
        <w:ind w:left="120" w:right="120"/>
        <w:spacing w:after="0" w:line="242"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8" w:lineRule="exact"/>
        <w:rPr>
          <w:sz w:val="20"/>
          <w:szCs w:val="20"/>
          <w:color w:val="auto"/>
        </w:rPr>
      </w:pPr>
    </w:p>
    <w:p>
      <w:pPr>
        <w:ind w:left="400" w:hanging="284"/>
        <w:spacing w:after="0"/>
        <w:tabs>
          <w:tab w:leader="none" w:pos="40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Enforcement of Legal Rights</w:t>
      </w:r>
    </w:p>
    <w:p>
      <w:pPr>
        <w:spacing w:after="0" w:line="33"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40"/>
        <w:spacing w:after="0" w:line="253" w:lineRule="auto"/>
        <w:rPr>
          <w:sz w:val="20"/>
          <w:szCs w:val="20"/>
          <w:color w:val="auto"/>
        </w:rPr>
      </w:pPr>
      <w:r>
        <w:rPr>
          <w:rFonts w:ascii="Arial" w:cs="Arial" w:eastAsia="Arial" w:hAnsi="Arial"/>
          <w:sz w:val="17"/>
          <w:szCs w:val="17"/>
          <w:color w:val="auto"/>
        </w:rPr>
        <w:t>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 w:lineRule="exact"/>
        <w:rPr>
          <w:sz w:val="20"/>
          <w:szCs w:val="20"/>
          <w:color w:val="auto"/>
        </w:rPr>
      </w:pPr>
    </w:p>
    <w:p>
      <w:pPr>
        <w:ind w:left="380" w:hanging="264"/>
        <w:spacing w:after="0"/>
        <w:tabs>
          <w:tab w:leader="none" w:pos="38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Taxation and Eligibility for Investment</w:t>
      </w:r>
    </w:p>
    <w:p>
      <w:pPr>
        <w:spacing w:after="0" w:line="33" w:lineRule="exact"/>
        <w:rPr>
          <w:sz w:val="20"/>
          <w:szCs w:val="20"/>
          <w:color w:val="auto"/>
        </w:rPr>
      </w:pPr>
    </w:p>
    <w:p>
      <w:pPr>
        <w:jc w:val="both"/>
        <w:ind w:left="120" w:right="360"/>
        <w:spacing w:after="0" w:line="252" w:lineRule="auto"/>
        <w:rPr>
          <w:sz w:val="20"/>
          <w:szCs w:val="20"/>
          <w:color w:val="auto"/>
        </w:rPr>
      </w:pPr>
      <w:r>
        <w:rPr>
          <w:rFonts w:ascii="Arial" w:cs="Arial" w:eastAsia="Arial" w:hAnsi="Arial"/>
          <w:sz w:val="17"/>
          <w:szCs w:val="17"/>
          <w:color w:val="auto"/>
        </w:rPr>
        <w:t>Canadian purchasers of shares of common stock should consult their own legal and tax advisors with respect to the tax consequences of an investment in the shares of our common stock in their particular circumstances and about the eligibility of the shares of our common stock for investment by the purchaser under relevant Canadian legislation.</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Australia</w:t>
      </w:r>
    </w:p>
    <w:p>
      <w:pPr>
        <w:spacing w:after="0" w:line="41" w:lineRule="exact"/>
        <w:rPr>
          <w:sz w:val="20"/>
          <w:szCs w:val="20"/>
          <w:color w:val="auto"/>
        </w:rPr>
      </w:pPr>
    </w:p>
    <w:p>
      <w:pPr>
        <w:ind w:left="120" w:right="40"/>
        <w:spacing w:after="0"/>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confirm and warrant that you are either:</w:t>
      </w:r>
    </w:p>
    <w:p>
      <w:pPr>
        <w:spacing w:after="0" w:line="196" w:lineRule="exact"/>
        <w:rPr>
          <w:sz w:val="20"/>
          <w:szCs w:val="20"/>
          <w:color w:val="auto"/>
        </w:rPr>
      </w:pPr>
    </w:p>
    <w:p>
      <w:pPr>
        <w:ind w:left="980" w:hanging="432"/>
        <w:spacing w:after="0"/>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708(8)(a) or (b) of the Corporations Act;</w:t>
      </w:r>
    </w:p>
    <w:p>
      <w:pPr>
        <w:spacing w:after="0" w:line="35" w:lineRule="exact"/>
        <w:rPr>
          <w:rFonts w:ascii="MS PGothic" w:cs="MS PGothic" w:eastAsia="MS PGothic" w:hAnsi="MS PGothic"/>
          <w:sz w:val="13"/>
          <w:szCs w:val="13"/>
          <w:color w:val="auto"/>
        </w:rPr>
      </w:pPr>
    </w:p>
    <w:p>
      <w:pPr>
        <w:ind w:left="980" w:right="40" w:hanging="432"/>
        <w:spacing w:after="0" w:line="248" w:lineRule="auto"/>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 person associated with the Company under Section 708(12) of the Corporations Act;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 “professional investor” within the meaning of section 708(11)(a) or (b) of the Corporations Act.</w:t>
      </w:r>
    </w:p>
    <w:p>
      <w:pPr>
        <w:spacing w:after="0" w:line="154"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92" w:lineRule="exact"/>
        <w:rPr>
          <w:sz w:val="20"/>
          <w:szCs w:val="20"/>
          <w:color w:val="auto"/>
        </w:rPr>
      </w:pPr>
    </w:p>
    <w:p>
      <w:pPr>
        <w:jc w:val="both"/>
        <w:ind w:left="120" w:right="560"/>
        <w:spacing w:after="0" w:line="253"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Hong Kong</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No shares of our common stock have been offered or sold, and no shares of our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shares of our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our common stock which are or are intended to be disposed of only to persons outside Hong Kong or only to “professional investors” as defined in the SFO and any rules made under that Ordinance.</w:t>
      </w:r>
    </w:p>
    <w:p>
      <w:pPr>
        <w:spacing w:after="0" w:line="124" w:lineRule="exact"/>
        <w:rPr>
          <w:sz w:val="20"/>
          <w:szCs w:val="20"/>
          <w:color w:val="auto"/>
        </w:rPr>
      </w:pPr>
    </w:p>
    <w:p>
      <w:pPr>
        <w:ind w:left="120" w:right="60"/>
        <w:spacing w:after="0"/>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shares of our common stock may not be offered for subscription to members of the public in Hong Kong. Each person acquiring the shares of our common stock will be required, and is deemed by the acquisition of the shares of our common stock, to confirm that he is aware of the restriction on offers of the shares of our common stock described in this prospectus and the relevant offering documents and that he is not acquiring, and has not been offered any shares of our common stock in circumstances that contravene any such restrictions.</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Israel</w:t>
      </w:r>
    </w:p>
    <w:p>
      <w:pPr>
        <w:spacing w:after="0" w:line="41" w:lineRule="exact"/>
        <w:rPr>
          <w:sz w:val="20"/>
          <w:szCs w:val="20"/>
          <w:color w:val="auto"/>
        </w:rPr>
      </w:pPr>
    </w:p>
    <w:p>
      <w:pPr>
        <w:ind w:left="120" w:right="40"/>
        <w:spacing w:after="0" w:line="248"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distributed only to, and is directed only at, and any offer of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Japan</w:t>
      </w:r>
    </w:p>
    <w:p>
      <w:pPr>
        <w:spacing w:after="0" w:line="43"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w:t>
      </w:r>
    </w:p>
    <w:p>
      <w:pPr>
        <w:ind w:left="120" w:right="60"/>
        <w:spacing w:after="0" w:line="248" w:lineRule="auto"/>
        <w:rPr>
          <w:sz w:val="20"/>
          <w:szCs w:val="20"/>
          <w:color w:val="auto"/>
        </w:rPr>
      </w:pPr>
      <w:r>
        <w:rPr>
          <w:rFonts w:ascii="Arial" w:cs="Arial" w:eastAsia="Arial" w:hAnsi="Arial"/>
          <w:sz w:val="17"/>
          <w:szCs w:val="17"/>
          <w:color w:val="auto"/>
        </w:rPr>
        <w:t>Section 275(1A), and in accordance with the conditions specified in Section 275, of the SFA, or (iii) otherwise pursuant to, and in accordance with the conditions of, any other applicable provision of the SFA.</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196" w:lineRule="exact"/>
        <w:rPr>
          <w:sz w:val="20"/>
          <w:szCs w:val="20"/>
          <w:color w:val="auto"/>
        </w:rPr>
      </w:pPr>
    </w:p>
    <w:p>
      <w:pPr>
        <w:ind w:left="980" w:right="400" w:hanging="432"/>
        <w:spacing w:after="0" w:line="257" w:lineRule="auto"/>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 w:lineRule="exact"/>
        <w:rPr>
          <w:rFonts w:ascii="MS PGothic" w:cs="MS PGothic" w:eastAsia="MS PGothic" w:hAnsi="MS PGothic"/>
          <w:sz w:val="13"/>
          <w:szCs w:val="13"/>
          <w:color w:val="auto"/>
        </w:rPr>
      </w:pPr>
    </w:p>
    <w:p>
      <w:pPr>
        <w:ind w:left="980" w:right="60" w:hanging="432"/>
        <w:spacing w:after="0" w:line="244" w:lineRule="auto"/>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1" w:lineRule="exact"/>
        <w:rPr>
          <w:rFonts w:ascii="MS PGothic" w:cs="MS PGothic" w:eastAsia="MS PGothic" w:hAnsi="MS PGothic"/>
          <w:sz w:val="13"/>
          <w:szCs w:val="13"/>
          <w:color w:val="auto"/>
        </w:rPr>
      </w:pPr>
    </w:p>
    <w:p>
      <w:pPr>
        <w:ind w:left="980" w:right="140" w:hanging="432"/>
        <w:spacing w:after="0" w:line="256" w:lineRule="auto"/>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1" w:lineRule="exact"/>
        <w:rPr>
          <w:rFonts w:ascii="MS PGothic" w:cs="MS PGothic" w:eastAsia="MS PGothic" w:hAnsi="MS PGothic"/>
          <w:sz w:val="13"/>
          <w:szCs w:val="13"/>
          <w:color w:val="auto"/>
        </w:rPr>
      </w:pPr>
    </w:p>
    <w:p>
      <w:pPr>
        <w:ind w:left="980" w:hanging="432"/>
        <w:spacing w:after="0"/>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where no consideration is or will be given for the transfer;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as specified in Section 276(7) of the SFA; or</w:t>
      </w:r>
    </w:p>
    <w:p>
      <w:pPr>
        <w:spacing w:after="0" w:line="34" w:lineRule="exact"/>
        <w:rPr>
          <w:rFonts w:ascii="MS PGothic" w:cs="MS PGothic" w:eastAsia="MS PGothic" w:hAnsi="MS PGothic"/>
          <w:sz w:val="13"/>
          <w:szCs w:val="13"/>
          <w:color w:val="auto"/>
        </w:rPr>
      </w:pPr>
    </w:p>
    <w:p>
      <w:pPr>
        <w:ind w:left="980" w:right="420" w:hanging="432"/>
        <w:spacing w:after="0" w:line="273" w:lineRule="auto"/>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Switzerland</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92"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1060"/>
          </w:cols>
          <w:pgMar w:left="320" w:top="455" w:right="51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ind w:left="120" w:right="320"/>
        <w:spacing w:after="0" w:line="253"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Wilson Sonsini Goodrich &amp; Rosati, Professional Corporation, Palo Alto, California. Cooley LLP, San Francisco, California, is representing the underwriters in connection with this offering.</w:t>
      </w: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ind w:left="120" w:right="20"/>
        <w:spacing w:after="0" w:line="253" w:lineRule="auto"/>
        <w:rPr>
          <w:sz w:val="20"/>
          <w:szCs w:val="20"/>
          <w:color w:val="auto"/>
        </w:rPr>
      </w:pPr>
      <w:r>
        <w:rPr>
          <w:rFonts w:ascii="Arial" w:cs="Arial" w:eastAsia="Arial" w:hAnsi="Arial"/>
          <w:sz w:val="17"/>
          <w:szCs w:val="17"/>
          <w:color w:val="auto"/>
        </w:rPr>
        <w:t>The consolidated financial statements of ALX Oncology Limited as of December 31, 2018 and 2019, and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11" w:lineRule="exact"/>
        <w:rPr>
          <w:sz w:val="20"/>
          <w:szCs w:val="20"/>
          <w:color w:val="auto"/>
        </w:rPr>
      </w:pPr>
    </w:p>
    <w:p>
      <w:pPr>
        <w:ind w:left="120" w:right="60"/>
        <w:spacing w:after="0" w:line="253" w:lineRule="auto"/>
        <w:rPr>
          <w:sz w:val="20"/>
          <w:szCs w:val="20"/>
          <w:color w:val="auto"/>
        </w:rPr>
      </w:pPr>
      <w:r>
        <w:rPr>
          <w:rFonts w:ascii="Arial" w:cs="Arial" w:eastAsia="Arial" w:hAnsi="Arial"/>
          <w:sz w:val="17"/>
          <w:szCs w:val="17"/>
          <w:color w:val="auto"/>
        </w:rPr>
        <w:t>The financial statement of ALX Oncology Holdings Inc. as of April 1, 2020 (inception), has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6" w:lineRule="exact"/>
        <w:rPr>
          <w:sz w:val="20"/>
          <w:szCs w:val="20"/>
          <w:color w:val="auto"/>
        </w:rPr>
      </w:pPr>
    </w:p>
    <w:p>
      <w:pPr>
        <w:ind w:left="120" w:right="60"/>
        <w:spacing w:after="0"/>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can read our SEC filings, including the registration statement and its exhibits, over the Internet at the SEC’s website at www.sec.gov.</w:t>
      </w:r>
    </w:p>
    <w:p>
      <w:pPr>
        <w:spacing w:after="0" w:line="156"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We are subject to the information reporting requirements of the Exchange Act, and we will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1080"/>
          </w:cols>
          <w:pgMar w:left="320" w:top="455" w:right="49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Balance Sheet as of April 1, 2020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149860</wp:posOffset>
            </wp:positionV>
            <wp:extent cx="6995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540" w:type="dxa"/>
            <w:vAlign w:val="bottom"/>
          </w:tcPr>
          <w:p>
            <w:pPr>
              <w:spacing w:after="0"/>
              <w:rPr>
                <w:rFonts w:ascii="Arial" w:cs="Arial" w:eastAsia="Arial" w:hAnsi="Arial"/>
                <w:sz w:val="17"/>
                <w:szCs w:val="17"/>
                <w:u w:val="single" w:color="auto"/>
                <w:color w:val="0000EE"/>
              </w:rPr>
            </w:pPr>
            <w:hyperlink w:anchor="page181">
              <w:r>
                <w:rPr>
                  <w:rFonts w:ascii="Arial" w:cs="Arial" w:eastAsia="Arial" w:hAnsi="Arial"/>
                  <w:sz w:val="17"/>
                  <w:szCs w:val="17"/>
                  <w:u w:val="single" w:color="auto"/>
                  <w:color w:val="0000EE"/>
                </w:rPr>
                <w:t>Report of Independent Registered Public Accounting Firm</w:t>
              </w:r>
            </w:hyperlink>
          </w:p>
        </w:tc>
        <w:tc>
          <w:tcPr>
            <w:tcW w:w="3480" w:type="dxa"/>
            <w:vAlign w:val="bottom"/>
          </w:tcPr>
          <w:p>
            <w:pPr>
              <w:ind w:left="3160"/>
              <w:spacing w:after="0"/>
              <w:rPr>
                <w:sz w:val="20"/>
                <w:szCs w:val="20"/>
                <w:color w:val="auto"/>
              </w:rPr>
            </w:pPr>
            <w:r>
              <w:rPr>
                <w:rFonts w:ascii="Arial" w:cs="Arial" w:eastAsia="Arial" w:hAnsi="Arial"/>
                <w:sz w:val="17"/>
                <w:szCs w:val="17"/>
                <w:color w:val="auto"/>
              </w:rPr>
              <w:t>F-2</w:t>
            </w:r>
          </w:p>
        </w:tc>
      </w:tr>
      <w:tr>
        <w:trPr>
          <w:trHeight w:val="189"/>
        </w:trPr>
        <w:tc>
          <w:tcPr>
            <w:tcW w:w="7540" w:type="dxa"/>
            <w:vAlign w:val="bottom"/>
          </w:tcPr>
          <w:p>
            <w:pPr>
              <w:spacing w:after="0" w:line="189" w:lineRule="exact"/>
              <w:rPr>
                <w:rFonts w:ascii="Arial" w:cs="Arial" w:eastAsia="Arial" w:hAnsi="Arial"/>
                <w:sz w:val="17"/>
                <w:szCs w:val="17"/>
                <w:u w:val="single" w:color="auto"/>
                <w:color w:val="0000EE"/>
              </w:rPr>
            </w:pPr>
            <w:hyperlink w:anchor="page182">
              <w:r>
                <w:rPr>
                  <w:rFonts w:ascii="Arial" w:cs="Arial" w:eastAsia="Arial" w:hAnsi="Arial"/>
                  <w:sz w:val="17"/>
                  <w:szCs w:val="17"/>
                  <w:u w:val="single" w:color="auto"/>
                  <w:color w:val="0000EE"/>
                </w:rPr>
                <w:t>Balance Sheet</w:t>
              </w:r>
            </w:hyperlink>
          </w:p>
        </w:tc>
        <w:tc>
          <w:tcPr>
            <w:tcW w:w="3480" w:type="dxa"/>
            <w:vAlign w:val="bottom"/>
          </w:tcPr>
          <w:p>
            <w:pPr>
              <w:ind w:left="3160"/>
              <w:spacing w:after="0" w:line="189" w:lineRule="exact"/>
              <w:rPr>
                <w:sz w:val="20"/>
                <w:szCs w:val="20"/>
                <w:color w:val="auto"/>
              </w:rPr>
            </w:pPr>
            <w:r>
              <w:rPr>
                <w:rFonts w:ascii="Arial" w:cs="Arial" w:eastAsia="Arial" w:hAnsi="Arial"/>
                <w:sz w:val="17"/>
                <w:szCs w:val="17"/>
                <w:color w:val="auto"/>
              </w:rPr>
              <w:t>F-3</w:t>
            </w:r>
          </w:p>
        </w:tc>
      </w:tr>
      <w:tr>
        <w:trPr>
          <w:trHeight w:val="231"/>
        </w:trPr>
        <w:tc>
          <w:tcPr>
            <w:tcW w:w="7540" w:type="dxa"/>
            <w:vAlign w:val="bottom"/>
          </w:tcPr>
          <w:p>
            <w:pPr>
              <w:spacing w:after="0"/>
              <w:rPr>
                <w:rFonts w:ascii="Arial" w:cs="Arial" w:eastAsia="Arial" w:hAnsi="Arial"/>
                <w:sz w:val="17"/>
                <w:szCs w:val="17"/>
                <w:u w:val="single" w:color="auto"/>
                <w:color w:val="0000EE"/>
              </w:rPr>
            </w:pPr>
            <w:hyperlink w:anchor="page183">
              <w:r>
                <w:rPr>
                  <w:rFonts w:ascii="Arial" w:cs="Arial" w:eastAsia="Arial" w:hAnsi="Arial"/>
                  <w:sz w:val="17"/>
                  <w:szCs w:val="17"/>
                  <w:u w:val="single" w:color="auto"/>
                  <w:color w:val="0000EE"/>
                </w:rPr>
                <w:t>Notes to Balance Sheet</w:t>
              </w:r>
            </w:hyperlink>
          </w:p>
        </w:tc>
        <w:tc>
          <w:tcPr>
            <w:tcW w:w="3480" w:type="dxa"/>
            <w:vAlign w:val="bottom"/>
          </w:tcPr>
          <w:p>
            <w:pPr>
              <w:ind w:left="3160"/>
              <w:spacing w:after="0"/>
              <w:rPr>
                <w:sz w:val="20"/>
                <w:szCs w:val="20"/>
                <w:color w:val="auto"/>
              </w:rPr>
            </w:pPr>
            <w:r>
              <w:rPr>
                <w:rFonts w:ascii="Arial" w:cs="Arial" w:eastAsia="Arial" w:hAnsi="Arial"/>
                <w:sz w:val="17"/>
                <w:szCs w:val="17"/>
                <w:color w:val="auto"/>
              </w:rPr>
              <w:t>F-4</w:t>
            </w:r>
          </w:p>
        </w:tc>
      </w:tr>
      <w:tr>
        <w:trPr>
          <w:trHeight w:val="203"/>
        </w:trPr>
        <w:tc>
          <w:tcPr>
            <w:tcW w:w="754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r>
    </w:tbl>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149860</wp:posOffset>
            </wp:positionV>
            <wp:extent cx="69951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80" w:type="dxa"/>
            <w:vAlign w:val="bottom"/>
          </w:tcPr>
          <w:p>
            <w:pPr>
              <w:spacing w:after="0"/>
              <w:rPr>
                <w:rFonts w:ascii="Arial" w:cs="Arial" w:eastAsia="Arial" w:hAnsi="Arial"/>
                <w:sz w:val="17"/>
                <w:szCs w:val="17"/>
                <w:u w:val="single" w:color="auto"/>
                <w:color w:val="0000EE"/>
              </w:rPr>
            </w:pPr>
            <w:hyperlink w:anchor="page184">
              <w:r>
                <w:rPr>
                  <w:rFonts w:ascii="Arial" w:cs="Arial" w:eastAsia="Arial" w:hAnsi="Arial"/>
                  <w:sz w:val="17"/>
                  <w:szCs w:val="17"/>
                  <w:u w:val="single" w:color="auto"/>
                  <w:color w:val="0000EE"/>
                </w:rPr>
                <w:t>Report of Independent Registered Public Accounting Firm</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7"/>
                <w:szCs w:val="17"/>
                <w:color w:val="auto"/>
              </w:rPr>
              <w:t>Consolidated Financial Statements:</w:t>
            </w:r>
          </w:p>
        </w:tc>
        <w:tc>
          <w:tcPr>
            <w:tcW w:w="640" w:type="dxa"/>
            <w:vAlign w:val="bottom"/>
          </w:tcPr>
          <w:p>
            <w:pPr>
              <w:spacing w:after="0"/>
              <w:rPr>
                <w:sz w:val="16"/>
                <w:szCs w:val="16"/>
                <w:color w:val="auto"/>
              </w:rPr>
            </w:pP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5">
              <w:r>
                <w:rPr>
                  <w:rFonts w:ascii="Arial" w:cs="Arial" w:eastAsia="Arial" w:hAnsi="Arial"/>
                  <w:sz w:val="17"/>
                  <w:szCs w:val="17"/>
                  <w:u w:val="single" w:color="auto"/>
                  <w:color w:val="0000EE"/>
                </w:rPr>
                <w:t>Consolidated Balance Sheets as of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F-6</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6">
              <w:r>
                <w:rPr>
                  <w:rFonts w:ascii="Arial" w:cs="Arial" w:eastAsia="Arial" w:hAnsi="Arial"/>
                  <w:sz w:val="17"/>
                  <w:szCs w:val="17"/>
                  <w:u w:val="single" w:color="auto"/>
                  <w:color w:val="0000EE"/>
                </w:rPr>
                <w:t>Consolidated Statements of Operations and Comprehensive Loss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F-7</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7">
              <w:r>
                <w:rPr>
                  <w:rFonts w:ascii="Arial" w:cs="Arial" w:eastAsia="Arial" w:hAnsi="Arial"/>
                  <w:sz w:val="17"/>
                  <w:szCs w:val="17"/>
                  <w:u w:val="single" w:color="auto"/>
                  <w:color w:val="0000EE"/>
                </w:rPr>
                <w:t>Consolidated Statements of Convertible Preferred Shares and Shareholders’ Deficit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F-8</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8">
              <w:r>
                <w:rPr>
                  <w:rFonts w:ascii="Arial" w:cs="Arial" w:eastAsia="Arial" w:hAnsi="Arial"/>
                  <w:sz w:val="17"/>
                  <w:szCs w:val="17"/>
                  <w:u w:val="single" w:color="auto"/>
                  <w:color w:val="0000EE"/>
                </w:rPr>
                <w:t>Consolidated Statements of Cash Flows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F-9</w:t>
            </w:r>
          </w:p>
        </w:tc>
      </w:tr>
      <w:tr>
        <w:trPr>
          <w:trHeight w:val="231"/>
        </w:trPr>
        <w:tc>
          <w:tcPr>
            <w:tcW w:w="10380" w:type="dxa"/>
            <w:vAlign w:val="bottom"/>
          </w:tcPr>
          <w:p>
            <w:pPr>
              <w:spacing w:after="0"/>
              <w:rPr>
                <w:rFonts w:ascii="Arial" w:cs="Arial" w:eastAsia="Arial" w:hAnsi="Arial"/>
                <w:sz w:val="17"/>
                <w:szCs w:val="17"/>
                <w:u w:val="single" w:color="auto"/>
                <w:color w:val="0000EE"/>
              </w:rPr>
            </w:pPr>
            <w:hyperlink w:anchor="page189">
              <w:r>
                <w:rPr>
                  <w:rFonts w:ascii="Arial" w:cs="Arial" w:eastAsia="Arial" w:hAnsi="Arial"/>
                  <w:sz w:val="17"/>
                  <w:szCs w:val="17"/>
                  <w:u w:val="single" w:color="auto"/>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F-10</w:t>
            </w:r>
          </w:p>
        </w:tc>
      </w:tr>
      <w:tr>
        <w:trPr>
          <w:trHeight w:val="203"/>
        </w:trPr>
        <w:tc>
          <w:tcPr>
            <w:tcW w:w="10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bl>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149860</wp:posOffset>
            </wp:positionV>
            <wp:extent cx="6995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440" w:type="dxa"/>
            <w:vAlign w:val="bottom"/>
            <w:gridSpan w:val="6"/>
          </w:tcPr>
          <w:p>
            <w:pPr>
              <w:spacing w:after="0"/>
              <w:rPr>
                <w:rFonts w:ascii="Arial" w:cs="Arial" w:eastAsia="Arial" w:hAnsi="Arial"/>
                <w:sz w:val="17"/>
                <w:szCs w:val="17"/>
                <w:u w:val="single" w:color="auto"/>
                <w:color w:val="0000EE"/>
              </w:rPr>
            </w:pPr>
            <w:hyperlink w:anchor="page212">
              <w:r>
                <w:rPr>
                  <w:rFonts w:ascii="Arial" w:cs="Arial" w:eastAsia="Arial" w:hAnsi="Arial"/>
                  <w:sz w:val="17"/>
                  <w:szCs w:val="17"/>
                  <w:u w:val="single" w:color="auto"/>
                  <w:color w:val="0000EE"/>
                </w:rPr>
                <w:t>Condensed Consolidated Balance Sheets as of December 31, 2019 and September 30, 2020</w:t>
              </w:r>
            </w:hyperlink>
          </w:p>
        </w:tc>
        <w:tc>
          <w:tcPr>
            <w:tcW w:w="580" w:type="dxa"/>
            <w:vAlign w:val="bottom"/>
          </w:tcPr>
          <w:p>
            <w:pPr>
              <w:ind w:left="160"/>
              <w:spacing w:after="0"/>
              <w:rPr>
                <w:sz w:val="20"/>
                <w:szCs w:val="20"/>
                <w:color w:val="auto"/>
              </w:rPr>
            </w:pPr>
            <w:r>
              <w:rPr>
                <w:rFonts w:ascii="Arial" w:cs="Arial" w:eastAsia="Arial" w:hAnsi="Arial"/>
                <w:sz w:val="17"/>
                <w:szCs w:val="17"/>
                <w:color w:val="auto"/>
              </w:rPr>
              <w:t>F-33</w:t>
            </w:r>
          </w:p>
        </w:tc>
        <w:tc>
          <w:tcPr>
            <w:tcW w:w="0" w:type="dxa"/>
            <w:vAlign w:val="bottom"/>
          </w:tcPr>
          <w:p>
            <w:pPr>
              <w:spacing w:after="0"/>
              <w:rPr>
                <w:sz w:val="1"/>
                <w:szCs w:val="1"/>
                <w:color w:val="auto"/>
              </w:rPr>
            </w:pPr>
          </w:p>
        </w:tc>
      </w:tr>
      <w:tr>
        <w:trPr>
          <w:trHeight w:val="190"/>
        </w:trPr>
        <w:tc>
          <w:tcPr>
            <w:tcW w:w="10440" w:type="dxa"/>
            <w:vAlign w:val="bottom"/>
            <w:gridSpan w:val="6"/>
          </w:tcPr>
          <w:p>
            <w:pPr>
              <w:spacing w:after="0" w:line="190" w:lineRule="exact"/>
              <w:rPr>
                <w:rFonts w:ascii="Arial" w:cs="Arial" w:eastAsia="Arial" w:hAnsi="Arial"/>
                <w:sz w:val="17"/>
                <w:szCs w:val="17"/>
                <w:color w:val="0000EE"/>
              </w:rPr>
            </w:pPr>
            <w:hyperlink w:anchor="page213">
              <w:r>
                <w:rPr>
                  <w:rFonts w:ascii="Arial" w:cs="Arial" w:eastAsia="Arial" w:hAnsi="Arial"/>
                  <w:sz w:val="17"/>
                  <w:szCs w:val="17"/>
                  <w:color w:val="0000EE"/>
                </w:rPr>
                <w:t>Condensed Consolidated Statements of Operations and Comprehensive Loss for the three and nine months ended September 30, 2019</w:t>
              </w:r>
            </w:hyperlink>
          </w:p>
        </w:tc>
        <w:tc>
          <w:tcPr>
            <w:tcW w:w="580" w:type="dxa"/>
            <w:vAlign w:val="bottom"/>
            <w:vMerge w:val="restart"/>
          </w:tcPr>
          <w:p>
            <w:pPr>
              <w:ind w:left="160"/>
              <w:spacing w:after="0"/>
              <w:rPr>
                <w:sz w:val="20"/>
                <w:szCs w:val="20"/>
                <w:color w:val="auto"/>
              </w:rPr>
            </w:pPr>
            <w:r>
              <w:rPr>
                <w:rFonts w:ascii="Arial" w:cs="Arial" w:eastAsia="Arial" w:hAnsi="Arial"/>
                <w:sz w:val="17"/>
                <w:szCs w:val="17"/>
                <w:color w:val="auto"/>
              </w:rPr>
              <w:t>F-34</w:t>
            </w:r>
          </w:p>
        </w:tc>
        <w:tc>
          <w:tcPr>
            <w:tcW w:w="0" w:type="dxa"/>
            <w:vAlign w:val="bottom"/>
          </w:tcPr>
          <w:p>
            <w:pPr>
              <w:spacing w:after="0"/>
              <w:rPr>
                <w:sz w:val="1"/>
                <w:szCs w:val="1"/>
                <w:color w:val="auto"/>
              </w:rPr>
            </w:pPr>
          </w:p>
        </w:tc>
      </w:tr>
      <w:tr>
        <w:trPr>
          <w:trHeight w:val="169"/>
        </w:trPr>
        <w:tc>
          <w:tcPr>
            <w:tcW w:w="240" w:type="dxa"/>
            <w:vAlign w:val="bottom"/>
            <w:tcBorders>
              <w:top w:val="single" w:sz="8" w:color="0000EE"/>
            </w:tcBorders>
          </w:tcPr>
          <w:p>
            <w:pPr>
              <w:spacing w:after="0"/>
              <w:rPr>
                <w:sz w:val="14"/>
                <w:szCs w:val="14"/>
                <w:color w:val="auto"/>
              </w:rPr>
            </w:pPr>
          </w:p>
        </w:tc>
        <w:tc>
          <w:tcPr>
            <w:tcW w:w="720" w:type="dxa"/>
            <w:vAlign w:val="bottom"/>
            <w:tcBorders>
              <w:top w:val="single" w:sz="8" w:color="0000EE"/>
              <w:bottom w:val="single" w:sz="8" w:color="0000EE"/>
            </w:tcBorders>
          </w:tcPr>
          <w:p>
            <w:pPr>
              <w:spacing w:after="0" w:line="169" w:lineRule="exact"/>
              <w:rPr>
                <w:rFonts w:ascii="Arial" w:cs="Arial" w:eastAsia="Arial" w:hAnsi="Arial"/>
                <w:sz w:val="17"/>
                <w:szCs w:val="17"/>
                <w:color w:val="0000EE"/>
                <w:w w:val="98"/>
              </w:rPr>
            </w:pPr>
            <w:hyperlink w:anchor="page213">
              <w:r>
                <w:rPr>
                  <w:rFonts w:ascii="Arial" w:cs="Arial" w:eastAsia="Arial" w:hAnsi="Arial"/>
                  <w:sz w:val="17"/>
                  <w:szCs w:val="17"/>
                  <w:color w:val="0000EE"/>
                  <w:w w:val="98"/>
                </w:rPr>
                <w:t>and 2020</w:t>
              </w:r>
            </w:hyperlink>
          </w:p>
        </w:tc>
        <w:tc>
          <w:tcPr>
            <w:tcW w:w="9320" w:type="dxa"/>
            <w:vAlign w:val="bottom"/>
            <w:tcBorders>
              <w:top w:val="single" w:sz="8" w:color="0000EE"/>
            </w:tcBorders>
            <w:gridSpan w:val="3"/>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spacing w:after="0" w:line="169" w:lineRule="exact"/>
              <w:rPr>
                <w:rFonts w:ascii="Arial" w:cs="Arial" w:eastAsia="Arial" w:hAnsi="Arial"/>
                <w:sz w:val="17"/>
                <w:szCs w:val="17"/>
                <w:color w:val="0000EE"/>
              </w:rPr>
            </w:pPr>
            <w:hyperlink w:anchor="page214">
              <w:r>
                <w:rPr>
                  <w:rFonts w:ascii="Arial" w:cs="Arial" w:eastAsia="Arial" w:hAnsi="Arial"/>
                  <w:sz w:val="17"/>
                  <w:szCs w:val="17"/>
                  <w:color w:val="0000EE"/>
                </w:rPr>
                <w:t>Condensed</w:t>
              </w:r>
            </w:hyperlink>
          </w:p>
        </w:tc>
        <w:tc>
          <w:tcPr>
            <w:tcW w:w="9480" w:type="dxa"/>
            <w:vAlign w:val="bottom"/>
            <w:gridSpan w:val="4"/>
          </w:tcPr>
          <w:p>
            <w:pPr>
              <w:jc w:val="center"/>
              <w:ind w:right="420"/>
              <w:spacing w:after="0" w:line="169" w:lineRule="exact"/>
              <w:rPr>
                <w:rFonts w:ascii="Arial" w:cs="Arial" w:eastAsia="Arial" w:hAnsi="Arial"/>
                <w:sz w:val="17"/>
                <w:szCs w:val="17"/>
                <w:color w:val="0000EE"/>
                <w:w w:val="99"/>
              </w:rPr>
            </w:pPr>
            <w:hyperlink w:anchor="page214">
              <w:r>
                <w:rPr>
                  <w:rFonts w:ascii="Arial" w:cs="Arial" w:eastAsia="Arial" w:hAnsi="Arial"/>
                  <w:sz w:val="17"/>
                  <w:szCs w:val="17"/>
                  <w:color w:val="0000EE"/>
                  <w:w w:val="99"/>
                </w:rPr>
                <w:t>Consolidated Statements of Convertible Preferred Stock and Shareholders’ Equity (Deficit) for the three and nine months</w:t>
              </w:r>
            </w:hyperlink>
          </w:p>
        </w:tc>
        <w:tc>
          <w:tcPr>
            <w:tcW w:w="580" w:type="dxa"/>
            <w:vAlign w:val="bottom"/>
            <w:vMerge w:val="restart"/>
          </w:tcPr>
          <w:p>
            <w:pPr>
              <w:ind w:left="160"/>
              <w:spacing w:after="0"/>
              <w:rPr>
                <w:sz w:val="20"/>
                <w:szCs w:val="20"/>
                <w:color w:val="auto"/>
              </w:rPr>
            </w:pPr>
            <w:r>
              <w:rPr>
                <w:rFonts w:ascii="Arial" w:cs="Arial" w:eastAsia="Arial" w:hAnsi="Arial"/>
                <w:sz w:val="17"/>
                <w:szCs w:val="17"/>
                <w:color w:val="auto"/>
              </w:rPr>
              <w:t>F-35</w:t>
            </w:r>
          </w:p>
        </w:tc>
        <w:tc>
          <w:tcPr>
            <w:tcW w:w="0" w:type="dxa"/>
            <w:vAlign w:val="bottom"/>
          </w:tcPr>
          <w:p>
            <w:pPr>
              <w:spacing w:after="0"/>
              <w:rPr>
                <w:sz w:val="1"/>
                <w:szCs w:val="1"/>
                <w:color w:val="auto"/>
              </w:rPr>
            </w:pPr>
          </w:p>
        </w:tc>
      </w:tr>
      <w:tr>
        <w:trPr>
          <w:trHeight w:val="169"/>
        </w:trPr>
        <w:tc>
          <w:tcPr>
            <w:tcW w:w="240" w:type="dxa"/>
            <w:vAlign w:val="bottom"/>
            <w:tcBorders>
              <w:top w:val="single" w:sz="8" w:color="0000EE"/>
            </w:tcBorders>
          </w:tcPr>
          <w:p>
            <w:pPr>
              <w:spacing w:after="0"/>
              <w:rPr>
                <w:sz w:val="14"/>
                <w:szCs w:val="14"/>
                <w:color w:val="auto"/>
              </w:rPr>
            </w:pPr>
          </w:p>
        </w:tc>
        <w:tc>
          <w:tcPr>
            <w:tcW w:w="2840" w:type="dxa"/>
            <w:vAlign w:val="bottom"/>
            <w:tcBorders>
              <w:top w:val="single" w:sz="8" w:color="0000EE"/>
              <w:bottom w:val="single" w:sz="8" w:color="0000EE"/>
            </w:tcBorders>
            <w:gridSpan w:val="2"/>
          </w:tcPr>
          <w:p>
            <w:pPr>
              <w:spacing w:after="0" w:line="169" w:lineRule="exact"/>
              <w:rPr>
                <w:rFonts w:ascii="Arial" w:cs="Arial" w:eastAsia="Arial" w:hAnsi="Arial"/>
                <w:sz w:val="17"/>
                <w:szCs w:val="17"/>
                <w:color w:val="0000EE"/>
              </w:rPr>
            </w:pPr>
            <w:hyperlink w:anchor="page214">
              <w:r>
                <w:rPr>
                  <w:rFonts w:ascii="Arial" w:cs="Arial" w:eastAsia="Arial" w:hAnsi="Arial"/>
                  <w:sz w:val="17"/>
                  <w:szCs w:val="17"/>
                  <w:color w:val="0000EE"/>
                </w:rPr>
                <w:t>ended September 30, 2019 and 2020</w:t>
              </w:r>
            </w:hyperlink>
          </w:p>
        </w:tc>
        <w:tc>
          <w:tcPr>
            <w:tcW w:w="6940" w:type="dxa"/>
            <w:vAlign w:val="bottom"/>
            <w:tcBorders>
              <w:top w:val="single" w:sz="8" w:color="0000EE"/>
            </w:tcBorders>
          </w:tcPr>
          <w:p>
            <w:pPr>
              <w:spacing w:after="0"/>
              <w:rPr>
                <w:sz w:val="14"/>
                <w:szCs w:val="14"/>
                <w:color w:val="auto"/>
              </w:rPr>
            </w:pPr>
          </w:p>
        </w:tc>
        <w:tc>
          <w:tcPr>
            <w:tcW w:w="420" w:type="dxa"/>
            <w:vAlign w:val="bottom"/>
            <w:gridSpan w:val="2"/>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80" w:type="dxa"/>
            <w:vAlign w:val="bottom"/>
            <w:gridSpan w:val="3"/>
          </w:tcPr>
          <w:p>
            <w:pPr>
              <w:spacing w:after="0" w:line="168" w:lineRule="exact"/>
              <w:rPr>
                <w:rFonts w:ascii="Arial" w:cs="Arial" w:eastAsia="Arial" w:hAnsi="Arial"/>
                <w:sz w:val="17"/>
                <w:szCs w:val="17"/>
                <w:u w:val="single" w:color="auto"/>
                <w:color w:val="0000EE"/>
              </w:rPr>
            </w:pPr>
            <w:hyperlink w:anchor="page216">
              <w:r>
                <w:rPr>
                  <w:rFonts w:ascii="Arial" w:cs="Arial" w:eastAsia="Arial" w:hAnsi="Arial"/>
                  <w:sz w:val="17"/>
                  <w:szCs w:val="17"/>
                  <w:u w:val="single" w:color="auto"/>
                  <w:color w:val="0000EE"/>
                </w:rPr>
                <w:t>Condensed Consolidated Statements of</w:t>
              </w:r>
            </w:hyperlink>
          </w:p>
        </w:tc>
        <w:tc>
          <w:tcPr>
            <w:tcW w:w="7360" w:type="dxa"/>
            <w:vAlign w:val="bottom"/>
            <w:gridSpan w:val="3"/>
          </w:tcPr>
          <w:p>
            <w:pPr>
              <w:spacing w:after="0" w:line="168" w:lineRule="exact"/>
              <w:rPr>
                <w:rFonts w:ascii="Arial" w:cs="Arial" w:eastAsia="Arial" w:hAnsi="Arial"/>
                <w:sz w:val="17"/>
                <w:szCs w:val="17"/>
                <w:u w:val="single" w:color="auto"/>
                <w:color w:val="0000EE"/>
              </w:rPr>
            </w:pPr>
            <w:hyperlink w:anchor="page216">
              <w:r>
                <w:rPr>
                  <w:rFonts w:ascii="Arial" w:cs="Arial" w:eastAsia="Arial" w:hAnsi="Arial"/>
                  <w:sz w:val="17"/>
                  <w:szCs w:val="17"/>
                  <w:u w:val="single" w:color="auto"/>
                  <w:color w:val="0000EE"/>
                </w:rPr>
                <w:t>Cash Flows for the nine months ended September 30, 2019 and 2020</w:t>
              </w:r>
            </w:hyperlink>
          </w:p>
        </w:tc>
        <w:tc>
          <w:tcPr>
            <w:tcW w:w="580" w:type="dxa"/>
            <w:vAlign w:val="bottom"/>
          </w:tcPr>
          <w:p>
            <w:pPr>
              <w:ind w:left="160"/>
              <w:spacing w:after="0" w:line="168" w:lineRule="exact"/>
              <w:rPr>
                <w:sz w:val="20"/>
                <w:szCs w:val="20"/>
                <w:color w:val="auto"/>
              </w:rPr>
            </w:pPr>
            <w:r>
              <w:rPr>
                <w:rFonts w:ascii="Arial" w:cs="Arial" w:eastAsia="Arial" w:hAnsi="Arial"/>
                <w:sz w:val="17"/>
                <w:szCs w:val="17"/>
                <w:color w:val="auto"/>
              </w:rPr>
              <w:t>F-37</w:t>
            </w:r>
          </w:p>
        </w:tc>
        <w:tc>
          <w:tcPr>
            <w:tcW w:w="0" w:type="dxa"/>
            <w:vAlign w:val="bottom"/>
          </w:tcPr>
          <w:p>
            <w:pPr>
              <w:spacing w:after="0"/>
              <w:rPr>
                <w:sz w:val="1"/>
                <w:szCs w:val="1"/>
                <w:color w:val="auto"/>
              </w:rPr>
            </w:pPr>
          </w:p>
        </w:tc>
      </w:tr>
      <w:tr>
        <w:trPr>
          <w:trHeight w:val="231"/>
        </w:trPr>
        <w:tc>
          <w:tcPr>
            <w:tcW w:w="10440" w:type="dxa"/>
            <w:vAlign w:val="bottom"/>
            <w:gridSpan w:val="6"/>
          </w:tcPr>
          <w:p>
            <w:pPr>
              <w:spacing w:after="0"/>
              <w:rPr>
                <w:rFonts w:ascii="Arial" w:cs="Arial" w:eastAsia="Arial" w:hAnsi="Arial"/>
                <w:sz w:val="17"/>
                <w:szCs w:val="17"/>
                <w:u w:val="single" w:color="auto"/>
                <w:color w:val="0000EE"/>
              </w:rPr>
            </w:pPr>
            <w:hyperlink w:anchor="page217">
              <w:r>
                <w:rPr>
                  <w:rFonts w:ascii="Arial" w:cs="Arial" w:eastAsia="Arial" w:hAnsi="Arial"/>
                  <w:sz w:val="17"/>
                  <w:szCs w:val="17"/>
                  <w:u w:val="single" w:color="auto"/>
                  <w:color w:val="0000EE"/>
                </w:rPr>
                <w:t>Notes to Unaudited Condensed Consolidated Financial Statements</w:t>
              </w:r>
            </w:hyperlink>
          </w:p>
        </w:tc>
        <w:tc>
          <w:tcPr>
            <w:tcW w:w="580" w:type="dxa"/>
            <w:vAlign w:val="bottom"/>
          </w:tcPr>
          <w:p>
            <w:pPr>
              <w:ind w:left="160"/>
              <w:spacing w:after="0"/>
              <w:rPr>
                <w:sz w:val="20"/>
                <w:szCs w:val="20"/>
                <w:color w:val="auto"/>
              </w:rPr>
            </w:pPr>
            <w:r>
              <w:rPr>
                <w:rFonts w:ascii="Arial" w:cs="Arial" w:eastAsia="Arial" w:hAnsi="Arial"/>
                <w:sz w:val="17"/>
                <w:szCs w:val="17"/>
                <w:color w:val="auto"/>
              </w:rPr>
              <w:t>F-38</w:t>
            </w:r>
          </w:p>
        </w:tc>
        <w:tc>
          <w:tcPr>
            <w:tcW w:w="0" w:type="dxa"/>
            <w:vAlign w:val="bottom"/>
          </w:tcPr>
          <w:p>
            <w:pPr>
              <w:spacing w:after="0"/>
              <w:rPr>
                <w:sz w:val="1"/>
                <w:szCs w:val="1"/>
                <w:color w:val="auto"/>
              </w:rPr>
            </w:pPr>
          </w:p>
        </w:tc>
      </w:tr>
      <w:tr>
        <w:trPr>
          <w:trHeight w:val="203"/>
        </w:trPr>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69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5"/>
        </w:trPr>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360" w:type="dxa"/>
            <w:vAlign w:val="bottom"/>
            <w:gridSpan w:val="3"/>
          </w:tcPr>
          <w:p>
            <w:pPr>
              <w:jc w:val="center"/>
              <w:ind w:right="2520"/>
              <w:spacing w:after="0"/>
              <w:rPr>
                <w:sz w:val="20"/>
                <w:szCs w:val="20"/>
                <w:color w:val="auto"/>
              </w:rPr>
            </w:pPr>
            <w:r>
              <w:rPr>
                <w:rFonts w:ascii="Arial" w:cs="Arial" w:eastAsia="Arial" w:hAnsi="Arial"/>
                <w:sz w:val="16"/>
                <w:szCs w:val="16"/>
                <w:color w:val="auto"/>
                <w:w w:val="99"/>
              </w:rPr>
              <w:t>F-1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Stockholders and Board of Directors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ALX Oncology Holdings Inc.:</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Financial Statement</w:t>
      </w:r>
    </w:p>
    <w:p>
      <w:pPr>
        <w:spacing w:after="0" w:line="100" w:lineRule="exact"/>
        <w:rPr>
          <w:sz w:val="20"/>
          <w:szCs w:val="20"/>
          <w:color w:val="auto"/>
        </w:rPr>
      </w:pPr>
    </w:p>
    <w:p>
      <w:pPr>
        <w:jc w:val="both"/>
        <w:ind w:left="120" w:right="140"/>
        <w:spacing w:after="0" w:line="253" w:lineRule="auto"/>
        <w:rPr>
          <w:sz w:val="20"/>
          <w:szCs w:val="20"/>
          <w:color w:val="auto"/>
        </w:rPr>
      </w:pPr>
      <w:r>
        <w:rPr>
          <w:rFonts w:ascii="Arial" w:cs="Arial" w:eastAsia="Arial" w:hAnsi="Arial"/>
          <w:sz w:val="17"/>
          <w:szCs w:val="17"/>
          <w:color w:val="auto"/>
        </w:rPr>
        <w:t>We have audited the accompanying balance sheet of ALX Oncology Holdings Inc. (the Company) as of April 1, 2020 (inception), and the related notes (collectively, the financial statement). In our opinion, the financial statement presents fairly, in all material respects, the financial position of the Company as of April 1, 2020 (inception), in conformity with U.S. generally accepted accounting principles.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59"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2020.</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spacing w:after="0" w:line="16" w:lineRule="exact"/>
        <w:rPr>
          <w:sz w:val="20"/>
          <w:szCs w:val="20"/>
          <w:color w:val="auto"/>
        </w:rPr>
      </w:pPr>
    </w:p>
    <w:p>
      <w:pPr>
        <w:ind w:left="120" w:right="340"/>
        <w:spacing w:after="0" w:line="248" w:lineRule="auto"/>
        <w:rPr>
          <w:sz w:val="20"/>
          <w:szCs w:val="20"/>
          <w:color w:val="auto"/>
        </w:rPr>
      </w:pPr>
      <w:r>
        <w:rPr>
          <w:rFonts w:ascii="Arial" w:cs="Arial" w:eastAsia="Arial" w:hAnsi="Arial"/>
          <w:sz w:val="17"/>
          <w:szCs w:val="17"/>
          <w:color w:val="auto"/>
        </w:rPr>
        <w:t>June 12, 2020, except for the retroactive effect of the reverse stock split as described under the heading ‘Reverse Stock Split’ in Note 4, as to which the date is July 13, 2020</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060" w:type="dxa"/>
            <w:vAlign w:val="bottom"/>
          </w:tcPr>
          <w:p>
            <w:pPr>
              <w:ind w:left="4060"/>
              <w:spacing w:after="0"/>
              <w:rPr>
                <w:sz w:val="20"/>
                <w:szCs w:val="20"/>
                <w:color w:val="auto"/>
              </w:rPr>
            </w:pPr>
            <w:r>
              <w:rPr>
                <w:rFonts w:ascii="Arial" w:cs="Arial" w:eastAsia="Arial" w:hAnsi="Arial"/>
                <w:sz w:val="18"/>
                <w:szCs w:val="18"/>
                <w:b w:val="1"/>
                <w:bCs w:val="1"/>
                <w:color w:val="auto"/>
              </w:rPr>
              <w:t>ALX ONCOLOGY HOLDINGS INC.</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10"/>
        </w:trPr>
        <w:tc>
          <w:tcPr>
            <w:tcW w:w="10060" w:type="dxa"/>
            <w:vAlign w:val="bottom"/>
          </w:tcPr>
          <w:p>
            <w:pPr>
              <w:ind w:left="488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3"/>
        </w:trPr>
        <w:tc>
          <w:tcPr>
            <w:tcW w:w="10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370"/>
        </w:trPr>
        <w:tc>
          <w:tcPr>
            <w:tcW w:w="10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1,</w:t>
            </w:r>
          </w:p>
        </w:tc>
      </w:tr>
      <w:tr>
        <w:trPr>
          <w:trHeight w:val="162"/>
        </w:trPr>
        <w:tc>
          <w:tcPr>
            <w:tcW w:w="10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7"/>
        </w:trPr>
        <w:tc>
          <w:tcPr>
            <w:tcW w:w="10060" w:type="dxa"/>
            <w:vAlign w:val="bottom"/>
          </w:tcPr>
          <w:p>
            <w:pPr>
              <w:spacing w:after="0"/>
              <w:rPr>
                <w:sz w:val="15"/>
                <w:szCs w:val="15"/>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(INCEPTION)</w:t>
            </w:r>
          </w:p>
        </w:tc>
      </w:tr>
      <w:tr>
        <w:trPr>
          <w:trHeight w:val="169"/>
        </w:trPr>
        <w:tc>
          <w:tcPr>
            <w:tcW w:w="100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89"/>
        </w:trPr>
        <w:tc>
          <w:tcPr>
            <w:tcW w:w="10060" w:type="dxa"/>
            <w:vAlign w:val="bottom"/>
          </w:tcPr>
          <w:p>
            <w:pPr>
              <w:ind w:left="240"/>
              <w:spacing w:after="0" w:line="189" w:lineRule="exact"/>
              <w:rPr>
                <w:sz w:val="20"/>
                <w:szCs w:val="20"/>
                <w:color w:val="auto"/>
              </w:rPr>
            </w:pPr>
            <w:r>
              <w:rPr>
                <w:rFonts w:ascii="Arial" w:cs="Arial" w:eastAsia="Arial" w:hAnsi="Arial"/>
                <w:sz w:val="17"/>
                <w:szCs w:val="17"/>
                <w:color w:val="auto"/>
              </w:rPr>
              <w:t>Total assets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3"/>
          </w:tcPr>
          <w:p>
            <w:pPr>
              <w:ind w:left="580"/>
              <w:spacing w:after="0" w:line="189" w:lineRule="exact"/>
              <w:rPr>
                <w:sz w:val="20"/>
                <w:szCs w:val="20"/>
                <w:color w:val="auto"/>
              </w:rPr>
            </w:pPr>
            <w:r>
              <w:rPr>
                <w:rFonts w:ascii="Arial" w:cs="Arial" w:eastAsia="Arial" w:hAnsi="Arial"/>
                <w:sz w:val="17"/>
                <w:szCs w:val="17"/>
                <w:color w:val="auto"/>
              </w:rPr>
              <w:t>—</w:t>
            </w:r>
          </w:p>
        </w:tc>
      </w:tr>
      <w:tr>
        <w:trPr>
          <w:trHeight w:val="20"/>
        </w:trPr>
        <w:tc>
          <w:tcPr>
            <w:tcW w:w="10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0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Liabilities and stockholders’ equity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9"/>
        </w:trPr>
        <w:tc>
          <w:tcPr>
            <w:tcW w:w="10060" w:type="dxa"/>
            <w:vAlign w:val="bottom"/>
          </w:tcPr>
          <w:p>
            <w:pPr>
              <w:ind w:left="240"/>
              <w:spacing w:after="0" w:line="189" w:lineRule="exact"/>
              <w:rPr>
                <w:sz w:val="20"/>
                <w:szCs w:val="20"/>
                <w:color w:val="auto"/>
              </w:rPr>
            </w:pPr>
            <w:r>
              <w:rPr>
                <w:rFonts w:ascii="Arial" w:cs="Arial" w:eastAsia="Arial" w:hAnsi="Arial"/>
                <w:sz w:val="17"/>
                <w:szCs w:val="17"/>
                <w:color w:val="auto"/>
              </w:rPr>
              <w:t>Total liabilities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3"/>
          </w:tcPr>
          <w:p>
            <w:pPr>
              <w:ind w:left="580"/>
              <w:spacing w:after="0" w:line="189" w:lineRule="exact"/>
              <w:rPr>
                <w:sz w:val="20"/>
                <w:szCs w:val="20"/>
                <w:color w:val="auto"/>
              </w:rPr>
            </w:pPr>
            <w:r>
              <w:rPr>
                <w:rFonts w:ascii="Arial" w:cs="Arial" w:eastAsia="Arial" w:hAnsi="Arial"/>
                <w:sz w:val="17"/>
                <w:szCs w:val="17"/>
                <w:color w:val="auto"/>
              </w:rPr>
              <w:t>—</w:t>
            </w:r>
          </w:p>
        </w:tc>
      </w:tr>
      <w:tr>
        <w:trPr>
          <w:trHeight w:val="189"/>
        </w:trPr>
        <w:tc>
          <w:tcPr>
            <w:tcW w:w="10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10060" w:type="dxa"/>
            <w:vAlign w:val="bottom"/>
          </w:tcPr>
          <w:p>
            <w:pPr>
              <w:spacing w:after="0" w:line="189" w:lineRule="exact"/>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10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Common stock, $0.001 par value, 151 shares authorized, none issued and outstanding</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ind w:left="580"/>
              <w:spacing w:after="0" w:line="189" w:lineRule="exact"/>
              <w:rPr>
                <w:sz w:val="20"/>
                <w:szCs w:val="20"/>
                <w:color w:val="auto"/>
              </w:rPr>
            </w:pPr>
            <w:r>
              <w:rPr>
                <w:rFonts w:ascii="Arial" w:cs="Arial" w:eastAsia="Arial" w:hAnsi="Arial"/>
                <w:sz w:val="17"/>
                <w:szCs w:val="17"/>
                <w:color w:val="auto"/>
              </w:rPr>
              <w:t>—</w:t>
            </w:r>
          </w:p>
        </w:tc>
      </w:tr>
      <w:tr>
        <w:trPr>
          <w:trHeight w:val="196"/>
        </w:trPr>
        <w:tc>
          <w:tcPr>
            <w:tcW w:w="1006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7"/>
                <w:szCs w:val="17"/>
                <w:color w:val="auto"/>
                <w:w w:val="93"/>
              </w:rPr>
              <w:t>—</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this balance sheet.</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140"/>
          </w:cols>
          <w:pgMar w:left="320" w:top="455" w:right="4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Balance Sheet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60" w:lineRule="exact"/>
        <w:rPr>
          <w:sz w:val="20"/>
          <w:szCs w:val="20"/>
          <w:color w:val="auto"/>
        </w:rPr>
      </w:pPr>
    </w:p>
    <w:p>
      <w:pPr>
        <w:ind w:left="120" w:right="220"/>
        <w:spacing w:after="0"/>
        <w:rPr>
          <w:sz w:val="20"/>
          <w:szCs w:val="20"/>
          <w:color w:val="auto"/>
        </w:rPr>
      </w:pPr>
      <w:r>
        <w:rPr>
          <w:rFonts w:ascii="Arial" w:cs="Arial" w:eastAsia="Arial" w:hAnsi="Arial"/>
          <w:sz w:val="17"/>
          <w:szCs w:val="17"/>
          <w:color w:val="auto"/>
        </w:rPr>
        <w:t>ALX Oncology Holdings Inc., or the Company, was formed as a Delaware corporation on April 1, 2020, or Inception. The Company was formed for the purpose of completing the initial public offering and related transactions in order to carry on the business of ALX Oncology Limited. After Inception, ALX Oncology Limited became a wholly-owned subsidiary of the Corporation as result of the internal reorganization. As part of the transaction, all of the equity, option and warrant holders of ALX Oncology Limited became equity, option and warrant holders of the Company, holding the same number of corresponding shares, options and/or warrants in the Company as they did in ALX Oncology Limited immediately prior to the reorganization.</w:t>
      </w:r>
    </w:p>
    <w:p>
      <w:pPr>
        <w:spacing w:after="0" w:line="180" w:lineRule="exact"/>
        <w:rPr>
          <w:sz w:val="20"/>
          <w:szCs w:val="20"/>
          <w:color w:val="auto"/>
        </w:rPr>
      </w:pPr>
    </w:p>
    <w:p>
      <w:pPr>
        <w:ind w:left="120" w:right="7020" w:hanging="4"/>
        <w:spacing w:after="0" w:line="294" w:lineRule="auto"/>
        <w:tabs>
          <w:tab w:leader="none" w:pos="3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7"/>
          <w:szCs w:val="17"/>
          <w:b w:val="1"/>
          <w:bCs w:val="1"/>
          <w:i w:val="1"/>
          <w:iCs w:val="1"/>
          <w:color w:val="auto"/>
        </w:rPr>
        <w:t>Basis of Preparation</w:t>
      </w:r>
    </w:p>
    <w:p>
      <w:pPr>
        <w:ind w:left="120" w:right="120"/>
        <w:spacing w:after="0" w:line="246" w:lineRule="auto"/>
        <w:rPr>
          <w:sz w:val="20"/>
          <w:szCs w:val="20"/>
          <w:color w:val="auto"/>
        </w:rPr>
      </w:pPr>
      <w:r>
        <w:rPr>
          <w:rFonts w:ascii="Arial" w:cs="Arial" w:eastAsia="Arial" w:hAnsi="Arial"/>
          <w:sz w:val="17"/>
          <w:szCs w:val="17"/>
          <w:color w:val="auto"/>
        </w:rPr>
        <w:t>The balance sheet is presented in accordance with accounting principles generally accepted in the United States of America, or U.S. GAAP. The statements of operations and comprehensive loss, stockholders’ equity, and cash flows have not been presented because there have been no activities at inception of this entity.</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Underwriting Commissions and Offering Costs</w:t>
      </w:r>
    </w:p>
    <w:p>
      <w:pPr>
        <w:spacing w:after="0" w:line="43" w:lineRule="exact"/>
        <w:rPr>
          <w:sz w:val="20"/>
          <w:szCs w:val="20"/>
          <w:color w:val="auto"/>
        </w:rPr>
      </w:pPr>
    </w:p>
    <w:p>
      <w:pPr>
        <w:ind w:left="120" w:right="500"/>
        <w:spacing w:after="0" w:line="261" w:lineRule="auto"/>
        <w:rPr>
          <w:sz w:val="20"/>
          <w:szCs w:val="20"/>
          <w:color w:val="auto"/>
        </w:rPr>
      </w:pPr>
      <w:r>
        <w:rPr>
          <w:rFonts w:ascii="Arial" w:cs="Arial" w:eastAsia="Arial" w:hAnsi="Arial"/>
          <w:sz w:val="17"/>
          <w:szCs w:val="17"/>
          <w:color w:val="auto"/>
        </w:rPr>
        <w:t>Underwriting commissions and offering costs to be incurred in connection with the Company’s common stock offerings will be reflected as a reduction in additional paid-in capital upon consummation of the equity financing.</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Organizational Costs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Organizational costs for costs incurred to organize the Company will be expensed as incurred.</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Stockholders’ Equity</w:t>
      </w:r>
    </w:p>
    <w:p>
      <w:pPr>
        <w:spacing w:after="0" w:line="60"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Company is authorized to issue 151 shares of common stock at $0.001 par value per share none of which are issued and outstanding as of inception on April 1, 2020.</w:t>
      </w:r>
    </w:p>
    <w:p>
      <w:pPr>
        <w:spacing w:after="0" w:line="149" w:lineRule="exact"/>
        <w:rPr>
          <w:sz w:val="20"/>
          <w:szCs w:val="20"/>
          <w:color w:val="auto"/>
        </w:rPr>
      </w:pPr>
    </w:p>
    <w:p>
      <w:pPr>
        <w:ind w:left="120" w:right="8840" w:hanging="4"/>
        <w:spacing w:after="0" w:line="294" w:lineRule="auto"/>
        <w:tabs>
          <w:tab w:leader="none" w:pos="32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7"/>
          <w:szCs w:val="17"/>
          <w:b w:val="1"/>
          <w:bCs w:val="1"/>
          <w:i w:val="1"/>
          <w:iCs w:val="1"/>
          <w:color w:val="auto"/>
        </w:rPr>
        <w:t>Authorized Share Increase</w:t>
      </w:r>
    </w:p>
    <w:p>
      <w:pPr>
        <w:ind w:left="120"/>
        <w:spacing w:after="0" w:line="246" w:lineRule="auto"/>
        <w:rPr>
          <w:sz w:val="20"/>
          <w:szCs w:val="20"/>
          <w:color w:val="auto"/>
        </w:rPr>
      </w:pPr>
      <w:r>
        <w:rPr>
          <w:rFonts w:ascii="Arial" w:cs="Arial" w:eastAsia="Arial" w:hAnsi="Arial"/>
          <w:sz w:val="17"/>
          <w:szCs w:val="17"/>
          <w:color w:val="auto"/>
        </w:rPr>
        <w:t>On April 1, 2020 (subsequent to inception), the Company increased its authorized shares from 151 to 1,519,618,271 shares of common stock and 9,297,100 Series A convertible preferred stock, 1,108,675 of Series B convertible preferred stock and 11,055,981 of Series C convertible preferred stock.</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43" w:lineRule="exact"/>
        <w:rPr>
          <w:sz w:val="20"/>
          <w:szCs w:val="20"/>
          <w:color w:val="auto"/>
        </w:rPr>
      </w:pPr>
    </w:p>
    <w:p>
      <w:pPr>
        <w:ind w:left="120" w:right="160"/>
        <w:spacing w:after="0" w:line="241" w:lineRule="auto"/>
        <w:rPr>
          <w:sz w:val="20"/>
          <w:szCs w:val="20"/>
          <w:color w:val="auto"/>
        </w:rPr>
      </w:pPr>
      <w:r>
        <w:rPr>
          <w:rFonts w:ascii="Arial" w:cs="Arial" w:eastAsia="Arial" w:hAnsi="Arial"/>
          <w:sz w:val="17"/>
          <w:szCs w:val="17"/>
          <w:color w:val="auto"/>
        </w:rPr>
        <w:t>On April 1, 2020 (subsequent to inception), the board of directors approved a new equity incentive plan, or the 2020 Equity Incentive Plan or the Plan, that replaced the 2015 Share Award Scheme. The Plan is for employees, non-employee directors and consultants covering 4,379,139 shares of the Company’s common stock and authorizes the award of stock options, restricted stock awards, stock appreciation rights and restricted stock units.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Reorganization</w:t>
      </w:r>
    </w:p>
    <w:p>
      <w:pPr>
        <w:spacing w:after="0" w:line="43"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On April 1, 2020 (subsequent to inception), the Company consummated the internal reorganization whereby the Company issued and sold to the existing shareholders of ALX Oncology Limited an aggregate of 3,166,946 shares of our common stock at purchase prices per share ranging from $0.007 to $1.91, an aggregate of 9,297,081 shares of our Series A convertible preferred stock at a purchase price per share of $6.58, an aggregate of 1,016,727 shares of our Series B convertible preferred stock at a purchase price per share of $9.4972 and an aggregate of 11,055,966 shares of our Series C convertible preferred stock at a purchase price per share of $9.4972, in exchange for promissory notes with an aggregate principal amount of $176.3 million. The Company also acquired 525,000,000 ordinary shares of ALX Oncology Limited in exchange for the promissory notes that were acquired in connection with such issuance and sale of the Company’s capital stock.</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43" w:lineRule="exact"/>
        <w:rPr>
          <w:sz w:val="20"/>
          <w:szCs w:val="20"/>
          <w:color w:val="auto"/>
        </w:rPr>
      </w:pPr>
    </w:p>
    <w:p>
      <w:pPr>
        <w:ind w:left="120" w:right="100"/>
        <w:spacing w:after="0" w:line="239" w:lineRule="auto"/>
        <w:rPr>
          <w:sz w:val="20"/>
          <w:szCs w:val="20"/>
          <w:color w:val="auto"/>
        </w:rPr>
      </w:pPr>
      <w:r>
        <w:rPr>
          <w:rFonts w:ascii="Arial" w:cs="Arial" w:eastAsia="Arial" w:hAnsi="Arial"/>
          <w:sz w:val="17"/>
          <w:szCs w:val="17"/>
          <w:color w:val="auto"/>
        </w:rPr>
        <w:t>On July 8, 2020, the Company’s board of directors approved an amendment to the Company’s certificate of incorporation to effect a 1-for-6.5806 reverse split of its common stock and convertible preferred stock. The par values of the common stock and convertible preferred stock were not adjusted as a result of the reverse stock split. All authorized, issued and outstanding common stock and convertible preferred stock and related per share amounts contained in the financial statements have been retroactively adjusted to reflect this reverse stock split for all periods presented. The reverse stock split was effected on July 9, 2020.</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Stockholders and Board of Directors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ALX Oncology Limited: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Consolidated Financial Statements</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audited the accompanying consolidated balance sheets of ALX Oncology Limited and subsidiaries (the Company) as of December 31, 2018 and 2019, the related consolidated statements of operations and comprehensive loss, convertible preferred shares and shareholders’ deficit, and cash flows for each of the years in the two-year period ended December 31, 2019, and the related notes (collectively, the consolidated financial statements). In our opinion, the consolidated financial statements present fairly, in all material respects, the financial position of the Company as of December 31, 2018 and 2019, and the results of its operations and its cash flows for each of the years in the two-year period ended December 31, 2019, in conformity with U.S. generally accepted accounting principles.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59" w:lineRule="exact"/>
        <w:rPr>
          <w:sz w:val="20"/>
          <w:szCs w:val="20"/>
          <w:color w:val="auto"/>
        </w:rPr>
      </w:pPr>
    </w:p>
    <w:p>
      <w:pPr>
        <w:ind w:left="120" w:right="200"/>
        <w:spacing w:after="0" w:line="24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2016.</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spacing w:after="0" w:line="16" w:lineRule="exact"/>
        <w:rPr>
          <w:sz w:val="20"/>
          <w:szCs w:val="20"/>
          <w:color w:val="auto"/>
        </w:rPr>
      </w:pPr>
    </w:p>
    <w:p>
      <w:pPr>
        <w:ind w:left="120" w:right="380"/>
        <w:spacing w:after="0" w:line="248" w:lineRule="auto"/>
        <w:rPr>
          <w:sz w:val="20"/>
          <w:szCs w:val="20"/>
          <w:color w:val="auto"/>
        </w:rPr>
      </w:pPr>
      <w:r>
        <w:rPr>
          <w:rFonts w:ascii="Arial" w:cs="Arial" w:eastAsia="Arial" w:hAnsi="Arial"/>
          <w:sz w:val="17"/>
          <w:szCs w:val="17"/>
          <w:color w:val="auto"/>
        </w:rPr>
        <w:t>May 5, 2020, except for the retroactive effect of the reverse stock split as described under the heading ‘Reverse Stock Split’ in Note 13, as to which the date is July 13, 2020</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8,262</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1,014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196"/>
        </w:trPr>
        <w:tc>
          <w:tcPr>
            <w:tcW w:w="920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956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11,164</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10,676</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shares and shareholders’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697</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3,748</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1,176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1,236</w:t>
            </w:r>
          </w:p>
        </w:tc>
        <w:tc>
          <w:tcPr>
            <w:tcW w:w="0" w:type="dxa"/>
            <w:vAlign w:val="bottom"/>
          </w:tcPr>
          <w:p>
            <w:pPr>
              <w:spacing w:after="0"/>
              <w:rPr>
                <w:sz w:val="1"/>
                <w:szCs w:val="1"/>
                <w:color w:val="auto"/>
              </w:rPr>
            </w:pPr>
          </w:p>
        </w:tc>
      </w:tr>
      <w:tr>
        <w:trPr>
          <w:trHeight w:val="196"/>
        </w:trPr>
        <w:tc>
          <w:tcPr>
            <w:tcW w:w="9200" w:type="dxa"/>
            <w:vAlign w:val="bottom"/>
          </w:tcPr>
          <w:p>
            <w:pPr>
              <w:ind w:left="500"/>
              <w:spacing w:after="0"/>
              <w:rPr>
                <w:sz w:val="20"/>
                <w:szCs w:val="20"/>
                <w:color w:val="auto"/>
              </w:rPr>
            </w:pPr>
            <w:r>
              <w:rPr>
                <w:rFonts w:ascii="Arial" w:cs="Arial" w:eastAsia="Arial" w:hAnsi="Arial"/>
                <w:sz w:val="17"/>
                <w:szCs w:val="17"/>
                <w:color w:val="auto"/>
              </w:rPr>
              <w:t>Total current liabilities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1,873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5,421</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Other long-term liabilities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136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3"/>
        </w:trPr>
        <w:tc>
          <w:tcPr>
            <w:tcW w:w="9200" w:type="dxa"/>
            <w:vAlign w:val="bottom"/>
          </w:tcPr>
          <w:p>
            <w:pPr>
              <w:ind w:left="500"/>
              <w:spacing w:after="0"/>
              <w:rPr>
                <w:sz w:val="20"/>
                <w:szCs w:val="20"/>
                <w:color w:val="auto"/>
              </w:rPr>
            </w:pPr>
            <w:r>
              <w:rPr>
                <w:rFonts w:ascii="Arial" w:cs="Arial" w:eastAsia="Arial" w:hAnsi="Arial"/>
                <w:sz w:val="17"/>
                <w:szCs w:val="17"/>
                <w:color w:val="auto"/>
              </w:rPr>
              <w:t>Total liabilities</w:t>
            </w: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(Note 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9200" w:type="dxa"/>
            <w:vAlign w:val="bottom"/>
          </w:tcPr>
          <w:p>
            <w:pPr>
              <w:spacing w:after="0" w:line="161" w:lineRule="exact"/>
              <w:rPr>
                <w:sz w:val="20"/>
                <w:szCs w:val="20"/>
                <w:color w:val="auto"/>
              </w:rPr>
            </w:pPr>
            <w:r>
              <w:rPr>
                <w:rFonts w:ascii="Arial" w:cs="Arial" w:eastAsia="Arial" w:hAnsi="Arial"/>
                <w:sz w:val="17"/>
                <w:szCs w:val="17"/>
                <w:color w:val="auto"/>
              </w:rPr>
              <w:t>Series A convertible preferred shares, $0.001 par value; 9,421,633 shares authorized; 9,297,081 shares issued and</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outstanding at December 31, 2018 and 2019, respectively; aggregate liquidation preference of $69,863 and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200" w:type="dxa"/>
            <w:vAlign w:val="bottom"/>
          </w:tcPr>
          <w:p>
            <w:pPr>
              <w:ind w:left="240"/>
              <w:spacing w:after="0"/>
              <w:rPr>
                <w:sz w:val="20"/>
                <w:szCs w:val="20"/>
                <w:color w:val="auto"/>
              </w:rPr>
            </w:pPr>
            <w:r>
              <w:rPr>
                <w:rFonts w:ascii="Arial" w:cs="Arial" w:eastAsia="Arial" w:hAnsi="Arial"/>
                <w:sz w:val="17"/>
                <w:szCs w:val="17"/>
                <w:color w:val="auto"/>
              </w:rPr>
              <w:t>$73,571 as of December 31, 2018 and 2019, respectively</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60,933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60,933</w:t>
            </w:r>
          </w:p>
        </w:tc>
        <w:tc>
          <w:tcPr>
            <w:tcW w:w="0" w:type="dxa"/>
            <w:vAlign w:val="bottom"/>
          </w:tcPr>
          <w:p>
            <w:pPr>
              <w:spacing w:after="0"/>
              <w:rPr>
                <w:sz w:val="1"/>
                <w:szCs w:val="1"/>
                <w:color w:val="auto"/>
              </w:rPr>
            </w:pPr>
          </w:p>
        </w:tc>
      </w:tr>
      <w:tr>
        <w:trPr>
          <w:trHeight w:val="161"/>
        </w:trPr>
        <w:tc>
          <w:tcPr>
            <w:tcW w:w="920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Series B convertible preferred shares, $0.001 par value; 2,145,370 shares authorized; 0 and 1,016,727 shares issued</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outstanding at December 31, 2018 and 2019, respectively; aggregate liquidation preference of $0 and $10,014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as of December 31, 2018 and 2019, respectively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9,430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Shareholders’ equity (deficit):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920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Ordinary shares, $0.001 par value; 1,519,618,271 shares authorized; 3,161,747 and 3,166,946 shares issued and</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outstanding at December 31, 2018 and 2019, respectively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1,758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2,140</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(53,539)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(72,782)</w:t>
            </w:r>
          </w:p>
        </w:tc>
        <w:tc>
          <w:tcPr>
            <w:tcW w:w="0" w:type="dxa"/>
            <w:vAlign w:val="bottom"/>
          </w:tcPr>
          <w:p>
            <w:pPr>
              <w:spacing w:after="0"/>
              <w:rPr>
                <w:sz w:val="1"/>
                <w:szCs w:val="1"/>
                <w:color w:val="auto"/>
              </w:rPr>
            </w:pPr>
          </w:p>
        </w:tc>
      </w:tr>
      <w:tr>
        <w:trPr>
          <w:trHeight w:val="203"/>
        </w:trPr>
        <w:tc>
          <w:tcPr>
            <w:tcW w:w="9200" w:type="dxa"/>
            <w:vAlign w:val="bottom"/>
          </w:tcPr>
          <w:p>
            <w:pPr>
              <w:ind w:left="500"/>
              <w:spacing w:after="0"/>
              <w:rPr>
                <w:sz w:val="20"/>
                <w:szCs w:val="20"/>
                <w:color w:val="auto"/>
              </w:rPr>
            </w:pPr>
            <w:r>
              <w:rPr>
                <w:rFonts w:ascii="Arial" w:cs="Arial" w:eastAsia="Arial" w:hAnsi="Arial"/>
                <w:sz w:val="17"/>
                <w:szCs w:val="17"/>
                <w:color w:val="auto"/>
              </w:rPr>
              <w:t>Total shareholders’ equity (deficit)</w:t>
            </w: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(51,778)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(70,639)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liabilities, convertible preferred shares and shareholders’ equity (deficit)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11,164</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10,676</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81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2,067</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4,796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3"/>
              <w:spacing w:after="0" w:line="189" w:lineRule="exact"/>
              <w:rPr>
                <w:sz w:val="20"/>
                <w:szCs w:val="20"/>
                <w:color w:val="auto"/>
              </w:rPr>
            </w:pPr>
            <w:r>
              <w:rPr>
                <w:rFonts w:ascii="Arial" w:cs="Arial" w:eastAsia="Arial" w:hAnsi="Arial"/>
                <w:sz w:val="17"/>
                <w:szCs w:val="17"/>
                <w:color w:val="auto"/>
              </w:rPr>
              <w:t>11,270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16,306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583"/>
              <w:spacing w:after="0" w:line="189" w:lineRule="exact"/>
              <w:rPr>
                <w:sz w:val="20"/>
                <w:szCs w:val="20"/>
                <w:color w:val="auto"/>
              </w:rPr>
            </w:pPr>
            <w:r>
              <w:rPr>
                <w:rFonts w:ascii="Arial" w:cs="Arial" w:eastAsia="Arial" w:hAnsi="Arial"/>
                <w:sz w:val="17"/>
                <w:szCs w:val="17"/>
                <w:color w:val="auto"/>
              </w:rPr>
              <w:t>2,601</w:t>
            </w:r>
          </w:p>
        </w:tc>
        <w:tc>
          <w:tcPr>
            <w:tcW w:w="100" w:type="dxa"/>
            <w:vAlign w:val="bottom"/>
          </w:tcPr>
          <w:p>
            <w:pPr>
              <w:spacing w:after="0"/>
              <w:rPr>
                <w:sz w:val="16"/>
                <w:szCs w:val="16"/>
                <w:color w:val="auto"/>
              </w:rPr>
            </w:pPr>
          </w:p>
        </w:tc>
        <w:tc>
          <w:tcPr>
            <w:tcW w:w="8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3"/>
              <w:spacing w:after="0" w:line="189" w:lineRule="exact"/>
              <w:rPr>
                <w:sz w:val="20"/>
                <w:szCs w:val="20"/>
                <w:color w:val="auto"/>
              </w:rPr>
            </w:pPr>
            <w:r>
              <w:rPr>
                <w:rFonts w:ascii="Arial" w:cs="Arial" w:eastAsia="Arial" w:hAnsi="Arial"/>
                <w:sz w:val="17"/>
                <w:szCs w:val="17"/>
                <w:color w:val="auto"/>
              </w:rPr>
              <w:t>1,880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6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43"/>
              <w:spacing w:after="0" w:line="189" w:lineRule="exact"/>
              <w:rPr>
                <w:sz w:val="20"/>
                <w:szCs w:val="20"/>
                <w:color w:val="auto"/>
              </w:rPr>
            </w:pPr>
            <w:r>
              <w:rPr>
                <w:rFonts w:ascii="Arial" w:cs="Arial" w:eastAsia="Arial" w:hAnsi="Arial"/>
                <w:sz w:val="17"/>
                <w:szCs w:val="17"/>
                <w:color w:val="auto"/>
              </w:rPr>
              <w:t>(13,684)</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(19,183)</w:t>
            </w:r>
          </w:p>
        </w:tc>
        <w:tc>
          <w:tcPr>
            <w:tcW w:w="0" w:type="dxa"/>
            <w:vAlign w:val="bottom"/>
          </w:tcPr>
          <w:p>
            <w:pPr>
              <w:spacing w:after="0"/>
              <w:rPr>
                <w:sz w:val="1"/>
                <w:szCs w:val="1"/>
                <w:color w:val="auto"/>
              </w:rPr>
            </w:pPr>
          </w:p>
        </w:tc>
      </w:tr>
      <w:tr>
        <w:trPr>
          <w:trHeight w:val="196"/>
        </w:trPr>
        <w:tc>
          <w:tcPr>
            <w:tcW w:w="8140" w:type="dxa"/>
            <w:vAlign w:val="bottom"/>
          </w:tcPr>
          <w:p>
            <w:pPr>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43"/>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6"/>
        </w:trPr>
        <w:tc>
          <w:tcPr>
            <w:tcW w:w="814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(13,686)</w:t>
            </w:r>
          </w:p>
        </w:tc>
        <w:tc>
          <w:tcPr>
            <w:tcW w:w="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(19,209)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43"/>
              <w:spacing w:after="0" w:line="189" w:lineRule="exact"/>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96"/>
        </w:trPr>
        <w:tc>
          <w:tcPr>
            <w:tcW w:w="8140" w:type="dxa"/>
            <w:vAlign w:val="bottom"/>
          </w:tcPr>
          <w:p>
            <w:pPr>
              <w:spacing w:after="0"/>
              <w:rPr>
                <w:sz w:val="20"/>
                <w:szCs w:val="20"/>
                <w:color w:val="auto"/>
              </w:rPr>
            </w:pPr>
            <w:r>
              <w:rPr>
                <w:rFonts w:ascii="Arial" w:cs="Arial" w:eastAsia="Arial" w:hAnsi="Arial"/>
                <w:sz w:val="17"/>
                <w:szCs w:val="17"/>
                <w:color w:val="auto"/>
              </w:rPr>
              <w:t>Net loss and comprehensive loss</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(13,731)</w:t>
            </w:r>
          </w:p>
        </w:tc>
        <w:tc>
          <w:tcPr>
            <w:tcW w:w="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(19,243)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43"/>
              <w:spacing w:after="0" w:line="189" w:lineRule="exact"/>
              <w:rPr>
                <w:sz w:val="20"/>
                <w:szCs w:val="20"/>
                <w:color w:val="auto"/>
              </w:rPr>
            </w:pPr>
            <w:r>
              <w:rPr>
                <w:rFonts w:ascii="Arial" w:cs="Arial" w:eastAsia="Arial" w:hAnsi="Arial"/>
                <w:sz w:val="17"/>
                <w:szCs w:val="17"/>
                <w:color w:val="auto"/>
              </w:rPr>
              <w:t>(3,671)</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196"/>
        </w:trPr>
        <w:tc>
          <w:tcPr>
            <w:tcW w:w="8140" w:type="dxa"/>
            <w:vAlign w:val="bottom"/>
          </w:tcPr>
          <w:p>
            <w:pPr>
              <w:spacing w:after="0"/>
              <w:rPr>
                <w:sz w:val="20"/>
                <w:szCs w:val="20"/>
                <w:color w:val="auto"/>
              </w:rPr>
            </w:pPr>
            <w:r>
              <w:rPr>
                <w:rFonts w:ascii="Arial" w:cs="Arial" w:eastAsia="Arial" w:hAnsi="Arial"/>
                <w:sz w:val="17"/>
                <w:szCs w:val="17"/>
                <w:color w:val="auto"/>
              </w:rPr>
              <w:t>Net loss attributable to ordinary shareholders</w:t>
            </w:r>
          </w:p>
        </w:tc>
        <w:tc>
          <w:tcPr>
            <w:tcW w:w="3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(17,402</w:t>
            </w:r>
          </w:p>
        </w:tc>
        <w:tc>
          <w:tcPr>
            <w:tcW w:w="620" w:type="dxa"/>
            <w:vAlign w:val="bottom"/>
          </w:tcPr>
          <w:p>
            <w:pPr>
              <w:jc w:val="right"/>
              <w:ind w:right="543"/>
              <w:spacing w:after="0"/>
              <w:rPr>
                <w:sz w:val="20"/>
                <w:szCs w:val="20"/>
                <w:color w:val="auto"/>
              </w:rPr>
            </w:pPr>
            <w:r>
              <w:rPr>
                <w:rFonts w:ascii="Arial" w:cs="Arial" w:eastAsia="Arial" w:hAnsi="Arial"/>
                <w:sz w:val="7"/>
                <w:szCs w:val="7"/>
                <w:color w:val="auto"/>
                <w:w w:val="8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(23,271</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4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43"/>
              <w:spacing w:after="0" w:line="183" w:lineRule="exact"/>
              <w:rPr>
                <w:sz w:val="20"/>
                <w:szCs w:val="20"/>
                <w:color w:val="auto"/>
              </w:rPr>
            </w:pPr>
            <w:r>
              <w:rPr>
                <w:rFonts w:ascii="Arial" w:cs="Arial" w:eastAsia="Arial" w:hAnsi="Arial"/>
                <w:sz w:val="17"/>
                <w:szCs w:val="17"/>
                <w:color w:val="auto"/>
              </w:rPr>
              <w:t>(6.33)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net loss per share attributable to ordinary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1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140" w:type="dxa"/>
            <w:vAlign w:val="bottom"/>
          </w:tcPr>
          <w:p>
            <w:pPr>
              <w:ind w:left="240"/>
              <w:spacing w:after="0"/>
              <w:rPr>
                <w:sz w:val="20"/>
                <w:szCs w:val="20"/>
                <w:color w:val="auto"/>
              </w:rPr>
            </w:pPr>
            <w:r>
              <w:rPr>
                <w:rFonts w:ascii="Arial" w:cs="Arial" w:eastAsia="Arial" w:hAnsi="Arial"/>
                <w:sz w:val="17"/>
                <w:szCs w:val="17"/>
                <w:color w:val="auto"/>
              </w:rPr>
              <w:t>shareholders, basic and diluted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83"/>
              <w:spacing w:after="0"/>
              <w:rPr>
                <w:sz w:val="20"/>
                <w:szCs w:val="20"/>
                <w:color w:val="auto"/>
              </w:rPr>
            </w:pPr>
            <w:r>
              <w:rPr>
                <w:rFonts w:ascii="Arial" w:cs="Arial" w:eastAsia="Arial" w:hAnsi="Arial"/>
                <w:sz w:val="17"/>
                <w:szCs w:val="17"/>
                <w:color w:val="auto"/>
              </w:rPr>
              <w:t>2,750,838</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3,076,461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 forma net loss attributable to ordinary shareholders per share, basic and diluted (unaudited)</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pro forma net loss per share attributable to ordinary</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1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8140" w:type="dxa"/>
            <w:vAlign w:val="bottom"/>
          </w:tcPr>
          <w:p>
            <w:pPr>
              <w:ind w:left="240"/>
              <w:spacing w:after="0"/>
              <w:rPr>
                <w:sz w:val="20"/>
                <w:szCs w:val="20"/>
                <w:color w:val="auto"/>
              </w:rPr>
            </w:pPr>
            <w:r>
              <w:rPr>
                <w:rFonts w:ascii="Arial" w:cs="Arial" w:eastAsia="Arial" w:hAnsi="Arial"/>
                <w:sz w:val="17"/>
                <w:szCs w:val="17"/>
                <w:color w:val="auto"/>
              </w:rPr>
              <w:t>shareholders, basic and diluted (unaudited)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8"/>
              </w:rPr>
              <w:t>14,330,300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Consolidated Statements of Convertible Preferred Shares and Shareholders’ Deficit</w:t>
      </w:r>
    </w:p>
    <w:p>
      <w:pPr>
        <w:spacing w:after="0" w:line="2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6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3280" w:type="dxa"/>
            <w:vAlign w:val="bottom"/>
          </w:tcPr>
          <w:p>
            <w:pPr>
              <w:spacing w:after="0"/>
              <w:rPr>
                <w:sz w:val="15"/>
                <w:szCs w:val="15"/>
                <w:color w:val="auto"/>
              </w:rPr>
            </w:pPr>
          </w:p>
        </w:tc>
        <w:tc>
          <w:tcPr>
            <w:tcW w:w="16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PREFERRED SHARES</w:t>
            </w:r>
          </w:p>
        </w:tc>
        <w:tc>
          <w:tcPr>
            <w:tcW w:w="0" w:type="dxa"/>
            <w:vAlign w:val="bottom"/>
          </w:tcPr>
          <w:p>
            <w:pPr>
              <w:spacing w:after="0"/>
              <w:rPr>
                <w:sz w:val="1"/>
                <w:szCs w:val="1"/>
                <w:color w:val="auto"/>
              </w:rPr>
            </w:pPr>
          </w:p>
        </w:tc>
      </w:tr>
      <w:tr>
        <w:trPr>
          <w:trHeight w:val="155"/>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2017</w:t>
            </w:r>
          </w:p>
        </w:tc>
        <w:tc>
          <w:tcPr>
            <w:tcW w:w="80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80" w:type="dxa"/>
            <w:vAlign w:val="bottom"/>
            <w:vMerge w:val="continue"/>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9,297,081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60,933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Repurchase of ordinary shares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Repurchase of unvested early exercised share</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rPr>
                <w:sz w:val="20"/>
                <w:szCs w:val="20"/>
                <w:color w:val="auto"/>
              </w:rPr>
            </w:pPr>
            <w:r>
              <w:rPr>
                <w:rFonts w:ascii="Arial" w:cs="Arial" w:eastAsia="Arial" w:hAnsi="Arial"/>
                <w:sz w:val="14"/>
                <w:szCs w:val="14"/>
                <w:color w:val="auto"/>
              </w:rPr>
              <w:t>options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line="156" w:lineRule="exact"/>
              <w:rPr>
                <w:sz w:val="20"/>
                <w:szCs w:val="20"/>
                <w:color w:val="auto"/>
              </w:rPr>
            </w:pPr>
            <w:r>
              <w:rPr>
                <w:rFonts w:ascii="Arial" w:cs="Arial" w:eastAsia="Arial" w:hAnsi="Arial"/>
                <w:sz w:val="14"/>
                <w:szCs w:val="14"/>
                <w:b w:val="1"/>
                <w:bCs w:val="1"/>
                <w:color w:val="auto"/>
              </w:rPr>
              <w:t>Balance as of December 31, 2018</w:t>
            </w:r>
          </w:p>
        </w:tc>
        <w:tc>
          <w:tcPr>
            <w:tcW w:w="80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9,297,081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Issuance of Series B convertible preferred</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rPr>
                <w:sz w:val="20"/>
                <w:szCs w:val="20"/>
                <w:color w:val="auto"/>
              </w:rPr>
            </w:pPr>
            <w:r>
              <w:rPr>
                <w:rFonts w:ascii="Arial" w:cs="Arial" w:eastAsia="Arial" w:hAnsi="Arial"/>
                <w:sz w:val="14"/>
                <w:szCs w:val="14"/>
                <w:color w:val="auto"/>
              </w:rPr>
              <w:t>shares, net of issuance costs of $226</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1,016,727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9,430</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280" w:type="dxa"/>
            <w:vAlign w:val="bottom"/>
          </w:tcPr>
          <w:p>
            <w:pPr>
              <w:spacing w:after="0"/>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20"/>
                <w:szCs w:val="20"/>
                <w:color w:val="auto"/>
              </w:rPr>
            </w:pPr>
            <w:r>
              <w:rPr>
                <w:rFonts w:ascii="Arial" w:cs="Arial" w:eastAsia="Arial" w:hAnsi="Arial"/>
                <w:sz w:val="14"/>
                <w:szCs w:val="14"/>
                <w:b w:val="1"/>
                <w:bCs w:val="1"/>
                <w:color w:val="auto"/>
              </w:rPr>
              <w:t>Balance as of December 31, 2019</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10,313,808</w:t>
            </w:r>
          </w:p>
        </w:tc>
        <w:tc>
          <w:tcPr>
            <w:tcW w:w="3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70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170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9"/>
              </w:rPr>
              <w:t>ACCUMULATED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55"/>
        </w:trPr>
        <w:tc>
          <w:tcPr>
            <w:tcW w:w="96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7"/>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3"/>
                <w:szCs w:val="13"/>
                <w:color w:val="auto"/>
              </w:rPr>
            </w:pPr>
          </w:p>
        </w:tc>
        <w:tc>
          <w:tcPr>
            <w:tcW w:w="10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7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3,205,421</w:t>
            </w: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1,390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(39,808)</w:t>
            </w: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(38,415)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6,914</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(43,689)</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92"/>
        </w:trPr>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(6,899)</w:t>
            </w:r>
          </w:p>
        </w:tc>
        <w:tc>
          <w:tcPr>
            <w:tcW w:w="28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(13,731)</w:t>
            </w:r>
          </w:p>
        </w:tc>
        <w:tc>
          <w:tcPr>
            <w:tcW w:w="2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(13,731)</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00" w:type="dxa"/>
            <w:vAlign w:val="bottom"/>
          </w:tcPr>
          <w:p>
            <w:pPr>
              <w:jc w:val="right"/>
              <w:spacing w:after="0"/>
              <w:rPr>
                <w:sz w:val="20"/>
                <w:szCs w:val="20"/>
                <w:color w:val="auto"/>
              </w:rPr>
            </w:pPr>
            <w:r>
              <w:rPr>
                <w:rFonts w:ascii="Arial" w:cs="Arial" w:eastAsia="Arial" w:hAnsi="Arial"/>
                <w:sz w:val="14"/>
                <w:szCs w:val="14"/>
                <w:color w:val="auto"/>
              </w:rPr>
              <w:t>3,161,747</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(53,539)</w:t>
            </w:r>
          </w:p>
        </w:tc>
        <w:tc>
          <w:tcPr>
            <w:tcW w:w="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(51,778)</w:t>
            </w:r>
          </w:p>
        </w:tc>
        <w:tc>
          <w:tcPr>
            <w:tcW w:w="0" w:type="dxa"/>
            <w:vAlign w:val="bottom"/>
          </w:tcPr>
          <w:p>
            <w:pPr>
              <w:spacing w:after="0"/>
              <w:rPr>
                <w:sz w:val="1"/>
                <w:szCs w:val="1"/>
                <w:color w:val="auto"/>
              </w:rPr>
            </w:pPr>
          </w:p>
        </w:tc>
      </w:tr>
      <w:tr>
        <w:trPr>
          <w:trHeight w:val="29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5,199</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(19,243)</w:t>
            </w:r>
          </w:p>
        </w:tc>
        <w:tc>
          <w:tcPr>
            <w:tcW w:w="22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(19,243)</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tcPr>
          <w:p>
            <w:pPr>
              <w:jc w:val="right"/>
              <w:spacing w:after="0"/>
              <w:rPr>
                <w:sz w:val="20"/>
                <w:szCs w:val="20"/>
                <w:color w:val="auto"/>
              </w:rPr>
            </w:pPr>
            <w:r>
              <w:rPr>
                <w:rFonts w:ascii="Arial" w:cs="Arial" w:eastAsia="Arial" w:hAnsi="Arial"/>
                <w:sz w:val="14"/>
                <w:szCs w:val="14"/>
                <w:color w:val="auto"/>
              </w:rPr>
              <w:t>3,166,946</w:t>
            </w:r>
          </w:p>
        </w:tc>
        <w:tc>
          <w:tcPr>
            <w:tcW w:w="26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2,140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(72,782)</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(70,639)</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-1824990</wp:posOffset>
            </wp:positionV>
            <wp:extent cx="6995160" cy="19799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979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460"/>
            <w:col w:w="5600"/>
          </w:cols>
          <w:pgMar w:left="320" w:top="455" w:right="499" w:bottom="1440" w:gutter="0" w:footer="0" w:header="0"/>
          <w:type w:val="continuous"/>
        </w:sectPr>
      </w:pP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080"/>
          </w:cols>
          <w:pgMar w:left="320" w:top="455" w:right="499" w:bottom="1440" w:gutter="0" w:footer="0" w:header="0"/>
          <w:type w:val="continuous"/>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7"/>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9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w w:val="97"/>
              </w:rPr>
              <w:t>(13,731)</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 expense</w:t>
            </w:r>
          </w:p>
        </w:tc>
        <w:tc>
          <w:tcPr>
            <w:tcW w:w="100" w:type="dxa"/>
            <w:vAlign w:val="bottom"/>
          </w:tcPr>
          <w:p>
            <w:pPr>
              <w:spacing w:after="0"/>
              <w:rPr>
                <w:sz w:val="16"/>
                <w:szCs w:val="16"/>
                <w:color w:val="auto"/>
              </w:rPr>
            </w:pPr>
          </w:p>
        </w:tc>
        <w:tc>
          <w:tcPr>
            <w:tcW w:w="6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431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269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100" w:type="dxa"/>
            <w:vAlign w:val="bottom"/>
          </w:tcPr>
          <w:p>
            <w:pPr>
              <w:spacing w:after="0"/>
              <w:rPr>
                <w:sz w:val="16"/>
                <w:szCs w:val="16"/>
                <w:color w:val="auto"/>
              </w:rPr>
            </w:pPr>
          </w:p>
        </w:tc>
        <w:tc>
          <w:tcPr>
            <w:tcW w:w="78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100" w:type="dxa"/>
            <w:vAlign w:val="bottom"/>
          </w:tcPr>
          <w:p>
            <w:pPr>
              <w:spacing w:after="0"/>
              <w:rPr>
                <w:sz w:val="16"/>
                <w:szCs w:val="16"/>
                <w:color w:val="auto"/>
              </w:rPr>
            </w:pPr>
          </w:p>
        </w:tc>
        <w:tc>
          <w:tcPr>
            <w:tcW w:w="78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897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78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2,976</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Pr>
          <w:p>
            <w:pPr>
              <w:spacing w:after="0"/>
              <w:rPr>
                <w:sz w:val="16"/>
                <w:szCs w:val="16"/>
                <w:color w:val="auto"/>
              </w:rPr>
            </w:pPr>
          </w:p>
        </w:tc>
        <w:tc>
          <w:tcPr>
            <w:tcW w:w="6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136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9200" w:type="dxa"/>
            <w:vAlign w:val="bottom"/>
          </w:tcPr>
          <w:p>
            <w:pPr>
              <w:ind w:left="760"/>
              <w:spacing w:after="0"/>
              <w:rPr>
                <w:sz w:val="20"/>
                <w:szCs w:val="20"/>
                <w:color w:val="auto"/>
              </w:rPr>
            </w:pPr>
            <w:r>
              <w:rPr>
                <w:rFonts w:ascii="Arial" w:cs="Arial" w:eastAsia="Arial" w:hAnsi="Arial"/>
                <w:sz w:val="17"/>
                <w:szCs w:val="17"/>
                <w:color w:val="auto"/>
              </w:rPr>
              <w:t>Net cash used in operating activities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(13,190)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(14,249)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100" w:type="dxa"/>
            <w:vAlign w:val="bottom"/>
          </w:tcPr>
          <w:p>
            <w:pPr>
              <w:spacing w:after="0"/>
              <w:rPr>
                <w:sz w:val="16"/>
                <w:szCs w:val="16"/>
                <w:color w:val="auto"/>
              </w:rPr>
            </w:pPr>
          </w:p>
        </w:tc>
        <w:tc>
          <w:tcPr>
            <w:tcW w:w="78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196"/>
        </w:trPr>
        <w:tc>
          <w:tcPr>
            <w:tcW w:w="920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related parties for issuance of Series B convertible preferred shares, net of issuance costs of $164</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6,829</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Proceeds from issuance of Series B convertible preferred shares, net of issuance costs of $62</w:t>
            </w:r>
          </w:p>
        </w:tc>
        <w:tc>
          <w:tcPr>
            <w:tcW w:w="100" w:type="dxa"/>
            <w:vAlign w:val="bottom"/>
          </w:tcPr>
          <w:p>
            <w:pPr>
              <w:spacing w:after="0"/>
              <w:rPr>
                <w:sz w:val="16"/>
                <w:szCs w:val="16"/>
                <w:color w:val="auto"/>
              </w:rPr>
            </w:pPr>
          </w:p>
        </w:tc>
        <w:tc>
          <w:tcPr>
            <w:tcW w:w="78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2,601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ordinary shares under equity incentive plan</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paid for repurchase of ordinary shares</w:t>
            </w:r>
          </w:p>
        </w:tc>
        <w:tc>
          <w:tcPr>
            <w:tcW w:w="100" w:type="dxa"/>
            <w:vAlign w:val="bottom"/>
          </w:tcPr>
          <w:p>
            <w:pPr>
              <w:spacing w:after="0"/>
              <w:rPr>
                <w:sz w:val="16"/>
                <w:szCs w:val="16"/>
                <w:color w:val="auto"/>
              </w:rPr>
            </w:pPr>
          </w:p>
        </w:tc>
        <w:tc>
          <w:tcPr>
            <w:tcW w:w="78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term loan, net of issuance costs of $83</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5,917</w:t>
            </w:r>
          </w:p>
        </w:tc>
        <w:tc>
          <w:tcPr>
            <w:tcW w:w="0" w:type="dxa"/>
            <w:vAlign w:val="bottom"/>
          </w:tcPr>
          <w:p>
            <w:pPr>
              <w:spacing w:after="0"/>
              <w:rPr>
                <w:sz w:val="1"/>
                <w:szCs w:val="1"/>
                <w:color w:val="auto"/>
              </w:rPr>
            </w:pPr>
          </w:p>
        </w:tc>
      </w:tr>
      <w:tr>
        <w:trPr>
          <w:trHeight w:val="203"/>
        </w:trPr>
        <w:tc>
          <w:tcPr>
            <w:tcW w:w="9200" w:type="dxa"/>
            <w:vAlign w:val="bottom"/>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(13,842)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at beginning of year</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22,104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8,262</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end of year</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8,262</w:t>
            </w:r>
          </w:p>
        </w:tc>
        <w:tc>
          <w:tcPr>
            <w:tcW w:w="180" w:type="dxa"/>
            <w:vAlign w:val="bottom"/>
            <w:gridSpan w:val="2"/>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Fair value of compound derivative liability and warrant liability related to term loan</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Vesting of early exercised share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92</w:t>
            </w:r>
          </w:p>
        </w:tc>
        <w:tc>
          <w:tcPr>
            <w:tcW w:w="2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75</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Acquisition of property and equipment in accounts payable</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gridSpan w:val="3"/>
            <w:shd w:val="clear" w:color="auto" w:fill="CCEEFF"/>
          </w:tcPr>
          <w:p>
            <w:pPr>
              <w:jc w:val="right"/>
              <w:ind w:right="180"/>
              <w:spacing w:after="0" w:line="183" w:lineRule="exact"/>
              <w:rPr>
                <w:sz w:val="20"/>
                <w:szCs w:val="20"/>
                <w:color w:val="auto"/>
              </w:rPr>
            </w:pPr>
            <w:r>
              <w:rPr>
                <w:rFonts w:ascii="Arial" w:cs="Arial" w:eastAsia="Arial" w:hAnsi="Arial"/>
                <w:sz w:val="17"/>
                <w:szCs w:val="17"/>
                <w:color w:val="auto"/>
              </w:rPr>
              <w:t>20</w:t>
            </w:r>
          </w:p>
        </w:tc>
        <w:tc>
          <w:tcPr>
            <w:tcW w:w="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Debt issuance costs in accounts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95</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1"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w:t>
      </w:r>
    </w:p>
    <w:p>
      <w:pPr>
        <w:spacing w:after="0" w:line="160"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Organization</w:t>
      </w:r>
    </w:p>
    <w:p>
      <w:pPr>
        <w:spacing w:after="0" w:line="59" w:lineRule="exact"/>
        <w:rPr>
          <w:rFonts w:ascii="Arial" w:cs="Arial" w:eastAsia="Arial" w:hAnsi="Arial"/>
          <w:sz w:val="17"/>
          <w:szCs w:val="17"/>
          <w:b w:val="1"/>
          <w:bCs w:val="1"/>
          <w:color w:val="auto"/>
        </w:rPr>
      </w:pPr>
    </w:p>
    <w:p>
      <w:pPr>
        <w:ind w:left="560" w:right="480"/>
        <w:spacing w:after="0" w:line="253" w:lineRule="auto"/>
        <w:rPr>
          <w:rFonts w:ascii="Arial" w:cs="Arial" w:eastAsia="Arial" w:hAnsi="Arial"/>
          <w:sz w:val="17"/>
          <w:szCs w:val="17"/>
          <w:b w:val="1"/>
          <w:bCs w:val="1"/>
          <w:color w:val="auto"/>
        </w:rPr>
      </w:pPr>
      <w:r>
        <w:rPr>
          <w:rFonts w:ascii="Arial" w:cs="Arial" w:eastAsia="Arial" w:hAnsi="Arial"/>
          <w:sz w:val="17"/>
          <w:szCs w:val="17"/>
          <w:color w:val="auto"/>
        </w:rPr>
        <w:t>Alexo Therapeutics Limited, or the Company, was initially incorporated in Ireland on March 13, 2015 and changed its name to ALX Oncology Limited on October 11, 2018. The Company is a clinical-stage immuno-oncology company focused on helping patients fight cancer by developing therapies that block the CD47 checkpoint pathway and bridge the innate and adaptive immune system.</w:t>
      </w:r>
    </w:p>
    <w:p>
      <w:pPr>
        <w:spacing w:after="0" w:line="110" w:lineRule="exact"/>
        <w:rPr>
          <w:rFonts w:ascii="Arial" w:cs="Arial" w:eastAsia="Arial" w:hAnsi="Arial"/>
          <w:sz w:val="17"/>
          <w:szCs w:val="17"/>
          <w:b w:val="1"/>
          <w:bCs w:val="1"/>
          <w:color w:val="auto"/>
        </w:rPr>
      </w:pPr>
    </w:p>
    <w:p>
      <w:pPr>
        <w:jc w:val="both"/>
        <w:ind w:left="560" w:right="80"/>
        <w:spacing w:after="0" w:line="246" w:lineRule="auto"/>
        <w:rPr>
          <w:rFonts w:ascii="Arial" w:cs="Arial" w:eastAsia="Arial" w:hAnsi="Arial"/>
          <w:sz w:val="17"/>
          <w:szCs w:val="17"/>
          <w:b w:val="1"/>
          <w:bCs w:val="1"/>
          <w:color w:val="auto"/>
        </w:rPr>
      </w:pPr>
      <w:r>
        <w:rPr>
          <w:rFonts w:ascii="Arial" w:cs="Arial" w:eastAsia="Arial" w:hAnsi="Arial"/>
          <w:sz w:val="17"/>
          <w:szCs w:val="17"/>
          <w:color w:val="auto"/>
        </w:rPr>
        <w:t>The Company owns a direct subsidiary, ALX Oncology Inc., incorporated in the United States, as well as a direct subsidiary incorporated in Malta, Alexo International Holdings Ltd. The Company also has two indirect subsidiaries, Alexo Therapeutics International, incorporated in the Cayman Islands, which is a wholly-owned subsidiary of Alexo International Holdings Ltd. and Sirpant Therapeutics, incorporated in the Cayman Islands, which is a wholly-owned subsidiary of Alexo Therapeutics International, collectively, the Subsidiaries.</w:t>
      </w:r>
    </w:p>
    <w:p>
      <w:pPr>
        <w:spacing w:after="0" w:line="116" w:lineRule="exact"/>
        <w:rPr>
          <w:rFonts w:ascii="Arial" w:cs="Arial" w:eastAsia="Arial" w:hAnsi="Arial"/>
          <w:sz w:val="17"/>
          <w:szCs w:val="17"/>
          <w:b w:val="1"/>
          <w:bCs w:val="1"/>
          <w:color w:val="auto"/>
        </w:rPr>
      </w:pPr>
    </w:p>
    <w:p>
      <w:pPr>
        <w:ind w:left="560" w:right="80"/>
        <w:spacing w:after="0" w:line="242" w:lineRule="auto"/>
        <w:rPr>
          <w:rFonts w:ascii="Arial" w:cs="Arial" w:eastAsia="Arial" w:hAnsi="Arial"/>
          <w:sz w:val="17"/>
          <w:szCs w:val="17"/>
          <w:b w:val="1"/>
          <w:bCs w:val="1"/>
          <w:color w:val="auto"/>
        </w:rPr>
      </w:pPr>
      <w:r>
        <w:rPr>
          <w:rFonts w:ascii="Arial" w:cs="Arial" w:eastAsia="Arial" w:hAnsi="Arial"/>
          <w:sz w:val="17"/>
          <w:szCs w:val="17"/>
          <w:color w:val="auto"/>
        </w:rPr>
        <w:t>The Company completed an internal reorganization transaction in April 2020, pursuant to which ALX Oncology Limited became a wholly-owned subsidiary of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 (Note 13).</w:t>
      </w:r>
    </w:p>
    <w:p>
      <w:pPr>
        <w:spacing w:after="0" w:line="124"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Basis of Preparation</w:t>
      </w:r>
    </w:p>
    <w:p>
      <w:pPr>
        <w:spacing w:after="0" w:line="59" w:lineRule="exact"/>
        <w:rPr>
          <w:rFonts w:ascii="Arial" w:cs="Arial" w:eastAsia="Arial" w:hAnsi="Arial"/>
          <w:sz w:val="17"/>
          <w:szCs w:val="17"/>
          <w:b w:val="1"/>
          <w:bCs w:val="1"/>
          <w:color w:val="auto"/>
        </w:rPr>
      </w:pPr>
    </w:p>
    <w:p>
      <w:pPr>
        <w:ind w:left="560" w:right="34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These consolidated financial statements have been prepared in accordance with accounting principles generally accepted in the United States of America, or U.S. GAAP.</w:t>
      </w:r>
    </w:p>
    <w:p>
      <w:pPr>
        <w:spacing w:after="0" w:line="95"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Principles of Consolidation</w:t>
      </w:r>
    </w:p>
    <w:p>
      <w:pPr>
        <w:spacing w:after="0" w:line="7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color w:val="auto"/>
        </w:rPr>
        <w:t>All intercompany balances and transactions have been eliminated in consolidation.</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Unaudited Pro Forma Information</w:t>
      </w:r>
    </w:p>
    <w:p>
      <w:pPr>
        <w:spacing w:after="0" w:line="59" w:lineRule="exact"/>
        <w:rPr>
          <w:rFonts w:ascii="Arial" w:cs="Arial" w:eastAsia="Arial" w:hAnsi="Arial"/>
          <w:sz w:val="17"/>
          <w:szCs w:val="17"/>
          <w:b w:val="1"/>
          <w:bCs w:val="1"/>
          <w:color w:val="auto"/>
        </w:rPr>
      </w:pPr>
    </w:p>
    <w:p>
      <w:pPr>
        <w:ind w:left="560" w:right="240"/>
        <w:spacing w:after="0" w:line="246" w:lineRule="auto"/>
        <w:rPr>
          <w:rFonts w:ascii="Arial" w:cs="Arial" w:eastAsia="Arial" w:hAnsi="Arial"/>
          <w:sz w:val="17"/>
          <w:szCs w:val="17"/>
          <w:b w:val="1"/>
          <w:bCs w:val="1"/>
          <w:color w:val="auto"/>
        </w:rPr>
      </w:pPr>
      <w:r>
        <w:rPr>
          <w:rFonts w:ascii="Arial" w:cs="Arial" w:eastAsia="Arial" w:hAnsi="Arial"/>
          <w:sz w:val="17"/>
          <w:szCs w:val="17"/>
          <w:color w:val="auto"/>
        </w:rPr>
        <w:t>Immediately prior to the completion of this offering, all outstanding convertible preferred shares will automatically convert into ordinary shares. Unaudited pro forma basic and diluted net loss per share has been computed to give effect to the conversion of all outstanding convertible preferred shares and cumulative dividends on the convertible preferred shares into ordinary shares. The unaudited pro forma net loss per share does not include the shares expected to be sold and related proceeds to be received from the initial public offering.</w:t>
      </w:r>
    </w:p>
    <w:p>
      <w:pPr>
        <w:spacing w:after="0" w:line="11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Need for Additional Capital</w:t>
      </w:r>
    </w:p>
    <w:p>
      <w:pPr>
        <w:spacing w:after="0" w:line="59" w:lineRule="exact"/>
        <w:rPr>
          <w:rFonts w:ascii="Arial" w:cs="Arial" w:eastAsia="Arial" w:hAnsi="Arial"/>
          <w:sz w:val="17"/>
          <w:szCs w:val="17"/>
          <w:b w:val="1"/>
          <w:bCs w:val="1"/>
          <w:color w:val="auto"/>
        </w:rPr>
      </w:pPr>
    </w:p>
    <w:p>
      <w:pPr>
        <w:ind w:left="560" w:right="40"/>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Since commencing operations, none of the Company’s product candidates have received marketing approval from the U.S. Food and Drug Administration, or FDA, or any other federal, state, local or foreign governmental or regulatory authority and therefore the Company has not generated any revenue from drug product sales. The Company had an accumulated deficit of $72.8 million as of December 31, 2019 and management does not expect to experience positive cash flows in the foreseeable future. Based on management’s current plans, management believes cash of $9.0 million as of December 31, 2019, along with the $105.0 million of gross proceeds from the issuance of Series C convertible preferred shares in February 2020 (Note 13), are sufficient to fund operations through at least one year from the date of the issuance of these consolidated financial statements.</w:t>
      </w:r>
    </w:p>
    <w:p>
      <w:pPr>
        <w:spacing w:after="0" w:line="122"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100"/>
          </w:cols>
          <w:pgMar w:left="320" w:top="455" w:right="47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right="200"/>
        <w:spacing w:after="0" w:line="253" w:lineRule="auto"/>
        <w:rPr>
          <w:sz w:val="20"/>
          <w:szCs w:val="20"/>
          <w:color w:val="auto"/>
        </w:rPr>
      </w:pPr>
      <w:r>
        <w:rPr>
          <w:rFonts w:ascii="Arial" w:cs="Arial" w:eastAsia="Arial" w:hAnsi="Arial"/>
          <w:sz w:val="17"/>
          <w:szCs w:val="17"/>
          <w:color w:val="auto"/>
        </w:rPr>
        <w:t>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Use of Estimates</w:t>
      </w:r>
    </w:p>
    <w:p>
      <w:pPr>
        <w:spacing w:after="0" w:line="60" w:lineRule="exact"/>
        <w:rPr>
          <w:sz w:val="20"/>
          <w:szCs w:val="20"/>
          <w:color w:val="auto"/>
        </w:rPr>
      </w:pPr>
    </w:p>
    <w:p>
      <w:pPr>
        <w:ind w:left="560" w:right="140"/>
        <w:spacing w:after="0" w:line="238"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shares warrant liability, term loan compound derivative liability, term loan, valuation of ordinary shares, income taxes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holds its cash in checking and interest-bearing accounts.</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73" w:lineRule="exact"/>
        <w:rPr>
          <w:sz w:val="20"/>
          <w:szCs w:val="20"/>
          <w:color w:val="auto"/>
        </w:rPr>
      </w:pPr>
    </w:p>
    <w:p>
      <w:pPr>
        <w:ind w:left="560" w:right="260"/>
        <w:spacing w:after="0" w:line="253"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The Company maintains deposits in federally insured financial institutions in excess of federally insured limits. The Company is exposed to credit risk in the event of default by the financial institutions holding its cash. The Company has not experienced any losses on its deposits of cash.</w:t>
      </w:r>
    </w:p>
    <w:p>
      <w:pPr>
        <w:spacing w:after="0" w:line="111" w:lineRule="exact"/>
        <w:rPr>
          <w:sz w:val="20"/>
          <w:szCs w:val="20"/>
          <w:color w:val="auto"/>
        </w:rPr>
      </w:pPr>
    </w:p>
    <w:p>
      <w:pPr>
        <w:ind w:left="560"/>
        <w:spacing w:after="0" w:line="242"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21" w:lineRule="exact"/>
        <w:rPr>
          <w:sz w:val="20"/>
          <w:szCs w:val="20"/>
          <w:color w:val="auto"/>
        </w:rPr>
      </w:pPr>
    </w:p>
    <w:p>
      <w:pPr>
        <w:ind w:left="560" w:right="100"/>
        <w:spacing w:after="0" w:line="246" w:lineRule="auto"/>
        <w:rPr>
          <w:sz w:val="20"/>
          <w:szCs w:val="20"/>
          <w:color w:val="auto"/>
        </w:rPr>
      </w:pPr>
      <w:r>
        <w:rPr>
          <w:rFonts w:ascii="Arial" w:cs="Arial" w:eastAsia="Arial" w:hAnsi="Arial"/>
          <w:sz w:val="17"/>
          <w:szCs w:val="17"/>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Property and Equipment</w:t>
      </w:r>
    </w:p>
    <w:p>
      <w:pPr>
        <w:spacing w:after="0" w:line="60" w:lineRule="exact"/>
        <w:rPr>
          <w:sz w:val="20"/>
          <w:szCs w:val="20"/>
          <w:color w:val="auto"/>
        </w:rPr>
      </w:pPr>
    </w:p>
    <w:p>
      <w:pPr>
        <w:ind w:left="560" w:right="60"/>
        <w:spacing w:after="0" w:line="242"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(Note 3). Upon sale or retirement of assets, the cost and related accumulated depreciation or amortization are removed from the consolidated balance sheet and the resulting gain or loss is reflected in the consolidated statement of operations and comprehensive loss. Maintenance and repairs are charged to the consolidated statement of operations and comprehensive loss as incurred.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useful lives of the property and equipment are as follows:</w:t>
      </w:r>
    </w:p>
    <w:p>
      <w:pPr>
        <w:sectPr>
          <w:pgSz w:w="11900" w:h="16838" w:orient="portrait"/>
          <w:cols w:equalWidth="0" w:num="1">
            <w:col w:w="11120"/>
          </w:cols>
          <w:pgMar w:left="320" w:top="455" w:right="459" w:bottom="1440" w:gutter="0" w:footer="0" w:header="0"/>
        </w:sectPr>
      </w:pPr>
    </w:p>
    <w:p>
      <w:pPr>
        <w:spacing w:after="0" w:line="19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and development equipment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Furniture and office equipment</w:t>
      </w:r>
    </w:p>
    <w:p>
      <w:pPr>
        <w:ind w:left="560"/>
        <w:spacing w:after="0" w:line="232" w:lineRule="auto"/>
        <w:rPr>
          <w:sz w:val="20"/>
          <w:szCs w:val="20"/>
          <w:color w:val="auto"/>
        </w:rPr>
      </w:pPr>
      <w:r>
        <w:rPr>
          <w:rFonts w:ascii="Arial" w:cs="Arial" w:eastAsia="Arial" w:hAnsi="Arial"/>
          <w:sz w:val="17"/>
          <w:szCs w:val="17"/>
          <w:color w:val="auto"/>
        </w:rPr>
        <w:t>Computer equipment</w:t>
      </w:r>
    </w:p>
    <w:p>
      <w:pPr>
        <w:ind w:left="560"/>
        <w:spacing w:after="0" w:line="232" w:lineRule="auto"/>
        <w:rPr>
          <w:sz w:val="20"/>
          <w:szCs w:val="20"/>
          <w:color w:val="auto"/>
        </w:rPr>
      </w:pPr>
      <w:r>
        <w:rPr>
          <w:rFonts w:ascii="Arial" w:cs="Arial" w:eastAsia="Arial" w:hAnsi="Arial"/>
          <w:sz w:val="17"/>
          <w:szCs w:val="17"/>
          <w:color w:val="auto"/>
        </w:rPr>
        <w:t>Software</w:t>
      </w:r>
    </w:p>
    <w:p>
      <w:pPr>
        <w:ind w:left="56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32" w:lineRule="auto"/>
        <w:rPr>
          <w:sz w:val="20"/>
          <w:szCs w:val="20"/>
          <w:color w:val="auto"/>
        </w:rPr>
      </w:pPr>
      <w:r>
        <w:rPr>
          <w:rFonts w:ascii="Arial" w:cs="Arial" w:eastAsia="Arial" w:hAnsi="Arial"/>
          <w:sz w:val="17"/>
          <w:szCs w:val="17"/>
          <w:color w:val="auto"/>
        </w:rPr>
        <w:t>3 years</w:t>
      </w:r>
    </w:p>
    <w:p>
      <w:pPr>
        <w:spacing w:after="0" w:line="232" w:lineRule="auto"/>
        <w:rPr>
          <w:sz w:val="20"/>
          <w:szCs w:val="20"/>
          <w:color w:val="auto"/>
        </w:rPr>
      </w:pPr>
      <w:r>
        <w:rPr>
          <w:rFonts w:ascii="Arial" w:cs="Arial" w:eastAsia="Arial" w:hAnsi="Arial"/>
          <w:sz w:val="17"/>
          <w:szCs w:val="17"/>
          <w:color w:val="auto"/>
        </w:rPr>
        <w:t>3 years</w:t>
      </w:r>
    </w:p>
    <w:p>
      <w:pPr>
        <w:spacing w:after="0"/>
        <w:rPr>
          <w:sz w:val="20"/>
          <w:szCs w:val="20"/>
          <w:color w:val="auto"/>
        </w:rPr>
      </w:pPr>
      <w:r>
        <w:rPr>
          <w:rFonts w:ascii="Arial" w:cs="Arial" w:eastAsia="Arial" w:hAnsi="Arial"/>
          <w:sz w:val="17"/>
          <w:szCs w:val="17"/>
          <w:color w:val="auto"/>
        </w:rPr>
        <w:t>Shorter of 7 years or remaining of lease term</w:t>
      </w:r>
    </w:p>
    <w:p>
      <w:pPr>
        <w:spacing w:after="0" w:line="130" w:lineRule="exact"/>
        <w:rPr>
          <w:sz w:val="20"/>
          <w:szCs w:val="20"/>
          <w:color w:val="auto"/>
        </w:rPr>
      </w:pPr>
    </w:p>
    <w:p>
      <w:pPr>
        <w:sectPr>
          <w:pgSz w:w="11900" w:h="16838" w:orient="portrait"/>
          <w:cols w:equalWidth="0" w:num="2">
            <w:col w:w="5440" w:space="720"/>
            <w:col w:w="4960"/>
          </w:cols>
          <w:pgMar w:left="320" w:top="455" w:right="459" w:bottom="1440" w:gutter="0" w:footer="0" w:header="0"/>
          <w:type w:val="continuous"/>
        </w:sectPr>
      </w:pPr>
    </w:p>
    <w:p>
      <w:pPr>
        <w:jc w:val="center"/>
        <w:ind w:right="-119"/>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1120"/>
          </w:cols>
          <w:pgMar w:left="320" w:top="455" w:right="459" w:bottom="1440" w:gutter="0" w:footer="0" w:header="0"/>
          <w:type w:val="continuous"/>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Impairment of Long-Lived Assets</w:t>
      </w:r>
    </w:p>
    <w:p>
      <w:pPr>
        <w:spacing w:after="0" w:line="60" w:lineRule="exact"/>
        <w:rPr>
          <w:sz w:val="20"/>
          <w:szCs w:val="20"/>
          <w:color w:val="auto"/>
        </w:rPr>
      </w:pPr>
    </w:p>
    <w:p>
      <w:pPr>
        <w:ind w:left="560" w:right="60"/>
        <w:spacing w:after="0"/>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years ended December 31, 2018 and December 31, 2019.</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23" w:lineRule="exact"/>
        <w:rPr>
          <w:sz w:val="20"/>
          <w:szCs w:val="20"/>
          <w:color w:val="auto"/>
        </w:rPr>
      </w:pPr>
    </w:p>
    <w:p>
      <w:pPr>
        <w:ind w:left="560" w:right="280"/>
        <w:spacing w:after="0" w:line="242" w:lineRule="auto"/>
        <w:rPr>
          <w:sz w:val="20"/>
          <w:szCs w:val="20"/>
          <w:color w:val="auto"/>
        </w:rPr>
      </w:pPr>
      <w:r>
        <w:rPr>
          <w:rFonts w:ascii="Arial" w:cs="Arial" w:eastAsia="Arial" w:hAnsi="Arial"/>
          <w:sz w:val="17"/>
          <w:szCs w:val="17"/>
          <w:color w:val="auto"/>
        </w:rPr>
        <w:t>The Company’s financial instruments consist of cash, accounts receivable, accounts payable, the term loan compound derivative liability and the Series B convertible preferred shares warrant liability. The term loan compound derivative liability and the Series B convertible preferred shares warrant liability are re-measured at the end of every period and carried at fair value (Note 2). The recorded value of the Company’s accounts receivable and accounts payable approximates its current fair value due to the relatively short-term nature of these items.</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73" w:lineRule="exact"/>
        <w:rPr>
          <w:sz w:val="20"/>
          <w:szCs w:val="20"/>
          <w:color w:val="auto"/>
        </w:rPr>
      </w:pPr>
    </w:p>
    <w:p>
      <w:pPr>
        <w:ind w:left="560" w:right="100"/>
        <w:spacing w:after="0"/>
        <w:rPr>
          <w:sz w:val="20"/>
          <w:szCs w:val="20"/>
          <w:color w:val="auto"/>
        </w:rPr>
      </w:pPr>
      <w:r>
        <w:rPr>
          <w:rFonts w:ascii="Arial" w:cs="Arial" w:eastAsia="Arial" w:hAnsi="Arial"/>
          <w:sz w:val="17"/>
          <w:szCs w:val="17"/>
          <w:color w:val="auto"/>
        </w:rPr>
        <w:t xml:space="preserve">The Company accounts for the Loan and Security Agreement, dated as of December 20, 2019, with Silicon Valley Bank, and WestRiver Innovation Lending Fund VIII, LP, collectively as lenders, and Silicon Valley Bank,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60" w:lineRule="exact"/>
        <w:rPr>
          <w:sz w:val="20"/>
          <w:szCs w:val="20"/>
          <w:color w:val="auto"/>
        </w:rPr>
      </w:pPr>
    </w:p>
    <w:p>
      <w:pPr>
        <w:jc w:val="both"/>
        <w:ind w:left="560" w:right="140"/>
        <w:spacing w:after="0" w:line="241" w:lineRule="auto"/>
        <w:rPr>
          <w:sz w:val="20"/>
          <w:szCs w:val="20"/>
          <w:color w:val="auto"/>
        </w:rPr>
      </w:pPr>
      <w:r>
        <w:rPr>
          <w:rFonts w:ascii="Arial" w:cs="Arial" w:eastAsia="Arial" w:hAnsi="Arial"/>
          <w:sz w:val="17"/>
          <w:szCs w:val="17"/>
          <w:color w:val="auto"/>
        </w:rPr>
        <w:t>The Company records convertible preferred shares net of issuance costs on the dates of issuance, which represents the carrying value. In the event of a change of control of the Company, proceeds will be distributed in accordance with the liquidation preferences set forth in its Constitution unless the holders of convertible preferred shares have converted their convertible preferred shares into ordinary shares.</w:t>
      </w:r>
    </w:p>
    <w:p>
      <w:pPr>
        <w:ind w:left="560" w:right="60"/>
        <w:spacing w:after="0" w:line="238" w:lineRule="auto"/>
        <w:rPr>
          <w:sz w:val="20"/>
          <w:szCs w:val="20"/>
          <w:color w:val="auto"/>
        </w:rPr>
      </w:pPr>
      <w:r>
        <w:rPr>
          <w:rFonts w:ascii="Arial" w:cs="Arial" w:eastAsia="Arial" w:hAnsi="Arial"/>
          <w:sz w:val="17"/>
          <w:szCs w:val="17"/>
          <w:color w:val="auto"/>
        </w:rPr>
        <w:t>Convertible preferred shares are classified outside of shareholders’ deficit on the accompanying consolidated balance sheets as events triggering the liquidation preferences are not solely within the Company’s control. The Company has elected not to adjust the carrying values of the convertible preferred shares to the liquidation preferences of such shares because of the uncertainty of whether or when such an event would occur.</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Series B Convertible Preferred Shares Warrant Liability</w:t>
      </w:r>
    </w:p>
    <w:p>
      <w:pPr>
        <w:spacing w:after="0" w:line="60" w:lineRule="exact"/>
        <w:rPr>
          <w:sz w:val="20"/>
          <w:szCs w:val="20"/>
          <w:color w:val="auto"/>
        </w:rPr>
      </w:pPr>
    </w:p>
    <w:p>
      <w:pPr>
        <w:ind w:left="560" w:right="60"/>
        <w:spacing w:after="0" w:line="242" w:lineRule="auto"/>
        <w:rPr>
          <w:sz w:val="20"/>
          <w:szCs w:val="20"/>
          <w:color w:val="auto"/>
        </w:rPr>
      </w:pPr>
      <w:r>
        <w:rPr>
          <w:rFonts w:ascii="Arial" w:cs="Arial" w:eastAsia="Arial" w:hAnsi="Arial"/>
          <w:sz w:val="17"/>
          <w:szCs w:val="17"/>
          <w:color w:val="auto"/>
        </w:rPr>
        <w:t>The Company has issued freestanding warrants to purchase its Series B convertible preferred shares. Freestanding warrants for the Company’s convertible preferred shares that are classified outside of permanent equity are recorded at fair value, and are subject to re-measurement at each balance sheet date until the earlier of the exercise of the warrants or the completion of a liquidation event. Upon exercise, the Series B convertible preferred shares warrant liability would be reclassified to additional paid-in capital, with any change in fair value recognized as a component of other income (expense), net.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Revenue Recognition</w:t>
      </w:r>
    </w:p>
    <w:p>
      <w:pPr>
        <w:spacing w:after="0" w:line="60" w:lineRule="exact"/>
        <w:rPr>
          <w:sz w:val="20"/>
          <w:szCs w:val="20"/>
          <w:color w:val="auto"/>
        </w:rPr>
      </w:pPr>
    </w:p>
    <w:p>
      <w:pPr>
        <w:ind w:left="560" w:right="200"/>
        <w:spacing w:after="0" w:line="253" w:lineRule="auto"/>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 The Company recognizes such revenues over time as services are delivered, and invoices the customer as the work is incurred in arrears.</w:t>
      </w:r>
    </w:p>
    <w:p>
      <w:pPr>
        <w:spacing w:after="0" w:line="111" w:lineRule="exact"/>
        <w:rPr>
          <w:sz w:val="20"/>
          <w:szCs w:val="20"/>
          <w:color w:val="auto"/>
        </w:rPr>
      </w:pPr>
    </w:p>
    <w:p>
      <w:pPr>
        <w:ind w:left="560" w:right="120"/>
        <w:spacing w:after="0" w:line="242" w:lineRule="auto"/>
        <w:rPr>
          <w:sz w:val="20"/>
          <w:szCs w:val="20"/>
          <w:color w:val="auto"/>
        </w:rPr>
      </w:pPr>
      <w:r>
        <w:rPr>
          <w:rFonts w:ascii="Arial" w:cs="Arial" w:eastAsia="Arial" w:hAnsi="Arial"/>
          <w:sz w:val="17"/>
          <w:szCs w:val="17"/>
          <w:color w:val="auto"/>
        </w:rPr>
        <w:t xml:space="preserve">Effective January 1, 2018, the Company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on a full retrospective basis. This standard applies to all contracts with customers, except for contracts that are within the scope of other standards, such as leases, insurance, collaboration arrangements and financial instruments. In accordance with Topic 606, the Company recognizes revenue when its customer obtains control of promised goods or services, in an amount that reflects the consideration which the Company expects to receive in exchange for those goods or services.</w:t>
      </w:r>
    </w:p>
    <w:p>
      <w:pPr>
        <w:spacing w:after="0" w:line="121" w:lineRule="exact"/>
        <w:rPr>
          <w:sz w:val="20"/>
          <w:szCs w:val="20"/>
          <w:color w:val="auto"/>
        </w:rPr>
      </w:pPr>
    </w:p>
    <w:p>
      <w:pPr>
        <w:ind w:left="560" w:right="20"/>
        <w:spacing w:after="0" w:line="24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17" w:lineRule="exact"/>
        <w:rPr>
          <w:sz w:val="20"/>
          <w:szCs w:val="20"/>
          <w:color w:val="auto"/>
        </w:rPr>
      </w:pPr>
    </w:p>
    <w:p>
      <w:pPr>
        <w:ind w:left="560" w:right="60"/>
        <w:spacing w:after="0"/>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based on their standalone selling price to the respective performance obligation when (or as) the performance obligation is satisfied.</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Cost of Services for Related-Party Revenue</w:t>
      </w:r>
    </w:p>
    <w:p>
      <w:pPr>
        <w:spacing w:after="0" w:line="60" w:lineRule="exact"/>
        <w:rPr>
          <w:sz w:val="20"/>
          <w:szCs w:val="20"/>
          <w:color w:val="auto"/>
        </w:rPr>
      </w:pPr>
    </w:p>
    <w:p>
      <w:pPr>
        <w:ind w:left="560" w:right="400"/>
        <w:spacing w:after="0" w:line="253"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consolidated statements of operations and comprehensive loss.</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Research and Development Costs</w:t>
      </w:r>
    </w:p>
    <w:p>
      <w:pPr>
        <w:spacing w:after="0" w:line="73" w:lineRule="exact"/>
        <w:rPr>
          <w:sz w:val="20"/>
          <w:szCs w:val="20"/>
          <w:color w:val="auto"/>
        </w:rPr>
      </w:pPr>
    </w:p>
    <w:p>
      <w:pPr>
        <w:ind w:left="560" w:right="160"/>
        <w:spacing w:after="0" w:line="242" w:lineRule="auto"/>
        <w:rPr>
          <w:sz w:val="20"/>
          <w:szCs w:val="20"/>
          <w:color w:val="auto"/>
        </w:rPr>
      </w:pPr>
      <w:r>
        <w:rPr>
          <w:rFonts w:ascii="Arial" w:cs="Arial" w:eastAsia="Arial" w:hAnsi="Arial"/>
          <w:sz w:val="17"/>
          <w:szCs w:val="17"/>
          <w:color w:val="auto"/>
        </w:rPr>
        <w:t>Research and development costs are expensed as incurred and consist primarily of salaries and benefits, share-based compensation expense, lab supplies and facility costs, as well as fees paid to nonemployees and entities that conduct certain research and development activities on behalf of the Company and expenses incurred in connection with license agreements (Note 9).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Clinical and Manufacturing Accruals</w:t>
      </w:r>
    </w:p>
    <w:p>
      <w:pPr>
        <w:spacing w:after="0" w:line="60" w:lineRule="exact"/>
        <w:rPr>
          <w:sz w:val="20"/>
          <w:szCs w:val="20"/>
          <w:color w:val="auto"/>
        </w:rPr>
      </w:pPr>
    </w:p>
    <w:p>
      <w:pPr>
        <w:ind w:left="560"/>
        <w:spacing w:after="0" w:line="237"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spacing w:after="0" w:line="237"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information provided as part of its clinical and non-clinical studies and other third-party vendors. Through December 31, 2019,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Share-Based Compensation Expense</w:t>
      </w:r>
    </w:p>
    <w:p>
      <w:pPr>
        <w:spacing w:after="0" w:line="60" w:lineRule="exact"/>
        <w:rPr>
          <w:sz w:val="20"/>
          <w:szCs w:val="20"/>
          <w:color w:val="auto"/>
        </w:rPr>
      </w:pPr>
    </w:p>
    <w:p>
      <w:pPr>
        <w:ind w:left="560" w:right="20"/>
        <w:spacing w:after="0" w:line="239" w:lineRule="auto"/>
        <w:rPr>
          <w:sz w:val="20"/>
          <w:szCs w:val="20"/>
          <w:color w:val="auto"/>
        </w:rPr>
      </w:pPr>
      <w:r>
        <w:rPr>
          <w:rFonts w:ascii="Arial" w:cs="Arial" w:eastAsia="Arial" w:hAnsi="Arial"/>
          <w:sz w:val="17"/>
          <w:szCs w:val="17"/>
          <w:color w:val="auto"/>
        </w:rPr>
        <w:t>The Company accounts for share-based compensation by measuring and recognizing compensation expense for all share-based payments made to employees, directors and non-employees based on estimated grant-date fair values. The Company uses the straight-line method to allocate compensation expense to reporting periods over each optionee’s requisite service period, which is generally the vesting period, and estimates the fair value of share-based awards to employees and directors using the Black-Scholes option-pricing model. The Black-Scholes model requires the input of subjective assumptions, including expected volatility, expected dividend yield, expected term, risk-free rate of return and the estimated fair value of the underlying ordinary shares on the date of grant. The Company accounts for the effect of forfeitures as they occur.</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Segment Reporting</w:t>
      </w:r>
    </w:p>
    <w:p>
      <w:pPr>
        <w:spacing w:after="0" w:line="60" w:lineRule="exact"/>
        <w:rPr>
          <w:sz w:val="20"/>
          <w:szCs w:val="20"/>
          <w:color w:val="auto"/>
        </w:rPr>
      </w:pPr>
    </w:p>
    <w:p>
      <w:pPr>
        <w:ind w:left="560" w:right="380"/>
        <w:spacing w:after="0" w:line="275" w:lineRule="auto"/>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 All of the Company’s assets are maintained in the United States and Ireland.</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Foreign Currency Transactions</w:t>
      </w:r>
    </w:p>
    <w:p>
      <w:pPr>
        <w:spacing w:after="0" w:line="73" w:lineRule="exact"/>
        <w:rPr>
          <w:sz w:val="20"/>
          <w:szCs w:val="20"/>
          <w:color w:val="auto"/>
        </w:rPr>
      </w:pPr>
    </w:p>
    <w:p>
      <w:pPr>
        <w:ind w:left="560" w:right="180"/>
        <w:spacing w:after="0" w:line="242" w:lineRule="auto"/>
        <w:rPr>
          <w:sz w:val="20"/>
          <w:szCs w:val="20"/>
          <w:color w:val="auto"/>
        </w:rPr>
      </w:pPr>
      <w:r>
        <w:rPr>
          <w:rFonts w:ascii="Arial" w:cs="Arial" w:eastAsia="Arial" w:hAnsi="Arial"/>
          <w:sz w:val="17"/>
          <w:szCs w:val="17"/>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income (expense), net, and was immaterial for the years ended December 31, 2018 and December 31, 2019, respectively.</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Income Taxes</w:t>
      </w:r>
    </w:p>
    <w:p>
      <w:pPr>
        <w:spacing w:after="0" w:line="60" w:lineRule="exact"/>
        <w:rPr>
          <w:sz w:val="20"/>
          <w:szCs w:val="20"/>
          <w:color w:val="auto"/>
        </w:rPr>
      </w:pPr>
    </w:p>
    <w:p>
      <w:pPr>
        <w:ind w:left="560" w:right="220"/>
        <w:spacing w:after="0"/>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w:t>
      </w:r>
    </w:p>
    <w:p>
      <w:pPr>
        <w:spacing w:after="0" w:line="123" w:lineRule="exact"/>
        <w:rPr>
          <w:sz w:val="20"/>
          <w:szCs w:val="20"/>
          <w:color w:val="auto"/>
        </w:rPr>
      </w:pPr>
    </w:p>
    <w:p>
      <w:pPr>
        <w:ind w:left="560" w:right="40"/>
        <w:spacing w:after="0" w:line="242" w:lineRule="auto"/>
        <w:rPr>
          <w:sz w:val="20"/>
          <w:szCs w:val="20"/>
          <w:color w:val="auto"/>
        </w:rPr>
      </w:pPr>
      <w:r>
        <w:rPr>
          <w:rFonts w:ascii="Arial" w:cs="Arial" w:eastAsia="Arial" w:hAnsi="Arial"/>
          <w:sz w:val="17"/>
          <w:szCs w:val="17"/>
          <w:color w:val="auto"/>
        </w:rPr>
        <w:t>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121" w:lineRule="exact"/>
        <w:rPr>
          <w:sz w:val="20"/>
          <w:szCs w:val="20"/>
          <w:color w:val="auto"/>
        </w:rPr>
      </w:pPr>
    </w:p>
    <w:p>
      <w:pPr>
        <w:ind w:left="560" w:right="880"/>
        <w:spacing w:after="0" w:line="275"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right="180"/>
        <w:spacing w:after="0" w:line="275" w:lineRule="auto"/>
        <w:rPr>
          <w:sz w:val="20"/>
          <w:szCs w:val="20"/>
          <w:color w:val="auto"/>
        </w:rPr>
      </w:pPr>
      <w:r>
        <w:rPr>
          <w:rFonts w:ascii="Arial" w:cs="Arial" w:eastAsia="Arial" w:hAnsi="Arial"/>
          <w:sz w:val="17"/>
          <w:szCs w:val="17"/>
          <w:color w:val="auto"/>
        </w:rPr>
        <w:t>more likely than not to be realized upon the ultimate settlement. The Company’s policy is to recognize interest and penalties related to the underpayment of income taxes as a component of income tax expense or benefit.</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Net Loss Per Share Attributable to Ordinary Shareholders</w:t>
      </w:r>
    </w:p>
    <w:p>
      <w:pPr>
        <w:spacing w:after="0" w:line="60" w:lineRule="exact"/>
        <w:rPr>
          <w:sz w:val="20"/>
          <w:szCs w:val="20"/>
          <w:color w:val="auto"/>
        </w:rPr>
      </w:pPr>
    </w:p>
    <w:p>
      <w:pPr>
        <w:ind w:left="560" w:right="160"/>
        <w:spacing w:after="0" w:line="242" w:lineRule="auto"/>
        <w:rPr>
          <w:sz w:val="20"/>
          <w:szCs w:val="20"/>
          <w:color w:val="auto"/>
        </w:rPr>
      </w:pPr>
      <w:r>
        <w:rPr>
          <w:rFonts w:ascii="Arial" w:cs="Arial" w:eastAsia="Arial" w:hAnsi="Arial"/>
          <w:sz w:val="17"/>
          <w:szCs w:val="17"/>
          <w:color w:val="auto"/>
        </w:rPr>
        <w:t>Basic net loss per share is calculated by dividing the net loss attributable to ordinary shareholders by the weighted-average number of ordinary shares outstanding during the period, without consideration for ordinary share equivalents. Net loss attributable to ordinary shareholders is calculated by adjusting net loss of the Company for cumulative preferred share dividends. Diluted net loss per share is the same as basic net loss per share, since the effects of potentially dilutive securities are antidilutive given the net loss for each period presented.</w:t>
      </w:r>
    </w:p>
    <w:p>
      <w:pPr>
        <w:spacing w:after="0" w:line="121" w:lineRule="exact"/>
        <w:rPr>
          <w:sz w:val="20"/>
          <w:szCs w:val="20"/>
          <w:color w:val="auto"/>
        </w:rPr>
      </w:pPr>
    </w:p>
    <w:p>
      <w:pPr>
        <w:ind w:left="560" w:right="60"/>
        <w:spacing w:after="0" w:line="238"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ordinary and participating securities according to dividends declared or accumulated and participation rights in undistributed earnings. The two-class method requires net loss available to ordinary shareholders for the period to be allocated between ordinary and participating securities based upon their respective rights to share in the earnings as if all net loss for the period had been distributed. The Company’s convertible preferred shares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Unaudited Pro Forma Net Loss Per Share Attributable to Ordinary Shareholders</w:t>
      </w:r>
    </w:p>
    <w:p>
      <w:pPr>
        <w:spacing w:after="0" w:line="60" w:lineRule="exact"/>
        <w:rPr>
          <w:sz w:val="20"/>
          <w:szCs w:val="20"/>
          <w:color w:val="auto"/>
        </w:rPr>
      </w:pPr>
    </w:p>
    <w:p>
      <w:pPr>
        <w:ind w:left="560" w:right="200"/>
        <w:spacing w:after="0"/>
        <w:rPr>
          <w:sz w:val="20"/>
          <w:szCs w:val="20"/>
          <w:color w:val="auto"/>
        </w:rPr>
      </w:pPr>
      <w:r>
        <w:rPr>
          <w:rFonts w:ascii="Arial" w:cs="Arial" w:eastAsia="Arial" w:hAnsi="Arial"/>
          <w:sz w:val="17"/>
          <w:szCs w:val="17"/>
          <w:color w:val="auto"/>
        </w:rPr>
        <w:t>In contemplation of an initial public offering, or IPO, the Company has presented unaudited pro forma basic and diluted net loss per share attributable to ordinary shareholders for the year ended December 31, 2019. Unaudited pro forma basic net loss per share attributable to ordinary shareholders as of December 31, 2019 is computed to give effect to adjustments to the denominator in the pro forma basic and diluted net loss per share calculation to reflect the conversion of all of the Company’s outstanding convertible preferred shares and cumulative dividends into 11,253,839 ordinary shares, as if the conversion had occurred as of the beginning of the period or the original date of issuance, if later.</w:t>
      </w:r>
    </w:p>
    <w:p>
      <w:pPr>
        <w:spacing w:after="0" w:line="123" w:lineRule="exact"/>
        <w:rPr>
          <w:sz w:val="20"/>
          <w:szCs w:val="20"/>
          <w:color w:val="auto"/>
        </w:rPr>
      </w:pPr>
    </w:p>
    <w:p>
      <w:pPr>
        <w:ind w:left="560" w:right="400"/>
        <w:spacing w:after="0" w:line="246" w:lineRule="auto"/>
        <w:rPr>
          <w:sz w:val="20"/>
          <w:szCs w:val="20"/>
          <w:color w:val="auto"/>
        </w:rPr>
      </w:pPr>
      <w:r>
        <w:rPr>
          <w:rFonts w:ascii="Arial" w:cs="Arial" w:eastAsia="Arial" w:hAnsi="Arial"/>
          <w:sz w:val="17"/>
          <w:szCs w:val="17"/>
          <w:color w:val="auto"/>
        </w:rPr>
        <w:t>Unaudited pro forma diluted net loss attributable to ordinary shareholders is the same as unaudited pro forma basic net loss per share attributable to ordinary shareholders for the period as the impact of any potentially dilutive securities was anti-dilutive, which has been computed to give effect to the adjustment noted above. The pro forma net loss per share attributable to ordinary shareholders does not include proceeds to be received from nor does it include shares expected to be sold in the assumed IPO.</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Accounting Pronouncements</w:t>
      </w:r>
    </w:p>
    <w:p>
      <w:pPr>
        <w:spacing w:after="0" w:line="73" w:lineRule="exact"/>
        <w:rPr>
          <w:sz w:val="20"/>
          <w:szCs w:val="20"/>
          <w:color w:val="auto"/>
        </w:rPr>
      </w:pPr>
    </w:p>
    <w:p>
      <w:pPr>
        <w:ind w:left="560" w:right="200"/>
        <w:spacing w:after="0" w:line="24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17" w:lineRule="exact"/>
        <w:rPr>
          <w:sz w:val="20"/>
          <w:szCs w:val="20"/>
          <w:color w:val="auto"/>
        </w:rPr>
      </w:pPr>
    </w:p>
    <w:p>
      <w:pPr>
        <w:ind w:left="560"/>
        <w:spacing w:after="0" w:line="239"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November 2019, the FASB issued ASU No. 2019-10, which extends the effective date of ASU No. 2016-02 for non-public business entities, including smaller reporting companies, to fiscal years beginning after December 15, 2020. The new standard is effective for the Company beginning January 1, 2021. Early adoption is permitted. The Company is currently evaluating the effects of the adoption of this guidance on its consolidated financial statements and related disclosures.</w:t>
      </w:r>
    </w:p>
    <w:p>
      <w:pPr>
        <w:spacing w:after="0" w:line="122" w:lineRule="exact"/>
        <w:rPr>
          <w:sz w:val="20"/>
          <w:szCs w:val="20"/>
          <w:color w:val="auto"/>
        </w:rPr>
      </w:pPr>
    </w:p>
    <w:p>
      <w:pPr>
        <w:ind w:left="560" w:right="60"/>
        <w:spacing w:after="0" w:line="25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(Topic 326), which requires entities to measure all expected credit losses for financial assets held at the reporting date based on historical experience, current conditions, and reasonable and supportable forecasts. This replaces the existing</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right="200"/>
        <w:spacing w:after="0" w:line="246" w:lineRule="auto"/>
        <w:rPr>
          <w:sz w:val="20"/>
          <w:szCs w:val="20"/>
          <w:color w:val="auto"/>
        </w:rPr>
      </w:pPr>
      <w:r>
        <w:rPr>
          <w:rFonts w:ascii="Arial" w:cs="Arial" w:eastAsia="Arial" w:hAnsi="Arial"/>
          <w:sz w:val="17"/>
          <w:szCs w:val="17"/>
          <w:color w:val="auto"/>
        </w:rPr>
        <w:t>incurred loss model and is applicable to the measurement of credit losses on financial assets measured at amortized cost. In February 2020, the FASB issued ASU No. 2020-02 and delayed the effective date of Topic 326 until fiscal year beginning after December 15, 2022. The new standard is effective for the Company beginning January 1, 2023. Early adoption is permitted. The Company is currently evaluating the effects of the adoption of this guidance on its consolidated financial statements and related disclosures.</w:t>
      </w:r>
    </w:p>
    <w:p>
      <w:pPr>
        <w:spacing w:after="0" w:line="117" w:lineRule="exact"/>
        <w:rPr>
          <w:sz w:val="20"/>
          <w:szCs w:val="20"/>
          <w:color w:val="auto"/>
        </w:rPr>
      </w:pPr>
    </w:p>
    <w:p>
      <w:pPr>
        <w:ind w:left="560" w:right="120"/>
        <w:spacing w:after="0" w:line="24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consolidated financial statements.</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New Accounting Pronouncements Recently Adopted</w:t>
      </w:r>
    </w:p>
    <w:p>
      <w:pPr>
        <w:spacing w:after="0" w:line="60" w:lineRule="exact"/>
        <w:rPr>
          <w:sz w:val="20"/>
          <w:szCs w:val="20"/>
          <w:color w:val="auto"/>
        </w:rPr>
      </w:pPr>
    </w:p>
    <w:p>
      <w:pPr>
        <w:ind w:left="560"/>
        <w:spacing w:after="0" w:line="242"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(Topic 230): Restricted Cash, which requires that restricted cash and cash equivalents be included as components of total cash and cash equivalents as presented on the statement of cash flows. ASU 2016-18 was effective for fiscal years beginning after December 15, 2018, and a retrospective transition method is required. The Company adopted this guidance on January 1, 2019. The adoption of this guidance did not have a material impact on the Company’s consolidated financial statements.</w:t>
      </w:r>
    </w:p>
    <w:p>
      <w:pPr>
        <w:spacing w:after="0" w:line="121" w:lineRule="exact"/>
        <w:rPr>
          <w:sz w:val="20"/>
          <w:szCs w:val="20"/>
          <w:color w:val="auto"/>
        </w:rPr>
      </w:pPr>
    </w:p>
    <w:p>
      <w:pPr>
        <w:ind w:left="560" w:right="80"/>
        <w:spacing w:after="0" w:line="239"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(Topic 480): Accounting for Certain Financial Instruments with Down Round Features. ASU No. 2017-11 provides guidance that eliminates the requirement to consider “down round” features when determining whether certain financial instruments or embedded features are indexed to an entity’s stock and need to be classified as liabilities. ASU 2017-11 provides for entities to recognize the effect of a down round feature only when it is triggered and then as a dividend and a reduction to income available to common stockholders in basic earnings per share. The Company adopted this guidance on January 1, 2019. The adoption of this guidance did not have a material impact on the Company’s consolidated financial statements.</w:t>
      </w:r>
    </w:p>
    <w:p>
      <w:pPr>
        <w:spacing w:after="0" w:line="323"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157" w:lineRule="exact"/>
        <w:rPr>
          <w:rFonts w:ascii="Arial" w:cs="Arial" w:eastAsia="Arial" w:hAnsi="Arial"/>
          <w:sz w:val="17"/>
          <w:szCs w:val="17"/>
          <w:b w:val="1"/>
          <w:bCs w:val="1"/>
          <w:color w:val="auto"/>
        </w:rPr>
      </w:pPr>
    </w:p>
    <w:p>
      <w:pPr>
        <w:ind w:left="560" w:right="80"/>
        <w:spacing w:after="0" w:line="242" w:lineRule="auto"/>
        <w:rPr>
          <w:rFonts w:ascii="Arial" w:cs="Arial" w:eastAsia="Arial" w:hAnsi="Arial"/>
          <w:sz w:val="17"/>
          <w:szCs w:val="17"/>
          <w:b w:val="1"/>
          <w:bCs w:val="1"/>
          <w:color w:val="auto"/>
        </w:rPr>
      </w:pPr>
      <w:r>
        <w:rPr>
          <w:rFonts w:ascii="Arial" w:cs="Arial" w:eastAsia="Arial" w:hAnsi="Arial"/>
          <w:sz w:val="17"/>
          <w:szCs w:val="17"/>
          <w:color w:val="auto"/>
        </w:rPr>
        <w:t xml:space="preserve">The fair value of the Company’s financial assets and liabilities are determined in accordance with the fair value hierarchy established in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2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 Observable inputs, such as quoted prices in active markets</w:t>
      </w:r>
    </w:p>
    <w:p>
      <w:pPr>
        <w:spacing w:after="0" w:line="155" w:lineRule="exact"/>
        <w:rPr>
          <w:rFonts w:ascii="Arial" w:cs="Arial" w:eastAsia="Arial" w:hAnsi="Arial"/>
          <w:sz w:val="17"/>
          <w:szCs w:val="17"/>
          <w:b w:val="1"/>
          <w:bCs w:val="1"/>
          <w:color w:val="auto"/>
        </w:rPr>
      </w:pPr>
    </w:p>
    <w:p>
      <w:pPr>
        <w:ind w:left="560" w:right="200"/>
        <w:spacing w:after="0" w:line="253" w:lineRule="auto"/>
        <w:rPr>
          <w:rFonts w:ascii="Arial" w:cs="Arial" w:eastAsia="Arial" w:hAnsi="Arial"/>
          <w:sz w:val="17"/>
          <w:szCs w:val="17"/>
          <w:b w:val="1"/>
          <w:bCs w:val="1"/>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 Inputs, other than the quoted prices in active markets, which are observable either directly or indirectly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quoted prices in markets that are not active; or other inputs that are observable or can be corroborated by observable market data for substantially the full term of the instrument’s anticipated life</w:t>
      </w:r>
    </w:p>
    <w:p>
      <w:pPr>
        <w:spacing w:after="0" w:line="110"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 Unobservable inputs in which there is little or no market data, which require the reporting entity to develop its own assumptions</w:t>
      </w:r>
    </w:p>
    <w:p>
      <w:pPr>
        <w:spacing w:after="0" w:line="161" w:lineRule="exact"/>
        <w:rPr>
          <w:sz w:val="20"/>
          <w:szCs w:val="20"/>
          <w:color w:val="auto"/>
        </w:rPr>
      </w:pPr>
    </w:p>
    <w:p>
      <w:pPr>
        <w:ind w:left="560" w:right="120"/>
        <w:spacing w:after="0" w:line="248" w:lineRule="auto"/>
        <w:rPr>
          <w:sz w:val="20"/>
          <w:szCs w:val="20"/>
          <w:color w:val="auto"/>
        </w:rPr>
      </w:pPr>
      <w:r>
        <w:rPr>
          <w:rFonts w:ascii="Arial" w:cs="Arial" w:eastAsia="Arial" w:hAnsi="Arial"/>
          <w:sz w:val="18"/>
          <w:szCs w:val="18"/>
          <w:color w:val="auto"/>
        </w:rPr>
        <w:t>The Company measures its Series B convertible preferred shares warrant liability and term loan compound derivative liability at fair value on a recurring basis and these are classified as Level 3 liabilities. The fair value of the Series B preferred shares warrant liability was determined using an option-pricing model. The Company calculated the fair value of the term loan compound derivative liability by computing the</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8" w:lineRule="exact"/>
        <w:rPr>
          <w:sz w:val="20"/>
          <w:szCs w:val="20"/>
          <w:color w:val="auto"/>
        </w:rPr>
      </w:pPr>
    </w:p>
    <w:p>
      <w:pPr>
        <w:ind w:left="560" w:right="300"/>
        <w:spacing w:after="0" w:line="255" w:lineRule="auto"/>
        <w:rPr>
          <w:sz w:val="20"/>
          <w:szCs w:val="20"/>
          <w:color w:val="auto"/>
        </w:rPr>
      </w:pPr>
      <w:r>
        <w:rPr>
          <w:rFonts w:ascii="Arial" w:cs="Arial" w:eastAsia="Arial" w:hAnsi="Arial"/>
          <w:sz w:val="18"/>
          <w:szCs w:val="18"/>
          <w:color w:val="auto"/>
        </w:rPr>
        <w:t>difference between the fair value of the term loan with the compound derivative using the “with and without” method under the income approach, and the fair value of the term loan without the compound derivative. The valuation methodology and underlying assumptions are discussed further in Note 4.</w:t>
      </w:r>
    </w:p>
    <w:p>
      <w:pPr>
        <w:spacing w:after="0" w:line="104" w:lineRule="exact"/>
        <w:rPr>
          <w:sz w:val="20"/>
          <w:szCs w:val="20"/>
          <w:color w:val="auto"/>
        </w:rPr>
      </w:pPr>
    </w:p>
    <w:p>
      <w:pPr>
        <w:ind w:left="560" w:right="260"/>
        <w:spacing w:after="0" w:line="275"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2" w:lineRule="exact"/>
        <w:rPr>
          <w:sz w:val="20"/>
          <w:szCs w:val="20"/>
          <w:color w:val="auto"/>
        </w:rPr>
      </w:pPr>
    </w:p>
    <w:tbl>
      <w:tblPr>
        <w:tblLayout w:type="fixed"/>
        <w:tblInd w:w="560" w:type="dxa"/>
        <w:tblCellMar>
          <w:top w:w="0" w:type="dxa"/>
          <w:left w:w="0" w:type="dxa"/>
          <w:bottom w:w="0" w:type="dxa"/>
          <w:right w:w="0" w:type="dxa"/>
        </w:tblCellMar>
      </w:tblPr>
      <w:tr>
        <w:trPr>
          <w:trHeight w:val="177"/>
        </w:trPr>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OF DECEMBER 31, 2019</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7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728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7"/>
                <w:szCs w:val="17"/>
                <w:color w:val="auto"/>
              </w:rPr>
              <w:t>Financial liabilities</w:t>
            </w:r>
          </w:p>
        </w:tc>
        <w:tc>
          <w:tcPr>
            <w:tcW w:w="3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2"/>
        </w:trPr>
        <w:tc>
          <w:tcPr>
            <w:tcW w:w="7280" w:type="dxa"/>
            <w:vAlign w:val="bottom"/>
            <w:gridSpan w:val="3"/>
          </w:tcPr>
          <w:p>
            <w:pPr>
              <w:ind w:left="260"/>
              <w:spacing w:after="0" w:line="162" w:lineRule="exact"/>
              <w:rPr>
                <w:sz w:val="20"/>
                <w:szCs w:val="20"/>
                <w:color w:val="auto"/>
              </w:rPr>
            </w:pPr>
            <w:r>
              <w:rPr>
                <w:rFonts w:ascii="Arial" w:cs="Arial" w:eastAsia="Arial" w:hAnsi="Arial"/>
                <w:sz w:val="17"/>
                <w:szCs w:val="17"/>
                <w:color w:val="auto"/>
              </w:rPr>
              <w:t>Long term liabilities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
        </w:trPr>
        <w:tc>
          <w:tcPr>
            <w:tcW w:w="2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2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Compound derivative liability</w:t>
            </w:r>
          </w:p>
        </w:tc>
        <w:tc>
          <w:tcPr>
            <w:tcW w:w="300" w:type="dxa"/>
            <w:vAlign w:val="bottom"/>
            <w:shd w:val="clear" w:color="auto" w:fill="CCEEFF"/>
          </w:tcPr>
          <w:p>
            <w:pPr>
              <w:jc w:val="right"/>
              <w:ind w:right="119"/>
              <w:spacing w:after="0" w:line="189" w:lineRule="exact"/>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51</w:t>
            </w:r>
          </w:p>
        </w:tc>
        <w:tc>
          <w:tcPr>
            <w:tcW w:w="46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31"/>
        </w:trPr>
        <w:tc>
          <w:tcPr>
            <w:tcW w:w="7280" w:type="dxa"/>
            <w:vAlign w:val="bottom"/>
            <w:gridSpan w:val="3"/>
          </w:tcPr>
          <w:p>
            <w:pPr>
              <w:ind w:left="260"/>
              <w:spacing w:after="0"/>
              <w:rPr>
                <w:sz w:val="20"/>
                <w:szCs w:val="20"/>
                <w:color w:val="auto"/>
              </w:rPr>
            </w:pPr>
            <w:r>
              <w:rPr>
                <w:rFonts w:ascii="Arial" w:cs="Arial" w:eastAsia="Arial" w:hAnsi="Arial"/>
                <w:sz w:val="17"/>
                <w:szCs w:val="17"/>
                <w:color w:val="auto"/>
              </w:rPr>
              <w:t>Warrant liability</w:t>
            </w:r>
          </w:p>
        </w:tc>
        <w:tc>
          <w:tcPr>
            <w:tcW w:w="300" w:type="dxa"/>
            <w:vAlign w:val="bottom"/>
          </w:tcPr>
          <w:p>
            <w:pPr>
              <w:jc w:val="right"/>
              <w:ind w:right="119"/>
              <w:spacing w:after="0"/>
              <w:rPr>
                <w:sz w:val="20"/>
                <w:szCs w:val="20"/>
                <w:color w:val="auto"/>
              </w:rPr>
            </w:pPr>
            <w:r>
              <w:rPr>
                <w:rFonts w:ascii="Arial" w:cs="Arial" w:eastAsia="Arial" w:hAnsi="Arial"/>
                <w:sz w:val="17"/>
                <w:szCs w:val="17"/>
                <w:color w:val="auto"/>
                <w:w w:val="84"/>
              </w:rPr>
              <w:t>$</w:t>
            </w: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361</w:t>
            </w:r>
          </w:p>
        </w:tc>
        <w:tc>
          <w:tcPr>
            <w:tcW w:w="4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7" w:lineRule="exact"/>
        <w:rPr>
          <w:sz w:val="20"/>
          <w:szCs w:val="20"/>
          <w:color w:val="auto"/>
        </w:rPr>
      </w:pPr>
    </w:p>
    <w:p>
      <w:pPr>
        <w:ind w:left="560" w:right="720"/>
        <w:spacing w:after="0" w:line="276" w:lineRule="auto"/>
        <w:rPr>
          <w:sz w:val="20"/>
          <w:szCs w:val="20"/>
          <w:color w:val="auto"/>
        </w:rPr>
      </w:pPr>
      <w:r>
        <w:rPr>
          <w:rFonts w:ascii="Arial" w:cs="Arial" w:eastAsia="Arial" w:hAnsi="Arial"/>
          <w:sz w:val="18"/>
          <w:szCs w:val="18"/>
          <w:color w:val="auto"/>
        </w:rPr>
        <w:t>The following tables are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COMPOUND</w:t>
            </w:r>
          </w:p>
        </w:tc>
      </w:tr>
      <w:tr>
        <w:trPr>
          <w:trHeight w:val="162"/>
        </w:trPr>
        <w:tc>
          <w:tcPr>
            <w:tcW w:w="4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WARRANT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r>
      <w:tr>
        <w:trPr>
          <w:trHeight w:val="177"/>
        </w:trPr>
        <w:tc>
          <w:tcPr>
            <w:tcW w:w="44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LIABILITY</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r>
      <w:tr>
        <w:trPr>
          <w:trHeight w:val="183"/>
        </w:trPr>
        <w:tc>
          <w:tcPr>
            <w:tcW w:w="440" w:type="dxa"/>
            <w:vAlign w:val="bottom"/>
          </w:tcPr>
          <w:p>
            <w:pPr>
              <w:spacing w:after="0"/>
              <w:rPr>
                <w:sz w:val="15"/>
                <w:szCs w:val="15"/>
                <w:color w:val="auto"/>
              </w:rPr>
            </w:pPr>
          </w:p>
        </w:tc>
        <w:tc>
          <w:tcPr>
            <w:tcW w:w="8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December 31, 2018</w:t>
            </w: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CCEEFF"/>
            </w:tcBorders>
            <w:gridSpan w:val="2"/>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8200" w:type="dxa"/>
            <w:vAlign w:val="bottom"/>
          </w:tcPr>
          <w:p>
            <w:pPr>
              <w:spacing w:after="0" w:line="189" w:lineRule="exact"/>
              <w:rPr>
                <w:sz w:val="20"/>
                <w:szCs w:val="20"/>
                <w:color w:val="auto"/>
              </w:rPr>
            </w:pPr>
            <w:r>
              <w:rPr>
                <w:rFonts w:ascii="Arial" w:cs="Arial" w:eastAsia="Arial" w:hAnsi="Arial"/>
                <w:sz w:val="17"/>
                <w:szCs w:val="17"/>
                <w:color w:val="auto"/>
              </w:rPr>
              <w:t>Additions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361</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189"/>
        </w:trPr>
        <w:tc>
          <w:tcPr>
            <w:tcW w:w="440" w:type="dxa"/>
            <w:vAlign w:val="bottom"/>
          </w:tcPr>
          <w:p>
            <w:pPr>
              <w:spacing w:after="0"/>
              <w:rPr>
                <w:sz w:val="16"/>
                <w:szCs w:val="16"/>
                <w:color w:val="auto"/>
              </w:rPr>
            </w:pPr>
          </w:p>
        </w:tc>
        <w:tc>
          <w:tcPr>
            <w:tcW w:w="8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Change in market value</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96"/>
        </w:trPr>
        <w:tc>
          <w:tcPr>
            <w:tcW w:w="44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Balance as of December 31, 2019</w:t>
            </w: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361</w:t>
            </w:r>
          </w:p>
        </w:tc>
        <w:tc>
          <w:tcPr>
            <w:tcW w:w="2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6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88" w:lineRule="exact"/>
        <w:rPr>
          <w:sz w:val="20"/>
          <w:szCs w:val="20"/>
          <w:color w:val="auto"/>
        </w:rPr>
      </w:pPr>
    </w:p>
    <w:p>
      <w:pPr>
        <w:ind w:left="560" w:right="420"/>
        <w:spacing w:after="0" w:line="253" w:lineRule="auto"/>
        <w:rPr>
          <w:sz w:val="20"/>
          <w:szCs w:val="20"/>
          <w:color w:val="auto"/>
        </w:rPr>
      </w:pPr>
      <w:r>
        <w:rPr>
          <w:rFonts w:ascii="Arial" w:cs="Arial" w:eastAsia="Arial" w:hAnsi="Arial"/>
          <w:sz w:val="17"/>
          <w:szCs w:val="17"/>
          <w:color w:val="auto"/>
        </w:rPr>
        <w:t>The Company did not have any outstanding financial liabilities to be re-measured on a recurring basis as of December 31, 2018. There were no transfers of assets or liabilities between the fair value measurement levels during the years ended December 31, 2018 and December 31, 2019.</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60" w:lineRule="exact"/>
        <w:rPr>
          <w:sz w:val="20"/>
          <w:szCs w:val="20"/>
          <w:color w:val="auto"/>
        </w:rPr>
      </w:pPr>
    </w:p>
    <w:p>
      <w:pPr>
        <w:ind w:left="560" w:right="260"/>
        <w:spacing w:after="0" w:line="246" w:lineRule="auto"/>
        <w:rPr>
          <w:sz w:val="20"/>
          <w:szCs w:val="20"/>
          <w:color w:val="auto"/>
        </w:rPr>
      </w:pPr>
      <w:r>
        <w:rPr>
          <w:rFonts w:ascii="Arial" w:cs="Arial" w:eastAsia="Arial" w:hAnsi="Arial"/>
          <w:sz w:val="17"/>
          <w:szCs w:val="17"/>
          <w:color w:val="auto"/>
        </w:rPr>
        <w:t>The estimated fair value of the Term Loan was $5.7 million as of December 31, 2019 which approximates the carrying value and is classified as Level 3. The Company utilized a market yield analysis and income approach to estimate a value for the Term Loan. The key valuation assumptions used consist of the discount rate of 14.5% and the probability of the occurrence of a change in control event of 10.0%.</w:t>
      </w:r>
    </w:p>
    <w:p>
      <w:pPr>
        <w:spacing w:after="0" w:line="196"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w:t>
      </w:r>
    </w:p>
    <w:p>
      <w:pPr>
        <w:spacing w:after="0" w:line="160"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Property and Equipment, Net</w:t>
      </w:r>
    </w:p>
    <w:p>
      <w:pPr>
        <w:spacing w:after="0" w:line="59" w:lineRule="exact"/>
        <w:rPr>
          <w:rFonts w:ascii="Arial" w:cs="Arial" w:eastAsia="Arial" w:hAnsi="Arial"/>
          <w:sz w:val="17"/>
          <w:szCs w:val="17"/>
          <w:b w:val="1"/>
          <w:bCs w:val="1"/>
          <w:color w:val="auto"/>
        </w:rPr>
      </w:pPr>
    </w:p>
    <w:p>
      <w:pPr>
        <w:ind w:left="560" w:right="74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following table presents the components of property and equipment, net as of December 31, 2018 and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40" w:type="dxa"/>
            <w:vAlign w:val="bottom"/>
          </w:tcPr>
          <w:p>
            <w:pPr>
              <w:spacing w:after="0"/>
              <w:rPr>
                <w:sz w:val="13"/>
                <w:szCs w:val="13"/>
                <w:color w:val="auto"/>
              </w:rPr>
            </w:pPr>
          </w:p>
        </w:tc>
        <w:tc>
          <w:tcPr>
            <w:tcW w:w="4300" w:type="dxa"/>
            <w:vAlign w:val="bottom"/>
            <w:tcBorders>
              <w:bottom w:val="single" w:sz="8" w:color="CCEEFF"/>
            </w:tcBorders>
          </w:tcPr>
          <w:p>
            <w:pPr>
              <w:spacing w:after="0"/>
              <w:rPr>
                <w:sz w:val="13"/>
                <w:szCs w:val="13"/>
                <w:color w:val="auto"/>
              </w:rPr>
            </w:pPr>
          </w:p>
        </w:tc>
        <w:tc>
          <w:tcPr>
            <w:tcW w:w="44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43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44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117</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12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430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1,374</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1,698</w:t>
            </w:r>
          </w:p>
        </w:tc>
      </w:tr>
      <w:tr>
        <w:trPr>
          <w:trHeight w:val="189"/>
        </w:trPr>
        <w:tc>
          <w:tcPr>
            <w:tcW w:w="440" w:type="dxa"/>
            <w:vAlign w:val="bottom"/>
          </w:tcPr>
          <w:p>
            <w:pPr>
              <w:spacing w:after="0"/>
              <w:rPr>
                <w:sz w:val="16"/>
                <w:szCs w:val="16"/>
                <w:color w:val="auto"/>
              </w:rPr>
            </w:pPr>
          </w:p>
        </w:tc>
        <w:tc>
          <w:tcPr>
            <w:tcW w:w="4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4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36</w:t>
            </w:r>
          </w:p>
        </w:tc>
      </w:tr>
      <w:tr>
        <w:trPr>
          <w:trHeight w:val="189"/>
        </w:trPr>
        <w:tc>
          <w:tcPr>
            <w:tcW w:w="440" w:type="dxa"/>
            <w:vAlign w:val="bottom"/>
          </w:tcPr>
          <w:p>
            <w:pPr>
              <w:spacing w:after="0"/>
              <w:rPr>
                <w:sz w:val="16"/>
                <w:szCs w:val="16"/>
                <w:color w:val="auto"/>
              </w:rPr>
            </w:pPr>
          </w:p>
        </w:tc>
        <w:tc>
          <w:tcPr>
            <w:tcW w:w="430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429</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r>
      <w:tr>
        <w:trPr>
          <w:trHeight w:val="189"/>
        </w:trPr>
        <w:tc>
          <w:tcPr>
            <w:tcW w:w="440" w:type="dxa"/>
            <w:vAlign w:val="bottom"/>
          </w:tcPr>
          <w:p>
            <w:pPr>
              <w:spacing w:after="0"/>
              <w:rPr>
                <w:sz w:val="16"/>
                <w:szCs w:val="16"/>
                <w:color w:val="auto"/>
              </w:rPr>
            </w:pPr>
          </w:p>
        </w:tc>
        <w:tc>
          <w:tcPr>
            <w:tcW w:w="4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Construction in progress</w:t>
            </w:r>
          </w:p>
        </w:tc>
        <w:tc>
          <w:tcPr>
            <w:tcW w:w="4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96"/>
        </w:trPr>
        <w:tc>
          <w:tcPr>
            <w:tcW w:w="44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1,976</w:t>
            </w:r>
          </w:p>
        </w:tc>
        <w:tc>
          <w:tcPr>
            <w:tcW w:w="5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2,309</w:t>
            </w:r>
          </w:p>
        </w:tc>
        <w:tc>
          <w:tcPr>
            <w:tcW w:w="120" w:type="dxa"/>
            <w:vAlign w:val="bottom"/>
          </w:tcPr>
          <w:p>
            <w:pPr>
              <w:spacing w:after="0"/>
              <w:rPr>
                <w:sz w:val="17"/>
                <w:szCs w:val="17"/>
                <w:color w:val="auto"/>
              </w:rPr>
            </w:pPr>
          </w:p>
        </w:tc>
      </w:tr>
      <w:tr>
        <w:trPr>
          <w:trHeight w:val="189"/>
        </w:trPr>
        <w:tc>
          <w:tcPr>
            <w:tcW w:w="440" w:type="dxa"/>
            <w:vAlign w:val="bottom"/>
          </w:tcPr>
          <w:p>
            <w:pPr>
              <w:spacing w:after="0"/>
              <w:rPr>
                <w:sz w:val="16"/>
                <w:szCs w:val="16"/>
                <w:color w:val="auto"/>
              </w:rPr>
            </w:pPr>
          </w:p>
        </w:tc>
        <w:tc>
          <w:tcPr>
            <w:tcW w:w="4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accumulated depreciation and amortization</w:t>
            </w:r>
          </w:p>
        </w:tc>
        <w:tc>
          <w:tcPr>
            <w:tcW w:w="4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(1,020)</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6"/>
              </w:rPr>
              <w:t>(1,449)</w:t>
            </w:r>
          </w:p>
        </w:tc>
      </w:tr>
      <w:tr>
        <w:trPr>
          <w:trHeight w:val="196"/>
        </w:trPr>
        <w:tc>
          <w:tcPr>
            <w:tcW w:w="44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Total property and equipment, net</w:t>
            </w:r>
          </w:p>
        </w:tc>
        <w:tc>
          <w:tcPr>
            <w:tcW w:w="44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956</w:t>
            </w:r>
          </w:p>
        </w:tc>
        <w:tc>
          <w:tcPr>
            <w:tcW w:w="5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860</w:t>
            </w:r>
          </w:p>
        </w:tc>
        <w:tc>
          <w:tcPr>
            <w:tcW w:w="12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2"/>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383"/>
        </w:trPr>
        <w:tc>
          <w:tcPr>
            <w:tcW w:w="4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560" w:type="dxa"/>
            <w:vAlign w:val="bottom"/>
            <w:gridSpan w:val="2"/>
          </w:tcPr>
          <w:p>
            <w:pPr>
              <w:jc w:val="right"/>
              <w:ind w:right="3535"/>
              <w:spacing w:after="0"/>
              <w:rPr>
                <w:sz w:val="20"/>
                <w:szCs w:val="20"/>
                <w:color w:val="auto"/>
              </w:rPr>
            </w:pPr>
            <w:r>
              <w:rPr>
                <w:rFonts w:ascii="Arial" w:cs="Arial" w:eastAsia="Arial" w:hAnsi="Arial"/>
                <w:sz w:val="16"/>
                <w:szCs w:val="16"/>
                <w:color w:val="auto"/>
              </w:rPr>
              <w:t>F-17</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expense was approximately $0.4 million for both years ended December 31, 2018 and December 31, 2019.</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60" w:lineRule="exact"/>
        <w:rPr>
          <w:sz w:val="20"/>
          <w:szCs w:val="20"/>
          <w:color w:val="auto"/>
        </w:rPr>
      </w:pPr>
    </w:p>
    <w:p>
      <w:pPr>
        <w:ind w:left="560" w:right="100"/>
        <w:spacing w:after="0" w:line="275" w:lineRule="auto"/>
        <w:rPr>
          <w:sz w:val="20"/>
          <w:szCs w:val="20"/>
          <w:color w:val="auto"/>
        </w:rPr>
      </w:pPr>
      <w:r>
        <w:rPr>
          <w:rFonts w:ascii="Arial" w:cs="Arial" w:eastAsia="Arial" w:hAnsi="Arial"/>
          <w:sz w:val="17"/>
          <w:szCs w:val="17"/>
          <w:color w:val="auto"/>
        </w:rPr>
        <w:t>The following table presents the components of accrued expenses and other current liabilities as of December 31, 2018 and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4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40" w:type="dxa"/>
            <w:vAlign w:val="bottom"/>
          </w:tcPr>
          <w:p>
            <w:pPr>
              <w:spacing w:after="0"/>
              <w:rPr>
                <w:sz w:val="13"/>
                <w:szCs w:val="13"/>
                <w:color w:val="auto"/>
              </w:rPr>
            </w:pPr>
          </w:p>
        </w:tc>
        <w:tc>
          <w:tcPr>
            <w:tcW w:w="90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9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Payroll and related liabilities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60</w:t>
            </w: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Accrued bonus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745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864</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legal costs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98</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122</w:t>
            </w: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Early exercise liability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27</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166</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163</w:t>
            </w:r>
          </w:p>
        </w:tc>
      </w:tr>
      <w:tr>
        <w:trPr>
          <w:trHeight w:val="196"/>
        </w:trPr>
        <w:tc>
          <w:tcPr>
            <w:tcW w:w="440" w:type="dxa"/>
            <w:vAlign w:val="bottom"/>
          </w:tcPr>
          <w:p>
            <w:pPr>
              <w:spacing w:after="0"/>
              <w:rPr>
                <w:sz w:val="17"/>
                <w:szCs w:val="17"/>
                <w:color w:val="auto"/>
              </w:rPr>
            </w:pPr>
          </w:p>
        </w:tc>
        <w:tc>
          <w:tcPr>
            <w:tcW w:w="9080" w:type="dxa"/>
            <w:vAlign w:val="bottom"/>
          </w:tcPr>
          <w:p>
            <w:pPr>
              <w:ind w:left="260"/>
              <w:spacing w:after="0"/>
              <w:rPr>
                <w:sz w:val="20"/>
                <w:szCs w:val="20"/>
                <w:color w:val="auto"/>
              </w:rPr>
            </w:pPr>
            <w:r>
              <w:rPr>
                <w:rFonts w:ascii="Arial" w:cs="Arial" w:eastAsia="Arial" w:hAnsi="Arial"/>
                <w:sz w:val="17"/>
                <w:szCs w:val="17"/>
                <w:color w:val="auto"/>
              </w:rPr>
              <w:t>Total accrued expenses and other current liabilities</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1,176</w:t>
            </w:r>
          </w:p>
        </w:tc>
        <w:tc>
          <w:tcPr>
            <w:tcW w:w="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1,236</w:t>
            </w:r>
          </w:p>
        </w:tc>
        <w:tc>
          <w:tcPr>
            <w:tcW w:w="6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361"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TERM LOAN</w:t>
      </w:r>
    </w:p>
    <w:p>
      <w:pPr>
        <w:spacing w:after="0" w:line="157" w:lineRule="exact"/>
        <w:rPr>
          <w:rFonts w:ascii="Arial" w:cs="Arial" w:eastAsia="Arial" w:hAnsi="Arial"/>
          <w:sz w:val="17"/>
          <w:szCs w:val="17"/>
          <w:b w:val="1"/>
          <w:bCs w:val="1"/>
          <w:color w:val="auto"/>
        </w:rPr>
      </w:pPr>
    </w:p>
    <w:p>
      <w:pPr>
        <w:ind w:left="560" w:right="2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The Company and its wholly-owned subsidiaries Alexo Therapeutics International and Sirpant Therapeutics, as borrowers, entered into a Loan and Security Agreement, or the Loan Agreement, dated as of December 20, 2019, with Silicon Valley Bank, or SVB, and WestRiver Innovation Lending Fund VIII, LP, or WestRiver, collectively as lenders, and SVB, as administrative agent and collateral agent. 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23" w:lineRule="exact"/>
        <w:rPr>
          <w:rFonts w:ascii="Arial" w:cs="Arial" w:eastAsia="Arial" w:hAnsi="Arial"/>
          <w:sz w:val="17"/>
          <w:szCs w:val="17"/>
          <w:b w:val="1"/>
          <w:bCs w:val="1"/>
          <w:color w:val="auto"/>
        </w:rPr>
      </w:pPr>
    </w:p>
    <w:p>
      <w:pPr>
        <w:ind w:left="560" w:right="100"/>
        <w:spacing w:after="0" w:line="253" w:lineRule="auto"/>
        <w:rPr>
          <w:rFonts w:ascii="Arial" w:cs="Arial" w:eastAsia="Arial" w:hAnsi="Arial"/>
          <w:sz w:val="17"/>
          <w:szCs w:val="17"/>
          <w:b w:val="1"/>
          <w:bCs w:val="1"/>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4.75% as of December 31, 2019. Therefore, the rate applicable to the Company as of December 31, 2019 was 7.0%.</w:t>
      </w:r>
    </w:p>
    <w:p>
      <w:pPr>
        <w:spacing w:after="0" w:line="110" w:lineRule="exact"/>
        <w:rPr>
          <w:rFonts w:ascii="Arial" w:cs="Arial" w:eastAsia="Arial" w:hAnsi="Arial"/>
          <w:sz w:val="17"/>
          <w:szCs w:val="17"/>
          <w:b w:val="1"/>
          <w:bCs w:val="1"/>
          <w:color w:val="auto"/>
        </w:rPr>
      </w:pPr>
    </w:p>
    <w:p>
      <w:pPr>
        <w:ind w:left="560" w:right="140"/>
        <w:spacing w:after="0"/>
        <w:rPr>
          <w:rFonts w:ascii="Arial" w:cs="Arial" w:eastAsia="Arial" w:hAnsi="Arial"/>
          <w:sz w:val="17"/>
          <w:szCs w:val="17"/>
          <w:b w:val="1"/>
          <w:bCs w:val="1"/>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23" w:lineRule="exact"/>
        <w:rPr>
          <w:rFonts w:ascii="Arial" w:cs="Arial" w:eastAsia="Arial" w:hAnsi="Arial"/>
          <w:sz w:val="17"/>
          <w:szCs w:val="17"/>
          <w:b w:val="1"/>
          <w:bCs w:val="1"/>
          <w:color w:val="auto"/>
        </w:rPr>
      </w:pPr>
    </w:p>
    <w:p>
      <w:pPr>
        <w:ind w:left="560" w:right="16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In conjunction with the Loan Agreement, the Company has issued warrants to purchase 61,292 Series B convertible preferred shares to SVB and WestRiver with an exercise price of $9.4972 per share. The estimated fair value of the warrants at the date of issuance was approximately $0.4 million. The fair value of the Series B convertible preferred shares warrant liability was determined using the Black-Scholes option-pricing model. As of December 20, 2019, the various assumptions used in the option-pricing model were time to liquidity of 2.0 to 10.0 years, volatility of 85.5%, risk-free rate of 1.7% and equity value of $345.0 million. It was recorded at its fair value at inception and is being re-measured at each financial reporting period with any changes in fair value being recognized as a component of other income (expense), net in the accompanying consolidated statement of operations and comprehensive loss. As of December 31, 2019, the fair value of the Series B</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right="900"/>
        <w:spacing w:after="0" w:line="275" w:lineRule="auto"/>
        <w:rPr>
          <w:sz w:val="20"/>
          <w:szCs w:val="20"/>
          <w:color w:val="auto"/>
        </w:rPr>
      </w:pPr>
      <w:r>
        <w:rPr>
          <w:rFonts w:ascii="Arial" w:cs="Arial" w:eastAsia="Arial" w:hAnsi="Arial"/>
          <w:sz w:val="17"/>
          <w:szCs w:val="17"/>
          <w:color w:val="auto"/>
        </w:rPr>
        <w:t>convertible preferred shares warrant liability was approximately $0.4 million and was recorded in other long-term liabilities on the consolidated balance sheet.</w:t>
      </w:r>
    </w:p>
    <w:p>
      <w:pPr>
        <w:spacing w:after="0" w:line="92" w:lineRule="exact"/>
        <w:rPr>
          <w:sz w:val="20"/>
          <w:szCs w:val="20"/>
          <w:color w:val="auto"/>
        </w:rPr>
      </w:pPr>
    </w:p>
    <w:p>
      <w:pPr>
        <w:ind w:left="560" w:right="100"/>
        <w:spacing w:after="0" w:line="275"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92" w:lineRule="exact"/>
        <w:rPr>
          <w:sz w:val="20"/>
          <w:szCs w:val="20"/>
          <w:color w:val="auto"/>
        </w:rPr>
      </w:pPr>
    </w:p>
    <w:p>
      <w:pPr>
        <w:ind w:left="560" w:right="20"/>
        <w:spacing w:after="0" w:line="236"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income (expense), net in the consolidated statement of operations and comprehensive loss. As of December 31, 2019, the fair value of the compound derivative liability was approximately $51,000 and was recorded in other long-term liabilities on the consolidated balance sheet.</w:t>
      </w:r>
    </w:p>
    <w:p>
      <w:pPr>
        <w:spacing w:after="0" w:line="127" w:lineRule="exact"/>
        <w:rPr>
          <w:sz w:val="20"/>
          <w:szCs w:val="20"/>
          <w:color w:val="auto"/>
        </w:rPr>
      </w:pPr>
    </w:p>
    <w:p>
      <w:pPr>
        <w:ind w:left="560" w:right="160"/>
        <w:spacing w:after="0" w:line="253" w:lineRule="auto"/>
        <w:rPr>
          <w:sz w:val="20"/>
          <w:szCs w:val="20"/>
          <w:color w:val="auto"/>
        </w:rPr>
      </w:pPr>
      <w:r>
        <w:rPr>
          <w:rFonts w:ascii="Arial" w:cs="Arial" w:eastAsia="Arial" w:hAnsi="Arial"/>
          <w:sz w:val="17"/>
          <w:szCs w:val="17"/>
          <w:color w:val="auto"/>
        </w:rPr>
        <w:t>The fair value of Series B convertible preferred shares warrant liability at issuance, fair value of embedded derivatives which were bifurcated and other debt issuance costs have been treated as debt discounts on the Company’s consolidated balance sheet and together with the final payment are being amortized to interest expense throughout the life of the term loan using the effective interest rate method.</w:t>
      </w:r>
    </w:p>
    <w:p>
      <w:pPr>
        <w:spacing w:after="0" w:line="111" w:lineRule="exact"/>
        <w:rPr>
          <w:sz w:val="20"/>
          <w:szCs w:val="20"/>
          <w:color w:val="auto"/>
        </w:rPr>
      </w:pPr>
    </w:p>
    <w:p>
      <w:pPr>
        <w:jc w:val="both"/>
        <w:ind w:left="560" w:right="500"/>
        <w:spacing w:after="0" w:line="253" w:lineRule="auto"/>
        <w:rPr>
          <w:sz w:val="20"/>
          <w:szCs w:val="20"/>
          <w:color w:val="auto"/>
        </w:rPr>
      </w:pPr>
      <w:r>
        <w:rPr>
          <w:rFonts w:ascii="Arial" w:cs="Arial" w:eastAsia="Arial" w:hAnsi="Arial"/>
          <w:sz w:val="17"/>
          <w:szCs w:val="17"/>
          <w:color w:val="auto"/>
        </w:rPr>
        <w:t>As of December 31, 2019, there were unamortized issuance costs and debt discounts of $0.6 million which were recorded as a direct deduction from the term loan on the consolidated balance sheet. Interest expense for the term loan was immaterial for the year ended December 31, 2019. For future payments of principal and interest as of December 31,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1036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2020</w:t>
            </w:r>
          </w:p>
        </w:tc>
        <w:tc>
          <w:tcPr>
            <w:tcW w:w="78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401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w w:val="98"/>
              </w:rPr>
              <w:t>3,743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7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8"/>
              </w:rPr>
              <w:t>3,007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7,151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40" w:type="dxa"/>
            <w:vAlign w:val="bottom"/>
            <w:vMerge w:val="restart"/>
          </w:tcPr>
          <w:p>
            <w:pPr>
              <w:spacing w:after="0"/>
              <w:rPr>
                <w:sz w:val="2"/>
                <w:szCs w:val="2"/>
                <w:color w:val="auto"/>
              </w:rPr>
            </w:pPr>
          </w:p>
        </w:tc>
        <w:tc>
          <w:tcPr>
            <w:tcW w:w="21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interest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57"/>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amount representing final payment</w:t>
            </w:r>
          </w:p>
        </w:tc>
        <w:tc>
          <w:tcPr>
            <w:tcW w:w="100" w:type="dxa"/>
            <w:vAlign w:val="bottom"/>
          </w:tcPr>
          <w:p>
            <w:pPr>
              <w:spacing w:after="0"/>
              <w:rPr>
                <w:sz w:val="22"/>
                <w:szCs w:val="22"/>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40"/>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Long-term debt, gross</w:t>
            </w:r>
          </w:p>
        </w:tc>
        <w:tc>
          <w:tcPr>
            <w:tcW w:w="1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8"/>
              </w:rPr>
              <w:t>6,000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unamortized issuance costs and debt discounts</w:t>
            </w:r>
          </w:p>
        </w:tc>
        <w:tc>
          <w:tcPr>
            <w:tcW w:w="100" w:type="dxa"/>
            <w:vAlign w:val="bottom"/>
          </w:tcPr>
          <w:p>
            <w:pPr>
              <w:spacing w:after="0"/>
              <w:rPr>
                <w:sz w:val="22"/>
                <w:szCs w:val="22"/>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40"/>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current portion</w:t>
            </w:r>
          </w:p>
        </w:tc>
        <w:tc>
          <w:tcPr>
            <w:tcW w:w="100" w:type="dxa"/>
            <w:vAlign w:val="bottom"/>
            <w:shd w:val="clear" w:color="auto" w:fill="CCEEFF"/>
          </w:tcPr>
          <w:p>
            <w:pPr>
              <w:spacing w:after="0"/>
              <w:rPr>
                <w:sz w:val="16"/>
                <w:szCs w:val="16"/>
                <w:color w:val="auto"/>
              </w:rPr>
            </w:pPr>
          </w:p>
        </w:tc>
        <w:tc>
          <w:tcPr>
            <w:tcW w:w="56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920" w:type="dxa"/>
            <w:vAlign w:val="bottom"/>
            <w:gridSpan w:val="2"/>
          </w:tcPr>
          <w:p>
            <w:pPr>
              <w:spacing w:after="0"/>
              <w:rPr>
                <w:sz w:val="20"/>
                <w:szCs w:val="20"/>
                <w:color w:val="auto"/>
              </w:rPr>
            </w:pPr>
            <w:r>
              <w:rPr>
                <w:rFonts w:ascii="Arial" w:cs="Arial" w:eastAsia="Arial" w:hAnsi="Arial"/>
                <w:sz w:val="17"/>
                <w:szCs w:val="17"/>
                <w:color w:val="auto"/>
              </w:rPr>
              <w:t>Long-term portion of term loan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5,421</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7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75"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w:t>
      </w:r>
    </w:p>
    <w:p>
      <w:pPr>
        <w:spacing w:after="0" w:line="160"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Ordinary Shares</w:t>
      </w:r>
    </w:p>
    <w:p>
      <w:pPr>
        <w:spacing w:after="0" w:line="59" w:lineRule="exact"/>
        <w:rPr>
          <w:rFonts w:ascii="Arial" w:cs="Arial" w:eastAsia="Arial" w:hAnsi="Arial"/>
          <w:sz w:val="17"/>
          <w:szCs w:val="17"/>
          <w:b w:val="1"/>
          <w:bCs w:val="1"/>
          <w:color w:val="auto"/>
        </w:rPr>
      </w:pPr>
    </w:p>
    <w:p>
      <w:pPr>
        <w:ind w:left="560" w:right="60"/>
        <w:spacing w:after="0" w:line="246" w:lineRule="auto"/>
        <w:rPr>
          <w:rFonts w:ascii="Arial" w:cs="Arial" w:eastAsia="Arial" w:hAnsi="Arial"/>
          <w:sz w:val="17"/>
          <w:szCs w:val="17"/>
          <w:b w:val="1"/>
          <w:bCs w:val="1"/>
          <w:color w:val="auto"/>
        </w:rPr>
      </w:pPr>
      <w:r>
        <w:rPr>
          <w:rFonts w:ascii="Arial" w:cs="Arial" w:eastAsia="Arial" w:hAnsi="Arial"/>
          <w:sz w:val="17"/>
          <w:szCs w:val="17"/>
          <w:color w:val="auto"/>
        </w:rPr>
        <w:t>In 2015, in conjunction with the founding of the Company, 2,127,460 ordinary shares were issued to the founders, or Founder Stock, at a price of $0.033 per share. These shares are subject to repurchase at the option of the Company at a price that is the lower of (i) the original issuance price or (ii) the fair market value as of the date of repurchase, in the event that the founders’ employment is terminated either voluntarily or involuntarily. Such repurchase rights generally lapse over a period of four years from the date the Founder Stock was issued.</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right="340"/>
        <w:spacing w:after="0" w:line="275" w:lineRule="auto"/>
        <w:rPr>
          <w:sz w:val="20"/>
          <w:szCs w:val="20"/>
          <w:color w:val="auto"/>
        </w:rPr>
      </w:pPr>
      <w:r>
        <w:rPr>
          <w:rFonts w:ascii="Arial" w:cs="Arial" w:eastAsia="Arial" w:hAnsi="Arial"/>
          <w:sz w:val="17"/>
          <w:szCs w:val="17"/>
          <w:color w:val="auto"/>
        </w:rPr>
        <w:t>As of December 31, 2018, and December 31, 2019, there were 113,864 and no founder shares subject to repurchase, respectively. See Note 6 for Founder Stock activity for the years ended December 31, 2018 and December 31, 2019.</w:t>
      </w:r>
    </w:p>
    <w:p>
      <w:pPr>
        <w:spacing w:after="0" w:line="92" w:lineRule="exact"/>
        <w:rPr>
          <w:sz w:val="20"/>
          <w:szCs w:val="20"/>
          <w:color w:val="auto"/>
        </w:rPr>
      </w:pPr>
    </w:p>
    <w:p>
      <w:pPr>
        <w:ind w:left="560" w:right="280"/>
        <w:spacing w:after="0" w:line="275" w:lineRule="auto"/>
        <w:rPr>
          <w:sz w:val="20"/>
          <w:szCs w:val="20"/>
          <w:color w:val="auto"/>
        </w:rPr>
      </w:pPr>
      <w:r>
        <w:rPr>
          <w:rFonts w:ascii="Arial" w:cs="Arial" w:eastAsia="Arial" w:hAnsi="Arial"/>
          <w:sz w:val="17"/>
          <w:szCs w:val="17"/>
          <w:color w:val="auto"/>
        </w:rPr>
        <w:t>Ordinary shares reserved for future issuance, on an as if converted basis, as of December 31, 2018 and December 31, 2019,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2"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4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40" w:type="dxa"/>
            <w:vAlign w:val="bottom"/>
          </w:tcPr>
          <w:p>
            <w:pPr>
              <w:spacing w:after="0"/>
              <w:rPr>
                <w:sz w:val="13"/>
                <w:szCs w:val="13"/>
                <w:color w:val="auto"/>
              </w:rPr>
            </w:pPr>
          </w:p>
        </w:tc>
        <w:tc>
          <w:tcPr>
            <w:tcW w:w="814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shares, issued and outstanding</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10,313,808</w:t>
            </w:r>
          </w:p>
        </w:tc>
        <w:tc>
          <w:tcPr>
            <w:tcW w:w="8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Share options, issued and outstanding</w:t>
            </w:r>
          </w:p>
        </w:tc>
        <w:tc>
          <w:tcPr>
            <w:tcW w:w="11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864,819</w:t>
            </w:r>
          </w:p>
        </w:tc>
        <w:tc>
          <w:tcPr>
            <w:tcW w:w="140" w:type="dxa"/>
            <w:vAlign w:val="bottom"/>
          </w:tcPr>
          <w:p>
            <w:pPr>
              <w:spacing w:after="0"/>
              <w:rPr>
                <w:sz w:val="16"/>
                <w:szCs w:val="16"/>
                <w:color w:val="auto"/>
              </w:rPr>
            </w:pP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1,183,745</w:t>
            </w: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 options, authorized for future issuance</w:t>
            </w:r>
          </w:p>
        </w:tc>
        <w:tc>
          <w:tcPr>
            <w:tcW w:w="11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73,015</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566,900</w:t>
            </w: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124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61,292</w:t>
            </w: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12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30,646</w:t>
            </w:r>
          </w:p>
        </w:tc>
      </w:tr>
      <w:tr>
        <w:trPr>
          <w:trHeight w:val="196"/>
        </w:trPr>
        <w:tc>
          <w:tcPr>
            <w:tcW w:w="440" w:type="dxa"/>
            <w:vAlign w:val="bottom"/>
          </w:tcPr>
          <w:p>
            <w:pPr>
              <w:spacing w:after="0"/>
              <w:rPr>
                <w:sz w:val="17"/>
                <w:szCs w:val="17"/>
                <w:color w:val="auto"/>
              </w:rPr>
            </w:pPr>
          </w:p>
        </w:tc>
        <w:tc>
          <w:tcPr>
            <w:tcW w:w="8140" w:type="dxa"/>
            <w:vAlign w:val="bottom"/>
          </w:tcPr>
          <w:p>
            <w:pPr>
              <w:ind w:left="500"/>
              <w:spacing w:after="0"/>
              <w:rPr>
                <w:sz w:val="20"/>
                <w:szCs w:val="20"/>
                <w:color w:val="auto"/>
              </w:rPr>
            </w:pPr>
            <w:r>
              <w:rPr>
                <w:rFonts w:ascii="Arial" w:cs="Arial" w:eastAsia="Arial" w:hAnsi="Arial"/>
                <w:sz w:val="17"/>
                <w:szCs w:val="17"/>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10,234,915</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12,156,391</w:t>
            </w:r>
          </w:p>
        </w:tc>
        <w:tc>
          <w:tcPr>
            <w:tcW w:w="8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3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73" w:lineRule="exact"/>
        <w:rPr>
          <w:sz w:val="20"/>
          <w:szCs w:val="20"/>
          <w:color w:val="auto"/>
        </w:rPr>
      </w:pPr>
    </w:p>
    <w:p>
      <w:pPr>
        <w:ind w:left="560" w:right="280"/>
        <w:spacing w:after="0" w:line="275" w:lineRule="auto"/>
        <w:rPr>
          <w:sz w:val="20"/>
          <w:szCs w:val="20"/>
          <w:color w:val="auto"/>
        </w:rPr>
      </w:pPr>
      <w:r>
        <w:rPr>
          <w:rFonts w:ascii="Arial" w:cs="Arial" w:eastAsia="Arial" w:hAnsi="Arial"/>
          <w:sz w:val="17"/>
          <w:szCs w:val="17"/>
          <w:color w:val="auto"/>
        </w:rPr>
        <w:t>As of December 31, 2018 and December 31, 2019, the Company’s convertible preferred shares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2" w:lineRule="exact"/>
        <w:rPr>
          <w:sz w:val="20"/>
          <w:szCs w:val="20"/>
          <w:color w:val="auto"/>
        </w:rPr>
      </w:pPr>
    </w:p>
    <w:tbl>
      <w:tblPr>
        <w:tblLayout w:type="fixed"/>
        <w:tblInd w:w="56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3"/>
          </w:tcPr>
          <w:p>
            <w:pPr>
              <w:jc w:val="center"/>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81"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9,421,633</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jc w:val="right"/>
              <w:ind w:right="128"/>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9,421,633</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shd w:val="clear" w:color="auto" w:fill="CCEEFF"/>
          </w:tcPr>
          <w:p>
            <w:pPr>
              <w:jc w:val="right"/>
              <w:ind w:right="128"/>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3"/>
          </w:tcPr>
          <w:p>
            <w:pPr>
              <w:jc w:val="center"/>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81"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9,421,633</w:t>
            </w:r>
          </w:p>
        </w:tc>
        <w:tc>
          <w:tcPr>
            <w:tcW w:w="34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jc w:val="right"/>
              <w:ind w:right="128"/>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9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2,145,370</w:t>
            </w: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1,016,727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11,567,003</w:t>
            </w:r>
          </w:p>
        </w:tc>
        <w:tc>
          <w:tcPr>
            <w:tcW w:w="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10,313,808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70,363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83,585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5" w:lineRule="exact"/>
        <w:rPr>
          <w:sz w:val="20"/>
          <w:szCs w:val="20"/>
          <w:color w:val="auto"/>
        </w:rPr>
      </w:pPr>
    </w:p>
    <w:p>
      <w:pPr>
        <w:ind w:left="980" w:hanging="432"/>
        <w:spacing w:after="0"/>
        <w:tabs>
          <w:tab w:leader="none" w:pos="9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Net proceeds are gross proceeds from the offerings net of issuance costs.</w:t>
      </w:r>
    </w:p>
    <w:p>
      <w:pPr>
        <w:spacing w:after="0" w:line="156" w:lineRule="exact"/>
        <w:rPr>
          <w:sz w:val="20"/>
          <w:szCs w:val="20"/>
          <w:color w:val="auto"/>
        </w:rPr>
      </w:pPr>
    </w:p>
    <w:p>
      <w:pPr>
        <w:ind w:left="560" w:right="60"/>
        <w:spacing w:after="0" w:line="238" w:lineRule="auto"/>
        <w:rPr>
          <w:sz w:val="20"/>
          <w:szCs w:val="20"/>
          <w:color w:val="auto"/>
        </w:rPr>
      </w:pPr>
      <w:r>
        <w:rPr>
          <w:rFonts w:ascii="Arial" w:cs="Arial" w:eastAsia="Arial" w:hAnsi="Arial"/>
          <w:sz w:val="17"/>
          <w:szCs w:val="17"/>
          <w:color w:val="auto"/>
        </w:rPr>
        <w:t>In May 2015, the Company entered into a Series A Preferred Share Purchase Agreement, or Series A Agreement, with certain existing investors, employees, and new investors, or collectively, the Series A Investors. Under the terms of the Series A Agreement, the Company authorized the sale and issuance of up to 5,470,625 of the Company’s Series A convertible preferred shares. The purchase and sale of the Series A convertible preferred shares could be sold in one or more closings in accordance with the Series A Agreement. In March 2017, the Company entered into a convertible promissory note purchase agreement, or the Note Purchase Agreement, with certain existing investors, employees and new investors, or collectively, the Promissory Note Investors. Under the terms of the Note Purchase Agreement, the Company issued promissory notes in the aggregate principal amount of $25.0 million that are convertible into Series A convertible preferred shares to the Promissory Note Investors.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right="140"/>
        <w:spacing w:after="0" w:line="246" w:lineRule="auto"/>
        <w:rPr>
          <w:sz w:val="20"/>
          <w:szCs w:val="20"/>
          <w:color w:val="auto"/>
        </w:rPr>
      </w:pPr>
      <w:r>
        <w:rPr>
          <w:rFonts w:ascii="Arial" w:cs="Arial" w:eastAsia="Arial" w:hAnsi="Arial"/>
          <w:sz w:val="17"/>
          <w:szCs w:val="17"/>
          <w:color w:val="auto"/>
        </w:rPr>
        <w:t>In 2015 and 2016, the Company issued a total of 5,470,612 Series A convertible preferred shares to investors at $6.58 per share for cash proceeds of $34.8 million. In September 2017, the Company issued a total of 3,826,469 Series A convertible preferred shares for cash proceeds of $1.2 million pursuant to the conversion of outstanding convertible promissory notes. The gross proceeds of $37.2 million were reduced by total issuance costs incurred of $0.2 million.</w:t>
      </w:r>
    </w:p>
    <w:p>
      <w:pPr>
        <w:spacing w:after="0" w:line="117" w:lineRule="exact"/>
        <w:rPr>
          <w:sz w:val="20"/>
          <w:szCs w:val="20"/>
          <w:color w:val="auto"/>
        </w:rPr>
      </w:pPr>
    </w:p>
    <w:p>
      <w:pPr>
        <w:ind w:left="560" w:right="40"/>
        <w:spacing w:after="0"/>
        <w:rPr>
          <w:sz w:val="20"/>
          <w:szCs w:val="20"/>
          <w:color w:val="auto"/>
        </w:rPr>
      </w:pPr>
      <w:r>
        <w:rPr>
          <w:rFonts w:ascii="Arial" w:cs="Arial" w:eastAsia="Arial" w:hAnsi="Arial"/>
          <w:sz w:val="17"/>
          <w:szCs w:val="17"/>
          <w:color w:val="auto"/>
        </w:rPr>
        <w:t>In May 2019, the Company entered into a Series B Preferred Share Purchase Agreement or the Series B Agreement, with certain existing investors, employees and new investors, or collectively, the Series B Investors. Under the terms of the Series B Agreement, the Company authorized the sale and issuance of up to 2,145,370 of the Company’s Series B convertible preferred shares at a purchase price of $9.4972 per share. The purchase and sale of the Series B convertible preferred shares could be sold in one or more closings in accordance with the Series B Agreement. As of December 31, 2019, a total of 1,016,727 shares had been purchased with gross proceeds of $9.6 million. The gross proceeds of $9.6 million were reduced by total issuance costs incurred of $0.2 million.</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rights, preferences and privileges of the Series A and Series B convertible preferred shares, or Preferred Shares, as of</w:t>
      </w:r>
    </w:p>
    <w:p>
      <w:pPr>
        <w:spacing w:after="0" w:line="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December 31, 2019 are as follows:</w:t>
      </w:r>
    </w:p>
    <w:p>
      <w:pPr>
        <w:spacing w:after="0" w:line="130"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Dividend Provisions </w:t>
      </w:r>
      <w:r>
        <w:rPr>
          <w:rFonts w:ascii="Arial" w:cs="Arial" w:eastAsia="Arial" w:hAnsi="Arial"/>
          <w:sz w:val="17"/>
          <w:szCs w:val="17"/>
          <w:color w:val="auto"/>
        </w:rPr>
        <w:t>– Cumulative dividends of 6.0% per annum of the original issue price for each Preferred Shares series are payable</w:t>
      </w:r>
      <w:r>
        <w:rPr>
          <w:rFonts w:ascii="Arial" w:cs="Arial" w:eastAsia="Arial" w:hAnsi="Arial"/>
          <w:sz w:val="17"/>
          <w:szCs w:val="17"/>
          <w:i w:val="1"/>
          <w:iCs w:val="1"/>
          <w:color w:val="auto"/>
        </w:rPr>
        <w:t xml:space="preserve"> </w:t>
      </w:r>
      <w:r>
        <w:rPr>
          <w:rFonts w:ascii="Arial" w:cs="Arial" w:eastAsia="Arial" w:hAnsi="Arial"/>
          <w:sz w:val="17"/>
          <w:szCs w:val="17"/>
          <w:color w:val="auto"/>
        </w:rPr>
        <w:t>when and as declared by the Company’s Board of Directors, or Board of Directors, upon the occurrence of a liquidation event or upon a contingent mandatory conversion of the Preferred Shares in connection with a qualified initial public offering as described below. The Series A original issue price is $6.58, and the Series B original issue price is $9.4972. The original issue price is subject to adjustment in the event of any share dividend, share split, combination, consolidation or other recapitalization. The dividends shall accrue from day to day from the issue date of such Preferred Shares whether or not declared and shall be cumulative. In addition, the Preferred Shares participate on an as-converted basis in any dividends payable to ordinary shareholders. Cumulative dividends for the years ended December 31, 2018 and December 31, 2019 was $8.7 million and $12.7 million, respectively. No dividends have been declared or paid since the issuance of convertible preferred shares through December 31, 2019.</w:t>
      </w:r>
    </w:p>
    <w:p>
      <w:pPr>
        <w:spacing w:after="0" w:line="126" w:lineRule="exact"/>
        <w:rPr>
          <w:sz w:val="20"/>
          <w:szCs w:val="20"/>
          <w:color w:val="auto"/>
        </w:rPr>
      </w:pPr>
    </w:p>
    <w:p>
      <w:pPr>
        <w:ind w:left="560" w:right="20"/>
        <w:spacing w:after="0" w:line="239"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liquidation, dissolution or winding up of the Company, merger or a reduction of capital through the sale or lease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all or substantial part of the business of the Company, before any distribution or payment shall be made to the holders of ordinary shares, the holders of Preferred Shares shall be entitled to be paid an amount in cash equal to the original issue price (subject to adjustment in the event of any share dividend, share split, combination, or other recapitalization) plus all dividends accumulated and unpaid thereon. First, the holders of the Preferred Shares are paid in full the amounts specified in the immediately preceding sentence on a pro-rata basis; then, after holders of the Preferred Shares are satisfied, any remaining amounts shall be distributed on a pro-rata basis to the holders of the Preferred Shares (calculated on an as converted basis) and the ordinary shares.</w:t>
      </w:r>
    </w:p>
    <w:p>
      <w:pPr>
        <w:spacing w:after="0" w:line="122" w:lineRule="exact"/>
        <w:rPr>
          <w:sz w:val="20"/>
          <w:szCs w:val="20"/>
          <w:color w:val="auto"/>
        </w:rPr>
      </w:pPr>
    </w:p>
    <w:p>
      <w:pPr>
        <w:ind w:left="560" w:right="20"/>
        <w:spacing w:after="0" w:line="239"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 On any matter presented to the shareholders of the Company, each holder of outstanding Preferred Shares shall be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cast the number of votes equal to the number of whole ordinary shares into which the Preferred Shares held by such holder are convertible. The holders of Preferred Shares shall vote together with the holders of ordinary shares as a single class. Additionally, as long as at least 1,367,656 Preferred Shares are outstanding (subject to adjustment in the event of any recapitalizations), the Company must receive approval of holders of at least two-third of the voting rights then held in aggregate by the holders of the Preferred Shares in issue on an as-converted basis in order to effect certain corporate actions. Two investors have contractual rights to elect three out of five board members.</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Optional Conversion at Holders’ Option </w:t>
      </w:r>
      <w:r>
        <w:rPr>
          <w:rFonts w:ascii="Arial" w:cs="Arial" w:eastAsia="Arial" w:hAnsi="Arial"/>
          <w:sz w:val="17"/>
          <w:szCs w:val="17"/>
          <w:color w:val="auto"/>
        </w:rPr>
        <w:t>– Each share of Preferred Shares shall be convertible, at the option of the holder, at any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into such number of fully paid and non-assessable ordinary shares as is determined by dividing the original issue price by the Applicable Conversion Price. The Applicable Conversion Price for each series of Preferred Shares is currently equal to the original issue price for such series. Upon conversion, the holders shall also receive only declared but as yet unpaid dividends. Note only holders of Preferred Shares receive declared and unpaid dividends; preferred shareholders who chose to convert prior to the declaration of such dividends are not entitled to receive accumulated dividends.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spacing w:after="0" w:line="237" w:lineRule="auto"/>
        <w:rPr>
          <w:sz w:val="20"/>
          <w:szCs w:val="20"/>
          <w:color w:val="auto"/>
        </w:rPr>
      </w:pPr>
      <w:r>
        <w:rPr>
          <w:rFonts w:ascii="Arial" w:cs="Arial" w:eastAsia="Arial" w:hAnsi="Arial"/>
          <w:sz w:val="17"/>
          <w:szCs w:val="17"/>
          <w:i w:val="1"/>
          <w:iCs w:val="1"/>
          <w:color w:val="auto"/>
        </w:rPr>
        <w:t xml:space="preserve">Contingent Mandatory Conversion </w:t>
      </w:r>
      <w:r>
        <w:rPr>
          <w:rFonts w:ascii="Arial" w:cs="Arial" w:eastAsia="Arial" w:hAnsi="Arial"/>
          <w:sz w:val="17"/>
          <w:szCs w:val="17"/>
          <w:color w:val="auto"/>
        </w:rPr>
        <w:t>– Upon the closing of the first underwritten public offering pursuant to an effective registration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Act of 1933, as amended, or pursuant to a corresponding securities issuance application process in any non-U.S. jurisdiction, covering the offer and sale of the Company’s ordinary shares in which (i) the per share price is not less than $15.19540 (as adjusted for any share dividends, combinations, splits, recapitalizations and the like with respect to such shares after the filing date hereof) and (ii) the gross cash proceeds to the Company (before underwriting discounts, commissions and fees) are at least $50.0 million then all outstanding Preferred Shares shall automatically be converted into a number of ordinary shares, at a conversion rate determined by dividing the applicable original price of such Preferred Shares by the applicable conversion price of such Preferred Shares. Upon conversion, the holders shall also receive any cumulative and unpaid dividends, whether or not declared as conversion ordinary shares at the same conversion rate for the applicable Preferred Shares.</w:t>
      </w:r>
    </w:p>
    <w:p>
      <w:pPr>
        <w:spacing w:after="0" w:line="126" w:lineRule="exact"/>
        <w:rPr>
          <w:sz w:val="20"/>
          <w:szCs w:val="20"/>
          <w:color w:val="auto"/>
        </w:rPr>
      </w:pPr>
    </w:p>
    <w:p>
      <w:pPr>
        <w:jc w:val="both"/>
        <w:ind w:left="560" w:right="200"/>
        <w:spacing w:after="0" w:line="253" w:lineRule="auto"/>
        <w:rPr>
          <w:sz w:val="20"/>
          <w:szCs w:val="20"/>
          <w:color w:val="auto"/>
        </w:rPr>
      </w:pPr>
      <w:r>
        <w:rPr>
          <w:rFonts w:ascii="Arial" w:cs="Arial" w:eastAsia="Arial" w:hAnsi="Arial"/>
          <w:sz w:val="17"/>
          <w:szCs w:val="17"/>
          <w:i w:val="1"/>
          <w:iCs w:val="1"/>
          <w:color w:val="auto"/>
        </w:rPr>
        <w:t xml:space="preserve">Down-Round Antidilution Protection </w:t>
      </w:r>
      <w:r>
        <w:rPr>
          <w:rFonts w:ascii="Arial" w:cs="Arial" w:eastAsia="Arial" w:hAnsi="Arial"/>
          <w:sz w:val="17"/>
          <w:szCs w:val="17"/>
          <w:color w:val="auto"/>
        </w:rPr>
        <w:t>– In the event the Company issues its ordinary shares without consideration or for consideration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that is less than the conversion price in effect for each series of the Preferred Shares, then the conversion price for that series shall be reduced in order to increase the number of ordinary shares into which such series of Preferred Shares is convertible to.</w:t>
      </w:r>
    </w:p>
    <w:p>
      <w:pPr>
        <w:spacing w:after="0" w:line="311"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157" w:lineRule="exact"/>
        <w:rPr>
          <w:rFonts w:ascii="Arial" w:cs="Arial" w:eastAsia="Arial" w:hAnsi="Arial"/>
          <w:sz w:val="17"/>
          <w:szCs w:val="17"/>
          <w:b w:val="1"/>
          <w:bCs w:val="1"/>
          <w:color w:val="auto"/>
        </w:rPr>
      </w:pPr>
    </w:p>
    <w:p>
      <w:pPr>
        <w:ind w:left="560" w:right="60"/>
        <w:spacing w:after="0" w:line="246" w:lineRule="auto"/>
        <w:rPr>
          <w:rFonts w:ascii="Arial" w:cs="Arial" w:eastAsia="Arial" w:hAnsi="Arial"/>
          <w:sz w:val="17"/>
          <w:szCs w:val="17"/>
          <w:b w:val="1"/>
          <w:bCs w:val="1"/>
          <w:color w:val="auto"/>
        </w:rPr>
      </w:pPr>
      <w:r>
        <w:rPr>
          <w:rFonts w:ascii="Arial" w:cs="Arial" w:eastAsia="Arial" w:hAnsi="Arial"/>
          <w:sz w:val="17"/>
          <w:szCs w:val="17"/>
          <w:color w:val="auto"/>
        </w:rPr>
        <w:t>During 2015, the Company adopted an equity compensation plan, the 2015 Share Award Scheme, or the Plan, for eligible employees, officers, directors, advisors, and consultants. The Plan provides for the grant of incentive and non-statutory share options. The Plan permits the Company to grant up to 2,143,117 ordinary share awards, including incentive share options, non-statutory share options, conditional share awards and restricted share awards.</w:t>
      </w:r>
    </w:p>
    <w:p>
      <w:pPr>
        <w:spacing w:after="0" w:line="116" w:lineRule="exact"/>
        <w:rPr>
          <w:rFonts w:ascii="Arial" w:cs="Arial" w:eastAsia="Arial" w:hAnsi="Arial"/>
          <w:sz w:val="17"/>
          <w:szCs w:val="17"/>
          <w:b w:val="1"/>
          <w:bCs w:val="1"/>
          <w:color w:val="auto"/>
        </w:rPr>
      </w:pPr>
    </w:p>
    <w:p>
      <w:pPr>
        <w:ind w:left="560" w:right="100"/>
        <w:spacing w:after="0"/>
        <w:rPr>
          <w:rFonts w:ascii="Arial" w:cs="Arial" w:eastAsia="Arial" w:hAnsi="Arial"/>
          <w:sz w:val="17"/>
          <w:szCs w:val="17"/>
          <w:b w:val="1"/>
          <w:bCs w:val="1"/>
          <w:color w:val="auto"/>
        </w:rPr>
      </w:pPr>
      <w:r>
        <w:rPr>
          <w:rFonts w:ascii="Arial" w:cs="Arial" w:eastAsia="Arial" w:hAnsi="Arial"/>
          <w:sz w:val="17"/>
          <w:szCs w:val="17"/>
          <w:color w:val="auto"/>
        </w:rPr>
        <w:t>The terms of the share option agreements, including vesting requirements, are determined by the Board of Directors, subject to the provisions of the Plan. The term of the options generally expire, upon the earliest of (i) termination of continuous service for 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exercise price of the incentive share options must equal at least the fair market value of the share on the date of grant.</w:t>
      </w:r>
    </w:p>
    <w:p>
      <w:pPr>
        <w:spacing w:after="0" w:line="123" w:lineRule="exact"/>
        <w:rPr>
          <w:rFonts w:ascii="Arial" w:cs="Arial" w:eastAsia="Arial" w:hAnsi="Arial"/>
          <w:sz w:val="17"/>
          <w:szCs w:val="17"/>
          <w:b w:val="1"/>
          <w:bCs w:val="1"/>
          <w:color w:val="auto"/>
        </w:rPr>
      </w:pPr>
    </w:p>
    <w:p>
      <w:pPr>
        <w:ind w:left="560" w:right="20"/>
        <w:spacing w:after="0" w:line="253" w:lineRule="auto"/>
        <w:rPr>
          <w:rFonts w:ascii="Arial" w:cs="Arial" w:eastAsia="Arial" w:hAnsi="Arial"/>
          <w:sz w:val="17"/>
          <w:szCs w:val="17"/>
          <w:b w:val="1"/>
          <w:bCs w:val="1"/>
          <w:color w:val="auto"/>
        </w:rPr>
      </w:pPr>
      <w:r>
        <w:rPr>
          <w:rFonts w:ascii="Arial" w:cs="Arial" w:eastAsia="Arial" w:hAnsi="Arial"/>
          <w:sz w:val="17"/>
          <w:szCs w:val="17"/>
          <w:color w:val="auto"/>
        </w:rPr>
        <w:t>All awards that are canceled, forfeited or expired are returned to the Plan and are available for grant in conjunction with the issuance of new awards. Share options granted are exercisable over a maximum term of 10 years from the date of grant and generally vest over an agreed service period, usually four years.</w:t>
      </w:r>
    </w:p>
    <w:p>
      <w:pPr>
        <w:spacing w:after="0" w:line="110" w:lineRule="exact"/>
        <w:rPr>
          <w:rFonts w:ascii="Arial" w:cs="Arial" w:eastAsia="Arial" w:hAnsi="Arial"/>
          <w:sz w:val="17"/>
          <w:szCs w:val="17"/>
          <w:b w:val="1"/>
          <w:bCs w:val="1"/>
          <w:color w:val="auto"/>
        </w:rPr>
      </w:pPr>
    </w:p>
    <w:p>
      <w:pPr>
        <w:ind w:left="560" w:right="20"/>
        <w:spacing w:after="0" w:line="239" w:lineRule="auto"/>
        <w:rPr>
          <w:rFonts w:ascii="Arial" w:cs="Arial" w:eastAsia="Arial" w:hAnsi="Arial"/>
          <w:sz w:val="17"/>
          <w:szCs w:val="17"/>
          <w:b w:val="1"/>
          <w:bCs w:val="1"/>
          <w:color w:val="auto"/>
        </w:rPr>
      </w:pPr>
      <w:r>
        <w:rPr>
          <w:rFonts w:ascii="Arial" w:cs="Arial" w:eastAsia="Arial" w:hAnsi="Arial"/>
          <w:sz w:val="17"/>
          <w:szCs w:val="17"/>
          <w:color w:val="auto"/>
        </w:rPr>
        <w:t>Certain share options granted under the Plan provide option holders the right to elect to exercise unvested options in exchange for ordinary shares. Such unvested ordinary shares are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2018 and December 31, 2019, there were 116,048 and 34,024 unvested early exercised options and the liability related to these unvested options was $0.1 million and approximately $27,000, respectively.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 Option Activity</w:t>
      </w:r>
    </w:p>
    <w:p>
      <w:pPr>
        <w:spacing w:after="0" w:line="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summary of share option activity under the Plan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gridSpan w:val="2"/>
          </w:tcPr>
          <w:p>
            <w:pPr>
              <w:jc w:val="center"/>
              <w:ind w:right="460"/>
              <w:spacing w:after="0" w:line="141"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NUMBER</w:t>
            </w: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REMAINING</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AVAILABLE</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OF</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7"/>
        </w:trPr>
        <w:tc>
          <w:tcPr>
            <w:tcW w:w="4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TO GRANT</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1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PRICE</w:t>
            </w: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LIFE (YEARS)</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2017</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218,322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719,527</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0.99</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00" w:type="dxa"/>
            <w:vAlign w:val="bottom"/>
            <w:gridSpan w:val="2"/>
          </w:tcPr>
          <w:p>
            <w:pPr>
              <w:jc w:val="right"/>
              <w:ind w:right="440"/>
              <w:spacing w:after="0"/>
              <w:rPr>
                <w:sz w:val="20"/>
                <w:szCs w:val="20"/>
                <w:color w:val="auto"/>
              </w:rPr>
            </w:pPr>
            <w:r>
              <w:rPr>
                <w:rFonts w:ascii="Arial" w:cs="Arial" w:eastAsia="Arial" w:hAnsi="Arial"/>
                <w:sz w:val="16"/>
                <w:szCs w:val="16"/>
                <w:color w:val="auto"/>
              </w:rPr>
              <w:t>(187,186)</w:t>
            </w:r>
          </w:p>
        </w:tc>
        <w:tc>
          <w:tcPr>
            <w:tcW w:w="800" w:type="dxa"/>
            <w:vAlign w:val="bottom"/>
          </w:tcPr>
          <w:p>
            <w:pPr>
              <w:jc w:val="right"/>
              <w:spacing w:after="0"/>
              <w:rPr>
                <w:sz w:val="20"/>
                <w:szCs w:val="20"/>
                <w:color w:val="auto"/>
              </w:rPr>
            </w:pPr>
            <w:r>
              <w:rPr>
                <w:rFonts w:ascii="Arial" w:cs="Arial" w:eastAsia="Arial" w:hAnsi="Arial"/>
                <w:sz w:val="16"/>
                <w:szCs w:val="16"/>
                <w:color w:val="auto"/>
              </w:rPr>
              <w:t>187,186</w:t>
            </w:r>
          </w:p>
        </w:tc>
        <w:tc>
          <w:tcPr>
            <w:tcW w:w="5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1.85</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(6,914)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0.99</w:t>
            </w: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1300" w:type="dxa"/>
            <w:vAlign w:val="bottom"/>
            <w:gridSpan w:val="2"/>
          </w:tcPr>
          <w:p>
            <w:pPr>
              <w:jc w:val="right"/>
              <w:ind w:right="500"/>
              <w:spacing w:after="0"/>
              <w:rPr>
                <w:sz w:val="20"/>
                <w:szCs w:val="20"/>
                <w:color w:val="auto"/>
              </w:rPr>
            </w:pPr>
            <w:r>
              <w:rPr>
                <w:rFonts w:ascii="Arial" w:cs="Arial" w:eastAsia="Arial" w:hAnsi="Arial"/>
                <w:sz w:val="16"/>
                <w:szCs w:val="16"/>
                <w:color w:val="auto"/>
              </w:rPr>
              <w:t>34,980</w:t>
            </w:r>
          </w:p>
        </w:tc>
        <w:tc>
          <w:tcPr>
            <w:tcW w:w="1300" w:type="dxa"/>
            <w:vAlign w:val="bottom"/>
            <w:gridSpan w:val="2"/>
          </w:tcPr>
          <w:p>
            <w:pPr>
              <w:jc w:val="right"/>
              <w:ind w:right="460"/>
              <w:spacing w:after="0"/>
              <w:rPr>
                <w:sz w:val="20"/>
                <w:szCs w:val="20"/>
                <w:color w:val="auto"/>
              </w:rPr>
            </w:pPr>
            <w:r>
              <w:rPr>
                <w:rFonts w:ascii="Arial" w:cs="Arial" w:eastAsia="Arial" w:hAnsi="Arial"/>
                <w:sz w:val="16"/>
                <w:szCs w:val="16"/>
                <w:color w:val="auto"/>
              </w:rPr>
              <w:t>(34,980)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0.99</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repurchased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6,899</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60" w:type="dxa"/>
            <w:vAlign w:val="bottom"/>
            <w:gridSpan w:val="2"/>
          </w:tcPr>
          <w:p>
            <w:pPr>
              <w:ind w:left="440"/>
              <w:spacing w:after="0"/>
              <w:rPr>
                <w:sz w:val="20"/>
                <w:szCs w:val="20"/>
                <w:color w:val="auto"/>
              </w:rPr>
            </w:pPr>
            <w:r>
              <w:rPr>
                <w:rFonts w:ascii="Arial" w:cs="Arial" w:eastAsia="Arial" w:hAnsi="Arial"/>
                <w:sz w:val="16"/>
                <w:szCs w:val="16"/>
                <w:color w:val="auto"/>
              </w:rPr>
              <w:t>Balance outstanding at December 31, 2018</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73,015</w:t>
            </w:r>
          </w:p>
        </w:tc>
        <w:tc>
          <w:tcPr>
            <w:tcW w:w="5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864,819</w:t>
            </w:r>
          </w:p>
        </w:tc>
        <w:tc>
          <w:tcPr>
            <w:tcW w:w="50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460" w:type="dxa"/>
            <w:vAlign w:val="bottom"/>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8.54</w:t>
            </w:r>
          </w:p>
        </w:tc>
        <w:tc>
          <w:tcPr>
            <w:tcW w:w="46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Authorized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818,010</w:t>
            </w: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00" w:type="dxa"/>
            <w:vAlign w:val="bottom"/>
            <w:gridSpan w:val="2"/>
          </w:tcPr>
          <w:p>
            <w:pPr>
              <w:jc w:val="right"/>
              <w:ind w:right="440"/>
              <w:spacing w:after="0"/>
              <w:rPr>
                <w:sz w:val="20"/>
                <w:szCs w:val="20"/>
                <w:color w:val="auto"/>
              </w:rPr>
            </w:pPr>
            <w:r>
              <w:rPr>
                <w:rFonts w:ascii="Arial" w:cs="Arial" w:eastAsia="Arial" w:hAnsi="Arial"/>
                <w:sz w:val="16"/>
                <w:szCs w:val="16"/>
                <w:color w:val="auto"/>
              </w:rPr>
              <w:t>(341,871)</w:t>
            </w:r>
          </w:p>
        </w:tc>
        <w:tc>
          <w:tcPr>
            <w:tcW w:w="800" w:type="dxa"/>
            <w:vAlign w:val="bottom"/>
          </w:tcPr>
          <w:p>
            <w:pPr>
              <w:jc w:val="right"/>
              <w:spacing w:after="0"/>
              <w:rPr>
                <w:sz w:val="20"/>
                <w:szCs w:val="20"/>
                <w:color w:val="auto"/>
              </w:rPr>
            </w:pPr>
            <w:r>
              <w:rPr>
                <w:rFonts w:ascii="Arial" w:cs="Arial" w:eastAsia="Arial" w:hAnsi="Arial"/>
                <w:sz w:val="16"/>
                <w:szCs w:val="16"/>
                <w:color w:val="auto"/>
              </w:rPr>
              <w:t>341,871</w:t>
            </w:r>
          </w:p>
        </w:tc>
        <w:tc>
          <w:tcPr>
            <w:tcW w:w="5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1.91</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(5,199)</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1.86</w:t>
            </w: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1300" w:type="dxa"/>
            <w:vAlign w:val="bottom"/>
            <w:gridSpan w:val="2"/>
          </w:tcPr>
          <w:p>
            <w:pPr>
              <w:jc w:val="right"/>
              <w:ind w:right="500"/>
              <w:spacing w:after="0"/>
              <w:rPr>
                <w:sz w:val="20"/>
                <w:szCs w:val="20"/>
                <w:color w:val="auto"/>
              </w:rPr>
            </w:pPr>
            <w:r>
              <w:rPr>
                <w:rFonts w:ascii="Arial" w:cs="Arial" w:eastAsia="Arial" w:hAnsi="Arial"/>
                <w:sz w:val="16"/>
                <w:szCs w:val="16"/>
                <w:color w:val="auto"/>
              </w:rPr>
              <w:t>17,746</w:t>
            </w:r>
          </w:p>
        </w:tc>
        <w:tc>
          <w:tcPr>
            <w:tcW w:w="1300" w:type="dxa"/>
            <w:vAlign w:val="bottom"/>
            <w:gridSpan w:val="2"/>
          </w:tcPr>
          <w:p>
            <w:pPr>
              <w:jc w:val="right"/>
              <w:ind w:right="460"/>
              <w:spacing w:after="0"/>
              <w:rPr>
                <w:sz w:val="20"/>
                <w:szCs w:val="20"/>
                <w:color w:val="auto"/>
              </w:rPr>
            </w:pPr>
            <w:r>
              <w:rPr>
                <w:rFonts w:ascii="Arial" w:cs="Arial" w:eastAsia="Arial" w:hAnsi="Arial"/>
                <w:sz w:val="16"/>
                <w:szCs w:val="16"/>
                <w:color w:val="auto"/>
              </w:rPr>
              <w:t>(17,746)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1.88</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2019</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566,900</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1,183,745</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1.37</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8.06</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60" w:type="dxa"/>
            <w:vAlign w:val="bottom"/>
            <w:gridSpan w:val="2"/>
          </w:tcPr>
          <w:p>
            <w:pPr>
              <w:ind w:left="440"/>
              <w:spacing w:after="0"/>
              <w:rPr>
                <w:sz w:val="20"/>
                <w:szCs w:val="20"/>
                <w:color w:val="auto"/>
              </w:rPr>
            </w:pPr>
            <w:r>
              <w:rPr>
                <w:rFonts w:ascii="Arial" w:cs="Arial" w:eastAsia="Arial" w:hAnsi="Arial"/>
                <w:sz w:val="16"/>
                <w:szCs w:val="16"/>
                <w:color w:val="auto"/>
              </w:rPr>
              <w:t>Exercisable at December 31, 2019</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565,975</w:t>
            </w:r>
          </w:p>
        </w:tc>
        <w:tc>
          <w:tcPr>
            <w:tcW w:w="5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1.16</w:t>
            </w:r>
          </w:p>
        </w:tc>
        <w:tc>
          <w:tcPr>
            <w:tcW w:w="1560" w:type="dxa"/>
            <w:vAlign w:val="bottom"/>
            <w:gridSpan w:val="2"/>
          </w:tcPr>
          <w:p>
            <w:pPr>
              <w:jc w:val="right"/>
              <w:ind w:right="460"/>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 w:right="220"/>
        <w:spacing w:after="0" w:line="275" w:lineRule="auto"/>
        <w:rPr>
          <w:sz w:val="20"/>
          <w:szCs w:val="20"/>
          <w:color w:val="auto"/>
        </w:rPr>
      </w:pPr>
      <w:r>
        <w:rPr>
          <w:rFonts w:ascii="Arial" w:cs="Arial" w:eastAsia="Arial" w:hAnsi="Arial"/>
          <w:sz w:val="17"/>
          <w:szCs w:val="17"/>
          <w:color w:val="auto"/>
        </w:rPr>
        <w:t>As of December 31, 2019, there was unrecognized share-based compensation expense of $0.6 million, related to unvested share options which the Company expects to recognize over a weighted-average period of 2.7 years.</w:t>
      </w:r>
    </w:p>
    <w:p>
      <w:pPr>
        <w:spacing w:after="0" w:line="92" w:lineRule="exact"/>
        <w:rPr>
          <w:sz w:val="20"/>
          <w:szCs w:val="20"/>
          <w:color w:val="auto"/>
        </w:rPr>
      </w:pPr>
    </w:p>
    <w:p>
      <w:pPr>
        <w:ind w:left="560" w:right="240"/>
        <w:spacing w:after="0" w:line="246" w:lineRule="auto"/>
        <w:rPr>
          <w:sz w:val="20"/>
          <w:szCs w:val="20"/>
          <w:color w:val="auto"/>
        </w:rPr>
      </w:pPr>
      <w:r>
        <w:rPr>
          <w:rFonts w:ascii="Arial" w:cs="Arial" w:eastAsia="Arial" w:hAnsi="Arial"/>
          <w:sz w:val="17"/>
          <w:szCs w:val="17"/>
          <w:color w:val="auto"/>
        </w:rPr>
        <w:t>The aggregate intrinsic values of options outstanding and exercisable were calculated as the difference between the exercise price of the options and the estimated fair value of the Company’s ordinary shares as determined by the Board of Directors as of December 31, 2018 and December 31, 2019. The total intrinsic value of options exercised during the years ended December 31, 2018 and 2019 were immaterial.</w:t>
      </w:r>
    </w:p>
    <w:p>
      <w:pPr>
        <w:spacing w:after="0" w:line="117" w:lineRule="exact"/>
        <w:rPr>
          <w:sz w:val="20"/>
          <w:szCs w:val="20"/>
          <w:color w:val="auto"/>
        </w:rPr>
      </w:pPr>
    </w:p>
    <w:p>
      <w:pPr>
        <w:ind w:left="560" w:right="260"/>
        <w:spacing w:after="0" w:line="246" w:lineRule="auto"/>
        <w:rPr>
          <w:sz w:val="20"/>
          <w:szCs w:val="20"/>
          <w:color w:val="auto"/>
        </w:rPr>
      </w:pPr>
      <w:r>
        <w:rPr>
          <w:rFonts w:ascii="Arial" w:cs="Arial" w:eastAsia="Arial" w:hAnsi="Arial"/>
          <w:sz w:val="17"/>
          <w:szCs w:val="17"/>
          <w:color w:val="auto"/>
        </w:rPr>
        <w:t>Compensation cost for share options granted is based on the grant-date fair value estimated and is recognized over the vesting period of the applicable option on a straight-line basis. The weighted-average grant-date fair value per share for share options granted during the years ended December 31, 2018 and December 31, 2019 was $1.14 and $1.27, respectively. The total fair value of options that vested during the years ended December 31, 2018 and December 31, 2019 was approximately $0.1 million and $0.3 million, respectively.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Share-based compensation expense includes share options granted to employees and nonemployees and has been reported in the</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Company’s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40" w:type="dxa"/>
            <w:vAlign w:val="bottom"/>
          </w:tcPr>
          <w:p>
            <w:pPr>
              <w:spacing w:after="0"/>
              <w:rPr>
                <w:sz w:val="13"/>
                <w:szCs w:val="13"/>
                <w:color w:val="auto"/>
              </w:rPr>
            </w:pPr>
          </w:p>
        </w:tc>
        <w:tc>
          <w:tcPr>
            <w:tcW w:w="402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40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36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1"/>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195</w:t>
            </w: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99"/>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105</w:t>
            </w: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3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gridSpan w:val="2"/>
          </w:tcPr>
          <w:p>
            <w:pPr>
              <w:jc w:val="right"/>
              <w:ind w:right="860"/>
              <w:spacing w:after="0" w:line="189" w:lineRule="exact"/>
              <w:rPr>
                <w:sz w:val="20"/>
                <w:szCs w:val="20"/>
                <w:color w:val="auto"/>
              </w:rPr>
            </w:pPr>
            <w:r>
              <w:rPr>
                <w:rFonts w:ascii="Arial" w:cs="Arial" w:eastAsia="Arial" w:hAnsi="Arial"/>
                <w:sz w:val="17"/>
                <w:szCs w:val="17"/>
                <w:color w:val="auto"/>
              </w:rPr>
              <w:t>16</w:t>
            </w:r>
          </w:p>
        </w:tc>
        <w:tc>
          <w:tcPr>
            <w:tcW w:w="680" w:type="dxa"/>
            <w:vAlign w:val="bottom"/>
          </w:tcPr>
          <w:p>
            <w:pPr>
              <w:spacing w:after="0"/>
              <w:rPr>
                <w:sz w:val="16"/>
                <w:szCs w:val="16"/>
                <w:color w:val="auto"/>
              </w:rPr>
            </w:pPr>
          </w:p>
        </w:tc>
        <w:tc>
          <w:tcPr>
            <w:tcW w:w="3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r>
      <w:tr>
        <w:trPr>
          <w:trHeight w:val="189"/>
        </w:trPr>
        <w:tc>
          <w:tcPr>
            <w:tcW w:w="440" w:type="dxa"/>
            <w:vAlign w:val="bottom"/>
          </w:tcPr>
          <w:p>
            <w:pPr>
              <w:spacing w:after="0"/>
              <w:rPr>
                <w:sz w:val="16"/>
                <w:szCs w:val="16"/>
                <w:color w:val="auto"/>
              </w:rPr>
            </w:pPr>
          </w:p>
        </w:tc>
        <w:tc>
          <w:tcPr>
            <w:tcW w:w="4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60"/>
              <w:spacing w:after="0" w:line="189" w:lineRule="exact"/>
              <w:rPr>
                <w:sz w:val="20"/>
                <w:szCs w:val="20"/>
                <w:color w:val="auto"/>
              </w:rPr>
            </w:pPr>
            <w:r>
              <w:rPr>
                <w:rFonts w:ascii="Arial" w:cs="Arial" w:eastAsia="Arial" w:hAnsi="Arial"/>
                <w:sz w:val="17"/>
                <w:szCs w:val="17"/>
                <w:color w:val="auto"/>
              </w:rPr>
              <w:t>58</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8"/>
              </w:rPr>
              <w:t>159</w:t>
            </w:r>
          </w:p>
        </w:tc>
      </w:tr>
      <w:tr>
        <w:trPr>
          <w:trHeight w:val="196"/>
        </w:trPr>
        <w:tc>
          <w:tcPr>
            <w:tcW w:w="44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Total</w:t>
            </w:r>
          </w:p>
        </w:tc>
        <w:tc>
          <w:tcPr>
            <w:tcW w:w="36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269</w:t>
            </w:r>
          </w:p>
        </w:tc>
        <w:tc>
          <w:tcPr>
            <w:tcW w:w="86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297</w:t>
            </w:r>
          </w:p>
        </w:tc>
        <w:tc>
          <w:tcPr>
            <w:tcW w:w="6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4020" w:type="dxa"/>
            <w:vAlign w:val="bottom"/>
            <w:tcBorders>
              <w:bottom w:val="single" w:sz="8" w:color="auto"/>
            </w:tcBorders>
          </w:tcPr>
          <w:p>
            <w:pPr>
              <w:spacing w:after="0"/>
              <w:rPr>
                <w:sz w:val="11"/>
                <w:szCs w:val="11"/>
                <w:color w:val="auto"/>
              </w:rPr>
            </w:pPr>
          </w:p>
        </w:tc>
        <w:tc>
          <w:tcPr>
            <w:tcW w:w="4360" w:type="dxa"/>
            <w:vAlign w:val="bottom"/>
            <w:tcBorders>
              <w:bottom w:val="single" w:sz="8" w:color="auto"/>
            </w:tcBorders>
            <w:gridSpan w:val="2"/>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r>
        <w:trPr>
          <w:trHeight w:val="383"/>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60" w:type="dxa"/>
            <w:vAlign w:val="bottom"/>
            <w:gridSpan w:val="2"/>
          </w:tcPr>
          <w:p>
            <w:pPr>
              <w:jc w:val="right"/>
              <w:ind w:right="3061"/>
              <w:spacing w:after="0"/>
              <w:rPr>
                <w:sz w:val="20"/>
                <w:szCs w:val="20"/>
                <w:color w:val="auto"/>
              </w:rPr>
            </w:pPr>
            <w:r>
              <w:rPr>
                <w:rFonts w:ascii="Arial" w:cs="Arial" w:eastAsia="Arial" w:hAnsi="Arial"/>
                <w:sz w:val="16"/>
                <w:szCs w:val="16"/>
                <w:color w:val="auto"/>
              </w:rPr>
              <w:t>F-23</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right="260"/>
        <w:spacing w:after="0" w:line="246" w:lineRule="auto"/>
        <w:rPr>
          <w:sz w:val="20"/>
          <w:szCs w:val="20"/>
          <w:color w:val="auto"/>
        </w:rPr>
      </w:pPr>
      <w:r>
        <w:rPr>
          <w:rFonts w:ascii="Arial" w:cs="Arial" w:eastAsia="Arial" w:hAnsi="Arial"/>
          <w:sz w:val="17"/>
          <w:szCs w:val="17"/>
          <w:color w:val="auto"/>
        </w:rPr>
        <w:t>The Company’s computation of share-based compensation expense for the years ended December 31, 2018 and December 31, 2019 is based on the fair value of ordinary shares of $1.85 and $1.91, respectively, and is adjusted for actual forfeitures as they occur. The fair value of each option grant during the years ended December 31, 2018 and December 31, 2019 was estimated on the date of grant using the Black-Scholes option-pricing model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77"/>
        </w:trPr>
        <w:tc>
          <w:tcPr>
            <w:tcW w:w="7500" w:type="dxa"/>
            <w:vAlign w:val="bottom"/>
          </w:tcPr>
          <w:p>
            <w:pPr>
              <w:spacing w:after="0"/>
              <w:rPr>
                <w:sz w:val="15"/>
                <w:szCs w:val="15"/>
                <w:color w:val="auto"/>
              </w:rPr>
            </w:pPr>
          </w:p>
        </w:tc>
        <w:tc>
          <w:tcPr>
            <w:tcW w:w="30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50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gridSpan w:val="2"/>
          </w:tcPr>
          <w:p>
            <w:pPr>
              <w:jc w:val="right"/>
              <w:ind w:right="49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83"/>
        </w:trPr>
        <w:tc>
          <w:tcPr>
            <w:tcW w:w="7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term (in years)</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5.2</w:t>
            </w:r>
          </w:p>
        </w:tc>
        <w:tc>
          <w:tcPr>
            <w:tcW w:w="8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 6.0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4.4</w:t>
            </w:r>
          </w:p>
        </w:tc>
        <w:tc>
          <w:tcPr>
            <w:tcW w:w="1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6.0</w:t>
            </w:r>
          </w:p>
        </w:tc>
      </w:tr>
      <w:tr>
        <w:trPr>
          <w:trHeight w:val="189"/>
        </w:trPr>
        <w:tc>
          <w:tcPr>
            <w:tcW w:w="750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2.6%</w:t>
            </w:r>
          </w:p>
        </w:tc>
        <w:tc>
          <w:tcPr>
            <w:tcW w:w="90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 3.0%</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140" w:type="dxa"/>
            <w:vAlign w:val="bottom"/>
          </w:tcPr>
          <w:p>
            <w:pPr>
              <w:jc w:val="center"/>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ind w:left="20"/>
              <w:spacing w:after="0" w:line="189" w:lineRule="exact"/>
              <w:rPr>
                <w:sz w:val="20"/>
                <w:szCs w:val="20"/>
                <w:color w:val="auto"/>
              </w:rPr>
            </w:pPr>
            <w:r>
              <w:rPr>
                <w:rFonts w:ascii="Arial" w:cs="Arial" w:eastAsia="Arial" w:hAnsi="Arial"/>
                <w:sz w:val="17"/>
                <w:szCs w:val="17"/>
                <w:color w:val="auto"/>
              </w:rPr>
              <w:t>2.1%</w:t>
            </w:r>
          </w:p>
        </w:tc>
      </w:tr>
      <w:tr>
        <w:trPr>
          <w:trHeight w:val="189"/>
        </w:trPr>
        <w:tc>
          <w:tcPr>
            <w:tcW w:w="7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dividend rate</w:t>
            </w:r>
          </w:p>
        </w:tc>
        <w:tc>
          <w:tcPr>
            <w:tcW w:w="6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spacing w:after="0"/>
              <w:rPr>
                <w:sz w:val="16"/>
                <w:szCs w:val="16"/>
                <w:color w:val="auto"/>
              </w:rPr>
            </w:pPr>
          </w:p>
        </w:tc>
      </w:tr>
      <w:tr>
        <w:trPr>
          <w:trHeight w:val="231"/>
        </w:trPr>
        <w:tc>
          <w:tcPr>
            <w:tcW w:w="7500" w:type="dxa"/>
            <w:vAlign w:val="bottom"/>
          </w:tcPr>
          <w:p>
            <w:pPr>
              <w:spacing w:after="0"/>
              <w:rPr>
                <w:sz w:val="20"/>
                <w:szCs w:val="20"/>
                <w:color w:val="auto"/>
              </w:rPr>
            </w:pPr>
            <w:r>
              <w:rPr>
                <w:rFonts w:ascii="Arial" w:cs="Arial" w:eastAsia="Arial" w:hAnsi="Arial"/>
                <w:sz w:val="17"/>
                <w:szCs w:val="17"/>
                <w:color w:val="auto"/>
              </w:rPr>
              <w:t>Expected share price volatility</w:t>
            </w:r>
          </w:p>
        </w:tc>
        <w:tc>
          <w:tcPr>
            <w:tcW w:w="680" w:type="dxa"/>
            <w:vAlign w:val="bottom"/>
          </w:tcPr>
          <w:p>
            <w:pPr>
              <w:jc w:val="right"/>
              <w:spacing w:after="0"/>
              <w:rPr>
                <w:sz w:val="20"/>
                <w:szCs w:val="20"/>
                <w:color w:val="auto"/>
              </w:rPr>
            </w:pPr>
            <w:r>
              <w:rPr>
                <w:rFonts w:ascii="Arial" w:cs="Arial" w:eastAsia="Arial" w:hAnsi="Arial"/>
                <w:sz w:val="17"/>
                <w:szCs w:val="17"/>
                <w:color w:val="auto"/>
              </w:rPr>
              <w:t>66.5%</w:t>
            </w:r>
          </w:p>
        </w:tc>
        <w:tc>
          <w:tcPr>
            <w:tcW w:w="900" w:type="dxa"/>
            <w:vAlign w:val="bottom"/>
            <w:gridSpan w:val="2"/>
          </w:tcPr>
          <w:p>
            <w:pPr>
              <w:ind w:left="20"/>
              <w:spacing w:after="0"/>
              <w:rPr>
                <w:sz w:val="20"/>
                <w:szCs w:val="20"/>
                <w:color w:val="auto"/>
              </w:rPr>
            </w:pPr>
            <w:r>
              <w:rPr>
                <w:rFonts w:ascii="Arial" w:cs="Arial" w:eastAsia="Arial" w:hAnsi="Arial"/>
                <w:sz w:val="17"/>
                <w:szCs w:val="17"/>
                <w:color w:val="auto"/>
              </w:rPr>
              <w:t>– 68.7%</w:t>
            </w:r>
          </w:p>
        </w:tc>
        <w:tc>
          <w:tcPr>
            <w:tcW w:w="680" w:type="dxa"/>
            <w:vAlign w:val="bottom"/>
          </w:tcPr>
          <w:p>
            <w:pPr>
              <w:jc w:val="right"/>
              <w:spacing w:after="0"/>
              <w:rPr>
                <w:sz w:val="20"/>
                <w:szCs w:val="20"/>
                <w:color w:val="auto"/>
              </w:rPr>
            </w:pPr>
            <w:r>
              <w:rPr>
                <w:rFonts w:ascii="Arial" w:cs="Arial" w:eastAsia="Arial" w:hAnsi="Arial"/>
                <w:sz w:val="17"/>
                <w:szCs w:val="17"/>
                <w:color w:val="auto"/>
              </w:rPr>
              <w:t>75.2%</w:t>
            </w:r>
          </w:p>
        </w:tc>
        <w:tc>
          <w:tcPr>
            <w:tcW w:w="140" w:type="dxa"/>
            <w:vAlign w:val="bottom"/>
          </w:tcPr>
          <w:p>
            <w:pPr>
              <w:jc w:val="center"/>
              <w:spacing w:after="0"/>
              <w:rPr>
                <w:sz w:val="20"/>
                <w:szCs w:val="20"/>
                <w:color w:val="auto"/>
              </w:rPr>
            </w:pPr>
            <w:r>
              <w:rPr>
                <w:rFonts w:ascii="Arial" w:cs="Arial" w:eastAsia="Arial" w:hAnsi="Arial"/>
                <w:sz w:val="17"/>
                <w:szCs w:val="17"/>
                <w:color w:val="auto"/>
              </w:rPr>
              <w:t>–</w:t>
            </w:r>
          </w:p>
        </w:tc>
        <w:tc>
          <w:tcPr>
            <w:tcW w:w="680" w:type="dxa"/>
            <w:vAlign w:val="bottom"/>
          </w:tcPr>
          <w:p>
            <w:pPr>
              <w:ind w:left="20"/>
              <w:spacing w:after="0"/>
              <w:rPr>
                <w:sz w:val="20"/>
                <w:szCs w:val="20"/>
                <w:color w:val="auto"/>
              </w:rPr>
            </w:pPr>
            <w:r>
              <w:rPr>
                <w:rFonts w:ascii="Arial" w:cs="Arial" w:eastAsia="Arial" w:hAnsi="Arial"/>
                <w:sz w:val="17"/>
                <w:szCs w:val="17"/>
                <w:color w:val="auto"/>
              </w:rPr>
              <w:t>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2" w:lineRule="exact"/>
        <w:rPr>
          <w:sz w:val="20"/>
          <w:szCs w:val="20"/>
          <w:color w:val="auto"/>
        </w:rPr>
      </w:pPr>
    </w:p>
    <w:p>
      <w:pPr>
        <w:ind w:left="560" w:right="80"/>
        <w:spacing w:after="0" w:line="246"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the options represents the average period the share options are expected to remain outstanding.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w:t>
      </w:r>
    </w:p>
    <w:p>
      <w:pPr>
        <w:spacing w:after="0" w:line="117" w:lineRule="exact"/>
        <w:rPr>
          <w:sz w:val="20"/>
          <w:szCs w:val="20"/>
          <w:color w:val="auto"/>
        </w:rPr>
      </w:pPr>
    </w:p>
    <w:p>
      <w:pPr>
        <w:ind w:left="560" w:right="1120"/>
        <w:spacing w:after="0" w:line="275"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yield of U.S. Treasury notes as of the grant date with terms</w:t>
      </w:r>
      <w:r>
        <w:rPr>
          <w:rFonts w:ascii="Arial" w:cs="Arial" w:eastAsia="Arial" w:hAnsi="Arial"/>
          <w:sz w:val="17"/>
          <w:szCs w:val="17"/>
          <w:i w:val="1"/>
          <w:iCs w:val="1"/>
          <w:color w:val="auto"/>
        </w:rPr>
        <w:t xml:space="preserve"> </w:t>
      </w:r>
      <w:r>
        <w:rPr>
          <w:rFonts w:ascii="Arial" w:cs="Arial" w:eastAsia="Arial" w:hAnsi="Arial"/>
          <w:sz w:val="17"/>
          <w:szCs w:val="17"/>
          <w:color w:val="auto"/>
        </w:rPr>
        <w:t>commensurate with the expected term of the option.</w:t>
      </w:r>
    </w:p>
    <w:p>
      <w:pPr>
        <w:spacing w:after="0" w:line="92" w:lineRule="exact"/>
        <w:rPr>
          <w:sz w:val="20"/>
          <w:szCs w:val="20"/>
          <w:color w:val="auto"/>
        </w:rPr>
      </w:pPr>
    </w:p>
    <w:p>
      <w:pPr>
        <w:ind w:left="560" w:right="440"/>
        <w:spacing w:after="0" w:line="275" w:lineRule="auto"/>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expected dividends assumption is based on the Company’s expectation of not paying dividends in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w:t>
      </w:r>
    </w:p>
    <w:p>
      <w:pPr>
        <w:spacing w:after="0" w:line="92" w:lineRule="exact"/>
        <w:rPr>
          <w:sz w:val="20"/>
          <w:szCs w:val="20"/>
          <w:color w:val="auto"/>
        </w:rPr>
      </w:pPr>
    </w:p>
    <w:p>
      <w:pPr>
        <w:ind w:left="560" w:right="120"/>
        <w:spacing w:after="0" w:line="246" w:lineRule="auto"/>
        <w:rPr>
          <w:sz w:val="20"/>
          <w:szCs w:val="20"/>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Since the Company is private and does not have any trading history for its ordinary shares, the expected volatility is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volatilities of the common shares of comparable publicly traded companies. The Company selected companies with comparable characteristics, including enterprise value, risk profiles, position within the industry, and with historical share price information sufficient to meet the expected life of the Company’s share-based awards.</w:t>
      </w:r>
    </w:p>
    <w:p>
      <w:pPr>
        <w:spacing w:after="0" w:line="117" w:lineRule="exact"/>
        <w:rPr>
          <w:sz w:val="20"/>
          <w:szCs w:val="20"/>
          <w:color w:val="auto"/>
        </w:rPr>
      </w:pPr>
    </w:p>
    <w:p>
      <w:pPr>
        <w:ind w:left="560" w:right="80"/>
        <w:spacing w:after="0"/>
        <w:rPr>
          <w:sz w:val="20"/>
          <w:szCs w:val="20"/>
          <w:color w:val="auto"/>
        </w:rPr>
      </w:pPr>
      <w:r>
        <w:rPr>
          <w:rFonts w:ascii="Arial" w:cs="Arial" w:eastAsia="Arial" w:hAnsi="Arial"/>
          <w:sz w:val="17"/>
          <w:szCs w:val="17"/>
          <w:i w:val="1"/>
          <w:iCs w:val="1"/>
          <w:color w:val="auto"/>
        </w:rPr>
        <w:t>Estimated Fair Value</w:t>
      </w:r>
      <w:r>
        <w:rPr>
          <w:rFonts w:ascii="Arial" w:cs="Arial" w:eastAsia="Arial" w:hAnsi="Arial"/>
          <w:sz w:val="17"/>
          <w:szCs w:val="17"/>
          <w:color w:val="auto"/>
        </w:rPr>
        <w:t>. The estimated fair value of the shares of common stock underlying stock options was determined by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Because there was no public market for the Company’s common stock, the board of directors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(b) Founder Stock Activity</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a summary of Founder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9"/>
              </w:rPr>
              <w:t>NUMBER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r>
      <w:tr>
        <w:trPr>
          <w:trHeight w:val="177"/>
        </w:trPr>
        <w:tc>
          <w:tcPr>
            <w:tcW w:w="4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40" w:type="dxa"/>
            <w:vAlign w:val="bottom"/>
          </w:tcPr>
          <w:p>
            <w:pPr>
              <w:spacing w:after="0"/>
              <w:rPr>
                <w:sz w:val="15"/>
                <w:szCs w:val="15"/>
                <w:color w:val="auto"/>
              </w:rPr>
            </w:pPr>
          </w:p>
        </w:tc>
        <w:tc>
          <w:tcPr>
            <w:tcW w:w="3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Unvested at December 31, 2017</w:t>
            </w:r>
          </w:p>
        </w:tc>
        <w:tc>
          <w:tcPr>
            <w:tcW w:w="37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455,477</w:t>
            </w:r>
          </w:p>
        </w:tc>
        <w:tc>
          <w:tcPr>
            <w:tcW w:w="74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ind w:right="480"/>
              <w:spacing w:after="0" w:line="183"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368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5360" w:type="dxa"/>
            <w:vAlign w:val="bottom"/>
            <w:gridSpan w:val="3"/>
          </w:tcPr>
          <w:p>
            <w:pPr>
              <w:jc w:val="right"/>
              <w:ind w:right="700"/>
              <w:spacing w:after="0" w:line="189" w:lineRule="exact"/>
              <w:rPr>
                <w:sz w:val="20"/>
                <w:szCs w:val="20"/>
                <w:color w:val="auto"/>
              </w:rPr>
            </w:pPr>
            <w:r>
              <w:rPr>
                <w:rFonts w:ascii="Arial" w:cs="Arial" w:eastAsia="Arial" w:hAnsi="Arial"/>
                <w:sz w:val="17"/>
                <w:szCs w:val="17"/>
                <w:color w:val="auto"/>
              </w:rPr>
              <w:t>(341,613)</w:t>
            </w:r>
          </w:p>
        </w:tc>
        <w:tc>
          <w:tcPr>
            <w:tcW w:w="1540" w:type="dxa"/>
            <w:vAlign w:val="bottom"/>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2018</w:t>
            </w:r>
          </w:p>
        </w:tc>
        <w:tc>
          <w:tcPr>
            <w:tcW w:w="5360" w:type="dxa"/>
            <w:vAlign w:val="bottom"/>
            <w:gridSpan w:val="3"/>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113,864</w:t>
            </w:r>
          </w:p>
        </w:tc>
        <w:tc>
          <w:tcPr>
            <w:tcW w:w="1540" w:type="dxa"/>
            <w:vAlign w:val="bottom"/>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96"/>
        </w:trPr>
        <w:tc>
          <w:tcPr>
            <w:tcW w:w="440" w:type="dxa"/>
            <w:vAlign w:val="bottom"/>
          </w:tcPr>
          <w:p>
            <w:pPr>
              <w:spacing w:after="0"/>
              <w:rPr>
                <w:sz w:val="17"/>
                <w:szCs w:val="17"/>
                <w:color w:val="auto"/>
              </w:rPr>
            </w:pPr>
          </w:p>
        </w:tc>
        <w:tc>
          <w:tcPr>
            <w:tcW w:w="368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3740" w:type="dxa"/>
            <w:vAlign w:val="bottom"/>
          </w:tcPr>
          <w:p>
            <w:pPr>
              <w:spacing w:after="0"/>
              <w:rPr>
                <w:sz w:val="17"/>
                <w:szCs w:val="17"/>
                <w:color w:val="auto"/>
              </w:rPr>
            </w:pPr>
          </w:p>
        </w:tc>
        <w:tc>
          <w:tcPr>
            <w:tcW w:w="162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(113,864)</w:t>
            </w:r>
          </w:p>
        </w:tc>
        <w:tc>
          <w:tcPr>
            <w:tcW w:w="1540" w:type="dxa"/>
            <w:vAlign w:val="bottom"/>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2019</w:t>
            </w:r>
          </w:p>
        </w:tc>
        <w:tc>
          <w:tcPr>
            <w:tcW w:w="3740" w:type="dxa"/>
            <w:vAlign w:val="bottom"/>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   —</w:t>
            </w:r>
          </w:p>
        </w:tc>
      </w:tr>
      <w:tr>
        <w:trPr>
          <w:trHeight w:val="20"/>
        </w:trPr>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gridSpan w:val="3"/>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383"/>
        </w:trPr>
        <w:tc>
          <w:tcPr>
            <w:tcW w:w="4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360" w:type="dxa"/>
            <w:vAlign w:val="bottom"/>
            <w:gridSpan w:val="3"/>
          </w:tcPr>
          <w:p>
            <w:pPr>
              <w:jc w:val="right"/>
              <w:ind w:right="3800"/>
              <w:spacing w:after="0"/>
              <w:rPr>
                <w:sz w:val="20"/>
                <w:szCs w:val="20"/>
                <w:color w:val="auto"/>
              </w:rPr>
            </w:pPr>
            <w:r>
              <w:rPr>
                <w:rFonts w:ascii="Arial" w:cs="Arial" w:eastAsia="Arial" w:hAnsi="Arial"/>
                <w:sz w:val="16"/>
                <w:szCs w:val="16"/>
                <w:color w:val="auto"/>
              </w:rPr>
              <w:t>F-24</w:t>
            </w:r>
          </w:p>
        </w:tc>
        <w:tc>
          <w:tcPr>
            <w:tcW w:w="15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right="100"/>
        <w:spacing w:after="0" w:line="275" w:lineRule="auto"/>
        <w:rPr>
          <w:sz w:val="20"/>
          <w:szCs w:val="20"/>
          <w:color w:val="auto"/>
        </w:rPr>
      </w:pPr>
      <w:r>
        <w:rPr>
          <w:rFonts w:ascii="Arial" w:cs="Arial" w:eastAsia="Arial" w:hAnsi="Arial"/>
          <w:sz w:val="17"/>
          <w:szCs w:val="17"/>
          <w:color w:val="auto"/>
        </w:rPr>
        <w:t>There were no Founder Stock granted during the years ended December 31, 2018 and December 31, 2019. The total fair value of Founder Stock that vested during the years ended December 31, 2018 and December 31, 2019 were $0.1 million and $40,000, respectively.</w:t>
      </w:r>
    </w:p>
    <w:p>
      <w:pPr>
        <w:spacing w:after="0" w:line="293"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57" w:lineRule="exact"/>
        <w:rPr>
          <w:rFonts w:ascii="Arial" w:cs="Arial" w:eastAsia="Arial" w:hAnsi="Arial"/>
          <w:sz w:val="17"/>
          <w:szCs w:val="17"/>
          <w:b w:val="1"/>
          <w:bCs w:val="1"/>
          <w:color w:val="auto"/>
        </w:rPr>
      </w:pPr>
    </w:p>
    <w:p>
      <w:pPr>
        <w:ind w:left="560" w:right="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domestic (Ireland) and foreign components of pre-tax loss for the years ending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2"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4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720" w:type="dxa"/>
            <w:vAlign w:val="bottom"/>
            <w:gridSpan w:val="3"/>
          </w:tcPr>
          <w:p>
            <w:pPr>
              <w:jc w:val="right"/>
              <w:ind w:right="118"/>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Foreign</w:t>
            </w:r>
          </w:p>
        </w:tc>
        <w:tc>
          <w:tcPr>
            <w:tcW w:w="72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w w:val="90"/>
              </w:rPr>
              <w:t>$ (12,576)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w w:val="95"/>
              </w:rPr>
              <w:t>$ (16,803)</w:t>
            </w: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w w:val="96"/>
              </w:rPr>
              <w:t>(1,110)</w:t>
            </w:r>
          </w:p>
        </w:tc>
        <w:tc>
          <w:tcPr>
            <w:tcW w:w="120" w:type="dxa"/>
            <w:vAlign w:val="bottom"/>
          </w:tcPr>
          <w:p>
            <w:pPr>
              <w:spacing w:after="0"/>
              <w:rPr>
                <w:sz w:val="16"/>
                <w:szCs w:val="16"/>
                <w:color w:val="auto"/>
              </w:rPr>
            </w:pPr>
          </w:p>
        </w:tc>
        <w:tc>
          <w:tcPr>
            <w:tcW w:w="88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(2,406)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8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8"/>
              </w:rPr>
              <w:t>$ (13,686)</w:t>
            </w:r>
          </w:p>
        </w:tc>
        <w:tc>
          <w:tcPr>
            <w:tcW w:w="12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 (19,209)</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1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9100" w:type="dxa"/>
            <w:vAlign w:val="bottom"/>
            <w:gridSpan w:val="2"/>
          </w:tcPr>
          <w:p>
            <w:pPr>
              <w:ind w:left="440"/>
              <w:spacing w:after="0"/>
              <w:rPr>
                <w:sz w:val="20"/>
                <w:szCs w:val="20"/>
                <w:color w:val="auto"/>
              </w:rPr>
            </w:pPr>
            <w:r>
              <w:rPr>
                <w:rFonts w:ascii="Arial" w:cs="Arial" w:eastAsia="Arial" w:hAnsi="Arial"/>
                <w:sz w:val="17"/>
                <w:szCs w:val="17"/>
                <w:color w:val="auto"/>
              </w:rPr>
              <w:t>The provision for income taxes consist of the following (in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 w:type="dxa"/>
            <w:vAlign w:val="bottom"/>
            <w:tcBorders>
              <w:bottom w:val="single" w:sz="8" w:color="auto"/>
            </w:tcBorders>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gridSpan w:val="3"/>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4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ind w:right="18"/>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right"/>
              <w:ind w:right="3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86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Current</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2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State (U.S.)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Foreign/federal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current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b w:val="1"/>
                <w:bCs w:val="1"/>
                <w:color w:val="auto"/>
              </w:rPr>
              <w:t>Deferred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Domestic (Ireland)</w:t>
            </w:r>
          </w:p>
        </w:tc>
        <w:tc>
          <w:tcPr>
            <w:tcW w:w="2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State (U.S.)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Foreign/federal</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8660" w:type="dxa"/>
            <w:vAlign w:val="bottom"/>
          </w:tcPr>
          <w:p>
            <w:pPr>
              <w:spacing w:after="0"/>
              <w:rPr>
                <w:sz w:val="20"/>
                <w:szCs w:val="20"/>
                <w:color w:val="auto"/>
              </w:rPr>
            </w:pPr>
            <w:r>
              <w:rPr>
                <w:rFonts w:ascii="Arial" w:cs="Arial" w:eastAsia="Arial" w:hAnsi="Arial"/>
                <w:sz w:val="17"/>
                <w:szCs w:val="17"/>
                <w:color w:val="auto"/>
              </w:rPr>
              <w:t>Total deferred</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Provision for income taxes</w:t>
            </w:r>
          </w:p>
        </w:tc>
        <w:tc>
          <w:tcPr>
            <w:tcW w:w="2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7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reconciliation of the Irish statutory income tax rate of 12.5% to the actual tax rate for the years ended December 31, 2018 and</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w:t>
            </w:r>
          </w:p>
        </w:tc>
      </w:tr>
      <w:tr>
        <w:trPr>
          <w:trHeight w:val="177"/>
        </w:trPr>
        <w:tc>
          <w:tcPr>
            <w:tcW w:w="4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40" w:type="dxa"/>
            <w:vAlign w:val="bottom"/>
          </w:tcPr>
          <w:p>
            <w:pPr>
              <w:spacing w:after="0"/>
              <w:rPr>
                <w:sz w:val="13"/>
                <w:szCs w:val="13"/>
                <w:color w:val="auto"/>
              </w:rPr>
            </w:pPr>
          </w:p>
        </w:tc>
        <w:tc>
          <w:tcPr>
            <w:tcW w:w="3820" w:type="dxa"/>
            <w:vAlign w:val="bottom"/>
            <w:tcBorders>
              <w:bottom w:val="single" w:sz="8" w:color="CCEEFF"/>
            </w:tcBorders>
          </w:tcPr>
          <w:p>
            <w:pPr>
              <w:spacing w:after="0"/>
              <w:rPr>
                <w:sz w:val="13"/>
                <w:szCs w:val="13"/>
                <w:color w:val="auto"/>
              </w:rPr>
            </w:pPr>
          </w:p>
        </w:tc>
        <w:tc>
          <w:tcPr>
            <w:tcW w:w="50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3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At statutory rate</w:t>
            </w:r>
          </w:p>
        </w:tc>
        <w:tc>
          <w:tcPr>
            <w:tcW w:w="50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(1,711)</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(2,401)</w:t>
            </w:r>
          </w:p>
        </w:tc>
        <w:tc>
          <w:tcPr>
            <w:tcW w:w="12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Foreign income tax at different rates</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1,404</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378</w:t>
            </w: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U.S. R&amp;D credits</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(499)</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(861)</w:t>
            </w: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Change in valuation allowance</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732</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3,733</w:t>
            </w: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Share-based compensation</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60</w:t>
            </w: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Prior period true ups</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(38)</w:t>
            </w:r>
          </w:p>
        </w:tc>
        <w:tc>
          <w:tcPr>
            <w:tcW w:w="12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(950)</w:t>
            </w: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w:t>
            </w:r>
          </w:p>
        </w:tc>
      </w:tr>
      <w:tr>
        <w:trPr>
          <w:trHeight w:val="196"/>
        </w:trPr>
        <w:tc>
          <w:tcPr>
            <w:tcW w:w="44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50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383"/>
        </w:trPr>
        <w:tc>
          <w:tcPr>
            <w:tcW w:w="4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160" w:type="dxa"/>
            <w:vAlign w:val="bottom"/>
            <w:gridSpan w:val="2"/>
          </w:tcPr>
          <w:p>
            <w:pPr>
              <w:jc w:val="right"/>
              <w:ind w:right="3655"/>
              <w:spacing w:after="0"/>
              <w:rPr>
                <w:sz w:val="20"/>
                <w:szCs w:val="20"/>
                <w:color w:val="auto"/>
              </w:rPr>
            </w:pPr>
            <w:r>
              <w:rPr>
                <w:rFonts w:ascii="Arial" w:cs="Arial" w:eastAsia="Arial" w:hAnsi="Arial"/>
                <w:sz w:val="16"/>
                <w:szCs w:val="16"/>
                <w:color w:val="auto"/>
              </w:rPr>
              <w:t>F-25</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right="760"/>
        <w:spacing w:after="0" w:line="275" w:lineRule="auto"/>
        <w:rPr>
          <w:sz w:val="20"/>
          <w:szCs w:val="20"/>
          <w:color w:val="auto"/>
        </w:rPr>
      </w:pPr>
      <w:r>
        <w:rPr>
          <w:rFonts w:ascii="Arial" w:cs="Arial" w:eastAsia="Arial" w:hAnsi="Arial"/>
          <w:sz w:val="17"/>
          <w:szCs w:val="17"/>
          <w:color w:val="auto"/>
        </w:rPr>
        <w:t>Significant components of the Company’s deferred tax assets as of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2"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40" w:type="dxa"/>
            <w:vAlign w:val="bottom"/>
          </w:tcPr>
          <w:p>
            <w:pPr>
              <w:spacing w:after="0"/>
              <w:rPr>
                <w:sz w:val="13"/>
                <w:szCs w:val="13"/>
                <w:color w:val="auto"/>
              </w:rPr>
            </w:pPr>
          </w:p>
        </w:tc>
        <w:tc>
          <w:tcPr>
            <w:tcW w:w="5780" w:type="dxa"/>
            <w:vAlign w:val="bottom"/>
            <w:tcBorders>
              <w:bottom w:val="single" w:sz="8" w:color="CCEEFF"/>
            </w:tcBorders>
          </w:tcPr>
          <w:p>
            <w:pPr>
              <w:spacing w:after="0"/>
              <w:rPr>
                <w:sz w:val="13"/>
                <w:szCs w:val="13"/>
                <w:color w:val="auto"/>
              </w:rPr>
            </w:pPr>
          </w:p>
        </w:tc>
        <w:tc>
          <w:tcPr>
            <w:tcW w:w="30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69"/>
        </w:trPr>
        <w:tc>
          <w:tcPr>
            <w:tcW w:w="440" w:type="dxa"/>
            <w:vAlign w:val="bottom"/>
          </w:tcPr>
          <w:p>
            <w:pPr>
              <w:spacing w:after="0"/>
              <w:rPr>
                <w:sz w:val="14"/>
                <w:szCs w:val="14"/>
                <w:color w:val="auto"/>
              </w:rPr>
            </w:pPr>
          </w:p>
        </w:tc>
        <w:tc>
          <w:tcPr>
            <w:tcW w:w="57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Deferred tax assets:</w:t>
            </w: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9"/>
        </w:trPr>
        <w:tc>
          <w:tcPr>
            <w:tcW w:w="440" w:type="dxa"/>
            <w:vAlign w:val="bottom"/>
          </w:tcPr>
          <w:p>
            <w:pPr>
              <w:spacing w:after="0"/>
              <w:rPr>
                <w:sz w:val="16"/>
                <w:szCs w:val="16"/>
                <w:color w:val="auto"/>
              </w:rPr>
            </w:pPr>
          </w:p>
        </w:tc>
        <w:tc>
          <w:tcPr>
            <w:tcW w:w="5780" w:type="dxa"/>
            <w:vAlign w:val="bottom"/>
          </w:tcPr>
          <w:p>
            <w:pPr>
              <w:ind w:left="260"/>
              <w:spacing w:after="0" w:line="189" w:lineRule="exact"/>
              <w:rPr>
                <w:sz w:val="20"/>
                <w:szCs w:val="20"/>
                <w:color w:val="auto"/>
              </w:rPr>
            </w:pPr>
            <w:r>
              <w:rPr>
                <w:rFonts w:ascii="Arial" w:cs="Arial" w:eastAsia="Arial" w:hAnsi="Arial"/>
                <w:sz w:val="17"/>
                <w:szCs w:val="17"/>
                <w:color w:val="auto"/>
              </w:rPr>
              <w:t>Net operating loss carryforwards</w:t>
            </w:r>
          </w:p>
        </w:tc>
        <w:tc>
          <w:tcPr>
            <w:tcW w:w="32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363</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3,259</w:t>
            </w: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Research &amp; other credits</w:t>
            </w:r>
          </w:p>
        </w:tc>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1,701</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3,260</w:t>
            </w:r>
          </w:p>
        </w:tc>
      </w:tr>
      <w:tr>
        <w:trPr>
          <w:trHeight w:val="189"/>
        </w:trPr>
        <w:tc>
          <w:tcPr>
            <w:tcW w:w="440" w:type="dxa"/>
            <w:vAlign w:val="bottom"/>
          </w:tcPr>
          <w:p>
            <w:pPr>
              <w:spacing w:after="0"/>
              <w:rPr>
                <w:sz w:val="16"/>
                <w:szCs w:val="16"/>
                <w:color w:val="auto"/>
              </w:rPr>
            </w:pPr>
          </w:p>
        </w:tc>
        <w:tc>
          <w:tcPr>
            <w:tcW w:w="5780" w:type="dxa"/>
            <w:vAlign w:val="bottom"/>
          </w:tcPr>
          <w:p>
            <w:pPr>
              <w:ind w:left="260"/>
              <w:spacing w:after="0" w:line="189" w:lineRule="exact"/>
              <w:rPr>
                <w:sz w:val="20"/>
                <w:szCs w:val="20"/>
                <w:color w:val="auto"/>
              </w:rPr>
            </w:pPr>
            <w:r>
              <w:rPr>
                <w:rFonts w:ascii="Arial" w:cs="Arial" w:eastAsia="Arial" w:hAnsi="Arial"/>
                <w:sz w:val="17"/>
                <w:szCs w:val="17"/>
                <w:color w:val="auto"/>
              </w:rPr>
              <w:t>Other</w:t>
            </w: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208</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333</w:t>
            </w:r>
          </w:p>
        </w:tc>
      </w:tr>
      <w:tr>
        <w:trPr>
          <w:trHeight w:val="27"/>
        </w:trPr>
        <w:tc>
          <w:tcPr>
            <w:tcW w:w="4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gross DTA</w:t>
            </w:r>
          </w:p>
        </w:tc>
        <w:tc>
          <w:tcPr>
            <w:tcW w:w="3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2,272</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6,852</w:t>
            </w:r>
          </w:p>
        </w:tc>
      </w:tr>
      <w:tr>
        <w:trPr>
          <w:trHeight w:val="203"/>
        </w:trPr>
        <w:tc>
          <w:tcPr>
            <w:tcW w:w="440" w:type="dxa"/>
            <w:vAlign w:val="bottom"/>
          </w:tcPr>
          <w:p>
            <w:pPr>
              <w:spacing w:after="0"/>
              <w:rPr>
                <w:sz w:val="17"/>
                <w:szCs w:val="17"/>
                <w:color w:val="auto"/>
              </w:rPr>
            </w:pPr>
          </w:p>
        </w:tc>
        <w:tc>
          <w:tcPr>
            <w:tcW w:w="5780" w:type="dxa"/>
            <w:vAlign w:val="bottom"/>
          </w:tcPr>
          <w:p>
            <w:pPr>
              <w:ind w:left="260"/>
              <w:spacing w:after="0"/>
              <w:rPr>
                <w:sz w:val="20"/>
                <w:szCs w:val="20"/>
                <w:color w:val="auto"/>
              </w:rPr>
            </w:pPr>
            <w:r>
              <w:rPr>
                <w:rFonts w:ascii="Arial" w:cs="Arial" w:eastAsia="Arial" w:hAnsi="Arial"/>
                <w:sz w:val="17"/>
                <w:szCs w:val="17"/>
                <w:color w:val="auto"/>
              </w:rPr>
              <w:t>Less: Val. Allowance</w:t>
            </w:r>
          </w:p>
        </w:tc>
        <w:tc>
          <w:tcPr>
            <w:tcW w:w="30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(2,181)</w:t>
            </w: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(6,686)</w:t>
            </w:r>
          </w:p>
        </w:tc>
        <w:tc>
          <w:tcPr>
            <w:tcW w:w="120" w:type="dxa"/>
            <w:vAlign w:val="bottom"/>
          </w:tcPr>
          <w:p>
            <w:pPr>
              <w:spacing w:after="0"/>
              <w:rPr>
                <w:sz w:val="17"/>
                <w:szCs w:val="17"/>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tax assets</w:t>
            </w:r>
          </w:p>
        </w:tc>
        <w:tc>
          <w:tcPr>
            <w:tcW w:w="3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r>
      <w:tr>
        <w:trPr>
          <w:trHeight w:val="196"/>
        </w:trPr>
        <w:tc>
          <w:tcPr>
            <w:tcW w:w="440" w:type="dxa"/>
            <w:vAlign w:val="bottom"/>
          </w:tcPr>
          <w:p>
            <w:pPr>
              <w:spacing w:after="0"/>
              <w:rPr>
                <w:sz w:val="17"/>
                <w:szCs w:val="17"/>
                <w:color w:val="auto"/>
              </w:rPr>
            </w:pPr>
          </w:p>
        </w:tc>
        <w:tc>
          <w:tcPr>
            <w:tcW w:w="5780" w:type="dxa"/>
            <w:vAlign w:val="bottom"/>
          </w:tcPr>
          <w:p>
            <w:pPr>
              <w:spacing w:after="0"/>
              <w:rPr>
                <w:sz w:val="20"/>
                <w:szCs w:val="20"/>
                <w:color w:val="auto"/>
              </w:rPr>
            </w:pPr>
            <w:r>
              <w:rPr>
                <w:rFonts w:ascii="Arial" w:cs="Arial" w:eastAsia="Arial" w:hAnsi="Arial"/>
                <w:sz w:val="17"/>
                <w:szCs w:val="17"/>
                <w:b w:val="1"/>
                <w:bCs w:val="1"/>
                <w:color w:val="auto"/>
              </w:rPr>
              <w:t>Deferred tax liabilities:</w:t>
            </w:r>
          </w:p>
        </w:tc>
        <w:tc>
          <w:tcPr>
            <w:tcW w:w="3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Fixed assets</w:t>
            </w:r>
          </w:p>
        </w:tc>
        <w:tc>
          <w:tcPr>
            <w:tcW w:w="3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r>
      <w:tr>
        <w:trPr>
          <w:trHeight w:val="203"/>
        </w:trPr>
        <w:tc>
          <w:tcPr>
            <w:tcW w:w="440" w:type="dxa"/>
            <w:vAlign w:val="bottom"/>
          </w:tcPr>
          <w:p>
            <w:pPr>
              <w:spacing w:after="0"/>
              <w:rPr>
                <w:sz w:val="17"/>
                <w:szCs w:val="17"/>
                <w:color w:val="auto"/>
              </w:rPr>
            </w:pPr>
          </w:p>
        </w:tc>
        <w:tc>
          <w:tcPr>
            <w:tcW w:w="5780" w:type="dxa"/>
            <w:vAlign w:val="bottom"/>
          </w:tcPr>
          <w:p>
            <w:pPr>
              <w:ind w:left="260"/>
              <w:spacing w:after="0"/>
              <w:rPr>
                <w:sz w:val="20"/>
                <w:szCs w:val="20"/>
                <w:color w:val="auto"/>
              </w:rPr>
            </w:pPr>
            <w:r>
              <w:rPr>
                <w:rFonts w:ascii="Arial" w:cs="Arial" w:eastAsia="Arial" w:hAnsi="Arial"/>
                <w:sz w:val="17"/>
                <w:szCs w:val="17"/>
                <w:color w:val="auto"/>
              </w:rPr>
              <w:t>Total gross DTL</w:t>
            </w:r>
          </w:p>
        </w:tc>
        <w:tc>
          <w:tcPr>
            <w:tcW w:w="30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7"/>
                <w:szCs w:val="17"/>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assets</w:t>
            </w:r>
          </w:p>
        </w:tc>
        <w:tc>
          <w:tcPr>
            <w:tcW w:w="3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20"/>
        </w:trPr>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7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left="560" w:right="240"/>
        <w:spacing w:after="0" w:line="253" w:lineRule="auto"/>
        <w:rPr>
          <w:sz w:val="20"/>
          <w:szCs w:val="20"/>
          <w:color w:val="auto"/>
        </w:rPr>
      </w:pPr>
      <w:r>
        <w:rPr>
          <w:rFonts w:ascii="Arial" w:cs="Arial" w:eastAsia="Arial" w:hAnsi="Arial"/>
          <w:sz w:val="17"/>
          <w:szCs w:val="17"/>
          <w:color w:val="auto"/>
        </w:rPr>
        <w:t>Realization of deferred tax assets is dependent upon the Company generating future taxable income, the timing and amount of which are uncertain. Accordingly, the deferred tax assets have been largely offset by a valuation allowance. The valuation allowance increased by approximately $0.8 million and $4.5 million for the years ended December 31, 2018 and December 31, 2019, respectively.</w:t>
      </w:r>
    </w:p>
    <w:p>
      <w:pPr>
        <w:spacing w:after="0" w:line="111" w:lineRule="exact"/>
        <w:rPr>
          <w:sz w:val="20"/>
          <w:szCs w:val="20"/>
          <w:color w:val="auto"/>
        </w:rPr>
      </w:pPr>
    </w:p>
    <w:p>
      <w:pPr>
        <w:ind w:left="560" w:right="380"/>
        <w:spacing w:after="0" w:line="246" w:lineRule="auto"/>
        <w:rPr>
          <w:sz w:val="20"/>
          <w:szCs w:val="20"/>
          <w:color w:val="auto"/>
        </w:rPr>
      </w:pPr>
      <w:r>
        <w:rPr>
          <w:rFonts w:ascii="Arial" w:cs="Arial" w:eastAsia="Arial" w:hAnsi="Arial"/>
          <w:sz w:val="17"/>
          <w:szCs w:val="17"/>
          <w:color w:val="auto"/>
        </w:rPr>
        <w:t>As of December 31, 2019, the Company had a net operating loss carryforwards for U.S. state income tax purposes of approximately $30.9 million, that expire in the year 2038, and for Ireland income tax purposes of approximately $4.0 million that never expire. As of December 31, 2019, the Company had U.S. federal research and development credit carryforwards of approximately $1.5 million, that expire in the year 2038, and U.S. state research and development credit carryforwards of approximately $2.4 million, that do not expire.</w:t>
      </w:r>
    </w:p>
    <w:p>
      <w:pPr>
        <w:spacing w:after="0" w:line="117" w:lineRule="exact"/>
        <w:rPr>
          <w:sz w:val="20"/>
          <w:szCs w:val="20"/>
          <w:color w:val="auto"/>
        </w:rPr>
      </w:pPr>
    </w:p>
    <w:p>
      <w:pPr>
        <w:ind w:left="560" w:right="100"/>
        <w:spacing w:after="0" w:line="246" w:lineRule="auto"/>
        <w:rPr>
          <w:sz w:val="20"/>
          <w:szCs w:val="20"/>
          <w:color w:val="auto"/>
        </w:rPr>
      </w:pPr>
      <w:r>
        <w:rPr>
          <w:rFonts w:ascii="Arial" w:cs="Arial" w:eastAsia="Arial" w:hAnsi="Arial"/>
          <w:sz w:val="17"/>
          <w:szCs w:val="17"/>
          <w:color w:val="auto"/>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73" w:lineRule="exact"/>
        <w:rPr>
          <w:sz w:val="20"/>
          <w:szCs w:val="20"/>
          <w:color w:val="auto"/>
        </w:rPr>
      </w:pPr>
    </w:p>
    <w:p>
      <w:pPr>
        <w:ind w:left="560" w:right="100"/>
        <w:spacing w:after="0" w:line="246" w:lineRule="auto"/>
        <w:rPr>
          <w:sz w:val="20"/>
          <w:szCs w:val="20"/>
          <w:color w:val="auto"/>
        </w:rPr>
      </w:pPr>
      <w:r>
        <w:rPr>
          <w:rFonts w:ascii="Arial" w:cs="Arial" w:eastAsia="Arial" w:hAnsi="Arial"/>
          <w:sz w:val="17"/>
          <w:szCs w:val="17"/>
          <w:color w:val="auto"/>
        </w:rPr>
        <w:t>The Company’s policy is to include interest and penalties related to unrecognized tax benefits, if any, within the provision for taxes in the consolidated statements of operations and comprehensive loss. If the Company is eventually able to recognize its uncertain tax positions, the Company’s effective tax rate would be reduced. The Company currently has a full valuation allowance against its net deferred tax asset which would impact the timing of the effective tax rate benefit should any of these uncertain tax positions be favorably settled in the future.</w:t>
      </w:r>
    </w:p>
    <w:p>
      <w:pPr>
        <w:spacing w:after="0" w:line="117" w:lineRule="exact"/>
        <w:rPr>
          <w:sz w:val="20"/>
          <w:szCs w:val="20"/>
          <w:color w:val="auto"/>
        </w:rPr>
      </w:pPr>
    </w:p>
    <w:p>
      <w:pPr>
        <w:ind w:left="560" w:right="940"/>
        <w:spacing w:after="0" w:line="275" w:lineRule="auto"/>
        <w:rPr>
          <w:sz w:val="20"/>
          <w:szCs w:val="20"/>
          <w:color w:val="auto"/>
        </w:rPr>
      </w:pPr>
      <w:r>
        <w:rPr>
          <w:rFonts w:ascii="Arial" w:cs="Arial" w:eastAsia="Arial" w:hAnsi="Arial"/>
          <w:sz w:val="17"/>
          <w:szCs w:val="17"/>
          <w:color w:val="auto"/>
        </w:rPr>
        <w:t>The Company files income tax returns in Ireland, the U.S., and Malta. All of the Company’s tax years since 2015 remain open to examination.</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has the following activity relating to unrecognized tax benefits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626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62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Beginning balance</w:t>
            </w:r>
          </w:p>
        </w:tc>
        <w:tc>
          <w:tcPr>
            <w:tcW w:w="26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247</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decreases—tax positions in prior periods</w:t>
            </w:r>
          </w:p>
        </w:tc>
        <w:tc>
          <w:tcPr>
            <w:tcW w:w="2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increases—tax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160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Ending balance</w:t>
            </w:r>
          </w:p>
        </w:tc>
        <w:tc>
          <w:tcPr>
            <w:tcW w:w="2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692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6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 w:right="280"/>
        <w:spacing w:after="0" w:line="242" w:lineRule="auto"/>
        <w:rPr>
          <w:sz w:val="20"/>
          <w:szCs w:val="20"/>
          <w:color w:val="auto"/>
        </w:rPr>
      </w:pPr>
      <w:r>
        <w:rPr>
          <w:rFonts w:ascii="Arial" w:cs="Arial" w:eastAsia="Arial" w:hAnsi="Arial"/>
          <w:sz w:val="17"/>
          <w:szCs w:val="17"/>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2018 and December 31, 2019, no interest or penalties were required to be recognized relating to unrecognized tax benefits.</w:t>
      </w:r>
    </w:p>
    <w:p>
      <w:pPr>
        <w:spacing w:after="0" w:line="322"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&amp; CONTINGENCIES</w:t>
      </w:r>
    </w:p>
    <w:p>
      <w:pPr>
        <w:spacing w:after="0" w:line="157" w:lineRule="exact"/>
        <w:rPr>
          <w:rFonts w:ascii="Arial" w:cs="Arial" w:eastAsia="Arial" w:hAnsi="Arial"/>
          <w:sz w:val="17"/>
          <w:szCs w:val="17"/>
          <w:b w:val="1"/>
          <w:bCs w:val="1"/>
          <w:color w:val="auto"/>
        </w:rPr>
      </w:pPr>
    </w:p>
    <w:p>
      <w:pPr>
        <w:ind w:left="560" w:right="100"/>
        <w:spacing w:after="0" w:line="237" w:lineRule="auto"/>
        <w:rPr>
          <w:rFonts w:ascii="Arial" w:cs="Arial" w:eastAsia="Arial" w:hAnsi="Arial"/>
          <w:sz w:val="17"/>
          <w:szCs w:val="17"/>
          <w:b w:val="1"/>
          <w:bCs w:val="1"/>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2018 and December 31, 2019.</w:t>
      </w:r>
    </w:p>
    <w:p>
      <w:pPr>
        <w:spacing w:after="0" w:line="12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Legal Proceedings</w:t>
      </w:r>
    </w:p>
    <w:p>
      <w:pPr>
        <w:spacing w:after="0" w:line="72" w:lineRule="exact"/>
        <w:rPr>
          <w:rFonts w:ascii="Arial" w:cs="Arial" w:eastAsia="Arial" w:hAnsi="Arial"/>
          <w:sz w:val="17"/>
          <w:szCs w:val="17"/>
          <w:b w:val="1"/>
          <w:bCs w:val="1"/>
          <w:color w:val="auto"/>
        </w:rPr>
      </w:pPr>
    </w:p>
    <w:p>
      <w:pPr>
        <w:ind w:left="560" w:right="100"/>
        <w:spacing w:after="0" w:line="242" w:lineRule="auto"/>
        <w:rPr>
          <w:rFonts w:ascii="Arial" w:cs="Arial" w:eastAsia="Arial" w:hAnsi="Arial"/>
          <w:sz w:val="17"/>
          <w:szCs w:val="17"/>
          <w:b w:val="1"/>
          <w:bCs w:val="1"/>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2018 and December 31, 2019, the Company had no pending or threatened litigation.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Contractual Obligations and Other Commitments</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commitments and contractual obligations as of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OPERATING</w:t>
            </w:r>
          </w:p>
        </w:tc>
        <w:tc>
          <w:tcPr>
            <w:tcW w:w="19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MANUFACTURING</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LEASE</w:t>
            </w:r>
          </w:p>
        </w:tc>
        <w:tc>
          <w:tcPr>
            <w:tcW w:w="120" w:type="dxa"/>
            <w:vAlign w:val="bottom"/>
          </w:tcPr>
          <w:p>
            <w:pPr>
              <w:spacing w:after="0"/>
              <w:rPr>
                <w:sz w:val="14"/>
                <w:szCs w:val="14"/>
                <w:color w:val="auto"/>
              </w:rPr>
            </w:pPr>
          </w:p>
        </w:tc>
        <w:tc>
          <w:tcPr>
            <w:tcW w:w="18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AND SERVICE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04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OBLIGATIONS</w:t>
            </w:r>
          </w:p>
        </w:tc>
        <w:tc>
          <w:tcPr>
            <w:tcW w:w="120" w:type="dxa"/>
            <w:vAlign w:val="bottom"/>
          </w:tcPr>
          <w:p>
            <w:pPr>
              <w:spacing w:after="0"/>
              <w:rPr>
                <w:sz w:val="14"/>
                <w:szCs w:val="14"/>
                <w:color w:val="auto"/>
              </w:rPr>
            </w:pPr>
          </w:p>
        </w:tc>
        <w:tc>
          <w:tcPr>
            <w:tcW w:w="18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CONTRACTS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184"/>
        </w:trPr>
        <w:tc>
          <w:tcPr>
            <w:tcW w:w="2060" w:type="dxa"/>
            <w:vAlign w:val="bottom"/>
            <w:gridSpan w:val="2"/>
            <w:vMerge w:val="continue"/>
          </w:tcPr>
          <w:p>
            <w:pPr>
              <w:spacing w:after="0"/>
              <w:rPr>
                <w:sz w:val="15"/>
                <w:szCs w:val="15"/>
                <w:color w:val="auto"/>
              </w:rPr>
            </w:pPr>
          </w:p>
        </w:tc>
        <w:tc>
          <w:tcPr>
            <w:tcW w:w="4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78"/>
              <w:spacing w:after="0"/>
              <w:rPr>
                <w:sz w:val="20"/>
                <w:szCs w:val="20"/>
                <w:color w:val="auto"/>
              </w:rPr>
            </w:pPr>
            <w:r>
              <w:rPr>
                <w:rFonts w:ascii="Arial" w:cs="Arial" w:eastAsia="Arial" w:hAnsi="Arial"/>
                <w:sz w:val="14"/>
                <w:szCs w:val="14"/>
                <w:b w:val="1"/>
                <w:bCs w:val="1"/>
                <w:color w:val="auto"/>
              </w:rPr>
              <w:t>(1)</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(2)</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257"/>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2020</w:t>
            </w:r>
          </w:p>
        </w:tc>
        <w:tc>
          <w:tcPr>
            <w:tcW w:w="40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
              <w:spacing w:after="0" w:line="176"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544</w:t>
            </w: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926</w:t>
            </w:r>
          </w:p>
        </w:tc>
        <w:tc>
          <w:tcPr>
            <w:tcW w:w="6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401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560</w:t>
            </w:r>
          </w:p>
        </w:tc>
        <w:tc>
          <w:tcPr>
            <w:tcW w:w="120" w:type="dxa"/>
            <w:vAlign w:val="bottom"/>
          </w:tcPr>
          <w:p>
            <w:pPr>
              <w:spacing w:after="0"/>
              <w:rPr>
                <w:sz w:val="16"/>
                <w:szCs w:val="16"/>
                <w:color w:val="auto"/>
              </w:rPr>
            </w:pPr>
          </w:p>
        </w:tc>
        <w:tc>
          <w:tcPr>
            <w:tcW w:w="18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5,805</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3,743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4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577</w:t>
            </w:r>
          </w:p>
        </w:tc>
        <w:tc>
          <w:tcPr>
            <w:tcW w:w="12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247</w:t>
            </w:r>
          </w:p>
        </w:tc>
        <w:tc>
          <w:tcPr>
            <w:tcW w:w="120" w:type="dxa"/>
            <w:vAlign w:val="bottom"/>
          </w:tcPr>
          <w:p>
            <w:pPr>
              <w:spacing w:after="0"/>
              <w:rPr>
                <w:sz w:val="16"/>
                <w:szCs w:val="16"/>
                <w:color w:val="auto"/>
              </w:rPr>
            </w:pPr>
          </w:p>
        </w:tc>
        <w:tc>
          <w:tcPr>
            <w:tcW w:w="18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0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
              <w:spacing w:after="0" w:line="189" w:lineRule="exact"/>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1,928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80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6,731</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880" w:hanging="292"/>
        <w:spacing w:after="0"/>
        <w:tabs>
          <w:tab w:leader="none" w:pos="88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Payments due for the office and laboratory space in Burlingame, California under a single operating lease agreement that expires in 2023.</w:t>
      </w:r>
    </w:p>
    <w:p>
      <w:pPr>
        <w:spacing w:after="0" w:line="17" w:lineRule="exact"/>
        <w:rPr>
          <w:rFonts w:ascii="Arial" w:cs="Arial" w:eastAsia="Arial" w:hAnsi="Arial"/>
          <w:sz w:val="14"/>
          <w:szCs w:val="14"/>
          <w:i w:val="1"/>
          <w:iCs w:val="1"/>
          <w:color w:val="auto"/>
        </w:rPr>
      </w:pPr>
    </w:p>
    <w:p>
      <w:pPr>
        <w:ind w:left="880" w:right="40" w:hanging="292"/>
        <w:spacing w:after="0" w:line="241" w:lineRule="auto"/>
        <w:tabs>
          <w:tab w:leader="none" w:pos="88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based on non-cancellable commitments and forecasts that include estimates of future market demand, quantity discounts and manufacturing efficiencies that may impact timing of purchases.</w:t>
      </w:r>
    </w:p>
    <w:p>
      <w:pPr>
        <w:ind w:left="880" w:hanging="292"/>
        <w:spacing w:after="0"/>
        <w:tabs>
          <w:tab w:leader="none" w:pos="880" w:val="left"/>
        </w:tabs>
        <w:numPr>
          <w:ilvl w:val="0"/>
          <w:numId w:val="126"/>
        </w:numPr>
        <w:rPr>
          <w:rFonts w:ascii="Arial" w:cs="Arial" w:eastAsia="Arial" w:hAnsi="Arial"/>
          <w:sz w:val="14"/>
          <w:szCs w:val="14"/>
          <w:i w:val="1"/>
          <w:iCs w:val="1"/>
          <w:color w:val="auto"/>
        </w:rPr>
      </w:pPr>
      <w:r>
        <w:rPr>
          <w:rFonts w:ascii="Arial" w:cs="Arial" w:eastAsia="Arial" w:hAnsi="Arial"/>
          <w:sz w:val="14"/>
          <w:szCs w:val="14"/>
          <w:i w:val="1"/>
          <w:iCs w:val="1"/>
          <w:color w:val="auto"/>
        </w:rPr>
        <w:t>In December 2019, the Company entered into a term loan pursuant to the Loan Agreement as described above in Note 4.</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Facilities</w:t>
      </w:r>
    </w:p>
    <w:p>
      <w:pPr>
        <w:spacing w:after="0" w:line="59" w:lineRule="exact"/>
        <w:rPr>
          <w:sz w:val="20"/>
          <w:szCs w:val="20"/>
          <w:color w:val="auto"/>
        </w:rPr>
      </w:pPr>
    </w:p>
    <w:p>
      <w:pPr>
        <w:ind w:left="560" w:right="160"/>
        <w:spacing w:after="0" w:line="275" w:lineRule="auto"/>
        <w:rPr>
          <w:sz w:val="20"/>
          <w:szCs w:val="20"/>
          <w:color w:val="auto"/>
        </w:rPr>
      </w:pPr>
      <w:r>
        <w:rPr>
          <w:rFonts w:ascii="Arial" w:cs="Arial" w:eastAsia="Arial" w:hAnsi="Arial"/>
          <w:sz w:val="17"/>
          <w:szCs w:val="17"/>
          <w:color w:val="auto"/>
        </w:rPr>
        <w:t>In 2015, the Company entered into a noncancelable lease for office space for a period of three years and two months, commencing March 2015 and ending May 31, 2018.</w:t>
      </w:r>
    </w:p>
    <w:p>
      <w:pPr>
        <w:spacing w:after="0" w:line="38" w:lineRule="exact"/>
        <w:rPr>
          <w:sz w:val="20"/>
          <w:szCs w:val="20"/>
          <w:color w:val="auto"/>
        </w:rPr>
      </w:pPr>
    </w:p>
    <w:p>
      <w:pPr>
        <w:ind w:left="560" w:right="300"/>
        <w:spacing w:after="0" w:line="275" w:lineRule="auto"/>
        <w:rPr>
          <w:sz w:val="20"/>
          <w:szCs w:val="20"/>
          <w:color w:val="auto"/>
        </w:rPr>
      </w:pPr>
      <w:r>
        <w:rPr>
          <w:rFonts w:ascii="Arial" w:cs="Arial" w:eastAsia="Arial" w:hAnsi="Arial"/>
          <w:sz w:val="17"/>
          <w:szCs w:val="17"/>
          <w:color w:val="auto"/>
        </w:rPr>
        <w:t>In 2016, the Company entered into a sublease agreement for office space for a period of four years, commencing June 2016 and ending May 31, 2020. This sublease was terminated early in May 2018 without any fees and penalties.</w:t>
      </w:r>
    </w:p>
    <w:p>
      <w:pPr>
        <w:spacing w:after="0" w:line="38" w:lineRule="exact"/>
        <w:rPr>
          <w:sz w:val="20"/>
          <w:szCs w:val="20"/>
          <w:color w:val="auto"/>
        </w:rPr>
      </w:pPr>
    </w:p>
    <w:p>
      <w:pPr>
        <w:ind w:left="560" w:right="140"/>
        <w:spacing w:after="0" w:line="275" w:lineRule="auto"/>
        <w:rPr>
          <w:sz w:val="20"/>
          <w:szCs w:val="20"/>
          <w:color w:val="auto"/>
        </w:rPr>
      </w:pPr>
      <w:r>
        <w:rPr>
          <w:rFonts w:ascii="Arial" w:cs="Arial" w:eastAsia="Arial" w:hAnsi="Arial"/>
          <w:sz w:val="17"/>
          <w:szCs w:val="17"/>
          <w:color w:val="auto"/>
        </w:rPr>
        <w:t>In 2017, the Company entered into a lease agreement for office space for a period of five years and four months, commencing February 1, 2018 and ending May 31, 2023.</w:t>
      </w:r>
    </w:p>
    <w:p>
      <w:pPr>
        <w:spacing w:after="0" w:line="38" w:lineRule="exact"/>
        <w:rPr>
          <w:sz w:val="20"/>
          <w:szCs w:val="20"/>
          <w:color w:val="auto"/>
        </w:rPr>
      </w:pPr>
    </w:p>
    <w:p>
      <w:pPr>
        <w:ind w:left="560" w:right="220"/>
        <w:spacing w:after="0" w:line="275" w:lineRule="auto"/>
        <w:rPr>
          <w:sz w:val="20"/>
          <w:szCs w:val="20"/>
          <w:color w:val="auto"/>
        </w:rPr>
      </w:pPr>
      <w:r>
        <w:rPr>
          <w:rFonts w:ascii="Arial" w:cs="Arial" w:eastAsia="Arial" w:hAnsi="Arial"/>
          <w:sz w:val="17"/>
          <w:szCs w:val="17"/>
          <w:color w:val="auto"/>
        </w:rPr>
        <w:t>Minimum rent payments under operating leases are recognized on a straight-line basis over the term of the lease including any periods of free rent. Rent expense for years ended December 31, 2018 and December 31, 2019 were $1.0 million and $0.8 million, respectively.</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Manufacturing and Service Contracts</w:t>
      </w:r>
    </w:p>
    <w:p>
      <w:pPr>
        <w:spacing w:after="0" w:line="73" w:lineRule="exact"/>
        <w:rPr>
          <w:sz w:val="20"/>
          <w:szCs w:val="20"/>
          <w:color w:val="auto"/>
        </w:rPr>
      </w:pPr>
    </w:p>
    <w:p>
      <w:pPr>
        <w:ind w:left="560" w:right="20"/>
        <w:spacing w:after="0" w:line="253" w:lineRule="auto"/>
        <w:rPr>
          <w:sz w:val="20"/>
          <w:szCs w:val="20"/>
          <w:color w:val="auto"/>
        </w:rPr>
      </w:pPr>
      <w:r>
        <w:rPr>
          <w:rFonts w:ascii="Arial" w:cs="Arial" w:eastAsia="Arial" w:hAnsi="Arial"/>
          <w:sz w:val="17"/>
          <w:szCs w:val="17"/>
          <w:color w:val="auto"/>
        </w:rPr>
        <w:t>In November 2015, the Company entered into a Master Service Agreement, or MSA, with KBI Biopharma, Inc, or KBI, relating to formulation development, process development and cGMP manufacturing of ALX148 for use in clinical trials on a project basis. The MSA had an initial term of three years which the Company subsequently extended. See table above for future committed purchases with KBI.</w:t>
      </w:r>
    </w:p>
    <w:p>
      <w:pPr>
        <w:spacing w:after="0" w:line="111" w:lineRule="exact"/>
        <w:rPr>
          <w:sz w:val="20"/>
          <w:szCs w:val="20"/>
          <w:color w:val="auto"/>
        </w:rPr>
      </w:pPr>
    </w:p>
    <w:p>
      <w:pPr>
        <w:ind w:left="560" w:right="20"/>
        <w:spacing w:after="0" w:line="253" w:lineRule="auto"/>
        <w:rPr>
          <w:sz w:val="20"/>
          <w:szCs w:val="20"/>
          <w:color w:val="auto"/>
        </w:rPr>
      </w:pPr>
      <w:r>
        <w:rPr>
          <w:rFonts w:ascii="Arial" w:cs="Arial" w:eastAsia="Arial" w:hAnsi="Arial"/>
          <w:sz w:val="17"/>
          <w:szCs w:val="17"/>
          <w:color w:val="auto"/>
        </w:rPr>
        <w:t>The Company also enters into other contracts in the normal course of business with CROs, contract development and manufacturing organizations and other service providers and vendors. These contracts generally provide for termination on short notice and are cancelable contracts and, accordingly, are not included in the contractual obligations and disclosures summarized above.</w:t>
      </w:r>
    </w:p>
    <w:p>
      <w:pPr>
        <w:spacing w:after="0" w:line="311"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LICENSE AGREEMENT</w:t>
      </w:r>
    </w:p>
    <w:p>
      <w:pPr>
        <w:spacing w:after="0" w:line="15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59" w:lineRule="exact"/>
        <w:rPr>
          <w:rFonts w:ascii="Arial" w:cs="Arial" w:eastAsia="Arial" w:hAnsi="Arial"/>
          <w:sz w:val="17"/>
          <w:szCs w:val="17"/>
          <w:b w:val="1"/>
          <w:bCs w:val="1"/>
          <w:color w:val="auto"/>
        </w:rPr>
      </w:pPr>
    </w:p>
    <w:p>
      <w:pPr>
        <w:ind w:left="560" w:right="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w:t>
      </w: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right="40"/>
        <w:spacing w:after="0" w:line="242" w:lineRule="auto"/>
        <w:rPr>
          <w:sz w:val="20"/>
          <w:szCs w:val="20"/>
          <w:color w:val="auto"/>
        </w:rPr>
      </w:pPr>
      <w:r>
        <w:rPr>
          <w:rFonts w:ascii="Arial" w:cs="Arial" w:eastAsia="Arial" w:hAnsi="Arial"/>
          <w:sz w:val="17"/>
          <w:szCs w:val="17"/>
          <w:color w:val="auto"/>
        </w:rPr>
        <w:t>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21" w:lineRule="exact"/>
        <w:rPr>
          <w:sz w:val="20"/>
          <w:szCs w:val="20"/>
          <w:color w:val="auto"/>
        </w:rPr>
      </w:pPr>
    </w:p>
    <w:p>
      <w:pPr>
        <w:ind w:left="560"/>
        <w:spacing w:after="0" w:line="236"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ordinary shares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December 31, 2019.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59" w:lineRule="exact"/>
        <w:rPr>
          <w:sz w:val="20"/>
          <w:szCs w:val="20"/>
          <w:color w:val="auto"/>
        </w:rPr>
      </w:pPr>
    </w:p>
    <w:p>
      <w:pPr>
        <w:ind w:left="560" w:right="40"/>
        <w:spacing w:after="0" w:line="242"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21" w:lineRule="exact"/>
        <w:rPr>
          <w:sz w:val="20"/>
          <w:szCs w:val="20"/>
          <w:color w:val="auto"/>
        </w:rPr>
      </w:pPr>
    </w:p>
    <w:p>
      <w:pPr>
        <w:ind w:left="560"/>
        <w:spacing w:after="0" w:line="239"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22" w:lineRule="exact"/>
        <w:rPr>
          <w:sz w:val="20"/>
          <w:szCs w:val="20"/>
          <w:color w:val="auto"/>
        </w:rPr>
      </w:pPr>
    </w:p>
    <w:p>
      <w:pPr>
        <w:jc w:val="both"/>
        <w:ind w:left="560" w:right="80"/>
        <w:spacing w:after="0" w:line="246"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560" w:right="240"/>
        <w:spacing w:after="0" w:line="275" w:lineRule="auto"/>
        <w:rPr>
          <w:sz w:val="20"/>
          <w:szCs w:val="20"/>
          <w:color w:val="auto"/>
        </w:rPr>
      </w:pPr>
      <w:r>
        <w:rPr>
          <w:rFonts w:ascii="Arial" w:cs="Arial" w:eastAsia="Arial" w:hAnsi="Arial"/>
          <w:sz w:val="17"/>
          <w:szCs w:val="17"/>
          <w:color w:val="auto"/>
        </w:rPr>
        <w:t>certain circumstances the licenses granted under the agreement will terminate unless they have become fully paid up as described in the previous paragraph.</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59" w:lineRule="exact"/>
        <w:rPr>
          <w:sz w:val="20"/>
          <w:szCs w:val="20"/>
          <w:color w:val="auto"/>
        </w:rPr>
      </w:pPr>
    </w:p>
    <w:p>
      <w:pPr>
        <w:ind w:left="560" w:right="120"/>
        <w:spacing w:after="0" w:line="246"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18" w:lineRule="exact"/>
        <w:rPr>
          <w:sz w:val="20"/>
          <w:szCs w:val="20"/>
          <w:color w:val="auto"/>
        </w:rPr>
      </w:pPr>
    </w:p>
    <w:p>
      <w:pPr>
        <w:ind w:left="560"/>
        <w:spacing w:after="0" w:line="239"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22" w:lineRule="exact"/>
        <w:rPr>
          <w:sz w:val="20"/>
          <w:szCs w:val="20"/>
          <w:color w:val="auto"/>
        </w:rPr>
      </w:pPr>
    </w:p>
    <w:p>
      <w:pPr>
        <w:ind w:left="560" w:right="220"/>
        <w:spacing w:after="0" w:line="275"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92" w:lineRule="exact"/>
        <w:rPr>
          <w:sz w:val="20"/>
          <w:szCs w:val="20"/>
          <w:color w:val="auto"/>
        </w:rPr>
      </w:pPr>
    </w:p>
    <w:p>
      <w:pPr>
        <w:ind w:left="560" w:right="160"/>
        <w:spacing w:after="0" w:line="24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317"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DEFINED CONTRIBUTION PLAN</w:t>
      </w:r>
    </w:p>
    <w:p>
      <w:pPr>
        <w:spacing w:after="0" w:line="157" w:lineRule="exact"/>
        <w:rPr>
          <w:rFonts w:ascii="Arial" w:cs="Arial" w:eastAsia="Arial" w:hAnsi="Arial"/>
          <w:sz w:val="17"/>
          <w:szCs w:val="17"/>
          <w:b w:val="1"/>
          <w:bCs w:val="1"/>
          <w:color w:val="auto"/>
        </w:rPr>
      </w:pPr>
    </w:p>
    <w:p>
      <w:pPr>
        <w:ind w:left="560" w:right="50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Company has a qualified 401(k) Savings and Investment Plan, or the Plan, whereby employees may contribute up to the Federal annual limits. The Company does not match employee contributions.</w:t>
      </w:r>
    </w:p>
    <w:p>
      <w:pPr>
        <w:spacing w:after="0" w:line="292" w:lineRule="exact"/>
        <w:rPr>
          <w:rFonts w:ascii="Arial" w:cs="Arial" w:eastAsia="Arial" w:hAnsi="Arial"/>
          <w:sz w:val="17"/>
          <w:szCs w:val="17"/>
          <w:b w:val="1"/>
          <w:bCs w:val="1"/>
          <w:color w:val="auto"/>
        </w:rPr>
      </w:pPr>
    </w:p>
    <w:p>
      <w:pPr>
        <w:ind w:left="540" w:hanging="424"/>
        <w:spacing w:after="0"/>
        <w:tabs>
          <w:tab w:leader="none" w:pos="54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RELATED-PARTY TRANSACTIONS</w:t>
      </w:r>
    </w:p>
    <w:p>
      <w:pPr>
        <w:spacing w:after="0" w:line="15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Related-Party Revenue</w:t>
      </w:r>
    </w:p>
    <w:p>
      <w:pPr>
        <w:spacing w:after="0" w:line="99" w:lineRule="exact"/>
        <w:rPr>
          <w:rFonts w:ascii="Arial" w:cs="Arial" w:eastAsia="Arial" w:hAnsi="Arial"/>
          <w:sz w:val="17"/>
          <w:szCs w:val="17"/>
          <w:b w:val="1"/>
          <w:bCs w:val="1"/>
          <w:color w:val="auto"/>
        </w:rPr>
      </w:pPr>
    </w:p>
    <w:p>
      <w:pPr>
        <w:ind w:left="560" w:right="60"/>
        <w:spacing w:after="0" w:line="237" w:lineRule="auto"/>
        <w:rPr>
          <w:rFonts w:ascii="Arial" w:cs="Arial" w:eastAsia="Arial" w:hAnsi="Arial"/>
          <w:sz w:val="17"/>
          <w:szCs w:val="17"/>
          <w:b w:val="1"/>
          <w:bCs w:val="1"/>
          <w:color w:val="auto"/>
        </w:rPr>
      </w:pPr>
      <w:r>
        <w:rPr>
          <w:rFonts w:ascii="Arial" w:cs="Arial" w:eastAsia="Arial" w:hAnsi="Arial"/>
          <w:sz w:val="17"/>
          <w:szCs w:val="17"/>
          <w:color w:val="auto"/>
        </w:rPr>
        <w:t>In June 2018, the Company entered into a Research and Development Services Agreement, or Tollnine Agreement, with Tollnine, Inc., or Tollnine, a related-party of the Company, to provide research and development services to Tollnine. The Company’s Chief Executive Officer is also the Chief Executive Officer of Tollnine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our customer, obtains control of promised goods or services, in an amount that reflects the consideration which the Company expects to receive in exchange for those goods or services. For the years ended December 31, 2018 and December 31, 2019, the Company recognized related-party revenues of $2.1 million and $4.8 million, respectively, under the Tollnine Agreement.</w:t>
      </w:r>
    </w:p>
    <w:p>
      <w:pPr>
        <w:spacing w:after="0" w:line="12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Receivables due from Related-Party</w:t>
      </w:r>
    </w:p>
    <w:p>
      <w:pPr>
        <w:spacing w:after="0" w:line="99" w:lineRule="exact"/>
        <w:rPr>
          <w:rFonts w:ascii="Arial" w:cs="Arial" w:eastAsia="Arial" w:hAnsi="Arial"/>
          <w:sz w:val="17"/>
          <w:szCs w:val="17"/>
          <w:b w:val="1"/>
          <w:bCs w:val="1"/>
          <w:color w:val="auto"/>
        </w:rPr>
      </w:pPr>
    </w:p>
    <w:p>
      <w:pPr>
        <w:ind w:left="560" w:right="12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As of December 31, 2018, and 2019, the Company had outstanding related-party receivables from Tollnine of $0.9 million and $0.5 million, respectively.</w:t>
      </w:r>
    </w:p>
    <w:p>
      <w:pPr>
        <w:spacing w:after="0" w:line="8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1" w:lineRule="exact"/>
        <w:rPr>
          <w:sz w:val="20"/>
          <w:szCs w:val="20"/>
          <w:color w:val="auto"/>
        </w:rPr>
      </w:pPr>
    </w:p>
    <w:p>
      <w:pPr>
        <w:ind w:left="560" w:right="40" w:hanging="444"/>
        <w:spacing w:after="0" w:line="296" w:lineRule="auto"/>
        <w:tabs>
          <w:tab w:leader="none" w:pos="552"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NET LOSS PER SHARE ATTRIBUTABLE TO ORDINARY SHAREHOLDERS AND UNAUDITED PRO FORMA NET LOSS PER SHARE </w:t>
      </w:r>
      <w:r>
        <w:rPr>
          <w:rFonts w:ascii="Arial" w:cs="Arial" w:eastAsia="Arial" w:hAnsi="Arial"/>
          <w:sz w:val="17"/>
          <w:szCs w:val="17"/>
          <w:color w:val="auto"/>
        </w:rPr>
        <w:t>The following table sets forth the computation of the basic and diluted net loss per share attributable to ordinary shareholders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99695</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4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40" w:type="dxa"/>
            <w:vAlign w:val="bottom"/>
          </w:tcPr>
          <w:p>
            <w:pPr>
              <w:spacing w:after="0"/>
              <w:rPr>
                <w:sz w:val="13"/>
                <w:szCs w:val="13"/>
                <w:color w:val="auto"/>
              </w:rPr>
            </w:pPr>
          </w:p>
        </w:tc>
        <w:tc>
          <w:tcPr>
            <w:tcW w:w="80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169"/>
        </w:trPr>
        <w:tc>
          <w:tcPr>
            <w:tcW w:w="440" w:type="dxa"/>
            <w:vAlign w:val="bottom"/>
          </w:tcPr>
          <w:p>
            <w:pPr>
              <w:spacing w:after="0"/>
              <w:rPr>
                <w:sz w:val="14"/>
                <w:szCs w:val="14"/>
                <w:color w:val="auto"/>
              </w:rPr>
            </w:pPr>
          </w:p>
        </w:tc>
        <w:tc>
          <w:tcPr>
            <w:tcW w:w="806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9"/>
        </w:trPr>
        <w:tc>
          <w:tcPr>
            <w:tcW w:w="440" w:type="dxa"/>
            <w:vAlign w:val="bottom"/>
          </w:tcPr>
          <w:p>
            <w:pPr>
              <w:spacing w:after="0"/>
              <w:rPr>
                <w:sz w:val="16"/>
                <w:szCs w:val="16"/>
                <w:color w:val="auto"/>
              </w:rPr>
            </w:pPr>
          </w:p>
        </w:tc>
        <w:tc>
          <w:tcPr>
            <w:tcW w:w="8060" w:type="dxa"/>
            <w:vAlign w:val="bottom"/>
          </w:tcPr>
          <w:p>
            <w:pPr>
              <w:ind w:left="260"/>
              <w:spacing w:after="0" w:line="189" w:lineRule="exact"/>
              <w:rPr>
                <w:sz w:val="20"/>
                <w:szCs w:val="20"/>
                <w:color w:val="auto"/>
              </w:rPr>
            </w:pPr>
            <w:r>
              <w:rPr>
                <w:rFonts w:ascii="Arial" w:cs="Arial" w:eastAsia="Arial" w:hAnsi="Arial"/>
                <w:sz w:val="17"/>
                <w:szCs w:val="17"/>
                <w:color w:val="auto"/>
              </w:rPr>
              <w:t>Net loss</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203"/>
              <w:spacing w:after="0" w:line="189" w:lineRule="exact"/>
              <w:rPr>
                <w:sz w:val="20"/>
                <w:szCs w:val="20"/>
                <w:color w:val="auto"/>
              </w:rPr>
            </w:pPr>
            <w:r>
              <w:rPr>
                <w:rFonts w:ascii="Arial" w:cs="Arial" w:eastAsia="Arial" w:hAnsi="Arial"/>
                <w:sz w:val="17"/>
                <w:szCs w:val="17"/>
                <w:color w:val="auto"/>
              </w:rPr>
              <w:t>(13,731)</w:t>
            </w:r>
          </w:p>
        </w:tc>
        <w:tc>
          <w:tcPr>
            <w:tcW w:w="3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(19,243)</w:t>
            </w:r>
          </w:p>
        </w:tc>
      </w:tr>
      <w:tr>
        <w:trPr>
          <w:trHeight w:val="189"/>
        </w:trPr>
        <w:tc>
          <w:tcPr>
            <w:tcW w:w="440" w:type="dxa"/>
            <w:vAlign w:val="bottom"/>
          </w:tcPr>
          <w:p>
            <w:pPr>
              <w:spacing w:after="0"/>
              <w:rPr>
                <w:sz w:val="16"/>
                <w:szCs w:val="16"/>
                <w:color w:val="auto"/>
              </w:rPr>
            </w:pPr>
          </w:p>
        </w:tc>
        <w:tc>
          <w:tcPr>
            <w:tcW w:w="80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Less: cumulative dividends allocated to preferred shareholders</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3"/>
              <w:spacing w:after="0" w:line="189" w:lineRule="exact"/>
              <w:rPr>
                <w:sz w:val="20"/>
                <w:szCs w:val="20"/>
                <w:color w:val="auto"/>
              </w:rPr>
            </w:pPr>
            <w:r>
              <w:rPr>
                <w:rFonts w:ascii="Arial" w:cs="Arial" w:eastAsia="Arial" w:hAnsi="Arial"/>
                <w:sz w:val="17"/>
                <w:szCs w:val="17"/>
                <w:color w:val="auto"/>
              </w:rPr>
              <w:t>(3,671)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(4,028)</w:t>
            </w:r>
          </w:p>
        </w:tc>
      </w:tr>
      <w:tr>
        <w:trPr>
          <w:trHeight w:val="196"/>
        </w:trPr>
        <w:tc>
          <w:tcPr>
            <w:tcW w:w="440" w:type="dxa"/>
            <w:vAlign w:val="bottom"/>
          </w:tcPr>
          <w:p>
            <w:pPr>
              <w:spacing w:after="0"/>
              <w:rPr>
                <w:sz w:val="17"/>
                <w:szCs w:val="17"/>
                <w:color w:val="auto"/>
              </w:rPr>
            </w:pPr>
          </w:p>
        </w:tc>
        <w:tc>
          <w:tcPr>
            <w:tcW w:w="8060" w:type="dxa"/>
            <w:vAlign w:val="bottom"/>
          </w:tcPr>
          <w:p>
            <w:pPr>
              <w:ind w:left="260"/>
              <w:spacing w:after="0"/>
              <w:rPr>
                <w:sz w:val="20"/>
                <w:szCs w:val="20"/>
                <w:color w:val="auto"/>
              </w:rPr>
            </w:pPr>
            <w:r>
              <w:rPr>
                <w:rFonts w:ascii="Arial" w:cs="Arial" w:eastAsia="Arial" w:hAnsi="Arial"/>
                <w:sz w:val="17"/>
                <w:szCs w:val="17"/>
                <w:color w:val="auto"/>
              </w:rPr>
              <w:t>Net loss attributable to ordinary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(17,402</w:t>
            </w:r>
          </w:p>
        </w:tc>
        <w:tc>
          <w:tcPr>
            <w:tcW w:w="280" w:type="dxa"/>
            <w:vAlign w:val="bottom"/>
          </w:tcPr>
          <w:p>
            <w:pPr>
              <w:jc w:val="right"/>
              <w:ind w:right="203"/>
              <w:spacing w:after="0"/>
              <w:rPr>
                <w:sz w:val="20"/>
                <w:szCs w:val="20"/>
                <w:color w:val="auto"/>
              </w:rPr>
            </w:pPr>
            <w:r>
              <w:rPr>
                <w:rFonts w:ascii="Arial" w:cs="Arial" w:eastAsia="Arial" w:hAnsi="Arial"/>
                <w:sz w:val="7"/>
                <w:szCs w:val="7"/>
                <w:color w:val="auto"/>
                <w:w w:val="83"/>
              </w:rPr>
              <w:t>)</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(23,271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Denominator:</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8060" w:type="dxa"/>
            <w:vAlign w:val="bottom"/>
          </w:tcPr>
          <w:p>
            <w:pPr>
              <w:ind w:left="260"/>
              <w:spacing w:after="0" w:line="189" w:lineRule="exact"/>
              <w:rPr>
                <w:sz w:val="20"/>
                <w:szCs w:val="20"/>
                <w:color w:val="auto"/>
              </w:rPr>
            </w:pPr>
            <w:r>
              <w:rPr>
                <w:rFonts w:ascii="Arial" w:cs="Arial" w:eastAsia="Arial" w:hAnsi="Arial"/>
                <w:sz w:val="17"/>
                <w:szCs w:val="17"/>
                <w:color w:val="auto"/>
              </w:rPr>
              <w:t>Weighted-average ordinary shares outstanding</w:t>
            </w:r>
          </w:p>
        </w:tc>
        <w:tc>
          <w:tcPr>
            <w:tcW w:w="140" w:type="dxa"/>
            <w:vAlign w:val="bottom"/>
          </w:tcPr>
          <w:p>
            <w:pPr>
              <w:spacing w:after="0"/>
              <w:rPr>
                <w:sz w:val="16"/>
                <w:szCs w:val="16"/>
                <w:color w:val="auto"/>
              </w:rPr>
            </w:pPr>
          </w:p>
        </w:tc>
        <w:tc>
          <w:tcPr>
            <w:tcW w:w="1080" w:type="dxa"/>
            <w:vAlign w:val="bottom"/>
            <w:gridSpan w:val="2"/>
          </w:tcPr>
          <w:p>
            <w:pPr>
              <w:jc w:val="right"/>
              <w:ind w:right="243"/>
              <w:spacing w:after="0" w:line="189" w:lineRule="exact"/>
              <w:rPr>
                <w:sz w:val="20"/>
                <w:szCs w:val="20"/>
                <w:color w:val="auto"/>
              </w:rPr>
            </w:pPr>
            <w:r>
              <w:rPr>
                <w:rFonts w:ascii="Arial" w:cs="Arial" w:eastAsia="Arial" w:hAnsi="Arial"/>
                <w:sz w:val="17"/>
                <w:szCs w:val="17"/>
                <w:color w:val="auto"/>
              </w:rPr>
              <w:t>2,750,838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3,076,461</w:t>
            </w:r>
          </w:p>
        </w:tc>
      </w:tr>
      <w:tr>
        <w:trPr>
          <w:trHeight w:val="20"/>
        </w:trPr>
        <w:tc>
          <w:tcPr>
            <w:tcW w:w="4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203"/>
              <w:spacing w:after="0" w:line="183" w:lineRule="exact"/>
              <w:rPr>
                <w:sz w:val="20"/>
                <w:szCs w:val="20"/>
                <w:color w:val="auto"/>
              </w:rPr>
            </w:pPr>
            <w:r>
              <w:rPr>
                <w:rFonts w:ascii="Arial" w:cs="Arial" w:eastAsia="Arial" w:hAnsi="Arial"/>
                <w:sz w:val="17"/>
                <w:szCs w:val="17"/>
                <w:color w:val="auto"/>
              </w:rPr>
              <w:t>(6.33)</w:t>
            </w:r>
          </w:p>
        </w:tc>
        <w:tc>
          <w:tcPr>
            <w:tcW w:w="3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(7.56)</w:t>
            </w:r>
          </w:p>
        </w:tc>
      </w:tr>
      <w:tr>
        <w:trPr>
          <w:trHeight w:val="20"/>
        </w:trPr>
        <w:tc>
          <w:tcPr>
            <w:tcW w:w="4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jc w:val="both"/>
        <w:ind w:left="560" w:right="20"/>
        <w:spacing w:after="0" w:line="246" w:lineRule="auto"/>
        <w:rPr>
          <w:sz w:val="20"/>
          <w:szCs w:val="20"/>
          <w:color w:val="auto"/>
        </w:rPr>
      </w:pPr>
      <w:r>
        <w:rPr>
          <w:rFonts w:ascii="Arial" w:cs="Arial" w:eastAsia="Arial" w:hAnsi="Arial"/>
          <w:sz w:val="17"/>
          <w:szCs w:val="17"/>
          <w:color w:val="auto"/>
        </w:rPr>
        <w:t>Since the Company was in a loss position for all periods presented, basic net loss per share is the same as diluted net loss per share for all periods as the inclusion of all potential ordinary shares outstanding would have been anti-dilutive. Potentially dilutive securities that were not included in the diluted per share calculations as of December 31, 2018 and December 31, 2019 because they would be anti-dilutive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4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40" w:type="dxa"/>
            <w:vAlign w:val="bottom"/>
          </w:tcPr>
          <w:p>
            <w:pPr>
              <w:spacing w:after="0"/>
              <w:rPr>
                <w:sz w:val="13"/>
                <w:szCs w:val="13"/>
                <w:color w:val="auto"/>
              </w:rPr>
            </w:pPr>
          </w:p>
        </w:tc>
        <w:tc>
          <w:tcPr>
            <w:tcW w:w="8140" w:type="dxa"/>
            <w:vAlign w:val="bottom"/>
            <w:tcBorders>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8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126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1,016,727</w:t>
            </w: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to purchase convertible preferred shares</w:t>
            </w:r>
          </w:p>
        </w:tc>
        <w:tc>
          <w:tcPr>
            <w:tcW w:w="126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61,292</w:t>
            </w: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Ordinary shares subject to repurchase</w:t>
            </w:r>
          </w:p>
        </w:tc>
        <w:tc>
          <w:tcPr>
            <w:tcW w:w="11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229,912</w:t>
            </w:r>
          </w:p>
        </w:tc>
        <w:tc>
          <w:tcPr>
            <w:tcW w:w="140" w:type="dxa"/>
            <w:vAlign w:val="bottom"/>
          </w:tcPr>
          <w:p>
            <w:pPr>
              <w:spacing w:after="0"/>
              <w:rPr>
                <w:sz w:val="16"/>
                <w:szCs w:val="16"/>
                <w:color w:val="auto"/>
              </w:rPr>
            </w:pPr>
          </w:p>
        </w:tc>
        <w:tc>
          <w:tcPr>
            <w:tcW w:w="11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34,024</w:t>
            </w: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11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864,819</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1,183,745</w:t>
            </w:r>
          </w:p>
        </w:tc>
      </w:tr>
      <w:tr>
        <w:trPr>
          <w:trHeight w:val="196"/>
        </w:trPr>
        <w:tc>
          <w:tcPr>
            <w:tcW w:w="440" w:type="dxa"/>
            <w:vAlign w:val="bottom"/>
          </w:tcPr>
          <w:p>
            <w:pPr>
              <w:spacing w:after="0"/>
              <w:rPr>
                <w:sz w:val="17"/>
                <w:szCs w:val="17"/>
                <w:color w:val="auto"/>
              </w:rPr>
            </w:pPr>
          </w:p>
        </w:tc>
        <w:tc>
          <w:tcPr>
            <w:tcW w:w="8140" w:type="dxa"/>
            <w:vAlign w:val="bottom"/>
          </w:tcPr>
          <w:p>
            <w:pPr>
              <w:ind w:left="260"/>
              <w:spacing w:after="0"/>
              <w:rPr>
                <w:sz w:val="20"/>
                <w:szCs w:val="20"/>
                <w:color w:val="auto"/>
              </w:rPr>
            </w:pPr>
            <w:r>
              <w:rPr>
                <w:rFonts w:ascii="Arial" w:cs="Arial" w:eastAsia="Arial" w:hAnsi="Arial"/>
                <w:sz w:val="17"/>
                <w:szCs w:val="17"/>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10,391,812</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11,592,869</w:t>
            </w:r>
          </w:p>
        </w:tc>
        <w:tc>
          <w:tcPr>
            <w:tcW w:w="8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left="560" w:right="340"/>
        <w:spacing w:after="0" w:line="275" w:lineRule="auto"/>
        <w:rPr>
          <w:sz w:val="20"/>
          <w:szCs w:val="20"/>
          <w:color w:val="auto"/>
        </w:rPr>
      </w:pPr>
      <w:r>
        <w:rPr>
          <w:rFonts w:ascii="Arial" w:cs="Arial" w:eastAsia="Arial" w:hAnsi="Arial"/>
          <w:sz w:val="17"/>
          <w:szCs w:val="17"/>
          <w:color w:val="auto"/>
        </w:rPr>
        <w:t>The following table sets forth the computation of the Company’s unaudited pro forma basic and diluted net loss per share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-105410</wp:posOffset>
            </wp:positionV>
            <wp:extent cx="6711950" cy="1289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711950" cy="128905"/>
                    </a:xfrm>
                    <a:prstGeom prst="rect">
                      <a:avLst/>
                    </a:prstGeom>
                    <a:noFill/>
                  </pic:spPr>
                </pic:pic>
              </a:graphicData>
            </a:graphic>
          </wp:anchor>
        </w:drawing>
      </w:r>
    </w:p>
    <w:p>
      <w:pPr>
        <w:spacing w:after="0" w:line="41" w:lineRule="exact"/>
        <w:rPr>
          <w:sz w:val="20"/>
          <w:szCs w:val="20"/>
          <w:color w:val="auto"/>
        </w:rPr>
      </w:pPr>
    </w:p>
    <w:p>
      <w:pPr>
        <w:ind w:left="1060" w:right="137" w:hanging="250"/>
        <w:spacing w:after="0" w:line="245" w:lineRule="auto"/>
        <w:rPr>
          <w:sz w:val="20"/>
          <w:szCs w:val="20"/>
          <w:color w:val="auto"/>
        </w:rPr>
      </w:pPr>
      <w:r>
        <w:rPr>
          <w:rFonts w:ascii="Arial" w:cs="Arial" w:eastAsia="Arial" w:hAnsi="Arial"/>
          <w:sz w:val="17"/>
          <w:szCs w:val="17"/>
          <w:color w:val="auto"/>
        </w:rPr>
        <w:t>Weighted-average ordinary shares used in computing net loss per share attributable to ordinary shareholders, basic and diluted</w:t>
      </w:r>
    </w:p>
    <w:p>
      <w:pPr>
        <w:spacing w:after="0" w:line="1" w:lineRule="exact"/>
        <w:rPr>
          <w:sz w:val="20"/>
          <w:szCs w:val="20"/>
          <w:color w:val="auto"/>
        </w:rPr>
      </w:pPr>
    </w:p>
    <w:p>
      <w:pPr>
        <w:ind w:left="1060" w:right="317" w:hanging="250"/>
        <w:spacing w:after="0" w:line="244" w:lineRule="auto"/>
        <w:rPr>
          <w:sz w:val="20"/>
          <w:szCs w:val="20"/>
          <w:color w:val="auto"/>
        </w:rPr>
      </w:pPr>
      <w:r>
        <w:rPr>
          <w:rFonts w:ascii="Arial" w:cs="Arial" w:eastAsia="Arial" w:hAnsi="Arial"/>
          <w:sz w:val="17"/>
          <w:szCs w:val="17"/>
          <w:color w:val="auto"/>
        </w:rPr>
        <w:t>Pro forma adjustment to reflect assumed conversion of preferred shares and accrued dividends allocable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-247650</wp:posOffset>
            </wp:positionV>
            <wp:extent cx="6711950" cy="2400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711950" cy="240030"/>
                    </a:xfrm>
                    <a:prstGeom prst="rect">
                      <a:avLst/>
                    </a:prstGeom>
                    <a:noFill/>
                  </pic:spPr>
                </pic:pic>
              </a:graphicData>
            </a:graphic>
          </wp:anchor>
        </w:drawing>
      </w:r>
    </w:p>
    <w:p>
      <w:pPr>
        <w:ind w:left="560" w:right="1177"/>
        <w:spacing w:after="0" w:line="323" w:lineRule="auto"/>
        <w:rPr>
          <w:sz w:val="20"/>
          <w:szCs w:val="20"/>
          <w:color w:val="auto"/>
        </w:rPr>
      </w:pPr>
      <w:r>
        <w:rPr>
          <w:rFonts w:ascii="Arial" w:cs="Arial" w:eastAsia="Arial" w:hAnsi="Arial"/>
          <w:sz w:val="17"/>
          <w:szCs w:val="17"/>
          <w:color w:val="auto"/>
        </w:rPr>
        <w:t>Weighted-average ordinary shares used to compute pro forma net loss per share, basic and diluted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-170815</wp:posOffset>
            </wp:positionV>
            <wp:extent cx="6711950" cy="1200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1195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120015</wp:posOffset>
            </wp:positionV>
            <wp:extent cx="6995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jc w:val="center"/>
        <w:ind w:left="3" w:right="117"/>
        <w:spacing w:after="0" w:line="252" w:lineRule="auto"/>
        <w:rPr>
          <w:sz w:val="20"/>
          <w:szCs w:val="20"/>
          <w:color w:val="auto"/>
        </w:rPr>
      </w:pPr>
      <w:r>
        <w:rPr>
          <w:rFonts w:ascii="Arial" w:cs="Arial" w:eastAsia="Arial" w:hAnsi="Arial"/>
          <w:sz w:val="14"/>
          <w:szCs w:val="14"/>
          <w:b w:val="1"/>
          <w:bCs w:val="1"/>
          <w:color w:val="auto"/>
        </w:rPr>
        <w:t>YEAR ENDED DECEMBER 31, 2019</w:t>
      </w:r>
    </w:p>
    <w:p>
      <w:pPr>
        <w:spacing w:after="0" w:line="1" w:lineRule="exact"/>
        <w:rPr>
          <w:sz w:val="20"/>
          <w:szCs w:val="20"/>
          <w:color w:val="auto"/>
        </w:rPr>
      </w:pPr>
    </w:p>
    <w:p>
      <w:pPr>
        <w:ind w:left="483" w:hanging="483"/>
        <w:spacing w:after="0"/>
        <w:tabs>
          <w:tab w:leader="none" w:pos="48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(19,243)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95" w:lineRule="exact"/>
        <w:rPr>
          <w:sz w:val="20"/>
          <w:szCs w:val="20"/>
          <w:color w:val="auto"/>
        </w:rPr>
      </w:pPr>
    </w:p>
    <w:p>
      <w:pPr>
        <w:ind w:left="303"/>
        <w:spacing w:after="0"/>
        <w:rPr>
          <w:sz w:val="20"/>
          <w:szCs w:val="20"/>
          <w:color w:val="auto"/>
        </w:rPr>
      </w:pPr>
      <w:r>
        <w:rPr>
          <w:rFonts w:ascii="Arial" w:cs="Arial" w:eastAsia="Arial" w:hAnsi="Arial"/>
          <w:sz w:val="17"/>
          <w:szCs w:val="17"/>
          <w:color w:val="auto"/>
        </w:rPr>
        <w:t>3,076,461</w:t>
      </w:r>
    </w:p>
    <w:p>
      <w:pPr>
        <w:spacing w:after="0" w:line="183" w:lineRule="exact"/>
        <w:rPr>
          <w:sz w:val="20"/>
          <w:szCs w:val="20"/>
          <w:color w:val="auto"/>
        </w:rPr>
      </w:pPr>
    </w:p>
    <w:p>
      <w:pPr>
        <w:ind w:left="223"/>
        <w:spacing w:after="0"/>
        <w:rPr>
          <w:sz w:val="20"/>
          <w:szCs w:val="20"/>
          <w:color w:val="auto"/>
        </w:rPr>
      </w:pPr>
      <w:r>
        <w:rPr>
          <w:rFonts w:ascii="Arial" w:cs="Arial" w:eastAsia="Arial" w:hAnsi="Arial"/>
          <w:sz w:val="17"/>
          <w:szCs w:val="17"/>
          <w:color w:val="auto"/>
        </w:rPr>
        <w:t>11,253,839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67754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5" w:lineRule="exact"/>
        <w:rPr>
          <w:sz w:val="20"/>
          <w:szCs w:val="20"/>
          <w:color w:val="auto"/>
        </w:rPr>
      </w:pPr>
    </w:p>
    <w:p>
      <w:pPr>
        <w:ind w:left="203"/>
        <w:spacing w:after="0"/>
        <w:rPr>
          <w:sz w:val="20"/>
          <w:szCs w:val="20"/>
          <w:color w:val="auto"/>
        </w:rPr>
      </w:pPr>
      <w:r>
        <w:rPr>
          <w:rFonts w:ascii="Arial" w:cs="Arial" w:eastAsia="Arial" w:hAnsi="Arial"/>
          <w:sz w:val="17"/>
          <w:szCs w:val="17"/>
          <w:color w:val="auto"/>
        </w:rPr>
        <w:t>14,330,300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67754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13" w:lineRule="exact"/>
        <w:rPr>
          <w:sz w:val="20"/>
          <w:szCs w:val="20"/>
          <w:color w:val="auto"/>
        </w:rPr>
      </w:pPr>
    </w:p>
    <w:p>
      <w:pPr>
        <w:ind w:left="683" w:hanging="683"/>
        <w:spacing w:after="0"/>
        <w:tabs>
          <w:tab w:leader="none" w:pos="6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67754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20955</wp:posOffset>
            </wp:positionV>
            <wp:extent cx="67754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38100</wp:posOffset>
            </wp:positionV>
            <wp:extent cx="67754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9237" w:space="720"/>
            <w:col w:w="1183"/>
          </w:cols>
          <w:pgMar w:left="320" w:top="455" w:right="439" w:bottom="1440" w:gutter="0" w:footer="0" w:header="0"/>
          <w:type w:val="continuous"/>
        </w:sect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140"/>
          </w:cols>
          <w:pgMar w:left="320" w:top="455" w:right="439" w:bottom="1440" w:gutter="0" w:footer="0" w:header="0"/>
          <w:type w:val="continuous"/>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1"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5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Series C Preferred Share Issuance</w:t>
      </w:r>
    </w:p>
    <w:p>
      <w:pPr>
        <w:spacing w:after="0" w:line="59" w:lineRule="exact"/>
        <w:rPr>
          <w:rFonts w:ascii="Arial" w:cs="Arial" w:eastAsia="Arial" w:hAnsi="Arial"/>
          <w:sz w:val="17"/>
          <w:szCs w:val="17"/>
          <w:b w:val="1"/>
          <w:bCs w:val="1"/>
          <w:color w:val="auto"/>
        </w:rPr>
      </w:pPr>
    </w:p>
    <w:p>
      <w:pPr>
        <w:ind w:left="560" w:right="240"/>
        <w:spacing w:after="0" w:line="246" w:lineRule="auto"/>
        <w:rPr>
          <w:rFonts w:ascii="Arial" w:cs="Arial" w:eastAsia="Arial" w:hAnsi="Arial"/>
          <w:sz w:val="17"/>
          <w:szCs w:val="17"/>
          <w:b w:val="1"/>
          <w:bCs w:val="1"/>
          <w:color w:val="auto"/>
        </w:rPr>
      </w:pPr>
      <w:r>
        <w:rPr>
          <w:rFonts w:ascii="Arial" w:cs="Arial" w:eastAsia="Arial" w:hAnsi="Arial"/>
          <w:sz w:val="17"/>
          <w:szCs w:val="17"/>
          <w:color w:val="auto"/>
        </w:rPr>
        <w:t>In February 2020, the Company entered into a Series C Preferred Share Purchase Agreement, or the Series C Agreement, with certain existing investors, employees and new investors, or collectively, the Series C Investors. Under the terms of the Series C Agreement, the Company authorized the sale and issuance of up to 11,055,981 Series C convertible preferred shares at a purchase price of $9.4972 per share. To date, all authorized Series C convertible preferred shares have been purchased with gross proceeds of $105.0 million.</w:t>
      </w:r>
    </w:p>
    <w:p>
      <w:pPr>
        <w:spacing w:after="0" w:line="11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Reorganization</w:t>
      </w:r>
    </w:p>
    <w:p>
      <w:pPr>
        <w:spacing w:after="0" w:line="99" w:lineRule="exact"/>
        <w:rPr>
          <w:rFonts w:ascii="Arial" w:cs="Arial" w:eastAsia="Arial" w:hAnsi="Arial"/>
          <w:sz w:val="17"/>
          <w:szCs w:val="17"/>
          <w:b w:val="1"/>
          <w:bCs w:val="1"/>
          <w:color w:val="auto"/>
        </w:rPr>
      </w:pPr>
    </w:p>
    <w:p>
      <w:pPr>
        <w:ind w:left="560"/>
        <w:spacing w:after="0" w:line="242" w:lineRule="auto"/>
        <w:rPr>
          <w:rFonts w:ascii="Arial" w:cs="Arial" w:eastAsia="Arial" w:hAnsi="Arial"/>
          <w:sz w:val="17"/>
          <w:szCs w:val="17"/>
          <w:b w:val="1"/>
          <w:bCs w:val="1"/>
          <w:color w:val="auto"/>
        </w:rPr>
      </w:pPr>
      <w:r>
        <w:rPr>
          <w:rFonts w:ascii="Arial" w:cs="Arial" w:eastAsia="Arial" w:hAnsi="Arial"/>
          <w:sz w:val="17"/>
          <w:szCs w:val="17"/>
          <w:color w:val="auto"/>
        </w:rPr>
        <w:t>On April 1, 2020, the Company completed an internal reorganization transaction pursuant to which ALX Oncology Limited became a wholly-owned subsidiary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w:t>
      </w:r>
    </w:p>
    <w:p>
      <w:pPr>
        <w:spacing w:after="0" w:line="12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Reverse Stock Split</w:t>
      </w:r>
    </w:p>
    <w:p>
      <w:pPr>
        <w:spacing w:after="0" w:line="59" w:lineRule="exact"/>
        <w:rPr>
          <w:rFonts w:ascii="Arial" w:cs="Arial" w:eastAsia="Arial" w:hAnsi="Arial"/>
          <w:sz w:val="17"/>
          <w:szCs w:val="17"/>
          <w:b w:val="1"/>
          <w:bCs w:val="1"/>
          <w:color w:val="auto"/>
        </w:rPr>
      </w:pPr>
    </w:p>
    <w:p>
      <w:pPr>
        <w:ind w:left="560" w:right="120"/>
        <w:spacing w:after="0" w:line="242" w:lineRule="auto"/>
        <w:rPr>
          <w:rFonts w:ascii="Arial" w:cs="Arial" w:eastAsia="Arial" w:hAnsi="Arial"/>
          <w:sz w:val="17"/>
          <w:szCs w:val="17"/>
          <w:b w:val="1"/>
          <w:bCs w:val="1"/>
          <w:color w:val="auto"/>
        </w:rPr>
      </w:pPr>
      <w:r>
        <w:rPr>
          <w:rFonts w:ascii="Arial" w:cs="Arial" w:eastAsia="Arial" w:hAnsi="Arial"/>
          <w:sz w:val="17"/>
          <w:szCs w:val="17"/>
          <w:color w:val="auto"/>
        </w:rPr>
        <w:t>On July 8, 2020, the Company’s board of directors approved an amendment to ALX Oncology Holdings Inc.’s certificate of incorporation to effect a 1-for-6.5806 reverse split of its ordinary shares and convertible preferred shares. The par values of the ordinary and convertible preferred shares were not adjusted as a result of the reverse stock split. All authorized, issued and outstanding ordinary shares and convertible preferred shares and related per share amounts contained in the consolidated financial statements have been retroactively adjusted to reflect this reverse stock split for all periods presented. The reverse stock split was effected on July 9, 2020.</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jc w:val="center"/>
        <w:ind w:right="-99"/>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7"/>
        </w:trPr>
        <w:tc>
          <w:tcPr>
            <w:tcW w:w="80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Assets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 and cash equivalents</w:t>
            </w:r>
          </w:p>
        </w:tc>
        <w:tc>
          <w:tcPr>
            <w:tcW w:w="2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9,017</w:t>
            </w:r>
          </w:p>
        </w:tc>
        <w:tc>
          <w:tcPr>
            <w:tcW w:w="54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259,484</w:t>
            </w: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536</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256</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2,393</w:t>
            </w:r>
          </w:p>
        </w:tc>
        <w:tc>
          <w:tcPr>
            <w:tcW w:w="0" w:type="dxa"/>
            <w:vAlign w:val="bottom"/>
          </w:tcPr>
          <w:p>
            <w:pPr>
              <w:spacing w:after="0"/>
              <w:rPr>
                <w:sz w:val="1"/>
                <w:szCs w:val="1"/>
                <w:color w:val="auto"/>
              </w:rPr>
            </w:pPr>
          </w:p>
        </w:tc>
      </w:tr>
      <w:tr>
        <w:trPr>
          <w:trHeight w:val="196"/>
        </w:trPr>
        <w:tc>
          <w:tcPr>
            <w:tcW w:w="808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9,809</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262,404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860</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340"/>
              <w:spacing w:after="0" w:line="189" w:lineRule="exact"/>
              <w:rPr>
                <w:sz w:val="20"/>
                <w:szCs w:val="20"/>
                <w:color w:val="auto"/>
              </w:rPr>
            </w:pPr>
            <w:r>
              <w:rPr>
                <w:rFonts w:ascii="Arial" w:cs="Arial" w:eastAsia="Arial" w:hAnsi="Arial"/>
                <w:sz w:val="17"/>
                <w:szCs w:val="17"/>
                <w:color w:val="auto"/>
              </w:rPr>
              <w:t>7</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0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2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10,676</w:t>
            </w:r>
          </w:p>
        </w:tc>
        <w:tc>
          <w:tcPr>
            <w:tcW w:w="3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262,449</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stock and stockholders’ equity (deficit)</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240" w:type="dxa"/>
            <w:vAlign w:val="bottom"/>
            <w:gridSpan w:val="2"/>
          </w:tcPr>
          <w:p>
            <w:pPr>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340"/>
              <w:spacing w:after="0" w:line="189" w:lineRule="exact"/>
              <w:rPr>
                <w:sz w:val="20"/>
                <w:szCs w:val="20"/>
                <w:color w:val="auto"/>
              </w:rPr>
            </w:pPr>
            <w:r>
              <w:rPr>
                <w:rFonts w:ascii="Arial" w:cs="Arial" w:eastAsia="Arial" w:hAnsi="Arial"/>
                <w:sz w:val="17"/>
                <w:szCs w:val="17"/>
                <w:color w:val="auto"/>
              </w:rPr>
              <w:t>3,748</w:t>
            </w:r>
          </w:p>
        </w:tc>
        <w:tc>
          <w:tcPr>
            <w:tcW w:w="54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1,421</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1,236</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3,205</w:t>
            </w: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Term loan—current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2,571</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0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current liabilities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4,984</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7,197</w:t>
            </w:r>
          </w:p>
        </w:tc>
        <w:tc>
          <w:tcPr>
            <w:tcW w:w="0" w:type="dxa"/>
            <w:vAlign w:val="bottom"/>
          </w:tcPr>
          <w:p>
            <w:pPr>
              <w:spacing w:after="0"/>
              <w:rPr>
                <w:sz w:val="1"/>
                <w:szCs w:val="1"/>
                <w:color w:val="auto"/>
              </w:rPr>
            </w:pP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7"/>
                <w:szCs w:val="17"/>
                <w:color w:val="auto"/>
              </w:rPr>
              <w:t>Term loan—non-current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340"/>
              <w:spacing w:after="0" w:line="189" w:lineRule="exact"/>
              <w:rPr>
                <w:sz w:val="20"/>
                <w:szCs w:val="20"/>
                <w:color w:val="auto"/>
              </w:rPr>
            </w:pPr>
            <w:r>
              <w:rPr>
                <w:rFonts w:ascii="Arial" w:cs="Arial" w:eastAsia="Arial" w:hAnsi="Arial"/>
                <w:sz w:val="17"/>
                <w:szCs w:val="17"/>
                <w:color w:val="auto"/>
              </w:rPr>
              <w:t>5,421</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3,189</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non-current liabilities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547</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3"/>
        </w:trPr>
        <w:tc>
          <w:tcPr>
            <w:tcW w:w="8080" w:type="dxa"/>
            <w:vAlign w:val="bottom"/>
          </w:tcPr>
          <w:p>
            <w:pPr>
              <w:ind w:left="500"/>
              <w:spacing w:after="0"/>
              <w:rPr>
                <w:sz w:val="20"/>
                <w:szCs w:val="20"/>
                <w:color w:val="auto"/>
              </w:rPr>
            </w:pPr>
            <w:r>
              <w:rPr>
                <w:rFonts w:ascii="Arial" w:cs="Arial" w:eastAsia="Arial" w:hAnsi="Arial"/>
                <w:sz w:val="17"/>
                <w:szCs w:val="17"/>
                <w:color w:val="auto"/>
              </w:rPr>
              <w:t>Total liabilities</w:t>
            </w: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10,952</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(Note 11)</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80" w:type="dxa"/>
            <w:vAlign w:val="bottom"/>
          </w:tcPr>
          <w:p>
            <w:pPr>
              <w:spacing w:after="0" w:line="161" w:lineRule="exact"/>
              <w:rPr>
                <w:sz w:val="20"/>
                <w:szCs w:val="20"/>
                <w:color w:val="auto"/>
              </w:rPr>
            </w:pPr>
            <w:r>
              <w:rPr>
                <w:rFonts w:ascii="Arial" w:cs="Arial" w:eastAsia="Arial" w:hAnsi="Arial"/>
                <w:sz w:val="17"/>
                <w:szCs w:val="17"/>
                <w:color w:val="auto"/>
              </w:rPr>
              <w:t>Series A convertible preferred stock, $0.001 par value; 9,421,633 shares authorized as of</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December 31, 2019; 9,297,081 shares issued and outstanding as of December 31, 2019;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aggregate liquidation preference of $73,571 as of December 31, 2019; zero shares authorized,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80" w:type="dxa"/>
            <w:vAlign w:val="bottom"/>
          </w:tcPr>
          <w:p>
            <w:pPr>
              <w:ind w:left="240"/>
              <w:spacing w:after="0"/>
              <w:rPr>
                <w:sz w:val="20"/>
                <w:szCs w:val="20"/>
                <w:color w:val="auto"/>
              </w:rPr>
            </w:pPr>
            <w:r>
              <w:rPr>
                <w:rFonts w:ascii="Arial" w:cs="Arial" w:eastAsia="Arial" w:hAnsi="Arial"/>
                <w:sz w:val="17"/>
                <w:szCs w:val="17"/>
                <w:color w:val="auto"/>
              </w:rPr>
              <w:t>issued and outstanding as of September 30, 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60,933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1"/>
        </w:trPr>
        <w:tc>
          <w:tcPr>
            <w:tcW w:w="808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Series B convertible preferred stock, $0.001 par value; 2,145,370 shares authorized as of</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December 31, 2019; 1,016,727 shares issued and outstanding as of December 31, 2019;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aggregate liquidation preference of $10,014 as of December 31, 2019; zero shares authorized,</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issued and outstanding as of September 30, 2020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9,430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8080" w:type="dxa"/>
            <w:vAlign w:val="bottom"/>
          </w:tcPr>
          <w:p>
            <w:pPr>
              <w:spacing w:after="0" w:line="189" w:lineRule="exact"/>
              <w:rPr>
                <w:sz w:val="20"/>
                <w:szCs w:val="20"/>
                <w:color w:val="auto"/>
              </w:rPr>
            </w:pPr>
            <w:r>
              <w:rPr>
                <w:rFonts w:ascii="Arial" w:cs="Arial" w:eastAsia="Arial" w:hAnsi="Arial"/>
                <w:sz w:val="17"/>
                <w:szCs w:val="17"/>
                <w:color w:val="auto"/>
              </w:rPr>
              <w:t>Stockholders’ equity (deficit)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Preferred stock, $0.001 par value; 100,000,000 shares authorized, no shares issued or outstanding</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1"/>
        </w:trPr>
        <w:tc>
          <w:tcPr>
            <w:tcW w:w="8080" w:type="dxa"/>
            <w:vAlign w:val="bottom"/>
          </w:tcPr>
          <w:p>
            <w:pPr>
              <w:spacing w:after="0" w:line="161" w:lineRule="exact"/>
              <w:rPr>
                <w:sz w:val="20"/>
                <w:szCs w:val="20"/>
                <w:color w:val="auto"/>
              </w:rPr>
            </w:pPr>
            <w:r>
              <w:rPr>
                <w:rFonts w:ascii="Arial" w:cs="Arial" w:eastAsia="Arial" w:hAnsi="Arial"/>
                <w:sz w:val="17"/>
                <w:szCs w:val="17"/>
                <w:color w:val="auto"/>
              </w:rPr>
              <w:t>Common stock, $0.001 par value; 1,519,618,271 and 1,000,000,000 shares authorized as of</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December 31, 2019 and September 30, 2020, respectively; 3,166,946 and 37,107,522 shares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080" w:type="dxa"/>
            <w:vAlign w:val="bottom"/>
          </w:tcPr>
          <w:p>
            <w:pPr>
              <w:ind w:left="240"/>
              <w:spacing w:after="0"/>
              <w:rPr>
                <w:sz w:val="20"/>
                <w:szCs w:val="20"/>
                <w:color w:val="auto"/>
              </w:rPr>
            </w:pPr>
            <w:r>
              <w:rPr>
                <w:rFonts w:ascii="Arial" w:cs="Arial" w:eastAsia="Arial" w:hAnsi="Arial"/>
                <w:sz w:val="17"/>
                <w:szCs w:val="17"/>
                <w:color w:val="auto"/>
              </w:rPr>
              <w:t>issued and outstanding as of December 31, 2019 and September 30, 2020, respectively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7"/>
                <w:szCs w:val="17"/>
                <w:color w:val="auto"/>
              </w:rPr>
              <w:t>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2,140</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351,727</w:t>
            </w: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(72,782)</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(99,748)</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0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stockholders’ equity (deficit)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(70,639)</w:t>
            </w: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252,016</w:t>
            </w:r>
          </w:p>
        </w:tc>
        <w:tc>
          <w:tcPr>
            <w:tcW w:w="0" w:type="dxa"/>
            <w:vAlign w:val="bottom"/>
          </w:tcPr>
          <w:p>
            <w:pPr>
              <w:spacing w:after="0"/>
              <w:rPr>
                <w:sz w:val="1"/>
                <w:szCs w:val="1"/>
                <w:color w:val="auto"/>
              </w:rPr>
            </w:pPr>
          </w:p>
        </w:tc>
      </w:tr>
      <w:tr>
        <w:trPr>
          <w:trHeight w:val="196"/>
        </w:trPr>
        <w:tc>
          <w:tcPr>
            <w:tcW w:w="8080" w:type="dxa"/>
            <w:vAlign w:val="bottom"/>
          </w:tcPr>
          <w:p>
            <w:pPr>
              <w:ind w:left="500"/>
              <w:spacing w:after="0"/>
              <w:rPr>
                <w:sz w:val="20"/>
                <w:szCs w:val="20"/>
                <w:color w:val="auto"/>
              </w:rPr>
            </w:pPr>
            <w:r>
              <w:rPr>
                <w:rFonts w:ascii="Arial" w:cs="Arial" w:eastAsia="Arial" w:hAnsi="Arial"/>
                <w:sz w:val="17"/>
                <w:szCs w:val="17"/>
                <w:color w:val="auto"/>
              </w:rPr>
              <w:t>Total liabilities, convertible preferred stock and stockholders’ equity (deficit)</w:t>
            </w: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10,676</w:t>
            </w:r>
          </w:p>
        </w:tc>
        <w:tc>
          <w:tcPr>
            <w:tcW w:w="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262,449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 (unaudited).</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w:t>
      </w: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55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1,256</w:t>
            </w:r>
          </w:p>
        </w:tc>
        <w:tc>
          <w:tcPr>
            <w:tcW w:w="320" w:type="dxa"/>
            <w:vAlign w:val="bottom"/>
            <w:gridSpan w:val="2"/>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3,583</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1,182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2,210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5,328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9,571</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16,819</w:t>
            </w: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6"/>
                <w:szCs w:val="16"/>
                <w:color w:val="auto"/>
              </w:rPr>
            </w:pPr>
          </w:p>
        </w:tc>
        <w:tc>
          <w:tcPr>
            <w:tcW w:w="7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938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4,481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2,205</w:t>
            </w:r>
          </w:p>
        </w:tc>
        <w:tc>
          <w:tcPr>
            <w:tcW w:w="10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9,126</w:t>
            </w: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1,142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3,257</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203"/>
        </w:trPr>
        <w:tc>
          <w:tcPr>
            <w:tcW w:w="550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4,290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9,809</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15,033</w:t>
            </w:r>
          </w:p>
        </w:tc>
        <w:tc>
          <w:tcPr>
            <w:tcW w:w="5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(3,034)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(9,809)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(11,450)</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(25,838)</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7"/>
                <w:szCs w:val="17"/>
                <w:color w:val="auto"/>
              </w:rPr>
              <w:t>Interest expense</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expense, net</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(111)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(3,036)</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(10,146)</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(11,454)</w:t>
            </w: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(26,907)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(35)</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96"/>
        </w:trPr>
        <w:tc>
          <w:tcPr>
            <w:tcW w:w="5500" w:type="dxa"/>
            <w:vAlign w:val="bottom"/>
          </w:tcPr>
          <w:p>
            <w:pPr>
              <w:spacing w:after="0"/>
              <w:rPr>
                <w:sz w:val="20"/>
                <w:szCs w:val="20"/>
                <w:color w:val="auto"/>
              </w:rPr>
            </w:pPr>
            <w:r>
              <w:rPr>
                <w:rFonts w:ascii="Arial" w:cs="Arial" w:eastAsia="Arial" w:hAnsi="Arial"/>
                <w:sz w:val="17"/>
                <w:szCs w:val="17"/>
                <w:color w:val="auto"/>
              </w:rPr>
              <w:t>Net loss and comprehensive loss</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(3,044)</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(10,181)</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(11,479)</w:t>
            </w:r>
          </w:p>
        </w:tc>
        <w:tc>
          <w:tcPr>
            <w:tcW w:w="5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(26,966)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stockholders</w:t>
            </w:r>
          </w:p>
        </w:tc>
        <w:tc>
          <w:tcPr>
            <w:tcW w:w="12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(1,071)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(578)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(2,957)</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(5,202)</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(4,115</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(10,759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(14,436</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(32,168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61"/>
        </w:trPr>
        <w:tc>
          <w:tcPr>
            <w:tcW w:w="550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Net loss per share attributable to common stockholders, basic and</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7"/>
                <w:szCs w:val="17"/>
                <w:color w:val="auto"/>
              </w:rPr>
              <w:t>Weighted-average shares of common stock used to compute net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line="189" w:lineRule="exact"/>
              <w:rPr>
                <w:sz w:val="20"/>
                <w:szCs w:val="20"/>
                <w:color w:val="auto"/>
              </w:rPr>
            </w:pPr>
            <w:r>
              <w:rPr>
                <w:rFonts w:ascii="Arial" w:cs="Arial" w:eastAsia="Arial" w:hAnsi="Arial"/>
                <w:sz w:val="17"/>
                <w:szCs w:val="17"/>
                <w:color w:val="auto"/>
              </w:rPr>
              <w:t>loss per share attributable to common stockholders, basic and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500" w:type="dxa"/>
            <w:vAlign w:val="bottom"/>
          </w:tcPr>
          <w:p>
            <w:pPr>
              <w:ind w:left="24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w w:val="97"/>
              </w:rPr>
              <w:t>3,100,544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w w:val="98"/>
              </w:rPr>
              <w:t>29,664,122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7"/>
                <w:szCs w:val="17"/>
                <w:color w:val="auto"/>
                <w:w w:val="97"/>
              </w:rPr>
              <w:t>3,061,082</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12,052,876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 (unaudited).</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Equity (Deficit)</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(unaudited)</w:t>
      </w:r>
    </w:p>
    <w:p>
      <w:pPr>
        <w:jc w:val="center"/>
        <w:ind w:right="-15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660" w:type="dxa"/>
            <w:vAlign w:val="bottom"/>
            <w:gridSpan w:val="6"/>
          </w:tcPr>
          <w:p>
            <w:pPr>
              <w:ind w:left="30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3220" w:type="dxa"/>
            <w:vAlign w:val="bottom"/>
          </w:tcPr>
          <w:p>
            <w:pPr>
              <w:spacing w:after="0"/>
              <w:rPr>
                <w:sz w:val="15"/>
                <w:szCs w:val="15"/>
                <w:color w:val="auto"/>
              </w:rPr>
            </w:pPr>
          </w:p>
        </w:tc>
        <w:tc>
          <w:tcPr>
            <w:tcW w:w="16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2018</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3220" w:type="dxa"/>
            <w:vAlign w:val="bottom"/>
            <w:vMerge w:val="continue"/>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9,297,081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60,933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line="156" w:lineRule="exact"/>
              <w:rPr>
                <w:sz w:val="20"/>
                <w:szCs w:val="20"/>
                <w:color w:val="auto"/>
              </w:rPr>
            </w:pPr>
            <w:r>
              <w:rPr>
                <w:rFonts w:ascii="Arial" w:cs="Arial" w:eastAsia="Arial" w:hAnsi="Arial"/>
                <w:sz w:val="14"/>
                <w:szCs w:val="14"/>
                <w:b w:val="1"/>
                <w:bCs w:val="1"/>
                <w:color w:val="auto"/>
              </w:rPr>
              <w:t>Balance as of March 31, 2019</w:t>
            </w:r>
          </w:p>
        </w:tc>
        <w:tc>
          <w:tcPr>
            <w:tcW w:w="80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9,297,081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Issuance of convertible preferred stock, net of</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140"/>
              <w:spacing w:after="0"/>
              <w:rPr>
                <w:sz w:val="20"/>
                <w:szCs w:val="20"/>
                <w:color w:val="auto"/>
              </w:rPr>
            </w:pPr>
            <w:r>
              <w:rPr>
                <w:rFonts w:ascii="Arial" w:cs="Arial" w:eastAsia="Arial" w:hAnsi="Arial"/>
                <w:sz w:val="14"/>
                <w:szCs w:val="14"/>
                <w:color w:val="auto"/>
              </w:rPr>
              <w:t>issuance costs</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1,016,727</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20" w:type="dxa"/>
            <w:vAlign w:val="bottom"/>
          </w:tcPr>
          <w:p>
            <w:pPr>
              <w:spacing w:after="0" w:line="156" w:lineRule="exact"/>
              <w:rPr>
                <w:sz w:val="20"/>
                <w:szCs w:val="20"/>
                <w:color w:val="auto"/>
              </w:rPr>
            </w:pPr>
            <w:r>
              <w:rPr>
                <w:rFonts w:ascii="Arial" w:cs="Arial" w:eastAsia="Arial" w:hAnsi="Arial"/>
                <w:sz w:val="14"/>
                <w:szCs w:val="14"/>
                <w:b w:val="1"/>
                <w:bCs w:val="1"/>
                <w:color w:val="auto"/>
              </w:rPr>
              <w:t>Balance as of June 30, 2019</w:t>
            </w:r>
          </w:p>
        </w:tc>
        <w:tc>
          <w:tcPr>
            <w:tcW w:w="80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10,313,808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tcPr>
          <w:p>
            <w:pPr>
              <w:spacing w:after="0"/>
              <w:rPr>
                <w:sz w:val="20"/>
                <w:szCs w:val="20"/>
                <w:color w:val="auto"/>
              </w:rPr>
            </w:pPr>
            <w:r>
              <w:rPr>
                <w:rFonts w:ascii="Arial" w:cs="Arial" w:eastAsia="Arial" w:hAnsi="Arial"/>
                <w:sz w:val="14"/>
                <w:szCs w:val="14"/>
                <w:b w:val="1"/>
                <w:bCs w:val="1"/>
                <w:color w:val="auto"/>
              </w:rPr>
              <w:t>Balance as of September 30, 2019</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10,313,808</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TOTAL</w:t>
            </w:r>
          </w:p>
        </w:tc>
        <w:tc>
          <w:tcPr>
            <w:tcW w:w="0" w:type="dxa"/>
            <w:vAlign w:val="bottom"/>
          </w:tcPr>
          <w:p>
            <w:pPr>
              <w:spacing w:after="0"/>
              <w:rPr>
                <w:sz w:val="1"/>
                <w:szCs w:val="1"/>
                <w:color w:val="auto"/>
              </w:rPr>
            </w:pPr>
          </w:p>
        </w:tc>
      </w:tr>
      <w:tr>
        <w:trPr>
          <w:trHeight w:val="162"/>
        </w:trPr>
        <w:tc>
          <w:tcPr>
            <w:tcW w:w="14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10"/>
        </w:trPr>
        <w:tc>
          <w:tcPr>
            <w:tcW w:w="1400" w:type="dxa"/>
            <w:vAlign w:val="bottom"/>
            <w:tcBorders>
              <w:bottom w:val="single" w:sz="8" w:color="auto"/>
            </w:tcBorders>
            <w:gridSpan w:val="3"/>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PAID-IN</w:t>
            </w: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9"/>
                <w:szCs w:val="9"/>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7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3,161,747</w:t>
            </w:r>
          </w:p>
        </w:tc>
        <w:tc>
          <w:tcPr>
            <w:tcW w:w="220" w:type="dxa"/>
            <w:vAlign w:val="bottom"/>
          </w:tcPr>
          <w:p>
            <w:pPr>
              <w:spacing w:after="0"/>
              <w:rPr>
                <w:sz w:val="12"/>
                <w:szCs w:val="12"/>
                <w:color w:val="auto"/>
              </w:rPr>
            </w:pPr>
          </w:p>
        </w:tc>
        <w:tc>
          <w:tcPr>
            <w:tcW w:w="48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1,758</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(53,539)</w:t>
            </w:r>
          </w:p>
        </w:tc>
        <w:tc>
          <w:tcPr>
            <w:tcW w:w="280" w:type="dxa"/>
            <w:vAlign w:val="bottom"/>
          </w:tcPr>
          <w:p>
            <w:pPr>
              <w:spacing w:after="0"/>
              <w:rPr>
                <w:sz w:val="12"/>
                <w:szCs w:val="12"/>
                <w:color w:val="auto"/>
              </w:rPr>
            </w:pPr>
          </w:p>
        </w:tc>
        <w:tc>
          <w:tcPr>
            <w:tcW w:w="20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(51,778)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(4,238)</w:t>
            </w:r>
          </w:p>
        </w:tc>
        <w:tc>
          <w:tcPr>
            <w:tcW w:w="2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jc w:val="right"/>
              <w:spacing w:after="0" w:line="156" w:lineRule="exact"/>
              <w:rPr>
                <w:sz w:val="20"/>
                <w:szCs w:val="20"/>
                <w:color w:val="auto"/>
              </w:rPr>
            </w:pPr>
            <w:r>
              <w:rPr>
                <w:rFonts w:ascii="Arial" w:cs="Arial" w:eastAsia="Arial" w:hAnsi="Arial"/>
                <w:sz w:val="14"/>
                <w:szCs w:val="14"/>
                <w:color w:val="auto"/>
              </w:rPr>
              <w:t>3,161,747</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1,855</w:t>
            </w:r>
          </w:p>
        </w:tc>
        <w:tc>
          <w:tcPr>
            <w:tcW w:w="180" w:type="dxa"/>
            <w:vAlign w:val="bottom"/>
          </w:tcPr>
          <w:p>
            <w:pPr>
              <w:spacing w:after="0"/>
              <w:rPr>
                <w:sz w:val="13"/>
                <w:szCs w:val="13"/>
                <w:color w:val="auto"/>
              </w:rPr>
            </w:pPr>
          </w:p>
        </w:tc>
        <w:tc>
          <w:tcPr>
            <w:tcW w:w="122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(57,777)</w:t>
            </w:r>
          </w:p>
        </w:tc>
        <w:tc>
          <w:tcPr>
            <w:tcW w:w="200" w:type="dxa"/>
            <w:vAlign w:val="bottom"/>
          </w:tcPr>
          <w:p>
            <w:pPr>
              <w:spacing w:after="0"/>
              <w:rPr>
                <w:sz w:val="13"/>
                <w:szCs w:val="13"/>
                <w:color w:val="auto"/>
              </w:rPr>
            </w:pPr>
          </w:p>
        </w:tc>
        <w:tc>
          <w:tcPr>
            <w:tcW w:w="11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(55,919)</w:t>
            </w:r>
          </w:p>
        </w:tc>
        <w:tc>
          <w:tcPr>
            <w:tcW w:w="0" w:type="dxa"/>
            <w:vAlign w:val="bottom"/>
          </w:tcPr>
          <w:p>
            <w:pPr>
              <w:spacing w:after="0"/>
              <w:rPr>
                <w:sz w:val="1"/>
                <w:szCs w:val="1"/>
                <w:color w:val="auto"/>
              </w:rPr>
            </w:pPr>
          </w:p>
        </w:tc>
      </w:tr>
      <w:tr>
        <w:trPr>
          <w:trHeight w:val="162"/>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4"/>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(4,197)</w:t>
            </w:r>
          </w:p>
        </w:tc>
        <w:tc>
          <w:tcPr>
            <w:tcW w:w="2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(4,197)</w:t>
            </w:r>
          </w:p>
        </w:tc>
        <w:tc>
          <w:tcPr>
            <w:tcW w:w="0" w:type="dxa"/>
            <w:vAlign w:val="bottom"/>
          </w:tcPr>
          <w:p>
            <w:pPr>
              <w:spacing w:after="0"/>
              <w:rPr>
                <w:sz w:val="1"/>
                <w:szCs w:val="1"/>
                <w:color w:val="auto"/>
              </w:rPr>
            </w:pPr>
          </w:p>
        </w:tc>
      </w:tr>
      <w:tr>
        <w:trPr>
          <w:trHeight w:val="305"/>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 w:type="dxa"/>
            <w:vAlign w:val="bottom"/>
          </w:tcPr>
          <w:p>
            <w:pPr>
              <w:jc w:val="right"/>
              <w:spacing w:after="0" w:line="156" w:lineRule="exact"/>
              <w:rPr>
                <w:sz w:val="20"/>
                <w:szCs w:val="20"/>
                <w:color w:val="auto"/>
              </w:rPr>
            </w:pPr>
            <w:r>
              <w:rPr>
                <w:rFonts w:ascii="Arial" w:cs="Arial" w:eastAsia="Arial" w:hAnsi="Arial"/>
                <w:sz w:val="14"/>
                <w:szCs w:val="14"/>
                <w:color w:val="auto"/>
              </w:rPr>
              <w:t>3,161,747</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1,935</w:t>
            </w:r>
          </w:p>
        </w:tc>
        <w:tc>
          <w:tcPr>
            <w:tcW w:w="180" w:type="dxa"/>
            <w:vAlign w:val="bottom"/>
          </w:tcPr>
          <w:p>
            <w:pPr>
              <w:spacing w:after="0"/>
              <w:rPr>
                <w:sz w:val="13"/>
                <w:szCs w:val="13"/>
                <w:color w:val="auto"/>
              </w:rPr>
            </w:pPr>
          </w:p>
        </w:tc>
        <w:tc>
          <w:tcPr>
            <w:tcW w:w="122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(61,974)</w:t>
            </w:r>
          </w:p>
        </w:tc>
        <w:tc>
          <w:tcPr>
            <w:tcW w:w="200" w:type="dxa"/>
            <w:vAlign w:val="bottom"/>
          </w:tcPr>
          <w:p>
            <w:pPr>
              <w:spacing w:after="0"/>
              <w:rPr>
                <w:sz w:val="13"/>
                <w:szCs w:val="13"/>
                <w:color w:val="auto"/>
              </w:rPr>
            </w:pPr>
          </w:p>
        </w:tc>
        <w:tc>
          <w:tcPr>
            <w:tcW w:w="11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(60,036)</w:t>
            </w:r>
          </w:p>
        </w:tc>
        <w:tc>
          <w:tcPr>
            <w:tcW w:w="0" w:type="dxa"/>
            <w:vAlign w:val="bottom"/>
          </w:tcPr>
          <w:p>
            <w:pPr>
              <w:spacing w:after="0"/>
              <w:rPr>
                <w:sz w:val="1"/>
                <w:szCs w:val="1"/>
                <w:color w:val="auto"/>
              </w:rPr>
            </w:pPr>
          </w:p>
        </w:tc>
      </w:tr>
      <w:tr>
        <w:trPr>
          <w:trHeight w:val="162"/>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86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75"/>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(3,044)</w:t>
            </w:r>
          </w:p>
        </w:tc>
        <w:tc>
          <w:tcPr>
            <w:tcW w:w="2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(3,044)</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tcPr>
          <w:p>
            <w:pPr>
              <w:jc w:val="right"/>
              <w:spacing w:after="0"/>
              <w:rPr>
                <w:sz w:val="20"/>
                <w:szCs w:val="20"/>
                <w:color w:val="auto"/>
              </w:rPr>
            </w:pPr>
            <w:r>
              <w:rPr>
                <w:rFonts w:ascii="Arial" w:cs="Arial" w:eastAsia="Arial" w:hAnsi="Arial"/>
                <w:sz w:val="14"/>
                <w:szCs w:val="14"/>
                <w:color w:val="auto"/>
              </w:rPr>
              <w:t>3,161,747</w:t>
            </w:r>
          </w:p>
        </w:tc>
        <w:tc>
          <w:tcPr>
            <w:tcW w:w="7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2,039</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(65,018)</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(62,976)</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-1773555</wp:posOffset>
            </wp:positionV>
            <wp:extent cx="6995160" cy="19284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928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500"/>
            <w:col w:w="5600"/>
          </w:cols>
          <w:pgMar w:left="320" w:top="455" w:right="49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080"/>
          </w:cols>
          <w:pgMar w:left="320" w:top="455" w:right="499" w:bottom="1440" w:gutter="0" w:footer="0" w:header="0"/>
          <w:type w:val="continuous"/>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38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2820" w:type="dxa"/>
            <w:vAlign w:val="bottom"/>
          </w:tcPr>
          <w:p>
            <w:pPr>
              <w:spacing w:after="0"/>
              <w:rPr>
                <w:sz w:val="15"/>
                <w:szCs w:val="15"/>
                <w:color w:val="auto"/>
              </w:rPr>
            </w:pPr>
          </w:p>
        </w:tc>
        <w:tc>
          <w:tcPr>
            <w:tcW w:w="176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2"/>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2019</w:t>
            </w: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820" w:type="dxa"/>
            <w:vAlign w:val="bottom"/>
            <w:vMerge w:val="continue"/>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10,313,808</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70,363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Net loss</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Issuance of convertible preferred stock,</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140"/>
              <w:spacing w:after="0"/>
              <w:rPr>
                <w:sz w:val="20"/>
                <w:szCs w:val="20"/>
                <w:color w:val="auto"/>
              </w:rPr>
            </w:pPr>
            <w:r>
              <w:rPr>
                <w:rFonts w:ascii="Arial" w:cs="Arial" w:eastAsia="Arial" w:hAnsi="Arial"/>
                <w:sz w:val="14"/>
                <w:szCs w:val="14"/>
                <w:color w:val="auto"/>
              </w:rPr>
              <w:t>net of issuance costs</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11,055,966</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line="156" w:lineRule="exact"/>
              <w:rPr>
                <w:sz w:val="20"/>
                <w:szCs w:val="20"/>
                <w:color w:val="auto"/>
              </w:rPr>
            </w:pPr>
            <w:r>
              <w:rPr>
                <w:rFonts w:ascii="Arial" w:cs="Arial" w:eastAsia="Arial" w:hAnsi="Arial"/>
                <w:sz w:val="14"/>
                <w:szCs w:val="14"/>
                <w:b w:val="1"/>
                <w:bCs w:val="1"/>
                <w:color w:val="auto"/>
              </w:rPr>
              <w:t>Balance as of March 31, 2020</w:t>
            </w:r>
          </w:p>
        </w:tc>
        <w:tc>
          <w:tcPr>
            <w:tcW w:w="82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21,369,774</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20"/>
                <w:szCs w:val="20"/>
                <w:color w:val="auto"/>
              </w:rPr>
            </w:pPr>
            <w:r>
              <w:rPr>
                <w:rFonts w:ascii="Arial" w:cs="Arial" w:eastAsia="Arial" w:hAnsi="Arial"/>
                <w:sz w:val="14"/>
                <w:szCs w:val="14"/>
                <w:color w:val="auto"/>
              </w:rPr>
              <w:t>Net loss</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20" w:type="dxa"/>
            <w:vAlign w:val="bottom"/>
          </w:tcPr>
          <w:p>
            <w:pPr>
              <w:spacing w:after="0" w:line="156" w:lineRule="exact"/>
              <w:rPr>
                <w:sz w:val="20"/>
                <w:szCs w:val="20"/>
                <w:color w:val="auto"/>
              </w:rPr>
            </w:pPr>
            <w:r>
              <w:rPr>
                <w:rFonts w:ascii="Arial" w:cs="Arial" w:eastAsia="Arial" w:hAnsi="Arial"/>
                <w:sz w:val="14"/>
                <w:szCs w:val="14"/>
                <w:b w:val="1"/>
                <w:bCs w:val="1"/>
                <w:color w:val="auto"/>
              </w:rPr>
              <w:t>Balance as of June 30, 2020</w:t>
            </w:r>
          </w:p>
        </w:tc>
        <w:tc>
          <w:tcPr>
            <w:tcW w:w="82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21,369,774</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Vesting of early exercised stock options</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Net loss</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Reclassification of warrants from liability</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to equity</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Conversion of convertible preferred stock</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into common stock</w:t>
            </w:r>
          </w:p>
        </w:tc>
        <w:tc>
          <w:tcPr>
            <w:tcW w:w="1100" w:type="dxa"/>
            <w:vAlign w:val="bottom"/>
            <w:gridSpan w:val="3"/>
          </w:tcPr>
          <w:p>
            <w:pPr>
              <w:jc w:val="right"/>
              <w:ind w:right="240"/>
              <w:spacing w:after="0"/>
              <w:rPr>
                <w:sz w:val="20"/>
                <w:szCs w:val="20"/>
                <w:color w:val="auto"/>
              </w:rPr>
            </w:pPr>
            <w:r>
              <w:rPr>
                <w:rFonts w:ascii="Arial" w:cs="Arial" w:eastAsia="Arial" w:hAnsi="Arial"/>
                <w:sz w:val="14"/>
                <w:szCs w:val="14"/>
                <w:color w:val="auto"/>
              </w:rPr>
              <w:t>(21,369,774)</w:t>
            </w:r>
          </w:p>
        </w:tc>
        <w:tc>
          <w:tcPr>
            <w:tcW w:w="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Cumulative dividends</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Issuance of common stock in connection</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with initial public offering, net of</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underwriter discounts and issuance</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costs</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Issuance of common stock under equity</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20" w:type="dxa"/>
            <w:vAlign w:val="bottom"/>
          </w:tcPr>
          <w:p>
            <w:pPr>
              <w:ind w:left="140"/>
              <w:spacing w:after="0"/>
              <w:rPr>
                <w:sz w:val="20"/>
                <w:szCs w:val="20"/>
                <w:color w:val="auto"/>
              </w:rPr>
            </w:pPr>
            <w:r>
              <w:rPr>
                <w:rFonts w:ascii="Arial" w:cs="Arial" w:eastAsia="Arial" w:hAnsi="Arial"/>
                <w:sz w:val="14"/>
                <w:szCs w:val="14"/>
                <w:color w:val="auto"/>
              </w:rPr>
              <w:t>incentive plans</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20"/>
                <w:szCs w:val="20"/>
                <w:color w:val="auto"/>
              </w:rPr>
            </w:pPr>
            <w:r>
              <w:rPr>
                <w:rFonts w:ascii="Arial" w:cs="Arial" w:eastAsia="Arial" w:hAnsi="Arial"/>
                <w:sz w:val="14"/>
                <w:szCs w:val="14"/>
                <w:color w:val="auto"/>
              </w:rPr>
              <w:t>Issuance of common stock upon net</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140"/>
              <w:spacing w:after="0"/>
              <w:rPr>
                <w:sz w:val="20"/>
                <w:szCs w:val="20"/>
                <w:color w:val="auto"/>
              </w:rPr>
            </w:pPr>
            <w:r>
              <w:rPr>
                <w:rFonts w:ascii="Arial" w:cs="Arial" w:eastAsia="Arial" w:hAnsi="Arial"/>
                <w:sz w:val="14"/>
                <w:szCs w:val="14"/>
                <w:color w:val="auto"/>
              </w:rPr>
              <w:t>exercise of warrants</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20"/>
                <w:szCs w:val="20"/>
                <w:color w:val="auto"/>
              </w:rPr>
            </w:pPr>
            <w:r>
              <w:rPr>
                <w:rFonts w:ascii="Arial" w:cs="Arial" w:eastAsia="Arial" w:hAnsi="Arial"/>
                <w:sz w:val="14"/>
                <w:szCs w:val="14"/>
                <w:b w:val="1"/>
                <w:bCs w:val="1"/>
                <w:color w:val="auto"/>
              </w:rPr>
              <w:t>Balance as of September 30, 2020</w:t>
            </w:r>
          </w:p>
        </w:tc>
        <w:tc>
          <w:tcPr>
            <w:tcW w:w="110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-3394075</wp:posOffset>
            </wp:positionV>
            <wp:extent cx="260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260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-8255</wp:posOffset>
            </wp:positionV>
            <wp:extent cx="260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10160</wp:posOffset>
            </wp:positionV>
            <wp:extent cx="6995160" cy="33604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33604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48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128"/>
              <w:spacing w:after="0" w:line="141" w:lineRule="exact"/>
              <w:rPr>
                <w:sz w:val="20"/>
                <w:szCs w:val="20"/>
                <w:color w:val="auto"/>
              </w:rPr>
            </w:pPr>
            <w:r>
              <w:rPr>
                <w:rFonts w:ascii="Arial" w:cs="Arial" w:eastAsia="Arial" w:hAnsi="Arial"/>
                <w:sz w:val="14"/>
                <w:szCs w:val="14"/>
                <w:b w:val="1"/>
                <w:bCs w:val="1"/>
                <w:color w:val="auto"/>
                <w:w w:val="98"/>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60"/>
              <w:spacing w:after="0" w:line="141" w:lineRule="exact"/>
              <w:rPr>
                <w:sz w:val="20"/>
                <w:szCs w:val="20"/>
                <w:color w:val="auto"/>
              </w:rPr>
            </w:pPr>
            <w:r>
              <w:rPr>
                <w:rFonts w:ascii="Arial" w:cs="Arial" w:eastAsia="Arial" w:hAnsi="Arial"/>
                <w:sz w:val="14"/>
                <w:szCs w:val="14"/>
                <w:b w:val="1"/>
                <w:bCs w:val="1"/>
                <w:color w:val="auto"/>
              </w:rPr>
              <w:t>PAID-IN</w:t>
            </w:r>
          </w:p>
        </w:tc>
        <w:tc>
          <w:tcPr>
            <w:tcW w:w="140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10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3,166,946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ind w:right="348"/>
              <w:spacing w:after="0" w:line="143"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2,140</w:t>
            </w: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(72,782)</w:t>
            </w:r>
          </w:p>
        </w:tc>
        <w:tc>
          <w:tcPr>
            <w:tcW w:w="280" w:type="dxa"/>
            <w:vAlign w:val="bottom"/>
          </w:tcPr>
          <w:p>
            <w:pPr>
              <w:spacing w:after="0"/>
              <w:rPr>
                <w:sz w:val="12"/>
                <w:szCs w:val="12"/>
                <w:color w:val="auto"/>
              </w:rPr>
            </w:pPr>
          </w:p>
        </w:tc>
        <w:tc>
          <w:tcPr>
            <w:tcW w:w="200" w:type="dxa"/>
            <w:vAlign w:val="bottom"/>
            <w:tcBorders>
              <w:top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(70,639)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151</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(5,454)</w:t>
            </w:r>
          </w:p>
        </w:tc>
        <w:tc>
          <w:tcPr>
            <w:tcW w:w="2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(5,454)</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7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3,166,946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2,307</w:t>
            </w:r>
          </w:p>
        </w:tc>
        <w:tc>
          <w:tcPr>
            <w:tcW w:w="180" w:type="dxa"/>
            <w:vAlign w:val="bottom"/>
          </w:tcPr>
          <w:p>
            <w:pPr>
              <w:spacing w:after="0"/>
              <w:rPr>
                <w:sz w:val="13"/>
                <w:szCs w:val="13"/>
                <w:color w:val="auto"/>
              </w:rPr>
            </w:pPr>
          </w:p>
        </w:tc>
        <w:tc>
          <w:tcPr>
            <w:tcW w:w="122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(78,236)</w:t>
            </w:r>
          </w:p>
        </w:tc>
        <w:tc>
          <w:tcPr>
            <w:tcW w:w="200" w:type="dxa"/>
            <w:vAlign w:val="bottom"/>
          </w:tcPr>
          <w:p>
            <w:pPr>
              <w:spacing w:after="0"/>
              <w:rPr>
                <w:sz w:val="13"/>
                <w:szCs w:val="13"/>
                <w:color w:val="auto"/>
              </w:rPr>
            </w:pPr>
          </w:p>
        </w:tc>
        <w:tc>
          <w:tcPr>
            <w:tcW w:w="11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(75,926)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2,853</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2,853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(11,331)</w:t>
            </w:r>
          </w:p>
        </w:tc>
        <w:tc>
          <w:tcPr>
            <w:tcW w:w="2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4"/>
                <w:szCs w:val="14"/>
                <w:color w:val="auto"/>
              </w:rPr>
              <w:t>3,166,946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jc w:val="right"/>
              <w:spacing w:after="0" w:line="156"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5,166</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(89,567)</w:t>
            </w:r>
          </w:p>
        </w:tc>
        <w:tc>
          <w:tcPr>
            <w:tcW w:w="200" w:type="dxa"/>
            <w:vAlign w:val="bottom"/>
          </w:tcPr>
          <w:p>
            <w:pPr>
              <w:spacing w:after="0"/>
              <w:rPr>
                <w:sz w:val="13"/>
                <w:szCs w:val="13"/>
                <w:color w:val="auto"/>
              </w:rPr>
            </w:pPr>
          </w:p>
        </w:tc>
        <w:tc>
          <w:tcPr>
            <w:tcW w:w="11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(84,398)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689</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(10,181)</w:t>
            </w:r>
          </w:p>
        </w:tc>
        <w:tc>
          <w:tcPr>
            <w:tcW w:w="20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(10,181)</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1,019</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292"/>
        </w:trPr>
        <w:tc>
          <w:tcPr>
            <w:tcW w:w="780" w:type="dxa"/>
            <w:vAlign w:val="bottom"/>
            <w:gridSpan w:val="2"/>
          </w:tcPr>
          <w:p>
            <w:pPr>
              <w:jc w:val="right"/>
              <w:spacing w:after="0"/>
              <w:rPr>
                <w:sz w:val="20"/>
                <w:szCs w:val="20"/>
                <w:color w:val="auto"/>
              </w:rPr>
            </w:pPr>
            <w:r>
              <w:rPr>
                <w:rFonts w:ascii="Arial" w:cs="Arial" w:eastAsia="Arial" w:hAnsi="Arial"/>
                <w:sz w:val="14"/>
                <w:szCs w:val="14"/>
                <w:color w:val="auto"/>
              </w:rPr>
              <w:t>21,369,774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175,022</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194"/>
        </w:trPr>
        <w:tc>
          <w:tcPr>
            <w:tcW w:w="780" w:type="dxa"/>
            <w:vAlign w:val="bottom"/>
            <w:gridSpan w:val="2"/>
          </w:tcPr>
          <w:p>
            <w:pPr>
              <w:jc w:val="right"/>
              <w:spacing w:after="0"/>
              <w:rPr>
                <w:sz w:val="20"/>
                <w:szCs w:val="20"/>
                <w:color w:val="auto"/>
              </w:rPr>
            </w:pPr>
            <w:r>
              <w:rPr>
                <w:rFonts w:ascii="Arial" w:cs="Arial" w:eastAsia="Arial" w:hAnsi="Arial"/>
                <w:sz w:val="14"/>
                <w:szCs w:val="14"/>
                <w:color w:val="auto"/>
              </w:rPr>
              <w:t>2,564,759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6"/>
                <w:szCs w:val="16"/>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48"/>
        </w:trPr>
        <w:tc>
          <w:tcPr>
            <w:tcW w:w="780" w:type="dxa"/>
            <w:vAlign w:val="bottom"/>
            <w:gridSpan w:val="2"/>
          </w:tcPr>
          <w:p>
            <w:pPr>
              <w:jc w:val="right"/>
              <w:spacing w:after="0"/>
              <w:rPr>
                <w:sz w:val="20"/>
                <w:szCs w:val="20"/>
                <w:color w:val="auto"/>
              </w:rPr>
            </w:pPr>
            <w:r>
              <w:rPr>
                <w:rFonts w:ascii="Arial" w:cs="Arial" w:eastAsia="Arial" w:hAnsi="Arial"/>
                <w:sz w:val="14"/>
                <w:szCs w:val="14"/>
                <w:color w:val="auto"/>
              </w:rPr>
              <w:t>9,775,000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169,531</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169,541</w:t>
            </w:r>
          </w:p>
        </w:tc>
        <w:tc>
          <w:tcPr>
            <w:tcW w:w="0" w:type="dxa"/>
            <w:vAlign w:val="bottom"/>
          </w:tcPr>
          <w:p>
            <w:pPr>
              <w:spacing w:after="0"/>
              <w:rPr>
                <w:sz w:val="1"/>
                <w:szCs w:val="1"/>
                <w:color w:val="auto"/>
              </w:rPr>
            </w:pPr>
          </w:p>
        </w:tc>
      </w:tr>
      <w:tr>
        <w:trPr>
          <w:trHeight w:val="324"/>
        </w:trPr>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182,111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299</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gridSpan w:val="2"/>
          </w:tcPr>
          <w:p>
            <w:pPr>
              <w:jc w:val="right"/>
              <w:spacing w:after="0"/>
              <w:rPr>
                <w:sz w:val="20"/>
                <w:szCs w:val="20"/>
                <w:color w:val="auto"/>
              </w:rPr>
            </w:pPr>
            <w:r>
              <w:rPr>
                <w:rFonts w:ascii="Arial" w:cs="Arial" w:eastAsia="Arial" w:hAnsi="Arial"/>
                <w:sz w:val="14"/>
                <w:szCs w:val="14"/>
                <w:color w:val="auto"/>
              </w:rPr>
              <w:t>37,107,522</w:t>
            </w:r>
          </w:p>
        </w:tc>
        <w:tc>
          <w:tcPr>
            <w:tcW w:w="100" w:type="dxa"/>
            <w:vAlign w:val="bottom"/>
          </w:tcPr>
          <w:p>
            <w:pPr>
              <w:spacing w:after="0"/>
              <w:rPr>
                <w:sz w:val="14"/>
                <w:szCs w:val="14"/>
                <w:color w:val="auto"/>
              </w:rPr>
            </w:pPr>
          </w:p>
        </w:tc>
        <w:tc>
          <w:tcPr>
            <w:tcW w:w="62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351,727</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(99,748)</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252,016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146050</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0" w:space="520"/>
            <w:col w:w="5820"/>
          </w:cols>
          <w:pgMar w:left="320" w:top="455" w:right="499" w:bottom="1440" w:gutter="0" w:footer="0" w:header="0"/>
          <w:type w:val="continuous"/>
        </w:sectPr>
      </w:pP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See accompanying notes to these condensed consolidated financial statements (unaudited).</w:t>
      </w:r>
    </w:p>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080"/>
          </w:cols>
          <w:pgMar w:left="320" w:top="455" w:right="499" w:bottom="1440" w:gutter="0" w:footer="0" w:header="0"/>
          <w:type w:val="continuous"/>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w:t>
      </w: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75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5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(11,479)</w:t>
            </w:r>
          </w:p>
        </w:tc>
        <w:tc>
          <w:tcPr>
            <w:tcW w:w="68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(26,966)</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317</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Stock-based compensation</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222</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3,693</w:t>
            </w:r>
          </w:p>
        </w:tc>
        <w:tc>
          <w:tcPr>
            <w:tcW w:w="0" w:type="dxa"/>
            <w:vAlign w:val="bottom"/>
          </w:tcPr>
          <w:p>
            <w:pPr>
              <w:spacing w:after="0"/>
              <w:rPr>
                <w:sz w:val="1"/>
                <w:szCs w:val="1"/>
                <w:color w:val="auto"/>
              </w:rPr>
            </w:pPr>
          </w:p>
        </w:tc>
      </w:tr>
      <w:tr>
        <w:trPr>
          <w:trHeight w:val="189"/>
        </w:trPr>
        <w:tc>
          <w:tcPr>
            <w:tcW w:w="758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fair value of compound derivative liability and warrants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189"/>
        </w:trPr>
        <w:tc>
          <w:tcPr>
            <w:tcW w:w="7580" w:type="dxa"/>
            <w:vAlign w:val="bottom"/>
          </w:tcPr>
          <w:p>
            <w:pPr>
              <w:ind w:left="240"/>
              <w:spacing w:after="0" w:line="189" w:lineRule="exact"/>
              <w:rPr>
                <w:sz w:val="20"/>
                <w:szCs w:val="20"/>
                <w:color w:val="auto"/>
              </w:rPr>
            </w:pPr>
            <w:r>
              <w:rPr>
                <w:rFonts w:ascii="Arial" w:cs="Arial" w:eastAsia="Arial" w:hAnsi="Arial"/>
                <w:sz w:val="17"/>
                <w:szCs w:val="17"/>
                <w:color w:val="auto"/>
              </w:rPr>
              <w:t>Gain on assignment of lease</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200" w:type="dxa"/>
            <w:vAlign w:val="bottom"/>
          </w:tcPr>
          <w:p>
            <w:pPr>
              <w:spacing w:after="0"/>
              <w:rPr>
                <w:sz w:val="16"/>
                <w:szCs w:val="16"/>
                <w:color w:val="auto"/>
              </w:rPr>
            </w:pPr>
          </w:p>
        </w:tc>
        <w:tc>
          <w:tcPr>
            <w:tcW w:w="14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(414)</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360</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(2,137)</w:t>
            </w:r>
          </w:p>
        </w:tc>
        <w:tc>
          <w:tcPr>
            <w:tcW w:w="0" w:type="dxa"/>
            <w:vAlign w:val="bottom"/>
          </w:tcPr>
          <w:p>
            <w:pPr>
              <w:spacing w:after="0"/>
              <w:rPr>
                <w:sz w:val="1"/>
                <w:szCs w:val="1"/>
                <w:color w:val="auto"/>
              </w:rPr>
            </w:pPr>
          </w:p>
        </w:tc>
      </w:tr>
      <w:tr>
        <w:trPr>
          <w:trHeight w:val="189"/>
        </w:trPr>
        <w:tc>
          <w:tcPr>
            <w:tcW w:w="7580" w:type="dxa"/>
            <w:vAlign w:val="bottom"/>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16"/>
                <w:szCs w:val="16"/>
                <w:color w:val="auto"/>
              </w:rPr>
            </w:pPr>
          </w:p>
        </w:tc>
        <w:tc>
          <w:tcPr>
            <w:tcW w:w="148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(91)</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(2,323)</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(291)</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1,995</w:t>
            </w:r>
          </w:p>
        </w:tc>
        <w:tc>
          <w:tcPr>
            <w:tcW w:w="0" w:type="dxa"/>
            <w:vAlign w:val="bottom"/>
          </w:tcPr>
          <w:p>
            <w:pPr>
              <w:spacing w:after="0"/>
              <w:rPr>
                <w:sz w:val="1"/>
                <w:szCs w:val="1"/>
                <w:color w:val="auto"/>
              </w:rPr>
            </w:pPr>
          </w:p>
        </w:tc>
      </w:tr>
      <w:tr>
        <w:trPr>
          <w:trHeight w:val="189"/>
        </w:trPr>
        <w:tc>
          <w:tcPr>
            <w:tcW w:w="7580" w:type="dxa"/>
            <w:vAlign w:val="bottom"/>
          </w:tcPr>
          <w:p>
            <w:pPr>
              <w:ind w:left="500"/>
              <w:spacing w:after="0" w:line="189" w:lineRule="exact"/>
              <w:rPr>
                <w:sz w:val="20"/>
                <w:szCs w:val="20"/>
                <w:color w:val="auto"/>
              </w:rPr>
            </w:pPr>
            <w:r>
              <w:rPr>
                <w:rFonts w:ascii="Arial" w:cs="Arial" w:eastAsia="Arial" w:hAnsi="Arial"/>
                <w:sz w:val="17"/>
                <w:szCs w:val="17"/>
                <w:color w:val="auto"/>
              </w:rPr>
              <w:t>Other non-current liabilities</w:t>
            </w:r>
          </w:p>
        </w:tc>
        <w:tc>
          <w:tcPr>
            <w:tcW w:w="2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80" w:type="dxa"/>
            <w:vAlign w:val="bottom"/>
            <w:shd w:val="clear" w:color="auto" w:fill="CCEEFF"/>
          </w:tcPr>
          <w:p>
            <w:pPr>
              <w:ind w:left="760"/>
              <w:spacing w:after="0" w:line="189" w:lineRule="exact"/>
              <w:rPr>
                <w:sz w:val="20"/>
                <w:szCs w:val="20"/>
                <w:color w:val="auto"/>
              </w:rPr>
            </w:pPr>
            <w:r>
              <w:rPr>
                <w:rFonts w:ascii="Arial" w:cs="Arial" w:eastAsia="Arial" w:hAnsi="Arial"/>
                <w:sz w:val="17"/>
                <w:szCs w:val="17"/>
                <w:color w:val="auto"/>
              </w:rPr>
              <w:t>Net cash used in operating activities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(11,375)</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(24,674)</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(415)</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Proceeds from assets held for sale</w:t>
            </w:r>
          </w:p>
        </w:tc>
        <w:tc>
          <w:tcPr>
            <w:tcW w:w="2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 investing activities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(415)</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196"/>
        </w:trPr>
        <w:tc>
          <w:tcPr>
            <w:tcW w:w="758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equity offerings, net</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172,724</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Payments of offering costs</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(3,183)</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exercise of common stock under equity incentive plans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Proceeds from related parties for issuance of convertible preferred stock, net</w:t>
            </w:r>
          </w:p>
        </w:tc>
        <w:tc>
          <w:tcPr>
            <w:tcW w:w="200" w:type="dxa"/>
            <w:vAlign w:val="bottom"/>
          </w:tcPr>
          <w:p>
            <w:pPr>
              <w:spacing w:after="0"/>
              <w:rPr>
                <w:sz w:val="16"/>
                <w:szCs w:val="16"/>
                <w:color w:val="auto"/>
              </w:rPr>
            </w:pP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6,829</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68,452</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convertible preferred stock, net</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2,601</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36,228</w:t>
            </w:r>
          </w:p>
        </w:tc>
        <w:tc>
          <w:tcPr>
            <w:tcW w:w="0" w:type="dxa"/>
            <w:vAlign w:val="bottom"/>
          </w:tcPr>
          <w:p>
            <w:pPr>
              <w:spacing w:after="0"/>
              <w:rPr>
                <w:sz w:val="1"/>
                <w:szCs w:val="1"/>
                <w:color w:val="auto"/>
              </w:rPr>
            </w:pPr>
          </w:p>
        </w:tc>
      </w:tr>
      <w:tr>
        <w:trPr>
          <w:trHeight w:val="203"/>
        </w:trPr>
        <w:tc>
          <w:tcPr>
            <w:tcW w:w="7580" w:type="dxa"/>
            <w:vAlign w:val="bottom"/>
          </w:tcPr>
          <w:p>
            <w:pPr>
              <w:spacing w:after="0"/>
              <w:rPr>
                <w:sz w:val="20"/>
                <w:szCs w:val="20"/>
                <w:color w:val="auto"/>
              </w:rPr>
            </w:pPr>
            <w:r>
              <w:rPr>
                <w:rFonts w:ascii="Arial" w:cs="Arial" w:eastAsia="Arial" w:hAnsi="Arial"/>
                <w:sz w:val="17"/>
                <w:szCs w:val="17"/>
                <w:color w:val="auto"/>
              </w:rPr>
              <w:t>Net cash provided by financing activities</w:t>
            </w: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9,430</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274,520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increase (decrease) in cash and cash equivalents</w:t>
            </w:r>
          </w:p>
        </w:tc>
        <w:tc>
          <w:tcPr>
            <w:tcW w:w="2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(2,360)</w:t>
            </w: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250,467</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Cash and cash equivalents at beginning of period</w:t>
            </w:r>
          </w:p>
        </w:tc>
        <w:tc>
          <w:tcPr>
            <w:tcW w:w="2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8,262</w:t>
            </w: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 at end of period</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5,902</w:t>
            </w: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259,484</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paid for interest</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Cash paid for taxes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tcPr>
          <w:p>
            <w:pPr>
              <w:spacing w:after="0" w:line="189" w:lineRule="exact"/>
              <w:rPr>
                <w:sz w:val="20"/>
                <w:szCs w:val="20"/>
                <w:color w:val="auto"/>
              </w:rPr>
            </w:pPr>
            <w:r>
              <w:rPr>
                <w:rFonts w:ascii="Arial" w:cs="Arial" w:eastAsia="Arial" w:hAnsi="Arial"/>
                <w:sz w:val="17"/>
                <w:szCs w:val="17"/>
                <w:color w:val="auto"/>
              </w:rPr>
              <w:t>Vesting of early exercised stock options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59</w:t>
            </w:r>
          </w:p>
        </w:tc>
        <w:tc>
          <w:tcPr>
            <w:tcW w:w="680" w:type="dxa"/>
            <w:vAlign w:val="bottom"/>
            <w:gridSpan w:val="2"/>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Acquisition of property and equipment in accounts payable</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61"/>
        </w:trPr>
        <w:tc>
          <w:tcPr>
            <w:tcW w:w="7580" w:type="dxa"/>
            <w:vAlign w:val="bottom"/>
          </w:tcPr>
          <w:p>
            <w:pPr>
              <w:spacing w:after="0" w:line="161" w:lineRule="exact"/>
              <w:rPr>
                <w:sz w:val="20"/>
                <w:szCs w:val="20"/>
                <w:color w:val="auto"/>
              </w:rPr>
            </w:pPr>
            <w:r>
              <w:rPr>
                <w:rFonts w:ascii="Arial" w:cs="Arial" w:eastAsia="Arial" w:hAnsi="Arial"/>
                <w:sz w:val="17"/>
                <w:szCs w:val="17"/>
                <w:color w:val="auto"/>
              </w:rPr>
              <w:t>Conversion of convertible preferred stock into common stock upon closing of initial public</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7580" w:type="dxa"/>
            <w:vAlign w:val="bottom"/>
          </w:tcPr>
          <w:p>
            <w:pPr>
              <w:ind w:left="240"/>
              <w:spacing w:after="0"/>
              <w:rPr>
                <w:sz w:val="20"/>
                <w:szCs w:val="20"/>
                <w:color w:val="auto"/>
              </w:rPr>
            </w:pPr>
            <w:r>
              <w:rPr>
                <w:rFonts w:ascii="Arial" w:cs="Arial" w:eastAsia="Arial" w:hAnsi="Arial"/>
                <w:sz w:val="17"/>
                <w:szCs w:val="17"/>
                <w:color w:val="auto"/>
              </w:rPr>
              <w:t>offering</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175,043</w:t>
            </w:r>
          </w:p>
        </w:tc>
        <w:tc>
          <w:tcPr>
            <w:tcW w:w="0" w:type="dxa"/>
            <w:vAlign w:val="bottom"/>
          </w:tcPr>
          <w:p>
            <w:pPr>
              <w:spacing w:after="0"/>
              <w:rPr>
                <w:sz w:val="1"/>
                <w:szCs w:val="1"/>
                <w:color w:val="auto"/>
              </w:rPr>
            </w:pPr>
          </w:p>
        </w:tc>
      </w:tr>
      <w:tr>
        <w:trPr>
          <w:trHeight w:val="189"/>
        </w:trPr>
        <w:tc>
          <w:tcPr>
            <w:tcW w:w="7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dividend on convertible preferred stock</w:t>
            </w: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 (unaudited).</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(unaudited)</w:t>
      </w:r>
    </w:p>
    <w:p>
      <w:pPr>
        <w:spacing w:after="0" w:line="191" w:lineRule="exact"/>
        <w:rPr>
          <w:sz w:val="20"/>
          <w:szCs w:val="20"/>
          <w:color w:val="auto"/>
        </w:rPr>
      </w:pPr>
    </w:p>
    <w:p>
      <w:pPr>
        <w:ind w:left="120" w:right="9280" w:hanging="4"/>
        <w:spacing w:after="0" w:line="311" w:lineRule="auto"/>
        <w:tabs>
          <w:tab w:leader="none" w:pos="39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ORGANIZATION </w:t>
      </w:r>
      <w:r>
        <w:rPr>
          <w:rFonts w:ascii="Arial" w:cs="Arial" w:eastAsia="Arial" w:hAnsi="Arial"/>
          <w:sz w:val="16"/>
          <w:szCs w:val="16"/>
          <w:b w:val="1"/>
          <w:bCs w:val="1"/>
          <w:i w:val="1"/>
          <w:iCs w:val="1"/>
          <w:color w:val="auto"/>
        </w:rPr>
        <w:t>Organization</w:t>
      </w:r>
    </w:p>
    <w:p>
      <w:pPr>
        <w:spacing w:after="0" w:line="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After Inception, ALX Oncology Limited became a wholly-owned subsidiary of the Company as a result of the internal reorganization. As part of the internal reorganization, all of the equity, option and warrant holders of ALX Oncology Limited became equity, option and warrant holders of the Company, holding the same number of corresponding shares, options and/or warrants in the Company as they did in ALX Oncology Limited immediately prior to the internal reorganization. The information included herein is presented as that of ALX Oncology Holdings Inc. unless such information refers to a date prior to April 1, 2020, in which case it will reflect that of ALX Oncology Limited, the predecessor company. The Company is a clinical-stage immuno-oncology company focused on helping patients fight cancer by developing therapies that block the CD47 checkpoint pathway and bridge the innate and adaptive immune system.</w:t>
      </w:r>
    </w:p>
    <w:p>
      <w:pPr>
        <w:spacing w:after="0" w:line="122" w:lineRule="exact"/>
        <w:rPr>
          <w:sz w:val="20"/>
          <w:szCs w:val="20"/>
          <w:color w:val="auto"/>
        </w:rPr>
      </w:pPr>
    </w:p>
    <w:p>
      <w:pPr>
        <w:ind w:left="120" w:right="40"/>
        <w:spacing w:after="0" w:line="246" w:lineRule="auto"/>
        <w:rPr>
          <w:sz w:val="20"/>
          <w:szCs w:val="20"/>
          <w:color w:val="auto"/>
        </w:rPr>
      </w:pPr>
      <w:r>
        <w:rPr>
          <w:rFonts w:ascii="Arial" w:cs="Arial" w:eastAsia="Arial" w:hAnsi="Arial"/>
          <w:sz w:val="17"/>
          <w:szCs w:val="17"/>
          <w:color w:val="auto"/>
        </w:rPr>
        <w:t>The Company owns subsidiaries, consisting of ALX Oncology Limited, incorporated in Ireland; ALX Oncology Inc., incorporated in the United States, and Alexo International Holdings Ltd, incorporated in Malta; Alexo Therapeutics International, incorporated in the Cayman Islands, which is a wholly-owned subsidiary of Alexo International Holdings Ltd. and Sirpant Therapeutics, incorporated in the Cayman Islands, which is a wholly-owned subsidiary of Alexo Therapeutics International, or collectively, the Subsidiaries.</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7"/>
          <w:szCs w:val="17"/>
          <w:color w:val="auto"/>
        </w:rPr>
        <w:t>As of September 30, 2020, the Company has devoted substantially all of its efforts to the formation and financing of the Company, as well as product development, and has not realized product revenues from its planned principal operations. The Company has no manufacturing facilities and all manufacturing related activities are contracted out to third-party service providers.</w:t>
      </w:r>
    </w:p>
    <w:p>
      <w:pPr>
        <w:spacing w:after="0" w:line="111" w:lineRule="exact"/>
        <w:rPr>
          <w:sz w:val="20"/>
          <w:szCs w:val="20"/>
          <w:color w:val="auto"/>
        </w:rPr>
      </w:pPr>
    </w:p>
    <w:p>
      <w:pPr>
        <w:ind w:left="120" w:right="720"/>
        <w:spacing w:after="0" w:line="245" w:lineRule="auto"/>
        <w:rPr>
          <w:sz w:val="20"/>
          <w:szCs w:val="20"/>
          <w:color w:val="auto"/>
        </w:rPr>
      </w:pPr>
      <w:r>
        <w:rPr>
          <w:rFonts w:ascii="Arial" w:cs="Arial" w:eastAsia="Arial" w:hAnsi="Arial"/>
          <w:sz w:val="17"/>
          <w:szCs w:val="17"/>
          <w:color w:val="auto"/>
        </w:rPr>
        <w:t>In July 2020, the Company consummated its initial public offering and issued 9,775,000 shares of common stock for net proceeds of approximately $169.5 million, after deducting underwriting discounts and commissions of $13.0 million and offering-related expenses of</w:t>
      </w:r>
    </w:p>
    <w:p>
      <w:pPr>
        <w:spacing w:after="0" w:line="1" w:lineRule="exact"/>
        <w:rPr>
          <w:sz w:val="20"/>
          <w:szCs w:val="20"/>
          <w:color w:val="auto"/>
        </w:rPr>
      </w:pPr>
    </w:p>
    <w:p>
      <w:pPr>
        <w:ind w:left="120" w:right="40"/>
        <w:spacing w:after="0" w:line="248" w:lineRule="auto"/>
        <w:rPr>
          <w:sz w:val="20"/>
          <w:szCs w:val="20"/>
          <w:color w:val="auto"/>
        </w:rPr>
      </w:pPr>
      <w:r>
        <w:rPr>
          <w:rFonts w:ascii="Arial" w:cs="Arial" w:eastAsia="Arial" w:hAnsi="Arial"/>
          <w:sz w:val="17"/>
          <w:szCs w:val="17"/>
          <w:color w:val="auto"/>
        </w:rPr>
        <w:t>$3.2 million. Upon the closing of the initial public offering, all shares of convertible preferred stock outstanding and accrued cumulative dividends were automatically converted into 23,934,533 shares of common stock.</w:t>
      </w:r>
    </w:p>
    <w:p>
      <w:pPr>
        <w:spacing w:after="0" w:line="114" w:lineRule="exact"/>
        <w:rPr>
          <w:sz w:val="20"/>
          <w:szCs w:val="20"/>
          <w:color w:val="auto"/>
        </w:rPr>
      </w:pPr>
    </w:p>
    <w:p>
      <w:pPr>
        <w:ind w:left="120" w:right="480"/>
        <w:spacing w:after="0" w:line="274" w:lineRule="auto"/>
        <w:rPr>
          <w:sz w:val="20"/>
          <w:szCs w:val="20"/>
          <w:color w:val="auto"/>
        </w:rPr>
      </w:pPr>
      <w:r>
        <w:rPr>
          <w:rFonts w:ascii="Arial" w:cs="Arial" w:eastAsia="Arial" w:hAnsi="Arial"/>
          <w:sz w:val="17"/>
          <w:szCs w:val="17"/>
          <w:color w:val="auto"/>
        </w:rPr>
        <w:t>On July 21, 2020, the Company’s amended and restated certificate of incorporation became effective, authorizing 1,000,000,000 shares of common stock and 100,000,000 shares of undesignated preferred stock.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41" w:lineRule="exact"/>
        <w:rPr>
          <w:sz w:val="20"/>
          <w:szCs w:val="20"/>
          <w:color w:val="auto"/>
        </w:rPr>
      </w:pPr>
    </w:p>
    <w:p>
      <w:pPr>
        <w:ind w:left="120" w:right="80"/>
        <w:spacing w:after="0" w:line="248" w:lineRule="auto"/>
        <w:rPr>
          <w:sz w:val="20"/>
          <w:szCs w:val="20"/>
          <w:color w:val="auto"/>
        </w:rPr>
      </w:pPr>
      <w:r>
        <w:rPr>
          <w:rFonts w:ascii="Arial" w:cs="Arial" w:eastAsia="Arial" w:hAnsi="Arial"/>
          <w:sz w:val="17"/>
          <w:szCs w:val="17"/>
          <w:color w:val="auto"/>
        </w:rPr>
        <w:t>As of September 30, 2020, the Company had cash and cash equivalents of $259.5 million, which will be sufficient to fund its planned operations for a period of at least twelve months following the issuance of these condensed consolidated financial statements.</w:t>
      </w:r>
    </w:p>
    <w:p>
      <w:pPr>
        <w:spacing w:after="0" w:line="114"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040"/>
          </w:cols>
          <w:pgMar w:left="320" w:top="455" w:right="5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120" w:right="7400" w:hanging="4"/>
        <w:spacing w:after="0" w:line="294" w:lineRule="auto"/>
        <w:tabs>
          <w:tab w:leader="none" w:pos="39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7"/>
          <w:szCs w:val="17"/>
          <w:b w:val="1"/>
          <w:bCs w:val="1"/>
          <w:i w:val="1"/>
          <w:iCs w:val="1"/>
          <w:color w:val="auto"/>
        </w:rPr>
        <w:t>Basis of Preparation</w:t>
      </w:r>
    </w:p>
    <w:p>
      <w:pPr>
        <w:ind w:left="120" w:right="140"/>
        <w:spacing w:after="0" w:line="246" w:lineRule="auto"/>
        <w:rPr>
          <w:sz w:val="20"/>
          <w:szCs w:val="20"/>
          <w:color w:val="auto"/>
        </w:rPr>
      </w:pPr>
      <w:r>
        <w:rPr>
          <w:rFonts w:ascii="Arial" w:cs="Arial" w:eastAsia="Arial" w:hAnsi="Arial"/>
          <w:sz w:val="17"/>
          <w:szCs w:val="17"/>
          <w:color w:val="auto"/>
        </w:rPr>
        <w:t>These condensed consolidated financial statements have been prepared in accordance with accounting principles generally accepted in the United States of America, or U.S. GAAP, and the applicable rules and regulations of the U.S. Securities and Exchange Commission, or SEC, for interim reporting.</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 intercompany balances and transactions have been eliminated in consolidation.</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Unaudited Condensed Consolidated Financial Statements</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condensed consolidated balance sheet as of September 30, 2020, the condensed consolidated statements of operations and comprehensive loss for the three and nine months ended September 30, 2019 and 2020, the condensed consolidated statements of convertible preferred stock and stockholders’ equity (deficit) for the three and nine months ended September 30, 2019 and 2020, and the condensed consolidated statements of cash flows for the nine months ended September 30, 2019 and 2020, are unaudited. These unaudited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September 30, 2020, and its results of operations for the periods presented. The results of operations for the three and nine months ended September 30, 2020, are not necessarily indicative of the results to be expected for any subsequent periods, including the year ended December 31, 2020, and therefore should not be relied upon as an indicator of future results. The condensed consolidated balance sheet as of December 31, 2019 included herein was derived from the audited consolidated financial statements as of that date. The accompanying condensed consolidated financial statements and related notes should be read in conjunction with the audited consolidated financial statements for the year ended December 31, 2019 and the notes thereto, which are included in the Company’s final prospectus for the Company’s initial public offering filed pursuant to Rule 424(b)(4) under the Securities Act of 1933, as amended, with the SEC on July 17, 2020.</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On July 8, 2020, the Company’s board of directors approved an amendment to the Company’s certificate of incorporation to effect a 1-for-6.5806 reverse split of its common stock and convertible preferred stock. The par values of the common and convertible preferred stock were not adjusted as a result of the reverse stock split. All authorized, issued and outstanding common stock, convertible preferred stock, stock options, warrants, and related per share amounts contained in the condensed consolidated financial statements have been retroactively adjusted to reflect this reverse stock split for all periods presented. The reverse stock split was effected on July 9, 2020.</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stock warrant liability, term loan compound derivative liability, term loan, valuation of the Company’s common stock,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41"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accounts and are stated at fair value.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100"/>
          </w:cols>
          <w:pgMar w:left="320" w:top="455" w:right="47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Concentration of Credit Risk and Other Risks and Uncertainties</w:t>
      </w:r>
    </w:p>
    <w:p>
      <w:pPr>
        <w:spacing w:after="0" w:line="4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The Company maintains deposits in federally insured financial institutions in excess of federally insured limits, and invests in money market funds. The Company is exposed to credit risk in the event of default by the financial institutions holding its cash and cash equivalents. The Company has not experienced any losses on its deposits of cash and cash equivalents.</w:t>
      </w:r>
    </w:p>
    <w:p>
      <w:pPr>
        <w:spacing w:after="0" w:line="121" w:lineRule="exact"/>
        <w:rPr>
          <w:sz w:val="20"/>
          <w:szCs w:val="20"/>
          <w:color w:val="auto"/>
        </w:rPr>
      </w:pPr>
    </w:p>
    <w:p>
      <w:pPr>
        <w:ind w:left="120" w:right="80"/>
        <w:spacing w:after="0" w:line="242"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21" w:lineRule="exact"/>
        <w:rPr>
          <w:sz w:val="20"/>
          <w:szCs w:val="20"/>
          <w:color w:val="auto"/>
        </w:rPr>
      </w:pPr>
    </w:p>
    <w:p>
      <w:pPr>
        <w:ind w:left="120" w:right="260"/>
        <w:spacing w:after="0" w:line="246" w:lineRule="auto"/>
        <w:rPr>
          <w:sz w:val="20"/>
          <w:szCs w:val="20"/>
          <w:color w:val="auto"/>
        </w:rPr>
      </w:pPr>
      <w:r>
        <w:rPr>
          <w:rFonts w:ascii="Arial" w:cs="Arial" w:eastAsia="Arial" w:hAnsi="Arial"/>
          <w:sz w:val="17"/>
          <w:szCs w:val="17"/>
          <w:color w:val="auto"/>
        </w:rPr>
        <w:t>The Company’s product candidates require approvals from the U.S. Food and Drug Administration, or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41"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Upon sale or retirement of assets, the cost and related accumulated depreciation or amortization are removed from the condensed consolidated balance sheet and the resulting gain or loss is reflected in the condensed consolidated statement of operations and comprehensive loss. Maintenance and repairs are charged to the condensed consolidated statement of operations and comprehensive loss as incurred.</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43" w:lineRule="exact"/>
        <w:rPr>
          <w:sz w:val="20"/>
          <w:szCs w:val="20"/>
          <w:color w:val="auto"/>
        </w:rPr>
      </w:pPr>
    </w:p>
    <w:p>
      <w:pPr>
        <w:ind w:left="120" w:right="520"/>
        <w:spacing w:after="0" w:line="246"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equity financing.</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43"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three and nine months ended September 30, 2019 and 2020.</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43"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condensed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22" w:lineRule="exact"/>
        <w:rPr>
          <w:sz w:val="20"/>
          <w:szCs w:val="20"/>
          <w:color w:val="auto"/>
        </w:rPr>
      </w:pPr>
    </w:p>
    <w:p>
      <w:pPr>
        <w:ind w:left="120" w:right="200"/>
        <w:spacing w:after="0" w:line="253" w:lineRule="auto"/>
        <w:rPr>
          <w:sz w:val="20"/>
          <w:szCs w:val="20"/>
          <w:color w:val="auto"/>
        </w:rPr>
      </w:pPr>
      <w:r>
        <w:rPr>
          <w:rFonts w:ascii="Arial" w:cs="Arial" w:eastAsia="Arial" w:hAnsi="Arial"/>
          <w:sz w:val="17"/>
          <w:szCs w:val="17"/>
          <w:color w:val="auto"/>
        </w:rPr>
        <w:t>The Company’s financial instruments consist of cash and cash equivalents, receivables due from related-party, accounts payable, the term loan compound derivative liability and the Series B convertible preferred stock warrant liability. The term loan compound derivative liability and the Series B convertible preferred stock warrant liability are</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140"/>
          </w:cols>
          <w:pgMar w:left="320" w:top="455" w:right="4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360"/>
        <w:spacing w:after="0" w:line="274" w:lineRule="auto"/>
        <w:rPr>
          <w:sz w:val="20"/>
          <w:szCs w:val="20"/>
          <w:color w:val="auto"/>
        </w:rPr>
      </w:pPr>
      <w:r>
        <w:rPr>
          <w:rFonts w:ascii="Arial" w:cs="Arial" w:eastAsia="Arial" w:hAnsi="Arial"/>
          <w:sz w:val="17"/>
          <w:szCs w:val="17"/>
          <w:color w:val="auto"/>
        </w:rPr>
        <w:t>re-measured at the end of every period and carried at fair value (Note 3). The recorded value of the Company’s receivables due from related-party and accounts payable approximates its current fair value due to the relatively short-term nature of these items.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 Loan</w:t>
      </w:r>
    </w:p>
    <w:p>
      <w:pPr>
        <w:spacing w:after="0" w:line="4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as amended, with Silicon Valley Bank, or SVB, and WestRiver Innovation Lending Fund VIII, LP, or WestRiver, collectively as lenders, and SVB,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41"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The Company records convertible preferred stock net of issuance costs on the dates of issuance, which represents the carrying value. In the event of a change of control of the Company, proceeds will be distributed in accordance with the liquidation preferences set forth in its organization documents unless the holders of convertible preferred stock have converted their convertible preferred stock into common stock. Convertible preferred stock are classified outside of stockholders’ equity (deficit) on the accompanying condensed consolidated balance sheets as events triggering the liquidation preferences are not solely within the Company’s control. The Company has elected not to adjust the carrying values of the convertible preferred stock to the liquidation preferences of such shares because of the uncertainty of whether or when such an event would occur. Upon the consummation of the Company’s initial public offering in July 2020, all shares of convertible preferred stock outstanding and accrued cumulative dividends automatically converted into 23,934,533 shares of common stock.</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Stock Warrant Liability</w:t>
      </w:r>
    </w:p>
    <w:p>
      <w:pPr>
        <w:spacing w:after="0" w:line="4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The Company has issued freestanding warrants to purchase its Series B convertible preferred stock. Freestanding warrants for the Company’s convertible preferred stock that are classified outside of permanent equity are recorded at fair value, and are subject to re-measurement at the end of every period until the earlier of the exercise of the warrants or the completion of a liquidation event, including the completion of an initial public offering. Upon exercise, the Series B convertible preferred stock warrant liability would be reclassified to additional paid-in capital, with any change in fair value recognized as a component of other expense, net. Following the Company’s initial public offering, the warrants were automatically converted to warrants to purchase shares of common stock (Note 5). The Company revalued the Series B convertible preferred stock warrants as of the completion of the initial public offering and reclassified the outstanding preferred stock warrant liability balance to additional paid-in capital with no further re-measurement required as common stock warrants are considered permanent equity.</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recognizes such revenues over time as services are delivered, and invoices the customer as the work is incurred in arrears.</w:t>
      </w:r>
    </w:p>
    <w:p>
      <w:pPr>
        <w:spacing w:after="0" w:line="156"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Company recognizes revenue when its customer obtains control of promised goods or services, in an amount that reflects the consideration which the Company expects to receive in exchange for those goods or services.</w:t>
      </w:r>
    </w:p>
    <w:p>
      <w:pPr>
        <w:spacing w:after="0" w:line="92" w:lineRule="exact"/>
        <w:rPr>
          <w:sz w:val="20"/>
          <w:szCs w:val="20"/>
          <w:color w:val="auto"/>
        </w:rPr>
      </w:pPr>
    </w:p>
    <w:p>
      <w:pPr>
        <w:ind w:left="120" w:right="180"/>
        <w:spacing w:after="0" w:line="24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17" w:lineRule="exact"/>
        <w:rPr>
          <w:sz w:val="20"/>
          <w:szCs w:val="20"/>
          <w:color w:val="auto"/>
        </w:rPr>
      </w:pPr>
    </w:p>
    <w:p>
      <w:pPr>
        <w:jc w:val="both"/>
        <w:ind w:left="120" w:right="620"/>
        <w:spacing w:after="0" w:line="253"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460"/>
        <w:spacing w:after="0" w:line="253" w:lineRule="auto"/>
        <w:rPr>
          <w:sz w:val="20"/>
          <w:szCs w:val="20"/>
          <w:color w:val="auto"/>
        </w:rPr>
      </w:pPr>
      <w:r>
        <w:rPr>
          <w:rFonts w:ascii="Arial" w:cs="Arial" w:eastAsia="Arial" w:hAnsi="Arial"/>
          <w:sz w:val="17"/>
          <w:szCs w:val="17"/>
          <w:color w:val="auto"/>
        </w:rPr>
        <w:t>within each contract that falls under the scope of Topic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43" w:lineRule="exact"/>
        <w:rPr>
          <w:sz w:val="20"/>
          <w:szCs w:val="20"/>
          <w:color w:val="auto"/>
        </w:rPr>
      </w:pPr>
    </w:p>
    <w:p>
      <w:pPr>
        <w:jc w:val="both"/>
        <w:ind w:left="120" w:right="260"/>
        <w:spacing w:after="0" w:line="246"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condensed consolidated statements of operations and comprehensive loss.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41"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Research and development costs are expensed as incurred and consist primarily of salaries and benefits, stock-based compensation expense, lab supplies and facility costs, as well as fees paid to nonemployees and entities that conduct certain research and development activities on behalf of the Company and expenses incurred in connection with license agreements (Note 8).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24"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its clinical and non-clinical studies and other third-party vendors. Through September 30, 2020,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Company accounts for stock-based compensation by measuring and recognizing compensation expense for all stock-based payments made to employees, directors and non-employees based on estimated grant-date fair values. The Company uses the straight-line method to allocate compensation expense to reporting periods over each optionee’s requisite service period, which is generally the vesting period, and estimates the fair value of stock-based awards to employees and directors using the Black-Scholes option-pricing model. The Black-Scholes model requires the input of subjective assumptions, including expected volatility, expected dividend yield, expected term, risk-free rate of return and the estimated fair value of the underlying common stock on the date of grant. The Company accounts for the effect of forfeitures as they occur.</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4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expense, net, and were immaterial for the three and nine months ended September 30, 2019 and 2020, respectively.</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Income Taxes</w:t>
      </w:r>
    </w:p>
    <w:p>
      <w:pPr>
        <w:spacing w:after="0" w:line="4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condensed consolidated financial statements. Under this method, deferred tax assets and liabilities are determined on the basis of the differences between the condensed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condensed consolidated statements of operations and comprehensive loss in the period that includes the enactment date. 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 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Comprehensive loss is equal to net loss for all periods presented.</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43" w:lineRule="exact"/>
        <w:rPr>
          <w:sz w:val="20"/>
          <w:szCs w:val="20"/>
          <w:color w:val="auto"/>
        </w:rPr>
      </w:pPr>
    </w:p>
    <w:p>
      <w:pPr>
        <w:ind w:left="120"/>
        <w:spacing w:after="0" w:line="246" w:lineRule="auto"/>
        <w:rPr>
          <w:sz w:val="20"/>
          <w:szCs w:val="20"/>
          <w:color w:val="auto"/>
        </w:rPr>
      </w:pPr>
      <w:r>
        <w:rPr>
          <w:rFonts w:ascii="Arial" w:cs="Arial" w:eastAsia="Arial" w:hAnsi="Arial"/>
          <w:sz w:val="17"/>
          <w:szCs w:val="17"/>
          <w:color w:val="auto"/>
        </w:rPr>
        <w:t>Basic net loss per share is calculated by dividing the net loss attributable to common stockholders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w:t>
      </w:r>
    </w:p>
    <w:p>
      <w:pPr>
        <w:spacing w:after="0" w:line="117" w:lineRule="exact"/>
        <w:rPr>
          <w:sz w:val="20"/>
          <w:szCs w:val="20"/>
          <w:color w:val="auto"/>
        </w:rPr>
      </w:pPr>
    </w:p>
    <w:p>
      <w:pPr>
        <w:ind w:left="120" w:right="80"/>
        <w:spacing w:after="0" w:line="239"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common stock and participating securities according to dividends declared or accumulated and participation rights in undistributed earnings. The two-class method requires net loss available to common stockholders for the period to be allocated between common and participating securities based upon their respective rights to share in the earnings as if all net loss for the period had been distributed. The Company’s convertible preferred stock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43"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80"/>
        <w:spacing w:after="0" w:line="246" w:lineRule="auto"/>
        <w:rPr>
          <w:sz w:val="20"/>
          <w:szCs w:val="20"/>
          <w:color w:val="auto"/>
        </w:rPr>
      </w:pPr>
      <w:r>
        <w:rPr>
          <w:rFonts w:ascii="Arial" w:cs="Arial" w:eastAsia="Arial" w:hAnsi="Arial"/>
          <w:sz w:val="17"/>
          <w:szCs w:val="17"/>
          <w:color w:val="auto"/>
        </w:rPr>
        <w:t>business entities, including smaller reporting companies, to fiscal years beginning after December 15, 2021. The new standard is effective for the Company beginning January 1, 2022 (or earlier if the Company ceases to be an emerging growth company). Early adoption is permitted. The Company is currently evaluating the effects of the adoption of this guidance on its condensed consolidated financial statements and related disclosures.</w:t>
      </w:r>
    </w:p>
    <w:p>
      <w:pPr>
        <w:spacing w:after="0" w:line="117"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condensed consolidated financial statements.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New Accounting Pronouncements Recently Adopted</w:t>
      </w:r>
    </w:p>
    <w:p>
      <w:pPr>
        <w:spacing w:after="0" w:line="43" w:lineRule="exact"/>
        <w:rPr>
          <w:sz w:val="20"/>
          <w:szCs w:val="20"/>
          <w:color w:val="auto"/>
        </w:rPr>
      </w:pPr>
    </w:p>
    <w:p>
      <w:pPr>
        <w:ind w:left="120" w:right="320"/>
        <w:spacing w:after="0" w:line="239" w:lineRule="auto"/>
        <w:rPr>
          <w:sz w:val="20"/>
          <w:szCs w:val="20"/>
          <w:color w:val="auto"/>
        </w:rPr>
      </w:pPr>
      <w:r>
        <w:rPr>
          <w:rFonts w:ascii="Arial" w:cs="Arial" w:eastAsia="Arial" w:hAnsi="Arial"/>
          <w:sz w:val="17"/>
          <w:szCs w:val="17"/>
          <w:color w:val="auto"/>
        </w:rPr>
        <w:t>In June 2016, the FASB issued ASU No.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The Company early adopted this guidance on January 1, 2020. The adoption of this guidance did not have a material impact on the Company’s condensed consolidated financial statements.</w:t>
      </w:r>
    </w:p>
    <w:p>
      <w:pPr>
        <w:spacing w:after="0" w:line="123"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In September 2018, the FASB issued ASU No. 2018-13, Fair Value Measurement (Topic 820): Disclosure Framework—Changes to the Disclosure Requirements for Fair Value Measurement. The FASB issued final guidance that eliminates, adds and modifies certain disclosure requirements for fair value measurements as part of its disclosure framework project. Under the ASU, entities will no longer be required to disclose the amount of transfers between Level 1 and Level 2 of the fair value hierarchy. Public companies will be required to disclose changes in unrealized gains and losses for the period included in other comprehensive income for recurring Level 3 fair value measurements held at the end of the reporting period and the range and weighted average used to develop significant unobservable inputs for Level 3 fair value measurements. ASU 2018-13 is effective for public business entities for annual reporting periods, and interim periods within those annual periods, beginning after December 15, 2019, with early adoption permitted. The Company adopted this guidance on January 1, 2020. The adoption of ASU 2018-13 did not have a material impact on its condensed consolidated financial statements.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60" w:lineRule="exact"/>
        <w:rPr>
          <w:sz w:val="20"/>
          <w:szCs w:val="20"/>
          <w:color w:val="auto"/>
        </w:rPr>
      </w:pPr>
    </w:p>
    <w:p>
      <w:pPr>
        <w:ind w:left="120" w:right="20"/>
        <w:spacing w:after="0" w:line="242" w:lineRule="auto"/>
        <w:rPr>
          <w:sz w:val="20"/>
          <w:szCs w:val="20"/>
          <w:color w:val="auto"/>
        </w:rPr>
      </w:pPr>
      <w:r>
        <w:rPr>
          <w:rFonts w:ascii="Arial" w:cs="Arial" w:eastAsia="Arial" w:hAnsi="Arial"/>
          <w:sz w:val="17"/>
          <w:szCs w:val="17"/>
          <w:color w:val="auto"/>
        </w:rPr>
        <w:t>The fair value of the Company’s financial assets and liabilities are determined in accordance with the fair value hierarchy established in ASC Topic 820, Fair Value Measurements and Disclosures.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1—Observable inputs, such as quoted prices in active markets</w:t>
      </w:r>
    </w:p>
    <w:p>
      <w:pPr>
        <w:spacing w:after="0" w:line="156" w:lineRule="exact"/>
        <w:rPr>
          <w:sz w:val="20"/>
          <w:szCs w:val="20"/>
          <w:color w:val="auto"/>
        </w:rPr>
      </w:pPr>
    </w:p>
    <w:p>
      <w:pPr>
        <w:ind w:left="560" w:right="200"/>
        <w:spacing w:after="0" w:line="253" w:lineRule="auto"/>
        <w:rPr>
          <w:sz w:val="20"/>
          <w:szCs w:val="20"/>
          <w:color w:val="auto"/>
        </w:rPr>
      </w:pPr>
      <w:r>
        <w:rPr>
          <w:rFonts w:ascii="Arial" w:cs="Arial" w:eastAsia="Arial" w:hAnsi="Arial"/>
          <w:sz w:val="17"/>
          <w:szCs w:val="17"/>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156"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The Company’s financial instruments consist of cash and cash equivalents, receivables due from related-party, accounts payable, the term loan compound derivative liability and the Series B convertible preferred stock warrant liability.</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Cash and cash equivalents are reported at their respective fair values on the Company’s condensed consolidated balance sheets. Where quoted prices are available in an active market, securities are classified as Level 1. The Company classifies money market funds as Level 1. When quoted market prices are not available for the specific security, then the Company estimates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123"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Company measures its Series B convertible preferred stock warrant liability and term loan compound derivative liability at fair value on a recurring basis and these are classified as Level 3 liabilities. The fair value of the Series B convertible preferred stock warrant liability was determined using an option-pricing model. The Company revalued the Series B convertible preferred stock warrants as of the completion of the initial public offering and reclassified the outstanding preferred stock warrant liability balance to additional paid-in capital with no further re-measurement required as the common stock warrants are considered permanent equity effective with the completion of the initial public offering. The Company calculated the fair value of the term loan compound derivative liability by computing the difference between the fair value of the term loan with the compound derivative using the “with and without” method under the income approach, and the fair value of the term loan without the compound derivative. The valuation methodology and underlying assumptions are discussed further in Note 5.</w:t>
      </w:r>
    </w:p>
    <w:p>
      <w:pPr>
        <w:spacing w:after="0" w:line="123"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2"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AS OF DECEMBER 31, 2019</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10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8"/>
              </w:rPr>
              <w:t>LEVEL 2</w:t>
            </w: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LEVEL 3</w:t>
            </w:r>
          </w:p>
        </w:tc>
        <w:tc>
          <w:tcPr>
            <w:tcW w:w="8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4680" w:type="dxa"/>
            <w:vAlign w:val="bottom"/>
            <w:tcBorders>
              <w:top w:val="single" w:sz="8" w:color="CCEEFF"/>
            </w:tcBorders>
            <w:gridSpan w:val="4"/>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Financial liabilities</w:t>
            </w:r>
          </w:p>
        </w:tc>
        <w:tc>
          <w:tcPr>
            <w:tcW w:w="2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2"/>
        </w:trPr>
        <w:tc>
          <w:tcPr>
            <w:tcW w:w="240" w:type="dxa"/>
            <w:vAlign w:val="bottom"/>
          </w:tcPr>
          <w:p>
            <w:pPr>
              <w:spacing w:after="0"/>
              <w:rPr>
                <w:sz w:val="14"/>
                <w:szCs w:val="14"/>
                <w:color w:val="auto"/>
              </w:rPr>
            </w:pPr>
          </w:p>
        </w:tc>
        <w:tc>
          <w:tcPr>
            <w:tcW w:w="4440" w:type="dxa"/>
            <w:vAlign w:val="bottom"/>
            <w:gridSpan w:val="3"/>
          </w:tcPr>
          <w:p>
            <w:pPr>
              <w:spacing w:after="0" w:line="162" w:lineRule="exact"/>
              <w:rPr>
                <w:sz w:val="20"/>
                <w:szCs w:val="20"/>
                <w:color w:val="auto"/>
              </w:rPr>
            </w:pPr>
            <w:r>
              <w:rPr>
                <w:rFonts w:ascii="Arial" w:cs="Arial" w:eastAsia="Arial" w:hAnsi="Arial"/>
                <w:sz w:val="17"/>
                <w:szCs w:val="17"/>
                <w:color w:val="auto"/>
              </w:rPr>
              <w:t>Non-current liabilities</w:t>
            </w: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
        </w:trPr>
        <w:tc>
          <w:tcPr>
            <w:tcW w:w="2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40" w:type="dxa"/>
            <w:vAlign w:val="bottom"/>
            <w:shd w:val="clear" w:color="auto" w:fill="CCEEFF"/>
          </w:tcPr>
          <w:p>
            <w:pPr>
              <w:spacing w:after="0"/>
              <w:rPr>
                <w:sz w:val="16"/>
                <w:szCs w:val="16"/>
                <w:color w:val="auto"/>
              </w:rPr>
            </w:pPr>
          </w:p>
        </w:tc>
        <w:tc>
          <w:tcPr>
            <w:tcW w:w="44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Compound derivative liability</w:t>
            </w:r>
          </w:p>
        </w:tc>
        <w:tc>
          <w:tcPr>
            <w:tcW w:w="2520" w:type="dxa"/>
            <w:vAlign w:val="bottom"/>
            <w:gridSpan w:val="2"/>
            <w:shd w:val="clear" w:color="auto" w:fill="CCEEFF"/>
          </w:tcPr>
          <w:p>
            <w:pPr>
              <w:ind w:left="2240"/>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51</w:t>
            </w:r>
          </w:p>
        </w:tc>
        <w:tc>
          <w:tcPr>
            <w:tcW w:w="30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31"/>
        </w:trPr>
        <w:tc>
          <w:tcPr>
            <w:tcW w:w="240" w:type="dxa"/>
            <w:vAlign w:val="bottom"/>
          </w:tcPr>
          <w:p>
            <w:pPr>
              <w:spacing w:after="0"/>
              <w:rPr>
                <w:sz w:val="20"/>
                <w:szCs w:val="20"/>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Warrant liability</w:t>
            </w:r>
          </w:p>
        </w:tc>
        <w:tc>
          <w:tcPr>
            <w:tcW w:w="2520" w:type="dxa"/>
            <w:vAlign w:val="bottom"/>
            <w:gridSpan w:val="2"/>
          </w:tcPr>
          <w:p>
            <w:pPr>
              <w:ind w:left="224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361</w:t>
            </w:r>
          </w:p>
        </w:tc>
        <w:tc>
          <w:tcPr>
            <w:tcW w:w="3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r>
        <w:trPr>
          <w:trHeight w:val="282"/>
        </w:trPr>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AS OF SEPTEMBER 30, 2020</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3"/>
                <w:szCs w:val="13"/>
                <w:color w:val="auto"/>
              </w:rPr>
            </w:pPr>
          </w:p>
        </w:tc>
        <w:tc>
          <w:tcPr>
            <w:tcW w:w="10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8"/>
              </w:rPr>
              <w:t>LEVEL 2</w:t>
            </w:r>
          </w:p>
        </w:tc>
        <w:tc>
          <w:tcPr>
            <w:tcW w:w="96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8"/>
              </w:rPr>
              <w:t>LEVEL 3</w:t>
            </w:r>
          </w:p>
        </w:tc>
        <w:tc>
          <w:tcPr>
            <w:tcW w:w="8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4680" w:type="dxa"/>
            <w:vAlign w:val="bottom"/>
            <w:tcBorders>
              <w:top w:val="single" w:sz="8" w:color="CCEEFF"/>
            </w:tcBorders>
            <w:gridSpan w:val="4"/>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Financial assets</w:t>
            </w:r>
          </w:p>
        </w:tc>
        <w:tc>
          <w:tcPr>
            <w:tcW w:w="2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9"/>
        </w:trPr>
        <w:tc>
          <w:tcPr>
            <w:tcW w:w="240" w:type="dxa"/>
            <w:vAlign w:val="bottom"/>
          </w:tcPr>
          <w:p>
            <w:pPr>
              <w:spacing w:after="0"/>
              <w:rPr>
                <w:sz w:val="14"/>
                <w:szCs w:val="14"/>
                <w:color w:val="auto"/>
              </w:rPr>
            </w:pPr>
          </w:p>
        </w:tc>
        <w:tc>
          <w:tcPr>
            <w:tcW w:w="1320" w:type="dxa"/>
            <w:vAlign w:val="bottom"/>
            <w:tcBorders>
              <w:bottom w:val="single" w:sz="8" w:color="auto"/>
            </w:tcBorders>
          </w:tcPr>
          <w:p>
            <w:pPr>
              <w:spacing w:after="0" w:line="162" w:lineRule="exact"/>
              <w:rPr>
                <w:sz w:val="20"/>
                <w:szCs w:val="20"/>
                <w:color w:val="auto"/>
              </w:rPr>
            </w:pPr>
            <w:r>
              <w:rPr>
                <w:rFonts w:ascii="Arial" w:cs="Arial" w:eastAsia="Arial" w:hAnsi="Arial"/>
                <w:sz w:val="17"/>
                <w:szCs w:val="17"/>
                <w:color w:val="auto"/>
                <w:w w:val="99"/>
              </w:rPr>
              <w:t>Cash equivalents</w:t>
            </w:r>
          </w:p>
        </w:tc>
        <w:tc>
          <w:tcPr>
            <w:tcW w:w="3120" w:type="dxa"/>
            <w:vAlign w:val="bottom"/>
            <w:gridSpan w:val="2"/>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240" w:type="dxa"/>
            <w:vAlign w:val="bottom"/>
            <w:shd w:val="clear" w:color="auto" w:fill="CCEEFF"/>
          </w:tcPr>
          <w:p>
            <w:pPr>
              <w:spacing w:after="0"/>
              <w:rPr>
                <w:sz w:val="16"/>
                <w:szCs w:val="16"/>
                <w:color w:val="auto"/>
              </w:rPr>
            </w:pPr>
          </w:p>
        </w:tc>
        <w:tc>
          <w:tcPr>
            <w:tcW w:w="44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Money market funds</w:t>
            </w:r>
          </w:p>
        </w:tc>
        <w:tc>
          <w:tcPr>
            <w:tcW w:w="3060" w:type="dxa"/>
            <w:vAlign w:val="bottom"/>
            <w:gridSpan w:val="4"/>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$90,114</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90,114</w:t>
            </w:r>
          </w:p>
        </w:tc>
      </w:tr>
      <w:tr>
        <w:trPr>
          <w:trHeight w:val="189"/>
        </w:trPr>
        <w:tc>
          <w:tcPr>
            <w:tcW w:w="4680" w:type="dxa"/>
            <w:vAlign w:val="bottom"/>
            <w:gridSpan w:val="4"/>
          </w:tcPr>
          <w:p>
            <w:pPr>
              <w:spacing w:after="0" w:line="189" w:lineRule="exact"/>
              <w:rPr>
                <w:sz w:val="20"/>
                <w:szCs w:val="20"/>
                <w:color w:val="auto"/>
              </w:rPr>
            </w:pPr>
            <w:r>
              <w:rPr>
                <w:rFonts w:ascii="Arial" w:cs="Arial" w:eastAsia="Arial" w:hAnsi="Arial"/>
                <w:sz w:val="17"/>
                <w:szCs w:val="17"/>
                <w:b w:val="1"/>
                <w:bCs w:val="1"/>
                <w:color w:val="auto"/>
              </w:rPr>
              <w:t>Financial liabilities</w:t>
            </w:r>
          </w:p>
        </w:tc>
        <w:tc>
          <w:tcPr>
            <w:tcW w:w="2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2"/>
        </w:trPr>
        <w:tc>
          <w:tcPr>
            <w:tcW w:w="240" w:type="dxa"/>
            <w:vAlign w:val="bottom"/>
            <w:shd w:val="clear" w:color="auto" w:fill="CCEEFF"/>
          </w:tcPr>
          <w:p>
            <w:pPr>
              <w:spacing w:after="0"/>
              <w:rPr>
                <w:sz w:val="14"/>
                <w:szCs w:val="14"/>
                <w:color w:val="auto"/>
              </w:rPr>
            </w:pPr>
          </w:p>
        </w:tc>
        <w:tc>
          <w:tcPr>
            <w:tcW w:w="4440" w:type="dxa"/>
            <w:vAlign w:val="bottom"/>
            <w:gridSpan w:val="3"/>
            <w:shd w:val="clear" w:color="auto" w:fill="CCEEFF"/>
          </w:tcPr>
          <w:p>
            <w:pPr>
              <w:spacing w:after="0" w:line="162" w:lineRule="exact"/>
              <w:rPr>
                <w:sz w:val="20"/>
                <w:szCs w:val="20"/>
                <w:color w:val="auto"/>
              </w:rPr>
            </w:pPr>
            <w:r>
              <w:rPr>
                <w:rFonts w:ascii="Arial" w:cs="Arial" w:eastAsia="Arial" w:hAnsi="Arial"/>
                <w:sz w:val="17"/>
                <w:szCs w:val="17"/>
                <w:color w:val="auto"/>
              </w:rPr>
              <w:t>Non-current liabilities</w:t>
            </w:r>
          </w:p>
        </w:tc>
        <w:tc>
          <w:tcPr>
            <w:tcW w:w="2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7"/>
        </w:trPr>
        <w:tc>
          <w:tcPr>
            <w:tcW w:w="24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31"/>
        </w:trPr>
        <w:tc>
          <w:tcPr>
            <w:tcW w:w="240" w:type="dxa"/>
            <w:vAlign w:val="bottom"/>
          </w:tcPr>
          <w:p>
            <w:pPr>
              <w:spacing w:after="0"/>
              <w:rPr>
                <w:sz w:val="20"/>
                <w:szCs w:val="20"/>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Compound derivative liability</w:t>
            </w:r>
          </w:p>
        </w:tc>
        <w:tc>
          <w:tcPr>
            <w:tcW w:w="2520" w:type="dxa"/>
            <w:vAlign w:val="bottom"/>
            <w:gridSpan w:val="2"/>
          </w:tcPr>
          <w:p>
            <w:pPr>
              <w:ind w:left="224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7"/>
                <w:szCs w:val="17"/>
                <w:color w:val="auto"/>
              </w:rPr>
              <w:t>43</w:t>
            </w:r>
          </w:p>
        </w:tc>
        <w:tc>
          <w:tcPr>
            <w:tcW w:w="3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is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COMPOUND</w:t>
            </w:r>
          </w:p>
        </w:tc>
      </w:tr>
      <w:tr>
        <w:trPr>
          <w:trHeight w:val="162"/>
        </w:trPr>
        <w:tc>
          <w:tcPr>
            <w:tcW w:w="39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w:t>
            </w:r>
          </w:p>
        </w:tc>
      </w:tr>
      <w:tr>
        <w:trPr>
          <w:trHeight w:val="177"/>
        </w:trPr>
        <w:tc>
          <w:tcPr>
            <w:tcW w:w="39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r>
      <w:tr>
        <w:trPr>
          <w:trHeight w:val="183"/>
        </w:trPr>
        <w:tc>
          <w:tcPr>
            <w:tcW w:w="39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Fair value at December 31, 2019</w:t>
            </w:r>
          </w:p>
        </w:tc>
        <w:tc>
          <w:tcPr>
            <w:tcW w:w="46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361</w:t>
            </w:r>
          </w:p>
        </w:tc>
        <w:tc>
          <w:tcPr>
            <w:tcW w:w="6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w:t>
            </w:r>
          </w:p>
        </w:tc>
        <w:tc>
          <w:tcPr>
            <w:tcW w:w="120" w:type="dxa"/>
            <w:vAlign w:val="bottom"/>
            <w:tcBorders>
              <w:top w:val="single" w:sz="8" w:color="CCEEFF"/>
            </w:tcBorders>
            <w:shd w:val="clear" w:color="auto" w:fill="CCEEFF"/>
          </w:tcPr>
          <w:p>
            <w:pPr>
              <w:spacing w:after="0"/>
              <w:rPr>
                <w:sz w:val="15"/>
                <w:szCs w:val="15"/>
                <w:color w:val="auto"/>
              </w:rPr>
            </w:pPr>
          </w:p>
        </w:tc>
      </w:tr>
      <w:tr>
        <w:trPr>
          <w:trHeight w:val="189"/>
        </w:trPr>
        <w:tc>
          <w:tcPr>
            <w:tcW w:w="3940" w:type="dxa"/>
            <w:vAlign w:val="bottom"/>
          </w:tcPr>
          <w:p>
            <w:pPr>
              <w:spacing w:after="0" w:line="189" w:lineRule="exact"/>
              <w:rPr>
                <w:sz w:val="20"/>
                <w:szCs w:val="20"/>
                <w:color w:val="auto"/>
              </w:rPr>
            </w:pPr>
            <w:r>
              <w:rPr>
                <w:rFonts w:ascii="Arial" w:cs="Arial" w:eastAsia="Arial" w:hAnsi="Arial"/>
                <w:sz w:val="17"/>
                <w:szCs w:val="17"/>
                <w:color w:val="auto"/>
              </w:rPr>
              <w:t>Change in fair value</w:t>
            </w:r>
          </w:p>
        </w:tc>
        <w:tc>
          <w:tcPr>
            <w:tcW w:w="4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658</w:t>
            </w:r>
          </w:p>
        </w:tc>
        <w:tc>
          <w:tcPr>
            <w:tcW w:w="380" w:type="dxa"/>
            <w:vAlign w:val="bottom"/>
          </w:tcPr>
          <w:p>
            <w:pPr>
              <w:spacing w:after="0"/>
              <w:rPr>
                <w:sz w:val="16"/>
                <w:szCs w:val="16"/>
                <w:color w:val="auto"/>
              </w:rPr>
            </w:pPr>
          </w:p>
        </w:tc>
        <w:tc>
          <w:tcPr>
            <w:tcW w:w="6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w:t>
            </w:r>
          </w:p>
        </w:tc>
      </w:tr>
      <w:tr>
        <w:trPr>
          <w:trHeight w:val="189"/>
        </w:trPr>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Reclassification to equity</w:t>
            </w:r>
          </w:p>
        </w:tc>
        <w:tc>
          <w:tcPr>
            <w:tcW w:w="4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(1,019)</w:t>
            </w:r>
          </w:p>
        </w:tc>
        <w:tc>
          <w:tcPr>
            <w:tcW w:w="3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96"/>
        </w:trPr>
        <w:tc>
          <w:tcPr>
            <w:tcW w:w="3940" w:type="dxa"/>
            <w:vAlign w:val="bottom"/>
          </w:tcPr>
          <w:p>
            <w:pPr>
              <w:spacing w:after="0"/>
              <w:rPr>
                <w:sz w:val="20"/>
                <w:szCs w:val="20"/>
                <w:color w:val="auto"/>
              </w:rPr>
            </w:pPr>
            <w:r>
              <w:rPr>
                <w:rFonts w:ascii="Arial" w:cs="Arial" w:eastAsia="Arial" w:hAnsi="Arial"/>
                <w:sz w:val="17"/>
                <w:szCs w:val="17"/>
                <w:color w:val="auto"/>
              </w:rPr>
              <w:t>Fair value at September 30, 2020</w:t>
            </w:r>
          </w:p>
        </w:tc>
        <w:tc>
          <w:tcPr>
            <w:tcW w:w="46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7"/>
                <w:szCs w:val="17"/>
                <w:color w:val="auto"/>
              </w:rPr>
            </w:pPr>
          </w:p>
        </w:tc>
      </w:tr>
      <w:tr>
        <w:trPr>
          <w:trHeight w:val="20"/>
        </w:trPr>
        <w:tc>
          <w:tcPr>
            <w:tcW w:w="39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94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2"/>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r>
        <w:trPr>
          <w:trHeight w:val="369"/>
        </w:trPr>
        <w:tc>
          <w:tcPr>
            <w:tcW w:w="3940" w:type="dxa"/>
            <w:vAlign w:val="bottom"/>
          </w:tcPr>
          <w:p>
            <w:pPr>
              <w:spacing w:after="0"/>
              <w:rPr>
                <w:sz w:val="24"/>
                <w:szCs w:val="24"/>
                <w:color w:val="auto"/>
              </w:rPr>
            </w:pPr>
          </w:p>
        </w:tc>
        <w:tc>
          <w:tcPr>
            <w:tcW w:w="4840" w:type="dxa"/>
            <w:vAlign w:val="bottom"/>
            <w:gridSpan w:val="2"/>
          </w:tcPr>
          <w:p>
            <w:pPr>
              <w:ind w:left="1400"/>
              <w:spacing w:after="0"/>
              <w:rPr>
                <w:sz w:val="20"/>
                <w:szCs w:val="20"/>
                <w:color w:val="auto"/>
              </w:rPr>
            </w:pPr>
            <w:r>
              <w:rPr>
                <w:rFonts w:ascii="Arial" w:cs="Arial" w:eastAsia="Arial" w:hAnsi="Arial"/>
                <w:sz w:val="16"/>
                <w:szCs w:val="16"/>
                <w:color w:val="auto"/>
              </w:rPr>
              <w:t>F-45</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did not have any outstanding financial assets or liabilities to be re-measured on a recurring basis as of September 30, 2019.</w:t>
      </w:r>
    </w:p>
    <w:p>
      <w:pPr>
        <w:spacing w:after="0" w:line="156"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There were no transfers of assets or liabilities between the fair value measurement levels during the year ended December 31, 2019 and the nine months ended September 30, 2020.</w:t>
      </w:r>
    </w:p>
    <w:p>
      <w:pPr>
        <w:spacing w:after="0" w:line="92" w:lineRule="exact"/>
        <w:rPr>
          <w:sz w:val="20"/>
          <w:szCs w:val="20"/>
          <w:color w:val="auto"/>
        </w:rPr>
      </w:pPr>
    </w:p>
    <w:p>
      <w:pPr>
        <w:ind w:left="120" w:right="640"/>
        <w:spacing w:after="0" w:line="274" w:lineRule="auto"/>
        <w:rPr>
          <w:sz w:val="20"/>
          <w:szCs w:val="20"/>
          <w:color w:val="auto"/>
        </w:rPr>
      </w:pPr>
      <w:r>
        <w:rPr>
          <w:rFonts w:ascii="Arial" w:cs="Arial" w:eastAsia="Arial" w:hAnsi="Arial"/>
          <w:sz w:val="17"/>
          <w:szCs w:val="17"/>
          <w:color w:val="auto"/>
        </w:rPr>
        <w:t>The carrying values of the Company’s financial instruments, such as accounts payable and accrued expenses and other current liabilities, approximate fair value due to the short-term nature of these items.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 Loan</w:t>
      </w:r>
    </w:p>
    <w:p>
      <w:pPr>
        <w:spacing w:after="0" w:line="43" w:lineRule="exact"/>
        <w:rPr>
          <w:sz w:val="20"/>
          <w:szCs w:val="20"/>
          <w:color w:val="auto"/>
        </w:rPr>
      </w:pPr>
    </w:p>
    <w:p>
      <w:pPr>
        <w:ind w:left="120" w:right="120"/>
        <w:spacing w:after="0" w:line="246" w:lineRule="auto"/>
        <w:rPr>
          <w:sz w:val="20"/>
          <w:szCs w:val="20"/>
          <w:color w:val="auto"/>
        </w:rPr>
      </w:pPr>
      <w:r>
        <w:rPr>
          <w:rFonts w:ascii="Arial" w:cs="Arial" w:eastAsia="Arial" w:hAnsi="Arial"/>
          <w:sz w:val="17"/>
          <w:szCs w:val="17"/>
          <w:color w:val="auto"/>
        </w:rPr>
        <w:t>The estimated fair value of the Term Loan was $6.1 million as of September 30, 2020, which approximates the carrying value and is classified as Level 3. The Company utilized a market yield analysis and income approach to estimate a value for the Term Loan. The key valuation assumptions used consist of the discount rate of 12.0% and the probability of the occurrence of a change in control event of 20.0%.</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BALANCE SHEET COMPONENTS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the components of property and equipment, net as of December 31, 2019 and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7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77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r>
      <w:tr>
        <w:trPr>
          <w:trHeight w:val="183"/>
        </w:trPr>
        <w:tc>
          <w:tcPr>
            <w:tcW w:w="77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74</w:t>
            </w:r>
          </w:p>
        </w:tc>
        <w:tc>
          <w:tcPr>
            <w:tcW w:w="120" w:type="dxa"/>
            <w:vAlign w:val="bottom"/>
            <w:shd w:val="clear" w:color="auto" w:fill="CCEEFF"/>
          </w:tcPr>
          <w:p>
            <w:pPr>
              <w:spacing w:after="0"/>
              <w:rPr>
                <w:sz w:val="15"/>
                <w:szCs w:val="15"/>
                <w:color w:val="auto"/>
              </w:rPr>
            </w:pP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220" w:type="dxa"/>
            <w:vAlign w:val="bottom"/>
          </w:tcPr>
          <w:p>
            <w:pPr>
              <w:spacing w:after="0"/>
              <w:rPr>
                <w:sz w:val="16"/>
                <w:szCs w:val="16"/>
                <w:color w:val="auto"/>
              </w:rPr>
            </w:pPr>
          </w:p>
        </w:tc>
        <w:tc>
          <w:tcPr>
            <w:tcW w:w="132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1,698</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40</w:t>
            </w:r>
          </w:p>
        </w:tc>
      </w:tr>
      <w:tr>
        <w:trPr>
          <w:trHeight w:val="189"/>
        </w:trPr>
        <w:tc>
          <w:tcPr>
            <w:tcW w:w="7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36</w:t>
            </w: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w:t>
            </w:r>
          </w:p>
        </w:tc>
      </w:tr>
      <w:tr>
        <w:trPr>
          <w:trHeight w:val="189"/>
        </w:trPr>
        <w:tc>
          <w:tcPr>
            <w:tcW w:w="778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429</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19</w:t>
            </w:r>
          </w:p>
        </w:tc>
      </w:tr>
      <w:tr>
        <w:trPr>
          <w:trHeight w:val="27"/>
        </w:trPr>
        <w:tc>
          <w:tcPr>
            <w:tcW w:w="7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7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2,309</w:t>
            </w: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142</w:t>
            </w:r>
          </w:p>
        </w:tc>
      </w:tr>
      <w:tr>
        <w:trPr>
          <w:trHeight w:val="203"/>
        </w:trPr>
        <w:tc>
          <w:tcPr>
            <w:tcW w:w="778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(1,449)</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17"/>
                <w:szCs w:val="17"/>
                <w:color w:val="auto"/>
              </w:rPr>
            </w:pPr>
          </w:p>
        </w:tc>
      </w:tr>
      <w:tr>
        <w:trPr>
          <w:trHeight w:val="189"/>
        </w:trPr>
        <w:tc>
          <w:tcPr>
            <w:tcW w:w="7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property and equipment, net</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860</w:t>
            </w:r>
          </w:p>
        </w:tc>
        <w:tc>
          <w:tcPr>
            <w:tcW w:w="70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r>
      <w:tr>
        <w:trPr>
          <w:trHeight w:val="20"/>
        </w:trPr>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color w:val="auto"/>
        </w:rPr>
        <w:t>Depreciation and amortization expense was $0.1 million for the three months ended September 30, 2019, and $0.3 million and $0.2 million for the nine months ended September 30, 2019 and 2020, respectively. Depreciation and amortization expense for the three months ended September 30, 2020 was nominal.</w:t>
      </w:r>
    </w:p>
    <w:p>
      <w:pPr>
        <w:spacing w:after="0" w:line="111" w:lineRule="exact"/>
        <w:rPr>
          <w:sz w:val="20"/>
          <w:szCs w:val="20"/>
          <w:color w:val="auto"/>
        </w:rPr>
      </w:pPr>
    </w:p>
    <w:p>
      <w:pPr>
        <w:ind w:left="120" w:right="20"/>
        <w:spacing w:after="0" w:line="246" w:lineRule="auto"/>
        <w:rPr>
          <w:sz w:val="20"/>
          <w:szCs w:val="20"/>
          <w:color w:val="auto"/>
        </w:rPr>
      </w:pPr>
      <w:r>
        <w:rPr>
          <w:rFonts w:ascii="Arial" w:cs="Arial" w:eastAsia="Arial" w:hAnsi="Arial"/>
          <w:sz w:val="17"/>
          <w:szCs w:val="17"/>
          <w:color w:val="auto"/>
        </w:rPr>
        <w:t>At June 30, 2020, certain lab equipment and other assets for an aggregated net book value of $0.6 million relating to the asset transfer with Tallac Therapeutics, Inc. (formerly known as Tollnine, Inc., or Tollnine), or Tallac Therapeutics, a related party (Note 9), met the criteria as assets held for sale. Those assets were reported at the lower of carrying value or fair value less costs to sell. In July 2020, the Company received $0.6 million cash in exchange for the transfer of such assets.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Accrued Expenses and Other Current Liabilities</w:t>
      </w:r>
    </w:p>
    <w:p>
      <w:pPr>
        <w:spacing w:after="0" w:line="43" w:lineRule="exact"/>
        <w:rPr>
          <w:sz w:val="20"/>
          <w:szCs w:val="20"/>
          <w:color w:val="auto"/>
        </w:rPr>
      </w:pPr>
    </w:p>
    <w:p>
      <w:pPr>
        <w:ind w:left="120" w:right="80"/>
        <w:spacing w:after="0" w:line="261" w:lineRule="auto"/>
        <w:rPr>
          <w:sz w:val="20"/>
          <w:szCs w:val="20"/>
          <w:color w:val="auto"/>
        </w:rPr>
      </w:pPr>
      <w:r>
        <w:rPr>
          <w:rFonts w:ascii="Arial" w:cs="Arial" w:eastAsia="Arial" w:hAnsi="Arial"/>
          <w:sz w:val="17"/>
          <w:szCs w:val="17"/>
          <w:color w:val="auto"/>
        </w:rPr>
        <w:t>The following table presents the components of accrued expenses and other current liabilities as of December 31, 2019 and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4580" w:type="dxa"/>
            <w:vAlign w:val="bottom"/>
            <w:tcBorders>
              <w:bottom w:val="single" w:sz="8" w:color="CCEEFF"/>
            </w:tcBorders>
          </w:tcPr>
          <w:p>
            <w:pPr>
              <w:spacing w:after="0"/>
              <w:rPr>
                <w:sz w:val="15"/>
                <w:szCs w:val="15"/>
                <w:color w:val="auto"/>
              </w:rPr>
            </w:pPr>
          </w:p>
        </w:tc>
        <w:tc>
          <w:tcPr>
            <w:tcW w:w="33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83"/>
        </w:trPr>
        <w:tc>
          <w:tcPr>
            <w:tcW w:w="4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Accrued professional fees</w:t>
            </w:r>
          </w:p>
        </w:tc>
        <w:tc>
          <w:tcPr>
            <w:tcW w:w="3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122</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345</w:t>
            </w:r>
          </w:p>
        </w:tc>
        <w:tc>
          <w:tcPr>
            <w:tcW w:w="60" w:type="dxa"/>
            <w:vAlign w:val="bottom"/>
            <w:shd w:val="clear" w:color="auto" w:fill="CCEEFF"/>
          </w:tcPr>
          <w:p>
            <w:pPr>
              <w:spacing w:after="0"/>
              <w:rPr>
                <w:sz w:val="15"/>
                <w:szCs w:val="15"/>
                <w:color w:val="auto"/>
              </w:rPr>
            </w:pP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7"/>
                <w:szCs w:val="17"/>
                <w:color w:val="auto"/>
              </w:rPr>
              <w:t>Accrued compensation</w:t>
            </w:r>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right"/>
              <w:ind w:right="840"/>
              <w:spacing w:after="0" w:line="189" w:lineRule="exact"/>
              <w:rPr>
                <w:sz w:val="20"/>
                <w:szCs w:val="20"/>
                <w:color w:val="auto"/>
              </w:rPr>
            </w:pPr>
            <w:r>
              <w:rPr>
                <w:rFonts w:ascii="Arial" w:cs="Arial" w:eastAsia="Arial" w:hAnsi="Arial"/>
                <w:sz w:val="17"/>
                <w:szCs w:val="17"/>
                <w:color w:val="auto"/>
              </w:rPr>
              <w:t>924</w:t>
            </w:r>
          </w:p>
        </w:tc>
        <w:tc>
          <w:tcPr>
            <w:tcW w:w="24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1,124</w:t>
            </w:r>
          </w:p>
        </w:tc>
      </w:tr>
      <w:tr>
        <w:trPr>
          <w:trHeight w:val="189"/>
        </w:trPr>
        <w:tc>
          <w:tcPr>
            <w:tcW w:w="4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clinical and nonclinical study costs</w:t>
            </w:r>
          </w:p>
        </w:tc>
        <w:tc>
          <w:tcPr>
            <w:tcW w:w="3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84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629</w:t>
            </w:r>
          </w:p>
        </w:tc>
      </w:tr>
      <w:tr>
        <w:trPr>
          <w:trHeight w:val="189"/>
        </w:trPr>
        <w:tc>
          <w:tcPr>
            <w:tcW w:w="4580" w:type="dxa"/>
            <w:vAlign w:val="bottom"/>
          </w:tcPr>
          <w:p>
            <w:pPr>
              <w:spacing w:after="0" w:line="189" w:lineRule="exact"/>
              <w:rPr>
                <w:sz w:val="20"/>
                <w:szCs w:val="20"/>
                <w:color w:val="auto"/>
              </w:rPr>
            </w:pPr>
            <w:r>
              <w:rPr>
                <w:rFonts w:ascii="Arial" w:cs="Arial" w:eastAsia="Arial" w:hAnsi="Arial"/>
                <w:sz w:val="17"/>
                <w:szCs w:val="17"/>
                <w:color w:val="auto"/>
              </w:rPr>
              <w:t>Accrued contract manufacturing</w:t>
            </w:r>
          </w:p>
        </w:tc>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right"/>
              <w:ind w:right="840"/>
              <w:spacing w:after="0" w:line="189" w:lineRule="exact"/>
              <w:rPr>
                <w:sz w:val="20"/>
                <w:szCs w:val="20"/>
                <w:color w:val="auto"/>
              </w:rPr>
            </w:pPr>
            <w:r>
              <w:rPr>
                <w:rFonts w:ascii="Arial" w:cs="Arial" w:eastAsia="Arial" w:hAnsi="Arial"/>
                <w:sz w:val="17"/>
                <w:szCs w:val="17"/>
                <w:color w:val="auto"/>
              </w:rPr>
              <w:t>53</w:t>
            </w:r>
          </w:p>
        </w:tc>
        <w:tc>
          <w:tcPr>
            <w:tcW w:w="240" w:type="dxa"/>
            <w:vAlign w:val="bottom"/>
          </w:tcPr>
          <w:p>
            <w:pPr>
              <w:spacing w:after="0"/>
              <w:rPr>
                <w:sz w:val="16"/>
                <w:szCs w:val="16"/>
                <w:color w:val="auto"/>
              </w:rPr>
            </w:pPr>
          </w:p>
        </w:tc>
        <w:tc>
          <w:tcPr>
            <w:tcW w:w="9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867</w:t>
            </w:r>
          </w:p>
        </w:tc>
      </w:tr>
      <w:tr>
        <w:trPr>
          <w:trHeight w:val="189"/>
        </w:trPr>
        <w:tc>
          <w:tcPr>
            <w:tcW w:w="4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3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840"/>
              <w:spacing w:after="0" w:line="189" w:lineRule="exact"/>
              <w:rPr>
                <w:sz w:val="20"/>
                <w:szCs w:val="20"/>
                <w:color w:val="auto"/>
              </w:rPr>
            </w:pPr>
            <w:r>
              <w:rPr>
                <w:rFonts w:ascii="Arial" w:cs="Arial" w:eastAsia="Arial" w:hAnsi="Arial"/>
                <w:sz w:val="17"/>
                <w:szCs w:val="17"/>
                <w:color w:val="auto"/>
              </w:rPr>
              <w:t>137</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240</w:t>
            </w:r>
          </w:p>
        </w:tc>
      </w:tr>
      <w:tr>
        <w:trPr>
          <w:trHeight w:val="196"/>
        </w:trPr>
        <w:tc>
          <w:tcPr>
            <w:tcW w:w="4580" w:type="dxa"/>
            <w:vAlign w:val="bottom"/>
          </w:tcPr>
          <w:p>
            <w:pPr>
              <w:spacing w:after="0"/>
              <w:rPr>
                <w:sz w:val="20"/>
                <w:szCs w:val="20"/>
                <w:color w:val="auto"/>
              </w:rPr>
            </w:pPr>
            <w:r>
              <w:rPr>
                <w:rFonts w:ascii="Arial" w:cs="Arial" w:eastAsia="Arial" w:hAnsi="Arial"/>
                <w:sz w:val="17"/>
                <w:szCs w:val="17"/>
                <w:color w:val="auto"/>
              </w:rPr>
              <w:t>Total accrued expenses and other current liabilities</w:t>
            </w:r>
          </w:p>
        </w:tc>
        <w:tc>
          <w:tcPr>
            <w:tcW w:w="33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1,236</w:t>
            </w:r>
          </w:p>
        </w:tc>
        <w:tc>
          <w:tcPr>
            <w:tcW w:w="8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3,205</w:t>
            </w:r>
          </w:p>
        </w:tc>
        <w:tc>
          <w:tcPr>
            <w:tcW w:w="60" w:type="dxa"/>
            <w:vAlign w:val="bottom"/>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5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2"/>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70"/>
        </w:trPr>
        <w:tc>
          <w:tcPr>
            <w:tcW w:w="4580" w:type="dxa"/>
            <w:vAlign w:val="bottom"/>
          </w:tcPr>
          <w:p>
            <w:pPr>
              <w:spacing w:after="0"/>
              <w:rPr>
                <w:sz w:val="24"/>
                <w:szCs w:val="24"/>
                <w:color w:val="auto"/>
              </w:rPr>
            </w:pPr>
          </w:p>
        </w:tc>
        <w:tc>
          <w:tcPr>
            <w:tcW w:w="3580" w:type="dxa"/>
            <w:vAlign w:val="bottom"/>
            <w:gridSpan w:val="2"/>
          </w:tcPr>
          <w:p>
            <w:pPr>
              <w:ind w:left="760"/>
              <w:spacing w:after="0"/>
              <w:rPr>
                <w:sz w:val="20"/>
                <w:szCs w:val="20"/>
                <w:color w:val="auto"/>
              </w:rPr>
            </w:pPr>
            <w:r>
              <w:rPr>
                <w:rFonts w:ascii="Arial" w:cs="Arial" w:eastAsia="Arial" w:hAnsi="Arial"/>
                <w:sz w:val="16"/>
                <w:szCs w:val="16"/>
                <w:color w:val="auto"/>
              </w:rPr>
              <w:t>F-46</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TERM LOAN</w:t>
      </w:r>
    </w:p>
    <w:p>
      <w:pPr>
        <w:spacing w:after="0" w:line="60" w:lineRule="exact"/>
        <w:rPr>
          <w:sz w:val="20"/>
          <w:szCs w:val="20"/>
          <w:color w:val="auto"/>
        </w:rPr>
      </w:pPr>
    </w:p>
    <w:p>
      <w:pPr>
        <w:jc w:val="both"/>
        <w:ind w:left="120" w:right="320"/>
        <w:spacing w:after="0" w:line="253" w:lineRule="auto"/>
        <w:rPr>
          <w:sz w:val="20"/>
          <w:szCs w:val="20"/>
          <w:color w:val="auto"/>
        </w:rPr>
      </w:pPr>
      <w:r>
        <w:rPr>
          <w:rFonts w:ascii="Arial" w:cs="Arial" w:eastAsia="Arial" w:hAnsi="Arial"/>
          <w:sz w:val="17"/>
          <w:szCs w:val="17"/>
          <w:color w:val="auto"/>
        </w:rPr>
        <w:t>The Company’s wholly-owned subsidiaries Alexo Therapeutics International and Sirpant Therapeutics, as borrowers, entered into a Loan and Security Agreement, or the Loan Agreement, dated as of December 20, 2019, with SVB and WestRiver, collectively as lenders, and SVB, as administrative agent and collateral agent.</w:t>
      </w:r>
    </w:p>
    <w:p>
      <w:pPr>
        <w:spacing w:after="0" w:line="111"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As a result of the internal reorganization, in May 2020 the Company entered into a Joinder and First Amendment to the Loan and Security Agreement, or the Joinder Amendment, and Amended and Restated Warrants to Purchase Stock, or the Amended Warrants. The purpose for entering into the Joinder Amendment was to add the newly established ALX Oncology Holdings Inc. as additional borrower to the Term Loan. Concurrently, the Company modified the Amended Warrants to change the issuer from ALX Oncology Limited to ALX Oncology Holdings Inc. The Company accounted for the First Amendment to the Loan and Security Agreement as a modification.</w:t>
      </w:r>
    </w:p>
    <w:p>
      <w:pPr>
        <w:spacing w:after="0" w:line="121" w:lineRule="exact"/>
        <w:rPr>
          <w:sz w:val="20"/>
          <w:szCs w:val="20"/>
          <w:color w:val="auto"/>
        </w:rPr>
      </w:pPr>
    </w:p>
    <w:p>
      <w:pPr>
        <w:ind w:left="120" w:right="280"/>
        <w:spacing w:after="0" w:line="242" w:lineRule="auto"/>
        <w:rPr>
          <w:sz w:val="20"/>
          <w:szCs w:val="20"/>
          <w:color w:val="auto"/>
        </w:rPr>
      </w:pPr>
      <w:r>
        <w:rPr>
          <w:rFonts w:ascii="Arial" w:cs="Arial" w:eastAsia="Arial" w:hAnsi="Arial"/>
          <w:sz w:val="17"/>
          <w:szCs w:val="17"/>
          <w:color w:val="auto"/>
        </w:rPr>
        <w:t>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21"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3.25% as of September 30, 2020. Therefore, the rate applicable to the Company as of September 30, 2020 was 7.0%.</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2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conjunction with the Loan Agreement, the Company has issued warrants to purchase 61,292 Series B convertible preferred stock to SVB and WestRiver with an exercise price of $9.4972 per share. Following the Company’s initial public offering, these warrants were automatically converted to warrants to purchase 61,292 shares of common stock at an exercise price of $9.4972 per share. The estimated fair value of the warrants at the date of issuance was approximately $0.4 million. The Company revalued the Series B convertible preferred stock warrants as of the completion of the initial public offering and reclassified the outstanding preferred stock warrant liability balance of $1.0 million to additional paid-in capital with no further re-measurement required as the common stock warrants are considered permanent equity effective July 16, 2020. The fair value of the common stock warrant was determined using a Black-Scholes option-pricing model with the following assumptions: an expected term of 9.8 years, a volatility of 84.2%, a dividend rate of zero and a risk-free rate of 0.6%. The changes in fair value in warrant liability was recognized as a component of other expense, net in the accompanying condensed consolidated statement of operations and comprehensive loss. On August 17, 2020, SVB and WestRiver delivered the Notice of Exercise for net exercise of 61,292 warrants at an exercise price of $9.4972 per share. Accordingly, the Company issued 48,932 shares of the Company’s common stock (Note 6).</w:t>
      </w:r>
    </w:p>
    <w:p>
      <w:pPr>
        <w:spacing w:after="0" w:line="12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92" w:lineRule="exact"/>
        <w:rPr>
          <w:sz w:val="20"/>
          <w:szCs w:val="20"/>
          <w:color w:val="auto"/>
        </w:rPr>
      </w:pPr>
    </w:p>
    <w:p>
      <w:pPr>
        <w:ind w:left="120" w:right="60"/>
        <w:spacing w:after="0" w:line="246"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100"/>
          </w:cols>
          <w:pgMar w:left="320" w:top="455" w:right="47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expense, net in the condensed consolidated statement of operations and comprehensive loss. As of September 30, 2020, the fair value of the compound derivative liability was approximately $43,000 and was recorded in other non-current liabilities on the condensed consolidated balance sheets.</w:t>
      </w:r>
    </w:p>
    <w:p>
      <w:pPr>
        <w:spacing w:after="0" w:line="122"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7"/>
          <w:szCs w:val="17"/>
          <w:color w:val="auto"/>
        </w:rPr>
        <w:t>The fair value of Series B convertible preferred stock warrant liability at issuance, fair value of embedded derivatives which were bifurcated and other debt issuance costs have been treated as debt discounts on the Company’s condensed consolidated balance sheet and together with the final payment are being amortized to interest expense throughout the life of the term loan using the effective interest rate method.</w:t>
      </w:r>
    </w:p>
    <w:p>
      <w:pPr>
        <w:spacing w:after="0" w:line="111" w:lineRule="exact"/>
        <w:rPr>
          <w:sz w:val="20"/>
          <w:szCs w:val="20"/>
          <w:color w:val="auto"/>
        </w:rPr>
      </w:pPr>
    </w:p>
    <w:p>
      <w:pPr>
        <w:ind w:left="120" w:right="100"/>
        <w:spacing w:after="0" w:line="253" w:lineRule="auto"/>
        <w:rPr>
          <w:sz w:val="20"/>
          <w:szCs w:val="20"/>
          <w:color w:val="auto"/>
        </w:rPr>
      </w:pPr>
      <w:r>
        <w:rPr>
          <w:rFonts w:ascii="Arial" w:cs="Arial" w:eastAsia="Arial" w:hAnsi="Arial"/>
          <w:sz w:val="17"/>
          <w:szCs w:val="17"/>
          <w:color w:val="auto"/>
        </w:rPr>
        <w:t>As of September 30, 2020, there were unamortized issuance costs and debt discounts of $0.2 million, which were recorded as a direct deduction from the term loan on the condensed consolidated balance sheet. Interest expense for the term loan was $0.3 million and $0.7 million for the three and nine months ended September 30, 2020, respectively.</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future payments of principal and interest as of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97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83"/>
        </w:trPr>
        <w:tc>
          <w:tcPr>
            <w:tcW w:w="9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2020 (remaining three months)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976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3,743</w:t>
            </w:r>
          </w:p>
        </w:tc>
        <w:tc>
          <w:tcPr>
            <w:tcW w:w="100" w:type="dxa"/>
            <w:vAlign w:val="bottom"/>
          </w:tcPr>
          <w:p>
            <w:pPr>
              <w:spacing w:after="0"/>
              <w:rPr>
                <w:sz w:val="16"/>
                <w:szCs w:val="16"/>
                <w:color w:val="auto"/>
              </w:rPr>
            </w:pPr>
          </w:p>
        </w:tc>
      </w:tr>
      <w:tr>
        <w:trPr>
          <w:trHeight w:val="189"/>
        </w:trPr>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3,007</w:t>
            </w:r>
          </w:p>
        </w:tc>
        <w:tc>
          <w:tcPr>
            <w:tcW w:w="100" w:type="dxa"/>
            <w:vAlign w:val="bottom"/>
            <w:shd w:val="clear" w:color="auto" w:fill="CCEEFF"/>
          </w:tcPr>
          <w:p>
            <w:pPr>
              <w:spacing w:after="0"/>
              <w:rPr>
                <w:sz w:val="16"/>
                <w:szCs w:val="16"/>
                <w:color w:val="auto"/>
              </w:rPr>
            </w:pPr>
          </w:p>
        </w:tc>
      </w:tr>
      <w:tr>
        <w:trPr>
          <w:trHeight w:val="203"/>
        </w:trPr>
        <w:tc>
          <w:tcPr>
            <w:tcW w:w="9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6,856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interest</w:t>
            </w:r>
          </w:p>
        </w:tc>
        <w:tc>
          <w:tcPr>
            <w:tcW w:w="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(496)</w:t>
            </w:r>
          </w:p>
        </w:tc>
      </w:tr>
      <w:tr>
        <w:trPr>
          <w:trHeight w:val="196"/>
        </w:trPr>
        <w:tc>
          <w:tcPr>
            <w:tcW w:w="9760" w:type="dxa"/>
            <w:vAlign w:val="bottom"/>
          </w:tcPr>
          <w:p>
            <w:pPr>
              <w:spacing w:after="0" w:line="189" w:lineRule="exact"/>
              <w:rPr>
                <w:sz w:val="20"/>
                <w:szCs w:val="20"/>
                <w:color w:val="auto"/>
              </w:rPr>
            </w:pPr>
            <w:r>
              <w:rPr>
                <w:rFonts w:ascii="Arial" w:cs="Arial" w:eastAsia="Arial" w:hAnsi="Arial"/>
                <w:sz w:val="17"/>
                <w:szCs w:val="17"/>
                <w:color w:val="auto"/>
              </w:rPr>
              <w:t>Less: amount representing final payment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(360)</w:t>
            </w:r>
          </w:p>
        </w:tc>
      </w:tr>
      <w:tr>
        <w:trPr>
          <w:trHeight w:val="189"/>
        </w:trPr>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 principal amount</w:t>
            </w:r>
          </w:p>
        </w:tc>
        <w:tc>
          <w:tcPr>
            <w:tcW w:w="20" w:type="dxa"/>
            <w:vAlign w:val="bottom"/>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6,000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6"/>
        </w:trPr>
        <w:tc>
          <w:tcPr>
            <w:tcW w:w="9760" w:type="dxa"/>
            <w:vAlign w:val="bottom"/>
          </w:tcPr>
          <w:p>
            <w:pPr>
              <w:spacing w:after="0"/>
              <w:rPr>
                <w:sz w:val="20"/>
                <w:szCs w:val="20"/>
                <w:color w:val="auto"/>
              </w:rPr>
            </w:pPr>
            <w:r>
              <w:rPr>
                <w:rFonts w:ascii="Arial" w:cs="Arial" w:eastAsia="Arial" w:hAnsi="Arial"/>
                <w:sz w:val="17"/>
                <w:szCs w:val="17"/>
                <w:color w:val="auto"/>
              </w:rPr>
              <w:t>Less: unamortized issuance costs and debt discounts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9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current portion</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(2,571)</w:t>
            </w:r>
          </w:p>
        </w:tc>
      </w:tr>
      <w:tr>
        <w:trPr>
          <w:trHeight w:val="196"/>
        </w:trPr>
        <w:tc>
          <w:tcPr>
            <w:tcW w:w="9760" w:type="dxa"/>
            <w:vAlign w:val="bottom"/>
          </w:tcPr>
          <w:p>
            <w:pPr>
              <w:spacing w:after="0"/>
              <w:rPr>
                <w:sz w:val="20"/>
                <w:szCs w:val="20"/>
                <w:color w:val="auto"/>
              </w:rPr>
            </w:pPr>
            <w:r>
              <w:rPr>
                <w:rFonts w:ascii="Arial" w:cs="Arial" w:eastAsia="Arial" w:hAnsi="Arial"/>
                <w:sz w:val="17"/>
                <w:szCs w:val="17"/>
                <w:color w:val="auto"/>
              </w:rPr>
              <w:t>Non-current portion of term loan</w:t>
            </w: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3,189</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CAPITAL STRUCTURE</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Common Stock</w:t>
      </w:r>
    </w:p>
    <w:p>
      <w:pPr>
        <w:spacing w:after="0" w:line="41" w:lineRule="exact"/>
        <w:rPr>
          <w:sz w:val="20"/>
          <w:szCs w:val="20"/>
          <w:color w:val="auto"/>
        </w:rPr>
      </w:pPr>
    </w:p>
    <w:p>
      <w:pPr>
        <w:ind w:left="120" w:right="460"/>
        <w:spacing w:after="0" w:line="248" w:lineRule="auto"/>
        <w:rPr>
          <w:sz w:val="20"/>
          <w:szCs w:val="20"/>
          <w:color w:val="auto"/>
        </w:rPr>
      </w:pPr>
      <w:r>
        <w:rPr>
          <w:rFonts w:ascii="Arial" w:cs="Arial" w:eastAsia="Arial" w:hAnsi="Arial"/>
          <w:sz w:val="17"/>
          <w:szCs w:val="17"/>
          <w:color w:val="auto"/>
        </w:rPr>
        <w:t>Common stock reserved for future issuance, on an as if converted basis, as of December 31, 2019 and September 30, 2020,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4600" w:type="dxa"/>
            <w:vAlign w:val="bottom"/>
          </w:tcPr>
          <w:p>
            <w:pPr>
              <w:spacing w:after="0"/>
              <w:rPr>
                <w:sz w:val="15"/>
                <w:szCs w:val="15"/>
                <w:color w:val="auto"/>
              </w:rPr>
            </w:pPr>
          </w:p>
        </w:tc>
        <w:tc>
          <w:tcPr>
            <w:tcW w:w="494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1140" w:type="dxa"/>
            <w:vAlign w:val="bottom"/>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183"/>
        </w:trPr>
        <w:tc>
          <w:tcPr>
            <w:tcW w:w="4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stock issued and outstanding</w:t>
            </w:r>
          </w:p>
        </w:tc>
        <w:tc>
          <w:tcPr>
            <w:tcW w:w="38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10,313,808</w:t>
            </w:r>
          </w:p>
        </w:tc>
        <w:tc>
          <w:tcPr>
            <w:tcW w:w="2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7"/>
                <w:szCs w:val="17"/>
                <w:color w:val="auto"/>
              </w:rPr>
              <w:t>Stock options issued and outstanding</w:t>
            </w:r>
          </w:p>
        </w:tc>
        <w:tc>
          <w:tcPr>
            <w:tcW w:w="522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1,183,745</w:t>
            </w:r>
          </w:p>
        </w:tc>
        <w:tc>
          <w:tcPr>
            <w:tcW w:w="12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4,751,589</w:t>
            </w:r>
          </w:p>
        </w:tc>
      </w:tr>
      <w:tr>
        <w:trPr>
          <w:trHeight w:val="189"/>
        </w:trPr>
        <w:tc>
          <w:tcPr>
            <w:tcW w:w="4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 options authorized for future issuance</w:t>
            </w:r>
          </w:p>
        </w:tc>
        <w:tc>
          <w:tcPr>
            <w:tcW w:w="522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566,900</w:t>
            </w:r>
          </w:p>
        </w:tc>
        <w:tc>
          <w:tcPr>
            <w:tcW w:w="12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2,941,162</w:t>
            </w:r>
          </w:p>
        </w:tc>
      </w:tr>
      <w:tr>
        <w:trPr>
          <w:trHeight w:val="189"/>
        </w:trPr>
        <w:tc>
          <w:tcPr>
            <w:tcW w:w="460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5220" w:type="dxa"/>
            <w:vAlign w:val="bottom"/>
            <w:gridSpan w:val="3"/>
          </w:tcPr>
          <w:p>
            <w:pPr>
              <w:jc w:val="right"/>
              <w:ind w:right="280"/>
              <w:spacing w:after="0" w:line="189" w:lineRule="exact"/>
              <w:rPr>
                <w:sz w:val="20"/>
                <w:szCs w:val="20"/>
                <w:color w:val="auto"/>
              </w:rPr>
            </w:pPr>
            <w:r>
              <w:rPr>
                <w:rFonts w:ascii="Arial" w:cs="Arial" w:eastAsia="Arial" w:hAnsi="Arial"/>
                <w:sz w:val="17"/>
                <w:szCs w:val="17"/>
                <w:color w:val="auto"/>
              </w:rPr>
              <w:t>61,292</w:t>
            </w:r>
          </w:p>
        </w:tc>
        <w:tc>
          <w:tcPr>
            <w:tcW w:w="12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4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5220" w:type="dxa"/>
            <w:vAlign w:val="bottom"/>
            <w:gridSpan w:val="3"/>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30,646</w:t>
            </w:r>
          </w:p>
        </w:tc>
        <w:tc>
          <w:tcPr>
            <w:tcW w:w="12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96"/>
        </w:trPr>
        <w:tc>
          <w:tcPr>
            <w:tcW w:w="4600" w:type="dxa"/>
            <w:vAlign w:val="bottom"/>
          </w:tcPr>
          <w:p>
            <w:pPr>
              <w:spacing w:after="0"/>
              <w:rPr>
                <w:sz w:val="20"/>
                <w:szCs w:val="20"/>
                <w:color w:val="auto"/>
              </w:rPr>
            </w:pPr>
            <w:r>
              <w:rPr>
                <w:rFonts w:ascii="Arial" w:cs="Arial" w:eastAsia="Arial" w:hAnsi="Arial"/>
                <w:sz w:val="17"/>
                <w:szCs w:val="17"/>
                <w:color w:val="auto"/>
              </w:rPr>
              <w:t>Total</w:t>
            </w:r>
          </w:p>
        </w:tc>
        <w:tc>
          <w:tcPr>
            <w:tcW w:w="388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12,156,391</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7,692,751</w:t>
            </w:r>
          </w:p>
        </w:tc>
        <w:tc>
          <w:tcPr>
            <w:tcW w:w="60" w:type="dxa"/>
            <w:vAlign w:val="bottom"/>
          </w:tcPr>
          <w:p>
            <w:pPr>
              <w:spacing w:after="0"/>
              <w:rPr>
                <w:sz w:val="17"/>
                <w:szCs w:val="17"/>
                <w:color w:val="auto"/>
              </w:rPr>
            </w:pPr>
          </w:p>
        </w:tc>
      </w:tr>
      <w:tr>
        <w:trPr>
          <w:trHeight w:val="223"/>
        </w:trPr>
        <w:tc>
          <w:tcPr>
            <w:tcW w:w="460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gridSpan w:val="3"/>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369"/>
        </w:trPr>
        <w:tc>
          <w:tcPr>
            <w:tcW w:w="4600" w:type="dxa"/>
            <w:vAlign w:val="bottom"/>
          </w:tcPr>
          <w:p>
            <w:pPr>
              <w:spacing w:after="0"/>
              <w:rPr>
                <w:sz w:val="24"/>
                <w:szCs w:val="24"/>
                <w:color w:val="auto"/>
              </w:rPr>
            </w:pPr>
          </w:p>
        </w:tc>
        <w:tc>
          <w:tcPr>
            <w:tcW w:w="5220" w:type="dxa"/>
            <w:vAlign w:val="bottom"/>
            <w:gridSpan w:val="3"/>
          </w:tcPr>
          <w:p>
            <w:pPr>
              <w:jc w:val="right"/>
              <w:ind w:right="4140"/>
              <w:spacing w:after="0"/>
              <w:rPr>
                <w:sz w:val="20"/>
                <w:szCs w:val="20"/>
                <w:color w:val="auto"/>
              </w:rPr>
            </w:pPr>
            <w:r>
              <w:rPr>
                <w:rFonts w:ascii="Arial" w:cs="Arial" w:eastAsia="Arial" w:hAnsi="Arial"/>
                <w:sz w:val="16"/>
                <w:szCs w:val="16"/>
                <w:color w:val="auto"/>
              </w:rPr>
              <w:t>F-48</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Preferred Stock</w:t>
      </w:r>
    </w:p>
    <w:p>
      <w:pPr>
        <w:spacing w:after="0" w:line="41" w:lineRule="exact"/>
        <w:rPr>
          <w:sz w:val="20"/>
          <w:szCs w:val="20"/>
          <w:color w:val="auto"/>
        </w:rPr>
      </w:pPr>
    </w:p>
    <w:p>
      <w:pPr>
        <w:ind w:left="120" w:right="820"/>
        <w:spacing w:after="0" w:line="232" w:lineRule="auto"/>
        <w:rPr>
          <w:sz w:val="20"/>
          <w:szCs w:val="20"/>
          <w:color w:val="auto"/>
        </w:rPr>
      </w:pPr>
      <w:r>
        <w:rPr>
          <w:rFonts w:ascii="Arial" w:cs="Arial" w:eastAsia="Arial" w:hAnsi="Arial"/>
          <w:sz w:val="17"/>
          <w:szCs w:val="17"/>
          <w:color w:val="auto"/>
        </w:rPr>
        <w:t>On July 21, 2020, the Company completed its initial public offering and issued 9,775,000 shares of common stock for net proceeds of approximately $169.5 million, after deducting underwriting discounts and commissions of $13.0 million and offering-related expenses of</w:t>
      </w:r>
    </w:p>
    <w:p>
      <w:pPr>
        <w:ind w:left="120" w:right="140"/>
        <w:spacing w:after="0" w:line="248" w:lineRule="auto"/>
        <w:rPr>
          <w:sz w:val="20"/>
          <w:szCs w:val="20"/>
          <w:color w:val="auto"/>
        </w:rPr>
      </w:pPr>
      <w:r>
        <w:rPr>
          <w:rFonts w:ascii="Arial" w:cs="Arial" w:eastAsia="Arial" w:hAnsi="Arial"/>
          <w:sz w:val="17"/>
          <w:szCs w:val="17"/>
          <w:color w:val="auto"/>
        </w:rPr>
        <w:t>$3.2 million. Upon the closing of the initial public offering, all shares of convertible preferred stock outstanding and accrued cumulative dividends were automatically converted into 23,934,533 shares of common stock.</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2019, the Company’s convertible preferred stock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9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r>
      <w:tr>
        <w:trPr>
          <w:trHeight w:val="159"/>
        </w:trPr>
        <w:tc>
          <w:tcPr>
            <w:tcW w:w="5920" w:type="dxa"/>
            <w:vAlign w:val="bottom"/>
          </w:tcPr>
          <w:p>
            <w:pPr>
              <w:spacing w:after="0"/>
              <w:rPr>
                <w:sz w:val="13"/>
                <w:szCs w:val="13"/>
                <w:color w:val="auto"/>
              </w:rPr>
            </w:pPr>
          </w:p>
        </w:tc>
        <w:tc>
          <w:tcPr>
            <w:tcW w:w="1320" w:type="dxa"/>
            <w:vAlign w:val="bottom"/>
            <w:gridSpan w:val="3"/>
          </w:tcPr>
          <w:p>
            <w:pPr>
              <w:jc w:val="center"/>
              <w:ind w:right="38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b w:val="1"/>
                <w:bCs w:val="1"/>
                <w:color w:val="auto"/>
              </w:rPr>
              <w:t>LIQUIDATION</w:t>
            </w:r>
          </w:p>
        </w:tc>
      </w:tr>
      <w:tr>
        <w:trPr>
          <w:trHeight w:val="181"/>
        </w:trPr>
        <w:tc>
          <w:tcPr>
            <w:tcW w:w="5920" w:type="dxa"/>
            <w:vAlign w:val="bottom"/>
          </w:tcPr>
          <w:p>
            <w:pPr>
              <w:spacing w:after="0"/>
              <w:rPr>
                <w:sz w:val="15"/>
                <w:szCs w:val="15"/>
                <w:color w:val="auto"/>
              </w:rPr>
            </w:pPr>
          </w:p>
        </w:tc>
        <w:tc>
          <w:tcPr>
            <w:tcW w:w="13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81"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PREFERENCE</w:t>
            </w:r>
          </w:p>
        </w:tc>
      </w:tr>
      <w:tr>
        <w:trPr>
          <w:trHeight w:val="169"/>
        </w:trPr>
        <w:tc>
          <w:tcPr>
            <w:tcW w:w="59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592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stock</w:t>
            </w:r>
          </w:p>
        </w:tc>
        <w:tc>
          <w:tcPr>
            <w:tcW w:w="9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9,421,633</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jc w:val="right"/>
              <w:ind w:right="127"/>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r>
      <w:tr>
        <w:trPr>
          <w:trHeight w:val="189"/>
        </w:trPr>
        <w:tc>
          <w:tcPr>
            <w:tcW w:w="5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stock</w:t>
            </w:r>
          </w:p>
        </w:tc>
        <w:tc>
          <w:tcPr>
            <w:tcW w:w="9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2,145,370</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1,016,727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r>
      <w:tr>
        <w:trPr>
          <w:trHeight w:val="196"/>
        </w:trPr>
        <w:tc>
          <w:tcPr>
            <w:tcW w:w="5920" w:type="dxa"/>
            <w:vAlign w:val="bottom"/>
          </w:tcPr>
          <w:p>
            <w:pPr>
              <w:spacing w:after="0"/>
              <w:rPr>
                <w:sz w:val="20"/>
                <w:szCs w:val="20"/>
                <w:color w:val="auto"/>
              </w:rPr>
            </w:pPr>
            <w:r>
              <w:rPr>
                <w:rFonts w:ascii="Arial" w:cs="Arial" w:eastAsia="Arial" w:hAnsi="Arial"/>
                <w:sz w:val="17"/>
                <w:szCs w:val="17"/>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11,567,003</w:t>
            </w:r>
          </w:p>
        </w:tc>
        <w:tc>
          <w:tcPr>
            <w:tcW w:w="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10,313,808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70,363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83,585</w:t>
            </w:r>
          </w:p>
        </w:tc>
        <w:tc>
          <w:tcPr>
            <w:tcW w:w="60" w:type="dxa"/>
            <w:vAlign w:val="bottom"/>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2"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Net proceeds are gross proceeds from the offerings net of issuance costs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Preferred Stock Warrant Liability</w:t>
      </w:r>
    </w:p>
    <w:p>
      <w:pPr>
        <w:spacing w:after="0" w:line="41"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On July 21, 2020, the warrants to purchase 61,292 Series B convertible preferred stock issued to SVB and WestRiver with an exercise price of $9.4972 per share were automatically converted to warrants to purchase 61,292 shares of common stock at an exercise price of $9.4972 per share. The Company revalued the Series B convertible preferred stock warrants as of the completion of the initial public offering and reclassified the outstanding preferred stock warrant liability balance to additional paid-in capital with no further re-measurement required as the common stock warrants are considered permanent equity.</w:t>
      </w:r>
    </w:p>
    <w:p>
      <w:pPr>
        <w:spacing w:after="0" w:line="124" w:lineRule="exact"/>
        <w:rPr>
          <w:sz w:val="20"/>
          <w:szCs w:val="20"/>
          <w:color w:val="auto"/>
        </w:rPr>
      </w:pPr>
    </w:p>
    <w:p>
      <w:pPr>
        <w:ind w:left="120" w:right="340"/>
        <w:spacing w:after="0" w:line="275" w:lineRule="auto"/>
        <w:rPr>
          <w:sz w:val="20"/>
          <w:szCs w:val="20"/>
          <w:color w:val="auto"/>
        </w:rPr>
      </w:pPr>
      <w:r>
        <w:rPr>
          <w:rFonts w:ascii="Arial" w:cs="Arial" w:eastAsia="Arial" w:hAnsi="Arial"/>
          <w:sz w:val="17"/>
          <w:szCs w:val="17"/>
          <w:color w:val="auto"/>
        </w:rPr>
        <w:t>On August 17, 2020, SVB and WestRiver delivered the Notice of Exercise to net exercise 61,292 warrants at an exercise price of $9.4972 per share. Accordingly, the Company issued 48,932 shares of the Company’s common stock.</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Dividends</w:t>
      </w:r>
    </w:p>
    <w:p>
      <w:pPr>
        <w:spacing w:after="0" w:line="41"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Cumulative dividends of 6.0% per annum of the original issue price for each preferred stock series are payable when and as declared by the Company’s Board of Directors, or Board of Directors, upon the occurrence of a liquidation event or upon a contingent mandatory conversion of the preferred stock in connection with a qualified initial public offering as described below. The Series A original issue price is $6.58, and the Series B and Series C original issue price is $9.4972. The original issue price is subject to adjustment in the event of any share dividend, share split, combination, consolidation or other recapitalization. The dividends shall accrue from day to day from the issue date of such preferred stock whether or not declared and shall be cumulative. In addition, the preferred stockholders participate on an as-converted basis in any dividends payable to ordinary shareholders. As of July 20, 2020, there were approximately $18.0 million of accrued cumulative dividends on the Series A, Series B and Series C convertible preferred stock, which became payable upon the consummation of the Company’s initial public offering and automatically converted into 2,564,759 shares of the Company’s common stock.</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STOCK-BASED COMPENSATION</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2020 Amended and Restated Equity Incentive Plan</w:t>
      </w:r>
    </w:p>
    <w:p>
      <w:pPr>
        <w:spacing w:after="0" w:line="41" w:lineRule="exact"/>
        <w:rPr>
          <w:sz w:val="20"/>
          <w:szCs w:val="20"/>
          <w:color w:val="auto"/>
        </w:rPr>
      </w:pPr>
    </w:p>
    <w:p>
      <w:pPr>
        <w:ind w:left="120" w:right="320"/>
        <w:spacing w:after="0" w:line="248" w:lineRule="auto"/>
        <w:rPr>
          <w:sz w:val="20"/>
          <w:szCs w:val="20"/>
          <w:color w:val="auto"/>
        </w:rPr>
      </w:pPr>
      <w:r>
        <w:rPr>
          <w:rFonts w:ascii="Arial" w:cs="Arial" w:eastAsia="Arial" w:hAnsi="Arial"/>
          <w:sz w:val="17"/>
          <w:szCs w:val="17"/>
          <w:color w:val="auto"/>
        </w:rPr>
        <w:t>On April 1, 2020, the board of directors approved a new equity incentive plan, or the 2020 Equity Incentive Plan, that replaced the 2015 Share Award Scheme.</w:t>
      </w:r>
    </w:p>
    <w:p>
      <w:pPr>
        <w:spacing w:after="0" w:line="114" w:lineRule="exact"/>
        <w:rPr>
          <w:sz w:val="20"/>
          <w:szCs w:val="20"/>
          <w:color w:val="auto"/>
        </w:rPr>
      </w:pPr>
    </w:p>
    <w:p>
      <w:pPr>
        <w:ind w:left="120" w:right="580"/>
        <w:spacing w:after="0" w:line="275" w:lineRule="auto"/>
        <w:rPr>
          <w:sz w:val="20"/>
          <w:szCs w:val="20"/>
          <w:color w:val="auto"/>
        </w:rPr>
      </w:pPr>
      <w:r>
        <w:rPr>
          <w:rFonts w:ascii="Arial" w:cs="Arial" w:eastAsia="Arial" w:hAnsi="Arial"/>
          <w:sz w:val="17"/>
          <w:szCs w:val="17"/>
          <w:color w:val="auto"/>
        </w:rPr>
        <w:t>In July 2020, the Company adopted the Amended and Restated 2020 Equity Incentive Plan, or the 2020 Plan. The 2020 Plan replaced the Company’s 2020 Equity Incentive Plan and a total of 7,874,862 shares were reserved under the 2020 Plan.</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140"/>
          </w:cols>
          <w:pgMar w:left="320" w:top="455" w:right="4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 Option Modification</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connection with the transfer of employees to Tallac Therapeutics, Dr. Hong Wan, the Company’s former Chief Scientific Officer, and eight of the Company’s employees, or Transferred Employees, terminated their employment with the Company effective as of June 30, 2020 and became employees of Tallac Therapeutics effective as of July 1, 2020. The options to purchase shares of the Company’s common stock that were previously granted to the Transferred Employees will continue to vest and be exercisable subject to the Transferred Employees remaining service providers under the original terms of the award. The Company evaluated the change in status from an employee to a consultant in accordance with ASC 718. While the Company concluded that the change in status did not affect the vesting condition or the classification of the initial awards, the significant reduction in the level of services that the grantees were expected to provide under the original awards as compared to the level of services expected under the Tallac Services Agreement will no longer meet the substantive service condition requirements and therefore the compensation cost for the unvested awards was recognized immediately with no future service requirement. The Company recorded $2.3 million in stock-based compensation expenses related to the modification for the three months ended June 30, 2020.</w:t>
      </w:r>
    </w:p>
    <w:p>
      <w:pPr>
        <w:spacing w:after="0" w:line="124" w:lineRule="exact"/>
        <w:rPr>
          <w:sz w:val="20"/>
          <w:szCs w:val="20"/>
          <w:color w:val="auto"/>
        </w:rPr>
      </w:pPr>
    </w:p>
    <w:p>
      <w:pPr>
        <w:ind w:left="120" w:right="100"/>
        <w:spacing w:after="0" w:line="239" w:lineRule="auto"/>
        <w:rPr>
          <w:sz w:val="20"/>
          <w:szCs w:val="20"/>
          <w:color w:val="auto"/>
        </w:rPr>
      </w:pPr>
      <w:r>
        <w:rPr>
          <w:rFonts w:ascii="Arial" w:cs="Arial" w:eastAsia="Arial" w:hAnsi="Arial"/>
          <w:sz w:val="17"/>
          <w:szCs w:val="17"/>
          <w:color w:val="auto"/>
        </w:rPr>
        <w:t>In September 2020, in connection with the resignation of the Company’s former Chief Business Officer and the entry into a consulting agreement with him, the Company evaluated the change in status from an employee to a consultant in accordance with ASC 718. While the Company concluded that the change in status did not affect the vesting condition or the classification of the initial awards, the significant reduction in the level of services that the grantee was expected to provide under the original awards as compared to the level of services expected under the consulting agreement will no longer meet the substantive service condition requirements and therefore the compensation expense for the unvested awards expected to vest during the consultancy was recognized immediately with no future service requirement. The Company recorded $0.2 million in stock-based compensation expenses related to the modification for the three months ended September 30, 2020.</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41" w:lineRule="exact"/>
        <w:rPr>
          <w:sz w:val="20"/>
          <w:szCs w:val="20"/>
          <w:color w:val="auto"/>
        </w:rPr>
      </w:pPr>
    </w:p>
    <w:p>
      <w:pPr>
        <w:ind w:left="120" w:right="260"/>
        <w:spacing w:after="0" w:line="248" w:lineRule="auto"/>
        <w:rPr>
          <w:sz w:val="20"/>
          <w:szCs w:val="20"/>
          <w:color w:val="auto"/>
        </w:rPr>
      </w:pPr>
      <w:r>
        <w:rPr>
          <w:rFonts w:ascii="Arial" w:cs="Arial" w:eastAsia="Arial" w:hAnsi="Arial"/>
          <w:sz w:val="17"/>
          <w:szCs w:val="17"/>
          <w:color w:val="auto"/>
        </w:rPr>
        <w:t>Total stock-based compensation expense recognized in the condensed consolidated statements of operations and comprehensive loss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5"/>
                <w:szCs w:val="15"/>
                <w:color w:val="auto"/>
              </w:rPr>
            </w:pPr>
          </w:p>
        </w:tc>
        <w:tc>
          <w:tcPr>
            <w:tcW w:w="182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64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3"/>
        </w:trPr>
        <w:tc>
          <w:tcPr>
            <w:tcW w:w="6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4"/>
              </w:rPr>
              <w:t>25</w:t>
            </w: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(359)</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79</w:t>
            </w: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2,008</w:t>
            </w:r>
          </w:p>
        </w:tc>
        <w:tc>
          <w:tcPr>
            <w:tcW w:w="60" w:type="dxa"/>
            <w:vAlign w:val="bottom"/>
            <w:shd w:val="clear" w:color="auto" w:fill="CCEEFF"/>
          </w:tcPr>
          <w:p>
            <w:pPr>
              <w:spacing w:after="0"/>
              <w:rPr>
                <w:sz w:val="15"/>
                <w:szCs w:val="15"/>
                <w:color w:val="auto"/>
              </w:rPr>
            </w:pPr>
          </w:p>
        </w:tc>
      </w:tr>
      <w:tr>
        <w:trPr>
          <w:trHeight w:val="189"/>
        </w:trPr>
        <w:tc>
          <w:tcPr>
            <w:tcW w:w="646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w w:val="94"/>
              </w:rPr>
              <w:t>10</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1,048</w:t>
            </w:r>
          </w:p>
        </w:tc>
        <w:tc>
          <w:tcPr>
            <w:tcW w:w="140" w:type="dxa"/>
            <w:vAlign w:val="bottom"/>
          </w:tcPr>
          <w:p>
            <w:pPr>
              <w:spacing w:after="0"/>
              <w:rPr>
                <w:sz w:val="16"/>
                <w:szCs w:val="16"/>
                <w:color w:val="auto"/>
              </w:rPr>
            </w:pPr>
          </w:p>
        </w:tc>
        <w:tc>
          <w:tcPr>
            <w:tcW w:w="104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24</w:t>
            </w:r>
          </w:p>
        </w:tc>
        <w:tc>
          <w:tcPr>
            <w:tcW w:w="14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1,685</w:t>
            </w:r>
          </w:p>
        </w:tc>
      </w:tr>
      <w:tr>
        <w:trPr>
          <w:trHeight w:val="189"/>
        </w:trPr>
        <w:tc>
          <w:tcPr>
            <w:tcW w:w="6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4"/>
              </w:rPr>
              <w:t>51</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119</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96"/>
        </w:trPr>
        <w:tc>
          <w:tcPr>
            <w:tcW w:w="64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86</w:t>
            </w:r>
          </w:p>
        </w:tc>
        <w:tc>
          <w:tcPr>
            <w:tcW w:w="2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689</w:t>
            </w:r>
          </w:p>
        </w:tc>
        <w:tc>
          <w:tcPr>
            <w:tcW w:w="5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5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3,693</w:t>
            </w:r>
          </w:p>
        </w:tc>
        <w:tc>
          <w:tcPr>
            <w:tcW w:w="60" w:type="dxa"/>
            <w:vAlign w:val="bottom"/>
          </w:tcPr>
          <w:p>
            <w:pPr>
              <w:spacing w:after="0"/>
              <w:rPr>
                <w:sz w:val="17"/>
                <w:szCs w:val="17"/>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LICENSE AGREEMENT</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33"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22" w:lineRule="exact"/>
        <w:rPr>
          <w:sz w:val="20"/>
          <w:szCs w:val="20"/>
          <w:color w:val="auto"/>
        </w:rPr>
      </w:pPr>
    </w:p>
    <w:p>
      <w:pPr>
        <w:ind w:left="120" w:right="560"/>
        <w:spacing w:after="0" w:line="275"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w:t>
      </w:r>
    </w:p>
    <w:p>
      <w:pPr>
        <w:spacing w:after="0" w:line="8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$0.1 million, and granted Stanford a specified number of shares of common stock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September 30, 2020.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fails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33" w:lineRule="exact"/>
        <w:rPr>
          <w:sz w:val="20"/>
          <w:szCs w:val="20"/>
          <w:color w:val="auto"/>
        </w:rPr>
      </w:pPr>
    </w:p>
    <w:p>
      <w:pPr>
        <w:ind w:left="120" w:right="120"/>
        <w:spacing w:after="0" w:line="242"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 containing such compound in all fields of use. The rights granted under this agreement include the rights to grant sublicenses to contractors or other collaboration partners, in each case to develop production processes or manufacture licensed product containing ALX148.</w:t>
      </w:r>
    </w:p>
    <w:p>
      <w:pPr>
        <w:spacing w:after="0" w:line="120"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22" w:lineRule="exact"/>
        <w:rPr>
          <w:sz w:val="20"/>
          <w:szCs w:val="20"/>
          <w:color w:val="auto"/>
        </w:rPr>
      </w:pPr>
    </w:p>
    <w:p>
      <w:pPr>
        <w:ind w:left="120" w:right="140"/>
        <w:spacing w:after="0" w:line="242"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 certain circumstances the licenses granted under the agreement will terminate unless they have become fully paid up as described in the previous paragraph.</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33" w:lineRule="exact"/>
        <w:rPr>
          <w:sz w:val="20"/>
          <w:szCs w:val="20"/>
          <w:color w:val="auto"/>
        </w:rPr>
      </w:pPr>
    </w:p>
    <w:p>
      <w:pPr>
        <w:ind w:left="120" w:right="80"/>
        <w:spacing w:after="0" w:line="245"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w:t>
      </w:r>
      <w:r>
        <w:rPr>
          <w:rFonts w:ascii="Times New Roman" w:cs="Times New Roman" w:eastAsia="Times New Roman" w:hAnsi="Times New Roman"/>
          <w:sz w:val="17"/>
          <w:szCs w:val="17"/>
          <w:color w:val="auto"/>
        </w:rPr>
        <w:t>a</w:t>
      </w:r>
      <w:r>
        <w:rPr>
          <w:rFonts w:ascii="Arial" w:cs="Arial" w:eastAsia="Arial" w:hAnsi="Arial"/>
          <w:sz w:val="17"/>
          <w:szCs w:val="17"/>
          <w:color w:val="auto"/>
        </w:rPr>
        <w:t xml:space="preserve">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18"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40"/>
        <w:spacing w:after="0" w:line="242" w:lineRule="auto"/>
        <w:rPr>
          <w:sz w:val="20"/>
          <w:szCs w:val="20"/>
          <w:color w:val="auto"/>
        </w:rPr>
      </w:pPr>
      <w:r>
        <w:rPr>
          <w:rFonts w:ascii="Arial" w:cs="Arial" w:eastAsia="Arial" w:hAnsi="Arial"/>
          <w:sz w:val="17"/>
          <w:szCs w:val="17"/>
          <w:color w:val="auto"/>
        </w:rPr>
        <w:t>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21" w:lineRule="exact"/>
        <w:rPr>
          <w:sz w:val="20"/>
          <w:szCs w:val="20"/>
          <w:color w:val="auto"/>
        </w:rPr>
      </w:pPr>
    </w:p>
    <w:p>
      <w:pPr>
        <w:ind w:left="120" w:right="660"/>
        <w:spacing w:after="0" w:line="275"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92" w:lineRule="exact"/>
        <w:rPr>
          <w:sz w:val="20"/>
          <w:szCs w:val="20"/>
          <w:color w:val="auto"/>
        </w:rPr>
      </w:pPr>
    </w:p>
    <w:p>
      <w:pPr>
        <w:ind w:left="120" w:right="80"/>
        <w:spacing w:after="0" w:line="24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174" w:lineRule="exact"/>
        <w:rPr>
          <w:sz w:val="20"/>
          <w:szCs w:val="20"/>
          <w:color w:val="auto"/>
        </w:rPr>
      </w:pPr>
    </w:p>
    <w:p>
      <w:pPr>
        <w:ind w:left="120" w:right="7760" w:hanging="4"/>
        <w:spacing w:after="0" w:line="288" w:lineRule="auto"/>
        <w:tabs>
          <w:tab w:leader="none" w:pos="39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RELATED-PARTY TRANSACTIONS </w:t>
      </w:r>
      <w:r>
        <w:rPr>
          <w:rFonts w:ascii="Arial" w:cs="Arial" w:eastAsia="Arial" w:hAnsi="Arial"/>
          <w:sz w:val="17"/>
          <w:szCs w:val="17"/>
          <w:i w:val="1"/>
          <w:iCs w:val="1"/>
          <w:color w:val="auto"/>
        </w:rPr>
        <w:t>Related-party revenue</w:t>
      </w:r>
    </w:p>
    <w:p>
      <w:pPr>
        <w:spacing w:after="0" w:line="1"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In June 2018, the Company entered into a Research and Development Services Agreement, or Tollnine Agreement, with Tollnine, a related-party of the Company, to provide research and development services to Tollnine. The Company’s Chief Executive Officer was also the Chief Executive Officer of Tollnine until April 2020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the Company’s customer, obtains control of promised goods or services, in an amount that reflects the consideration which the Company expects to receive in exchange for those goods or services. The Company recognized related-party revenues of $1.3 million and zero for the three months ended September 30, 2019 and 2020, respectively, and $3.6 million and $1.2 million for the nine months ended September 30, 2019 and 2020, respectively, under the Tollnine Agreement. Effective as of July 1, 2020, the Company terminated the Tollnine Agreement and entered into the Tallac Services Agreement with Tallac Therapeutics.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Receivables due from related-party</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2019 and September 30, 2020, the Company had outstanding related-party receivables from Tollnine of $0.5 million.</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Tallac Service Agreement</w:t>
      </w:r>
    </w:p>
    <w:p>
      <w:pPr>
        <w:spacing w:after="0" w:line="33"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Company entered into a research and development services agreement, or the Tallac Services Agreement, with Tallac Therapeutics effective as of July 1, 2020. The Tallac Services Agreement provides that Tallac Therapeutics will provide certain preclinical research services to the Company for a service fee based on the costs incurred by Tallac Therapeutics plus a mark-up equal to 10.0% of such costs. The Tallac Services Agreement has an initial term of four years and is renewed automatically for additional one year terms thereafter. The Company records the payments for the research and development services as research and development costs within the condensed consolidated statement of operations and comprehensive loss. The Company has recorded $0.4 million as research and development costs for the three months ended September 30, 2020.</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60" w:lineRule="exact"/>
        <w:rPr>
          <w:sz w:val="20"/>
          <w:szCs w:val="20"/>
          <w:color w:val="auto"/>
        </w:rPr>
      </w:pPr>
    </w:p>
    <w:p>
      <w:pPr>
        <w:ind w:left="120" w:right="460"/>
        <w:spacing w:after="0" w:line="275" w:lineRule="auto"/>
        <w:rPr>
          <w:sz w:val="20"/>
          <w:szCs w:val="20"/>
          <w:color w:val="auto"/>
        </w:rPr>
      </w:pPr>
      <w:r>
        <w:rPr>
          <w:rFonts w:ascii="Arial" w:cs="Arial" w:eastAsia="Arial" w:hAnsi="Arial"/>
          <w:sz w:val="17"/>
          <w:szCs w:val="17"/>
          <w:color w:val="auto"/>
        </w:rPr>
        <w:t>The following table sets forth the computation of the basic and diluted net loss per share attributable to common stockholders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55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69"/>
        </w:trPr>
        <w:tc>
          <w:tcPr>
            <w:tcW w:w="55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(3,044)</w:t>
            </w:r>
          </w:p>
        </w:tc>
        <w:tc>
          <w:tcPr>
            <w:tcW w:w="3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(10,181)</w:t>
            </w:r>
          </w:p>
        </w:tc>
        <w:tc>
          <w:tcPr>
            <w:tcW w:w="3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(11,479)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(26,966)</w:t>
            </w:r>
          </w:p>
        </w:tc>
      </w:tr>
      <w:tr>
        <w:trPr>
          <w:trHeight w:val="161"/>
        </w:trPr>
        <w:tc>
          <w:tcPr>
            <w:tcW w:w="550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Less: cumulative preferred dividends allocated to preferred</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217"/>
        </w:trPr>
        <w:tc>
          <w:tcPr>
            <w:tcW w:w="5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stockholders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(1,071)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(2,957)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(5,202)</w:t>
            </w:r>
          </w:p>
        </w:tc>
      </w:tr>
      <w:tr>
        <w:trPr>
          <w:trHeight w:val="203"/>
        </w:trPr>
        <w:tc>
          <w:tcPr>
            <w:tcW w:w="5500" w:type="dxa"/>
            <w:vAlign w:val="bottom"/>
          </w:tcPr>
          <w:p>
            <w:pPr>
              <w:spacing w:after="0"/>
              <w:rPr>
                <w:sz w:val="20"/>
                <w:szCs w:val="20"/>
                <w:color w:val="auto"/>
              </w:rPr>
            </w:pPr>
            <w:r>
              <w:rPr>
                <w:rFonts w:ascii="Arial" w:cs="Arial" w:eastAsia="Arial" w:hAnsi="Arial"/>
                <w:sz w:val="17"/>
                <w:szCs w:val="17"/>
                <w:color w:val="auto"/>
              </w:rPr>
              <w:t>Net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(4,115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(10,759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(14,436</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(32,168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189"/>
        </w:trPr>
        <w:tc>
          <w:tcPr>
            <w:tcW w:w="5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Denominator:</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7"/>
                <w:szCs w:val="17"/>
                <w:color w:val="auto"/>
              </w:rPr>
              <w:t>Weighted-average shares of common stock outstanding</w:t>
            </w:r>
          </w:p>
        </w:tc>
        <w:tc>
          <w:tcPr>
            <w:tcW w:w="120" w:type="dxa"/>
            <w:vAlign w:val="bottom"/>
          </w:tcPr>
          <w:p>
            <w:pPr>
              <w:spacing w:after="0"/>
              <w:rPr>
                <w:sz w:val="16"/>
                <w:szCs w:val="16"/>
                <w:color w:val="auto"/>
              </w:rPr>
            </w:pP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w w:val="97"/>
              </w:rPr>
              <w:t>3,100,544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w w:val="98"/>
              </w:rPr>
              <w:t>29,664,122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w w:val="97"/>
              </w:rPr>
              <w:t>3,061,082</w:t>
            </w:r>
          </w:p>
        </w:tc>
        <w:tc>
          <w:tcPr>
            <w:tcW w:w="10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w w:val="98"/>
              </w:rPr>
              <w:t>12,052,876</w:t>
            </w:r>
          </w:p>
        </w:tc>
      </w:tr>
      <w:tr>
        <w:trPr>
          <w:trHeight w:val="161"/>
        </w:trPr>
        <w:tc>
          <w:tcPr>
            <w:tcW w:w="5500" w:type="dxa"/>
            <w:vAlign w:val="bottom"/>
            <w:shd w:val="clear" w:color="auto" w:fill="CCEEFF"/>
          </w:tcPr>
          <w:p>
            <w:pPr>
              <w:spacing w:after="0" w:line="161" w:lineRule="exact"/>
              <w:rPr>
                <w:sz w:val="20"/>
                <w:szCs w:val="20"/>
                <w:color w:val="auto"/>
              </w:rPr>
            </w:pPr>
            <w:r>
              <w:rPr>
                <w:rFonts w:ascii="Arial" w:cs="Arial" w:eastAsia="Arial" w:hAnsi="Arial"/>
                <w:sz w:val="17"/>
                <w:szCs w:val="17"/>
                <w:color w:val="auto"/>
              </w:rPr>
              <w:t>Net loss per share attributable to common stockholders, basic and</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217"/>
        </w:trPr>
        <w:tc>
          <w:tcPr>
            <w:tcW w:w="55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(2.67)</w:t>
            </w:r>
          </w:p>
        </w:tc>
      </w:tr>
      <w:tr>
        <w:trPr>
          <w:trHeight w:val="20"/>
        </w:trPr>
        <w:tc>
          <w:tcPr>
            <w:tcW w:w="5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left="120" w:right="520"/>
        <w:spacing w:after="0" w:line="275" w:lineRule="auto"/>
        <w:rPr>
          <w:sz w:val="20"/>
          <w:szCs w:val="20"/>
          <w:color w:val="auto"/>
        </w:rPr>
      </w:pPr>
      <w:r>
        <w:rPr>
          <w:rFonts w:ascii="Arial" w:cs="Arial" w:eastAsia="Arial" w:hAnsi="Arial"/>
          <w:sz w:val="17"/>
          <w:szCs w:val="17"/>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92" w:lineRule="exact"/>
        <w:rPr>
          <w:sz w:val="20"/>
          <w:szCs w:val="20"/>
          <w:color w:val="auto"/>
        </w:rPr>
      </w:pPr>
    </w:p>
    <w:p>
      <w:pPr>
        <w:ind w:left="120" w:right="300"/>
        <w:spacing w:after="0" w:line="275" w:lineRule="auto"/>
        <w:rPr>
          <w:sz w:val="20"/>
          <w:szCs w:val="20"/>
          <w:color w:val="auto"/>
        </w:rPr>
      </w:pPr>
      <w:r>
        <w:rPr>
          <w:rFonts w:ascii="Arial" w:cs="Arial" w:eastAsia="Arial" w:hAnsi="Arial"/>
          <w:sz w:val="17"/>
          <w:szCs w:val="17"/>
          <w:color w:val="auto"/>
        </w:rPr>
        <w:t>The following outstanding potentially dilutive securities were excluded from the computation of diluted net loss per share for the three and nine months ended September 30, 2019 and 2020, because including them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2"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580" w:type="dxa"/>
            <w:vAlign w:val="bottom"/>
          </w:tcPr>
          <w:p>
            <w:pPr>
              <w:spacing w:after="0"/>
              <w:rPr>
                <w:sz w:val="15"/>
                <w:szCs w:val="15"/>
                <w:color w:val="auto"/>
              </w:rPr>
            </w:pPr>
          </w:p>
        </w:tc>
        <w:tc>
          <w:tcPr>
            <w:tcW w:w="2440" w:type="dxa"/>
            <w:vAlign w:val="bottom"/>
            <w:gridSpan w:val="5"/>
          </w:tcPr>
          <w:p>
            <w:pPr>
              <w:ind w:left="600"/>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858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85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stock</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10,313,808</w:t>
            </w:r>
          </w:p>
        </w:tc>
        <w:tc>
          <w:tcPr>
            <w:tcW w:w="180" w:type="dxa"/>
            <w:vAlign w:val="bottom"/>
            <w:gridSpan w:val="2"/>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r>
      <w:tr>
        <w:trPr>
          <w:trHeight w:val="189"/>
        </w:trPr>
        <w:tc>
          <w:tcPr>
            <w:tcW w:w="8580" w:type="dxa"/>
            <w:vAlign w:val="bottom"/>
          </w:tcPr>
          <w:p>
            <w:pPr>
              <w:spacing w:after="0" w:line="189" w:lineRule="exact"/>
              <w:rPr>
                <w:sz w:val="20"/>
                <w:szCs w:val="20"/>
                <w:color w:val="auto"/>
              </w:rPr>
            </w:pPr>
            <w:r>
              <w:rPr>
                <w:rFonts w:ascii="Arial" w:cs="Arial" w:eastAsia="Arial" w:hAnsi="Arial"/>
                <w:sz w:val="17"/>
                <w:szCs w:val="17"/>
                <w:color w:val="auto"/>
              </w:rPr>
              <w:t>Common stock subject to repurchase</w:t>
            </w:r>
          </w:p>
        </w:tc>
        <w:tc>
          <w:tcPr>
            <w:tcW w:w="11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53,070</w:t>
            </w:r>
          </w:p>
        </w:tc>
        <w:tc>
          <w:tcPr>
            <w:tcW w:w="16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253</w:t>
            </w:r>
          </w:p>
        </w:tc>
      </w:tr>
      <w:tr>
        <w:trPr>
          <w:trHeight w:val="189"/>
        </w:trPr>
        <w:tc>
          <w:tcPr>
            <w:tcW w:w="8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11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1,206,690</w:t>
            </w: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4,751,589</w:t>
            </w:r>
          </w:p>
        </w:tc>
      </w:tr>
      <w:tr>
        <w:trPr>
          <w:trHeight w:val="196"/>
        </w:trPr>
        <w:tc>
          <w:tcPr>
            <w:tcW w:w="8580" w:type="dxa"/>
            <w:vAlign w:val="bottom"/>
          </w:tcPr>
          <w:p>
            <w:pPr>
              <w:ind w:left="240"/>
              <w:spacing w:after="0"/>
              <w:rPr>
                <w:sz w:val="20"/>
                <w:szCs w:val="20"/>
                <w:color w:val="auto"/>
              </w:rPr>
            </w:pPr>
            <w:r>
              <w:rPr>
                <w:rFonts w:ascii="Arial" w:cs="Arial" w:eastAsia="Arial" w:hAnsi="Arial"/>
                <w:sz w:val="17"/>
                <w:szCs w:val="17"/>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11,573,568</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4,751,842</w:t>
            </w:r>
          </w:p>
        </w:tc>
        <w:tc>
          <w:tcPr>
            <w:tcW w:w="80" w:type="dxa"/>
            <w:vAlign w:val="bottom"/>
          </w:tcPr>
          <w:p>
            <w:pPr>
              <w:spacing w:after="0"/>
              <w:rPr>
                <w:sz w:val="17"/>
                <w:szCs w:val="17"/>
                <w:color w:val="auto"/>
              </w:rPr>
            </w:pPr>
          </w:p>
        </w:tc>
      </w:tr>
      <w:tr>
        <w:trPr>
          <w:trHeight w:val="20"/>
        </w:trPr>
        <w:tc>
          <w:tcPr>
            <w:tcW w:w="8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5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91" w:lineRule="exact"/>
        <w:rPr>
          <w:sz w:val="20"/>
          <w:szCs w:val="20"/>
          <w:color w:val="auto"/>
        </w:rPr>
      </w:pPr>
    </w:p>
    <w:p>
      <w:pPr>
        <w:ind w:left="120" w:right="7320" w:hanging="4"/>
        <w:spacing w:after="0" w:line="305" w:lineRule="auto"/>
        <w:tabs>
          <w:tab w:leader="none" w:pos="48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6"/>
          <w:szCs w:val="16"/>
          <w:i w:val="1"/>
          <w:iCs w:val="1"/>
          <w:color w:val="auto"/>
        </w:rPr>
        <w:t>Guarantees and Indemnifications</w:t>
      </w:r>
    </w:p>
    <w:p>
      <w:pPr>
        <w:spacing w:after="0" w:line="1"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September 30, 2020.</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Contingencies</w:t>
      </w:r>
    </w:p>
    <w:p>
      <w:pPr>
        <w:spacing w:after="0" w:line="33" w:lineRule="exact"/>
        <w:rPr>
          <w:sz w:val="20"/>
          <w:szCs w:val="20"/>
          <w:color w:val="auto"/>
        </w:rPr>
      </w:pPr>
    </w:p>
    <w:p>
      <w:pPr>
        <w:ind w:left="120" w:right="260"/>
        <w:spacing w:after="0"/>
        <w:rPr>
          <w:sz w:val="20"/>
          <w:szCs w:val="20"/>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nine months ended September 30, 2020 the Company had no pending or threatened litigation.</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Contractual Obligations and Other Commitments</w:t>
      </w:r>
    </w:p>
    <w:p>
      <w:pPr>
        <w:spacing w:after="0" w:line="33" w:lineRule="exact"/>
        <w:rPr>
          <w:sz w:val="20"/>
          <w:szCs w:val="20"/>
          <w:color w:val="auto"/>
        </w:rPr>
      </w:pPr>
    </w:p>
    <w:p>
      <w:pPr>
        <w:ind w:left="120" w:right="460"/>
        <w:spacing w:after="0" w:line="244" w:lineRule="auto"/>
        <w:rPr>
          <w:sz w:val="20"/>
          <w:szCs w:val="20"/>
          <w:color w:val="auto"/>
        </w:rPr>
      </w:pPr>
      <w:r>
        <w:rPr>
          <w:rFonts w:ascii="Arial" w:cs="Arial" w:eastAsia="Arial" w:hAnsi="Arial"/>
          <w:sz w:val="17"/>
          <w:szCs w:val="17"/>
          <w:color w:val="auto"/>
        </w:rPr>
        <w:t>The Company has contractual obligations from its operating lease, manufacturing and service contracts, Term Loan, and other research and development activities. The following table aggregates the Company’s material expected contractual obligations and commitments as of September 30,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4"/>
                <w:szCs w:val="14"/>
                <w:b w:val="1"/>
                <w:bCs w:val="1"/>
                <w:color w:val="auto"/>
              </w:rPr>
              <w:t>SEPTEMBER 30, 2020</w:t>
            </w: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5280" w:type="dxa"/>
            <w:vAlign w:val="bottom"/>
          </w:tcPr>
          <w:p>
            <w:pPr>
              <w:spacing w:after="0"/>
              <w:rPr>
                <w:sz w:val="13"/>
                <w:szCs w:val="13"/>
                <w:color w:val="auto"/>
              </w:rPr>
            </w:pPr>
          </w:p>
        </w:tc>
        <w:tc>
          <w:tcPr>
            <w:tcW w:w="880" w:type="dxa"/>
            <w:vAlign w:val="bottom"/>
            <w:gridSpan w:val="4"/>
          </w:tcPr>
          <w:p>
            <w:pPr>
              <w:ind w:left="100"/>
              <w:spacing w:after="0" w:line="155" w:lineRule="exact"/>
              <w:rPr>
                <w:sz w:val="20"/>
                <w:szCs w:val="20"/>
                <w:color w:val="auto"/>
              </w:rPr>
            </w:pPr>
            <w:r>
              <w:rPr>
                <w:rFonts w:ascii="Arial" w:cs="Arial" w:eastAsia="Arial" w:hAnsi="Arial"/>
                <w:sz w:val="14"/>
                <w:szCs w:val="14"/>
                <w:b w:val="1"/>
                <w:bCs w:val="1"/>
                <w:color w:val="auto"/>
              </w:rPr>
              <w:t>TOTAL</w:t>
            </w:r>
          </w:p>
        </w:tc>
        <w:tc>
          <w:tcPr>
            <w:tcW w:w="780" w:type="dxa"/>
            <w:vAlign w:val="bottom"/>
            <w:gridSpan w:val="3"/>
          </w:tcPr>
          <w:p>
            <w:pPr>
              <w:jc w:val="right"/>
              <w:spacing w:after="0" w:line="156" w:lineRule="exact"/>
              <w:rPr>
                <w:sz w:val="20"/>
                <w:szCs w:val="20"/>
                <w:color w:val="auto"/>
              </w:rPr>
            </w:pPr>
            <w:r>
              <w:rPr>
                <w:rFonts w:ascii="Arial" w:cs="Arial" w:eastAsia="Arial" w:hAnsi="Arial"/>
                <w:sz w:val="11"/>
                <w:szCs w:val="11"/>
                <w:b w:val="1"/>
                <w:bCs w:val="1"/>
                <w:color w:val="auto"/>
              </w:rPr>
              <w:t>2020</w:t>
            </w:r>
            <w:r>
              <w:rPr>
                <w:rFonts w:ascii="Arial" w:cs="Arial" w:eastAsia="Arial" w:hAnsi="Arial"/>
                <w:sz w:val="18"/>
                <w:szCs w:val="18"/>
                <w:b w:val="1"/>
                <w:bCs w:val="1"/>
                <w:color w:val="auto"/>
                <w:vertAlign w:val="superscript"/>
              </w:rPr>
              <w:t>(4)</w:t>
            </w:r>
          </w:p>
        </w:tc>
        <w:tc>
          <w:tcPr>
            <w:tcW w:w="220" w:type="dxa"/>
            <w:vAlign w:val="bottom"/>
          </w:tcPr>
          <w:p>
            <w:pPr>
              <w:spacing w:after="0"/>
              <w:rPr>
                <w:sz w:val="13"/>
                <w:szCs w:val="13"/>
                <w:color w:val="auto"/>
              </w:rPr>
            </w:pPr>
          </w:p>
        </w:tc>
        <w:tc>
          <w:tcPr>
            <w:tcW w:w="10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2021 - 2022</w:t>
            </w:r>
          </w:p>
        </w:tc>
        <w:tc>
          <w:tcPr>
            <w:tcW w:w="500" w:type="dxa"/>
            <w:vAlign w:val="bottom"/>
          </w:tcPr>
          <w:p>
            <w:pPr>
              <w:spacing w:after="0"/>
              <w:rPr>
                <w:sz w:val="13"/>
                <w:szCs w:val="13"/>
                <w:color w:val="auto"/>
              </w:rPr>
            </w:pPr>
          </w:p>
        </w:tc>
        <w:tc>
          <w:tcPr>
            <w:tcW w:w="7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2023 - 2024</w:t>
            </w:r>
          </w:p>
        </w:tc>
        <w:tc>
          <w:tcPr>
            <w:tcW w:w="500" w:type="dxa"/>
            <w:vAlign w:val="bottom"/>
          </w:tcPr>
          <w:p>
            <w:pPr>
              <w:spacing w:after="0"/>
              <w:rPr>
                <w:sz w:val="13"/>
                <w:szCs w:val="13"/>
                <w:color w:val="auto"/>
              </w:rPr>
            </w:pPr>
          </w:p>
        </w:tc>
        <w:tc>
          <w:tcPr>
            <w:tcW w:w="9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THEREAFTER</w:t>
            </w:r>
          </w:p>
        </w:tc>
        <w:tc>
          <w:tcPr>
            <w:tcW w:w="60" w:type="dxa"/>
            <w:vAlign w:val="bottom"/>
          </w:tcPr>
          <w:p>
            <w:pPr>
              <w:spacing w:after="0"/>
              <w:rPr>
                <w:sz w:val="13"/>
                <w:szCs w:val="13"/>
                <w:color w:val="auto"/>
              </w:rPr>
            </w:pPr>
          </w:p>
        </w:tc>
      </w:tr>
      <w:tr>
        <w:trPr>
          <w:trHeight w:val="183"/>
        </w:trPr>
        <w:tc>
          <w:tcPr>
            <w:tcW w:w="5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14"/>
                <w:szCs w:val="14"/>
                <w:color w:val="auto"/>
              </w:rPr>
              <w:t>(1)</w:t>
            </w: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380</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w:t>
            </w: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284</w:t>
            </w:r>
          </w:p>
        </w:tc>
        <w:tc>
          <w:tcPr>
            <w:tcW w:w="5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79"/>
              <w:spacing w:after="0" w:line="183" w:lineRule="exact"/>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5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79"/>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Manufacturing and service contracts</w:t>
            </w: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76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7,622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w w:val="93"/>
              </w:rPr>
              <w:t>6,238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1,384</w:t>
            </w:r>
          </w:p>
        </w:tc>
        <w:tc>
          <w:tcPr>
            <w:tcW w:w="360" w:type="dxa"/>
            <w:vAlign w:val="bottom"/>
          </w:tcPr>
          <w:p>
            <w:pPr>
              <w:spacing w:after="0"/>
              <w:rPr>
                <w:sz w:val="16"/>
                <w:szCs w:val="16"/>
                <w:color w:val="auto"/>
              </w:rPr>
            </w:pPr>
          </w:p>
        </w:tc>
        <w:tc>
          <w:tcPr>
            <w:tcW w:w="900" w:type="dxa"/>
            <w:vAlign w:val="bottom"/>
            <w:gridSpan w:val="2"/>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4"/>
        </w:trPr>
        <w:tc>
          <w:tcPr>
            <w:tcW w:w="528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Term loan</w:t>
            </w:r>
          </w:p>
        </w:tc>
        <w:tc>
          <w:tcPr>
            <w:tcW w:w="120" w:type="dxa"/>
            <w:vAlign w:val="bottom"/>
            <w:shd w:val="clear" w:color="auto" w:fill="CCEEFF"/>
          </w:tcPr>
          <w:p>
            <w:pPr>
              <w:spacing w:after="0" w:line="20" w:lineRule="exact"/>
              <w:rPr>
                <w:sz w:val="1"/>
                <w:szCs w:val="1"/>
                <w:color w:val="auto"/>
              </w:rPr>
            </w:pPr>
          </w:p>
        </w:tc>
        <w:tc>
          <w:tcPr>
            <w:tcW w:w="760" w:type="dxa"/>
            <w:vAlign w:val="bottom"/>
            <w:gridSpan w:val="3"/>
            <w:shd w:val="clear" w:color="auto" w:fill="CCEEFF"/>
          </w:tcPr>
          <w:p>
            <w:pPr>
              <w:jc w:val="right"/>
              <w:ind w:right="240"/>
              <w:spacing w:after="0" w:line="4" w:lineRule="exact"/>
              <w:rPr>
                <w:sz w:val="20"/>
                <w:szCs w:val="20"/>
                <w:color w:val="auto"/>
              </w:rPr>
            </w:pPr>
            <w:r>
              <w:rPr>
                <w:rFonts w:ascii="Arial" w:cs="Arial" w:eastAsia="Arial" w:hAnsi="Arial"/>
                <w:sz w:val="1"/>
                <w:szCs w:val="1"/>
                <w:color w:val="auto"/>
              </w:rPr>
              <w:t>6,856</w:t>
            </w: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106</w:t>
            </w: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gridSpan w:val="2"/>
            <w:shd w:val="clear" w:color="auto" w:fill="CCEEFF"/>
          </w:tcPr>
          <w:p>
            <w:pPr>
              <w:jc w:val="right"/>
              <w:ind w:right="500"/>
              <w:spacing w:after="0" w:line="4" w:lineRule="exact"/>
              <w:rPr>
                <w:sz w:val="20"/>
                <w:szCs w:val="20"/>
                <w:color w:val="auto"/>
              </w:rPr>
            </w:pPr>
            <w:r>
              <w:rPr>
                <w:rFonts w:ascii="Arial" w:cs="Arial" w:eastAsia="Arial" w:hAnsi="Arial"/>
                <w:sz w:val="1"/>
                <w:szCs w:val="1"/>
                <w:color w:val="auto"/>
              </w:rPr>
              <w:t>6,750</w:t>
            </w:r>
          </w:p>
        </w:tc>
        <w:tc>
          <w:tcPr>
            <w:tcW w:w="360" w:type="dxa"/>
            <w:vAlign w:val="bottom"/>
            <w:shd w:val="clear" w:color="auto" w:fill="CCEEFF"/>
          </w:tcPr>
          <w:p>
            <w:pPr>
              <w:spacing w:after="0" w:line="20" w:lineRule="exact"/>
              <w:rPr>
                <w:sz w:val="1"/>
                <w:szCs w:val="1"/>
                <w:color w:val="auto"/>
              </w:rPr>
            </w:pPr>
          </w:p>
        </w:tc>
        <w:tc>
          <w:tcPr>
            <w:tcW w:w="900" w:type="dxa"/>
            <w:vAlign w:val="bottom"/>
            <w:gridSpan w:val="2"/>
            <w:shd w:val="clear" w:color="auto" w:fill="CCEEFF"/>
          </w:tcPr>
          <w:p>
            <w:pPr>
              <w:jc w:val="right"/>
              <w:ind w:right="500"/>
              <w:spacing w:after="0" w:line="4" w:lineRule="exact"/>
              <w:rPr>
                <w:sz w:val="20"/>
                <w:szCs w:val="20"/>
                <w:color w:val="auto"/>
              </w:rPr>
            </w:pPr>
            <w:r>
              <w:rPr>
                <w:rFonts w:ascii="Arial" w:cs="Arial" w:eastAsia="Arial" w:hAnsi="Arial"/>
                <w:sz w:val="1"/>
                <w:szCs w:val="1"/>
                <w:color w:val="auto"/>
              </w:rPr>
              <w:t>—</w:t>
            </w:r>
          </w:p>
        </w:tc>
        <w:tc>
          <w:tcPr>
            <w:tcW w:w="460" w:type="dxa"/>
            <w:vAlign w:val="bottom"/>
            <w:shd w:val="clear" w:color="auto" w:fill="CCEEFF"/>
          </w:tcPr>
          <w:p>
            <w:pPr>
              <w:spacing w:after="0" w:line="20" w:lineRule="exact"/>
              <w:rPr>
                <w:sz w:val="1"/>
                <w:szCs w:val="1"/>
                <w:color w:val="auto"/>
              </w:rPr>
            </w:pPr>
          </w:p>
        </w:tc>
        <w:tc>
          <w:tcPr>
            <w:tcW w:w="580" w:type="dxa"/>
            <w:vAlign w:val="bottom"/>
            <w:gridSpan w:val="2"/>
            <w:shd w:val="clear" w:color="auto" w:fill="CCEEFF"/>
          </w:tcPr>
          <w:p>
            <w:pPr>
              <w:jc w:val="right"/>
              <w:ind w:right="60"/>
              <w:spacing w:after="0" w:line="4" w:lineRule="exact"/>
              <w:rPr>
                <w:sz w:val="20"/>
                <w:szCs w:val="20"/>
                <w:color w:val="auto"/>
              </w:rPr>
            </w:pPr>
            <w:r>
              <w:rPr>
                <w:rFonts w:ascii="Arial" w:cs="Arial" w:eastAsia="Arial" w:hAnsi="Arial"/>
                <w:sz w:val="1"/>
                <w:szCs w:val="1"/>
                <w:color w:val="auto"/>
              </w:rPr>
              <w:t>—</w:t>
            </w:r>
          </w:p>
        </w:tc>
      </w:tr>
      <w:tr>
        <w:trPr>
          <w:trHeight w:val="185"/>
        </w:trPr>
        <w:tc>
          <w:tcPr>
            <w:tcW w:w="5280" w:type="dxa"/>
            <w:vAlign w:val="bottom"/>
            <w:shd w:val="clear" w:color="auto" w:fill="CCEEFF"/>
          </w:tcPr>
          <w:p>
            <w:pPr>
              <w:ind w:left="740"/>
              <w:spacing w:after="0"/>
              <w:rPr>
                <w:sz w:val="20"/>
                <w:szCs w:val="20"/>
                <w:color w:val="auto"/>
              </w:rPr>
            </w:pPr>
            <w:r>
              <w:rPr>
                <w:rFonts w:ascii="Arial" w:cs="Arial" w:eastAsia="Arial" w:hAnsi="Arial"/>
                <w:sz w:val="15"/>
                <w:szCs w:val="15"/>
                <w:color w:val="auto"/>
              </w:rPr>
              <w:t>(3)</w:t>
            </w: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5280" w:type="dxa"/>
            <w:vAlign w:val="bottom"/>
          </w:tcPr>
          <w:p>
            <w:pPr>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14,858</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6,378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8,418</w:t>
            </w:r>
          </w:p>
        </w:tc>
        <w:tc>
          <w:tcPr>
            <w:tcW w:w="5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5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4"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7"/>
          <w:szCs w:val="17"/>
          <w:i w:val="1"/>
          <w:iCs w:val="1"/>
          <w:color w:val="auto"/>
        </w:rPr>
      </w:pPr>
      <w:r>
        <w:rPr>
          <w:rFonts w:ascii="Arial" w:cs="Arial" w:eastAsia="Arial" w:hAnsi="Arial"/>
          <w:sz w:val="17"/>
          <w:szCs w:val="17"/>
          <w:i w:val="1"/>
          <w:iCs w:val="1"/>
          <w:color w:val="auto"/>
        </w:rPr>
        <w:t>Payments due for the office space in Burlingame, California under a single operating sub-lease agreement that expires in 2023.</w:t>
      </w:r>
    </w:p>
    <w:p>
      <w:pPr>
        <w:spacing w:after="0" w:line="13" w:lineRule="exact"/>
        <w:rPr>
          <w:rFonts w:ascii="Arial" w:cs="Arial" w:eastAsia="Arial" w:hAnsi="Arial"/>
          <w:sz w:val="17"/>
          <w:szCs w:val="17"/>
          <w:i w:val="1"/>
          <w:iCs w:val="1"/>
          <w:color w:val="auto"/>
        </w:rPr>
      </w:pPr>
    </w:p>
    <w:p>
      <w:pPr>
        <w:ind w:left="540" w:right="100" w:hanging="424"/>
        <w:spacing w:after="0" w:line="232" w:lineRule="auto"/>
        <w:tabs>
          <w:tab w:leader="none" w:pos="540" w:val="left"/>
        </w:tabs>
        <w:numPr>
          <w:ilvl w:val="0"/>
          <w:numId w:val="138"/>
        </w:numPr>
        <w:rPr>
          <w:rFonts w:ascii="Arial" w:cs="Arial" w:eastAsia="Arial" w:hAnsi="Arial"/>
          <w:sz w:val="17"/>
          <w:szCs w:val="17"/>
          <w:i w:val="1"/>
          <w:iCs w:val="1"/>
          <w:color w:val="auto"/>
        </w:rPr>
      </w:pPr>
      <w:r>
        <w:rPr>
          <w:rFonts w:ascii="Arial" w:cs="Arial" w:eastAsia="Arial" w:hAnsi="Arial"/>
          <w:sz w:val="17"/>
          <w:szCs w:val="17"/>
          <w:i w:val="1"/>
          <w:iCs w:val="1"/>
          <w:color w:val="auto"/>
        </w:rPr>
        <w:t>In November 2015, the Company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the Company to certain purchase obligations of approximately $7.5 million. In addition, the Company has commitments with a second drug product manufacturer that commits the Company to certain purchase obligations of approximately $0.1 million. These amounts are based on non-cancellable commitments and forecasts that include estimates of future market demand, quantity discounts and manufacturing efficiencies that may impact timing of purchases.</w:t>
      </w:r>
    </w:p>
    <w:p>
      <w:pPr>
        <w:ind w:left="540" w:right="440" w:hanging="424"/>
        <w:spacing w:after="0" w:line="232" w:lineRule="auto"/>
        <w:tabs>
          <w:tab w:leader="none" w:pos="540" w:val="left"/>
        </w:tabs>
        <w:numPr>
          <w:ilvl w:val="0"/>
          <w:numId w:val="138"/>
        </w:numPr>
        <w:rPr>
          <w:rFonts w:ascii="Arial" w:cs="Arial" w:eastAsia="Arial" w:hAnsi="Arial"/>
          <w:sz w:val="17"/>
          <w:szCs w:val="17"/>
          <w:i w:val="1"/>
          <w:iCs w:val="1"/>
          <w:color w:val="auto"/>
        </w:rPr>
      </w:pPr>
      <w:r>
        <w:rPr>
          <w:rFonts w:ascii="Arial" w:cs="Arial" w:eastAsia="Arial" w:hAnsi="Arial"/>
          <w:sz w:val="17"/>
          <w:szCs w:val="17"/>
          <w:i w:val="1"/>
          <w:iCs w:val="1"/>
          <w:color w:val="auto"/>
        </w:rPr>
        <w:t>On December 20, 2019, the Company borrowed a loan pursuant to the Loan Agreement. See Note 5 to these condensed consolidated financial statements for additional details.</w:t>
      </w:r>
    </w:p>
    <w:p>
      <w:pPr>
        <w:ind w:left="540" w:hanging="424"/>
        <w:spacing w:after="0"/>
        <w:tabs>
          <w:tab w:leader="none" w:pos="540" w:val="left"/>
        </w:tabs>
        <w:numPr>
          <w:ilvl w:val="0"/>
          <w:numId w:val="138"/>
        </w:numPr>
        <w:rPr>
          <w:rFonts w:ascii="Arial" w:cs="Arial" w:eastAsia="Arial" w:hAnsi="Arial"/>
          <w:sz w:val="17"/>
          <w:szCs w:val="17"/>
          <w:i w:val="1"/>
          <w:iCs w:val="1"/>
          <w:color w:val="auto"/>
        </w:rPr>
      </w:pPr>
      <w:r>
        <w:rPr>
          <w:rFonts w:ascii="Arial" w:cs="Arial" w:eastAsia="Arial" w:hAnsi="Arial"/>
          <w:sz w:val="17"/>
          <w:szCs w:val="17"/>
          <w:i w:val="1"/>
          <w:iCs w:val="1"/>
          <w:color w:val="auto"/>
        </w:rPr>
        <w:t>Remaining three months.</w:t>
      </w:r>
    </w:p>
    <w:p>
      <w:pPr>
        <w:spacing w:after="0" w:line="134" w:lineRule="exact"/>
        <w:rPr>
          <w:sz w:val="20"/>
          <w:szCs w:val="20"/>
          <w:color w:val="auto"/>
        </w:rPr>
      </w:pPr>
    </w:p>
    <w:p>
      <w:pPr>
        <w:jc w:val="both"/>
        <w:ind w:left="120" w:right="260"/>
        <w:spacing w:after="0" w:line="246" w:lineRule="auto"/>
        <w:rPr>
          <w:sz w:val="20"/>
          <w:szCs w:val="20"/>
          <w:color w:val="auto"/>
        </w:rPr>
      </w:pPr>
      <w:r>
        <w:rPr>
          <w:rFonts w:ascii="Arial" w:cs="Arial" w:eastAsia="Arial" w:hAnsi="Arial"/>
          <w:sz w:val="17"/>
          <w:szCs w:val="17"/>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Facilities</w:t>
      </w:r>
    </w:p>
    <w:p>
      <w:pPr>
        <w:spacing w:after="0" w:line="33" w:lineRule="exact"/>
        <w:rPr>
          <w:sz w:val="20"/>
          <w:szCs w:val="20"/>
          <w:color w:val="auto"/>
        </w:rPr>
      </w:pPr>
    </w:p>
    <w:p>
      <w:pPr>
        <w:ind w:left="120" w:right="160"/>
        <w:spacing w:after="0" w:line="257" w:lineRule="auto"/>
        <w:rPr>
          <w:sz w:val="20"/>
          <w:szCs w:val="20"/>
          <w:color w:val="auto"/>
        </w:rPr>
      </w:pPr>
      <w:r>
        <w:rPr>
          <w:rFonts w:ascii="Arial" w:cs="Arial" w:eastAsia="Arial" w:hAnsi="Arial"/>
          <w:sz w:val="17"/>
          <w:szCs w:val="17"/>
          <w:color w:val="auto"/>
        </w:rPr>
        <w:t>In 2017, the Company entered into a lease agreement for office space for a period of five years and four months, commencing February 1, 2018 and ending May 31, 2023.</w:t>
      </w:r>
    </w:p>
    <w:p>
      <w:pPr>
        <w:spacing w:after="0" w:line="10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In July 2020, the Company (i) assigned to Tallac Therapeutics (Note 9) the Company’s lease with respect to the premises located at 866 Malcolm Road, Burlingame, California, and (ii) received a sub-lease for premises from Tallac Therapeutics.</w:t>
      </w:r>
    </w:p>
    <w:p>
      <w:pPr>
        <w:spacing w:after="0" w:line="92"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Minimum rent payments under operating leases are recognized on a straight-line basis over the term of the lease including any periods of free rent. Rent expense was $0.2 million and $0.1 million for the three months ended September 30, 2019 and 2020, respectively, and $0.6 million and $0.5 million for the nine months ended September 30, 2019 and 2020, respectively. Sub-lease expenses are recorded within rent expense.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F-54</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460"/>
        <w:spacing w:after="0"/>
        <w:rPr>
          <w:sz w:val="20"/>
          <w:szCs w:val="20"/>
          <w:color w:val="auto"/>
        </w:rPr>
      </w:pPr>
      <w:r>
        <w:rPr>
          <w:rFonts w:ascii="Arial" w:cs="Arial" w:eastAsia="Arial" w:hAnsi="Arial"/>
          <w:sz w:val="29"/>
          <w:szCs w:val="29"/>
          <w:b w:val="1"/>
          <w:bCs w:val="1"/>
          <w:color w:val="auto"/>
        </w:rPr>
        <w:t>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262255</wp:posOffset>
            </wp:positionV>
            <wp:extent cx="1954530" cy="7029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2099"/>
        <w:spacing w:after="0"/>
        <w:rPr>
          <w:sz w:val="20"/>
          <w:szCs w:val="20"/>
          <w:color w:val="auto"/>
        </w:rPr>
      </w:pPr>
      <w:r>
        <w:rPr>
          <w:rFonts w:ascii="Arial" w:cs="Arial" w:eastAsia="Arial" w:hAnsi="Arial"/>
          <w:sz w:val="36"/>
          <w:szCs w:val="36"/>
          <w:b w:val="1"/>
          <w:bCs w:val="1"/>
          <w:color w:val="auto"/>
        </w:rPr>
        <w:t>ALX Oncology Holdings Inc.</w:t>
      </w:r>
    </w:p>
    <w:p>
      <w:pPr>
        <w:spacing w:after="0" w:line="200" w:lineRule="exact"/>
        <w:rPr>
          <w:sz w:val="20"/>
          <w:szCs w:val="20"/>
          <w:color w:val="auto"/>
        </w:rPr>
      </w:pPr>
    </w:p>
    <w:p>
      <w:pPr>
        <w:spacing w:after="0" w:line="244"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579120</wp:posOffset>
            </wp:positionV>
            <wp:extent cx="286321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389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175895</wp:posOffset>
            </wp:positionV>
            <wp:extent cx="286321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Jefferies</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Credit Suisse</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Piper Sandler</w:t>
      </w:r>
    </w:p>
    <w:p>
      <w:pPr>
        <w:spacing w:after="0" w:line="228"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Cantor</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UBS Investment Bank</w:t>
      </w:r>
    </w:p>
    <w:p>
      <w:pPr>
        <w:spacing w:after="0" w:line="21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LifeSci Capital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568960</wp:posOffset>
            </wp:positionV>
            <wp:extent cx="699516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637540</wp:posOffset>
            </wp:positionV>
            <wp:extent cx="6995160" cy="260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0120" w:type="dxa"/>
            <w:vAlign w:val="bottom"/>
          </w:tcPr>
          <w:p>
            <w:pPr>
              <w:ind w:left="4140"/>
              <w:spacing w:after="0"/>
              <w:rPr>
                <w:sz w:val="20"/>
                <w:szCs w:val="20"/>
                <w:color w:val="auto"/>
              </w:rPr>
            </w:pPr>
            <w:r>
              <w:rPr>
                <w:rFonts w:ascii="Arial" w:cs="Arial" w:eastAsia="Arial" w:hAnsi="Arial"/>
                <w:sz w:val="18"/>
                <w:szCs w:val="18"/>
                <w:b w:val="1"/>
                <w:bCs w:val="1"/>
                <w:color w:val="auto"/>
              </w:rPr>
              <w:t>PART II—OTHER INFORMATION</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19"/>
        </w:trPr>
        <w:tc>
          <w:tcPr>
            <w:tcW w:w="10120" w:type="dxa"/>
            <w:vAlign w:val="bottom"/>
          </w:tcPr>
          <w:p>
            <w:pPr>
              <w:spacing w:after="0"/>
              <w:rPr>
                <w:sz w:val="20"/>
                <w:szCs w:val="20"/>
                <w:color w:val="auto"/>
              </w:rPr>
            </w:pPr>
            <w:r>
              <w:rPr>
                <w:rFonts w:ascii="Arial" w:cs="Arial" w:eastAsia="Arial" w:hAnsi="Arial"/>
                <w:sz w:val="18"/>
                <w:szCs w:val="18"/>
                <w:b w:val="1"/>
                <w:bCs w:val="1"/>
                <w:color w:val="auto"/>
              </w:rPr>
              <w:t>ITEM 13. OTHER EXPENSES OF ISSUANCE AND DISTRIBUTION</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0"/>
        </w:trPr>
        <w:tc>
          <w:tcPr>
            <w:tcW w:w="10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23"/>
        </w:trPr>
        <w:tc>
          <w:tcPr>
            <w:tcW w:w="10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9"/>
        </w:trPr>
        <w:tc>
          <w:tcPr>
            <w:tcW w:w="10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SEC registration fee</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18,484</w:t>
            </w:r>
          </w:p>
        </w:tc>
        <w:tc>
          <w:tcPr>
            <w:tcW w:w="60" w:type="dxa"/>
            <w:vAlign w:val="bottom"/>
            <w:shd w:val="clear" w:color="auto" w:fill="CCEEFF"/>
          </w:tcPr>
          <w:p>
            <w:pPr>
              <w:spacing w:after="0"/>
              <w:rPr>
                <w:sz w:val="16"/>
                <w:szCs w:val="16"/>
                <w:color w:val="auto"/>
              </w:rPr>
            </w:pPr>
          </w:p>
        </w:tc>
      </w:tr>
      <w:tr>
        <w:trPr>
          <w:trHeight w:val="189"/>
        </w:trPr>
        <w:tc>
          <w:tcPr>
            <w:tcW w:w="10120" w:type="dxa"/>
            <w:vAlign w:val="bottom"/>
          </w:tcPr>
          <w:p>
            <w:pPr>
              <w:spacing w:after="0" w:line="189" w:lineRule="exact"/>
              <w:rPr>
                <w:sz w:val="20"/>
                <w:szCs w:val="20"/>
                <w:color w:val="auto"/>
              </w:rPr>
            </w:pPr>
            <w:r>
              <w:rPr>
                <w:rFonts w:ascii="Arial" w:cs="Arial" w:eastAsia="Arial" w:hAnsi="Arial"/>
                <w:sz w:val="17"/>
                <w:szCs w:val="17"/>
                <w:color w:val="auto"/>
              </w:rPr>
              <w:t>FINRA filing fee</w:t>
            </w:r>
          </w:p>
        </w:tc>
        <w:tc>
          <w:tcPr>
            <w:tcW w:w="160" w:type="dxa"/>
            <w:vAlign w:val="bottom"/>
          </w:tcPr>
          <w:p>
            <w:pPr>
              <w:spacing w:after="0"/>
              <w:rPr>
                <w:sz w:val="16"/>
                <w:szCs w:val="16"/>
                <w:color w:val="auto"/>
              </w:rPr>
            </w:pPr>
          </w:p>
        </w:tc>
        <w:tc>
          <w:tcPr>
            <w:tcW w:w="6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25,913</w:t>
            </w:r>
          </w:p>
        </w:tc>
        <w:tc>
          <w:tcPr>
            <w:tcW w:w="60" w:type="dxa"/>
            <w:vAlign w:val="bottom"/>
          </w:tcPr>
          <w:p>
            <w:pPr>
              <w:spacing w:after="0"/>
              <w:rPr>
                <w:sz w:val="16"/>
                <w:szCs w:val="16"/>
                <w:color w:val="auto"/>
              </w:rPr>
            </w:pPr>
          </w:p>
        </w:tc>
      </w:tr>
      <w:tr>
        <w:trPr>
          <w:trHeight w:val="189"/>
        </w:trPr>
        <w:tc>
          <w:tcPr>
            <w:tcW w:w="10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Transfer agent’s and registrar’s fees</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2,000</w:t>
            </w:r>
          </w:p>
        </w:tc>
        <w:tc>
          <w:tcPr>
            <w:tcW w:w="60" w:type="dxa"/>
            <w:vAlign w:val="bottom"/>
            <w:shd w:val="clear" w:color="auto" w:fill="CCEEFF"/>
          </w:tcPr>
          <w:p>
            <w:pPr>
              <w:spacing w:after="0"/>
              <w:rPr>
                <w:sz w:val="16"/>
                <w:szCs w:val="16"/>
                <w:color w:val="auto"/>
              </w:rPr>
            </w:pPr>
          </w:p>
        </w:tc>
      </w:tr>
      <w:tr>
        <w:trPr>
          <w:trHeight w:val="189"/>
        </w:trPr>
        <w:tc>
          <w:tcPr>
            <w:tcW w:w="10120" w:type="dxa"/>
            <w:vAlign w:val="bottom"/>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160" w:type="dxa"/>
            <w:vAlign w:val="bottom"/>
          </w:tcPr>
          <w:p>
            <w:pPr>
              <w:spacing w:after="0"/>
              <w:rPr>
                <w:sz w:val="16"/>
                <w:szCs w:val="16"/>
                <w:color w:val="auto"/>
              </w:rPr>
            </w:pPr>
          </w:p>
        </w:tc>
        <w:tc>
          <w:tcPr>
            <w:tcW w:w="6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75,000</w:t>
            </w:r>
          </w:p>
        </w:tc>
        <w:tc>
          <w:tcPr>
            <w:tcW w:w="60" w:type="dxa"/>
            <w:vAlign w:val="bottom"/>
          </w:tcPr>
          <w:p>
            <w:pPr>
              <w:spacing w:after="0"/>
              <w:rPr>
                <w:sz w:val="16"/>
                <w:szCs w:val="16"/>
                <w:color w:val="auto"/>
              </w:rPr>
            </w:pPr>
          </w:p>
        </w:tc>
      </w:tr>
      <w:tr>
        <w:trPr>
          <w:trHeight w:val="189"/>
        </w:trPr>
        <w:tc>
          <w:tcPr>
            <w:tcW w:w="10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300,000</w:t>
            </w:r>
          </w:p>
        </w:tc>
        <w:tc>
          <w:tcPr>
            <w:tcW w:w="60" w:type="dxa"/>
            <w:vAlign w:val="bottom"/>
            <w:shd w:val="clear" w:color="auto" w:fill="CCEEFF"/>
          </w:tcPr>
          <w:p>
            <w:pPr>
              <w:spacing w:after="0"/>
              <w:rPr>
                <w:sz w:val="16"/>
                <w:szCs w:val="16"/>
                <w:color w:val="auto"/>
              </w:rPr>
            </w:pPr>
          </w:p>
        </w:tc>
      </w:tr>
      <w:tr>
        <w:trPr>
          <w:trHeight w:val="189"/>
        </w:trPr>
        <w:tc>
          <w:tcPr>
            <w:tcW w:w="10120" w:type="dxa"/>
            <w:vAlign w:val="bottom"/>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160" w:type="dxa"/>
            <w:vAlign w:val="bottom"/>
          </w:tcPr>
          <w:p>
            <w:pPr>
              <w:spacing w:after="0"/>
              <w:rPr>
                <w:sz w:val="16"/>
                <w:szCs w:val="16"/>
                <w:color w:val="auto"/>
              </w:rPr>
            </w:pPr>
          </w:p>
        </w:tc>
        <w:tc>
          <w:tcPr>
            <w:tcW w:w="6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170,000</w:t>
            </w:r>
          </w:p>
        </w:tc>
        <w:tc>
          <w:tcPr>
            <w:tcW w:w="60" w:type="dxa"/>
            <w:vAlign w:val="bottom"/>
          </w:tcPr>
          <w:p>
            <w:pPr>
              <w:spacing w:after="0"/>
              <w:rPr>
                <w:sz w:val="16"/>
                <w:szCs w:val="16"/>
                <w:color w:val="auto"/>
              </w:rPr>
            </w:pPr>
          </w:p>
        </w:tc>
      </w:tr>
      <w:tr>
        <w:trPr>
          <w:trHeight w:val="189"/>
        </w:trPr>
        <w:tc>
          <w:tcPr>
            <w:tcW w:w="10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Miscellaneous</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8,603</w:t>
            </w:r>
          </w:p>
        </w:tc>
        <w:tc>
          <w:tcPr>
            <w:tcW w:w="60" w:type="dxa"/>
            <w:vAlign w:val="bottom"/>
            <w:shd w:val="clear" w:color="auto" w:fill="CCEEFF"/>
          </w:tcPr>
          <w:p>
            <w:pPr>
              <w:spacing w:after="0"/>
              <w:rPr>
                <w:sz w:val="16"/>
                <w:szCs w:val="16"/>
                <w:color w:val="auto"/>
              </w:rPr>
            </w:pPr>
          </w:p>
        </w:tc>
      </w:tr>
      <w:tr>
        <w:trPr>
          <w:trHeight w:val="196"/>
        </w:trPr>
        <w:tc>
          <w:tcPr>
            <w:tcW w:w="10120" w:type="dxa"/>
            <w:vAlign w:val="bottom"/>
          </w:tcPr>
          <w:p>
            <w:pPr>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600,000</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0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of the amounts set forth above, other than the registration fee, the Nasdaq listing fee and the FINRA filing fee, is an estimate.</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73"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Delaware General Corporation Law. The registrant has entered into indemnification agreements with each of its directors and officers to provide these directors additional contractual assurances regarding the scope of the indemnification set forth in the registrant’s Certificate of Incorporation and amended and restated By-laws and to provide additional procedural protections. There is no pending litigation or proceeding involving a director or executive officer of the registrant for which indemnification is sought.</w:t>
      </w:r>
    </w:p>
    <w:p>
      <w:pPr>
        <w:spacing w:after="0" w:line="127" w:lineRule="exact"/>
        <w:rPr>
          <w:sz w:val="20"/>
          <w:szCs w:val="20"/>
          <w:color w:val="auto"/>
        </w:rPr>
      </w:pPr>
    </w:p>
    <w:p>
      <w:pPr>
        <w:ind w:left="120" w:right="80"/>
        <w:spacing w:after="0"/>
        <w:rPr>
          <w:sz w:val="20"/>
          <w:szCs w:val="20"/>
          <w:color w:val="auto"/>
        </w:rPr>
      </w:pPr>
      <w:r>
        <w:rPr>
          <w:rFonts w:ascii="Arial" w:cs="Arial" w:eastAsia="Arial" w:hAnsi="Arial"/>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Certificate of Incorporation provides for such limitation of liability.</w:t>
      </w:r>
    </w:p>
    <w:p>
      <w:pPr>
        <w:spacing w:after="0" w:line="123" w:lineRule="exact"/>
        <w:rPr>
          <w:sz w:val="20"/>
          <w:szCs w:val="20"/>
          <w:color w:val="auto"/>
        </w:rPr>
      </w:pPr>
    </w:p>
    <w:p>
      <w:pPr>
        <w:ind w:left="120" w:right="100"/>
        <w:spacing w:after="0" w:line="253" w:lineRule="auto"/>
        <w:rPr>
          <w:sz w:val="20"/>
          <w:szCs w:val="20"/>
          <w:color w:val="auto"/>
        </w:rPr>
      </w:pPr>
      <w:r>
        <w:rPr>
          <w:rFonts w:ascii="Arial" w:cs="Arial" w:eastAsia="Arial" w:hAnsi="Arial"/>
          <w:sz w:val="17"/>
          <w:szCs w:val="17"/>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11" w:lineRule="exact"/>
        <w:rPr>
          <w:sz w:val="20"/>
          <w:szCs w:val="20"/>
          <w:color w:val="auto"/>
        </w:rPr>
      </w:pPr>
    </w:p>
    <w:p>
      <w:pPr>
        <w:ind w:left="120" w:right="320"/>
        <w:spacing w:after="0" w:line="275" w:lineRule="auto"/>
        <w:rPr>
          <w:sz w:val="20"/>
          <w:szCs w:val="20"/>
          <w:color w:val="auto"/>
        </w:rPr>
      </w:pPr>
      <w:r>
        <w:rPr>
          <w:rFonts w:ascii="Arial" w:cs="Arial" w:eastAsia="Arial" w:hAnsi="Arial"/>
          <w:sz w:val="17"/>
          <w:szCs w:val="17"/>
          <w:color w:val="auto"/>
        </w:rPr>
        <w:t>The proposed form of underwriting agreement filed as Exhibit 1.1. to this registration statement will provide for indemnification of directors and officers of the registrant by the underwriters against certain liabilities.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60"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The following list sets forth information regarding all unregistered securities sold by ALX Oncology Limited since January 1, 2017, the period prior to our incorporation and the effectiveness of the reorganization (for which period all share numbers are reflected without giving effect to a 1-for-6.5806 reverse stock split of our common stock and</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right="100"/>
        <w:spacing w:after="0" w:line="246" w:lineRule="auto"/>
        <w:rPr>
          <w:sz w:val="20"/>
          <w:szCs w:val="20"/>
          <w:color w:val="auto"/>
        </w:rPr>
      </w:pPr>
      <w:r>
        <w:rPr>
          <w:rFonts w:ascii="Arial" w:cs="Arial" w:eastAsia="Arial" w:hAnsi="Arial"/>
          <w:sz w:val="17"/>
          <w:szCs w:val="17"/>
          <w:color w:val="auto"/>
        </w:rPr>
        <w:t>convertible preferred stock effected in July 2020), and all unregistered securities sold by us since our incorporation on April 1, 2020. For all other times, it includes transactions between us and related parties.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57" w:lineRule="exact"/>
        <w:rPr>
          <w:sz w:val="20"/>
          <w:szCs w:val="20"/>
          <w:color w:val="auto"/>
        </w:rPr>
      </w:pPr>
    </w:p>
    <w:p>
      <w:pPr>
        <w:ind w:left="540" w:right="760" w:hanging="424"/>
        <w:spacing w:after="0" w:line="275" w:lineRule="auto"/>
        <w:tabs>
          <w:tab w:leader="none" w:pos="5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From March 2017 to August 2017, ALX Oncology Limited received total proceeds of $25,000,000 from the issuance of convertible promissory notes to investors.</w:t>
      </w:r>
    </w:p>
    <w:p>
      <w:pPr>
        <w:spacing w:after="0" w:line="132" w:lineRule="exact"/>
        <w:rPr>
          <w:rFonts w:ascii="Arial" w:cs="Arial" w:eastAsia="Arial" w:hAnsi="Arial"/>
          <w:sz w:val="17"/>
          <w:szCs w:val="17"/>
          <w:color w:val="auto"/>
        </w:rPr>
      </w:pPr>
    </w:p>
    <w:p>
      <w:pPr>
        <w:ind w:left="540" w:right="280" w:hanging="424"/>
        <w:spacing w:after="0" w:line="275" w:lineRule="auto"/>
        <w:tabs>
          <w:tab w:leader="none" w:pos="5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September 2017, all of the convertible promissory notes were converted to an aggregate of 25,180,500 shares of Series A convertible preferred stock of ALX Oncology Limited at a conversion price of $1.00 per share.</w:t>
      </w:r>
    </w:p>
    <w:p>
      <w:pPr>
        <w:spacing w:after="0" w:line="132" w:lineRule="exact"/>
        <w:rPr>
          <w:rFonts w:ascii="Arial" w:cs="Arial" w:eastAsia="Arial" w:hAnsi="Arial"/>
          <w:sz w:val="17"/>
          <w:szCs w:val="17"/>
          <w:color w:val="auto"/>
        </w:rPr>
      </w:pPr>
    </w:p>
    <w:p>
      <w:pPr>
        <w:ind w:left="540" w:right="340" w:hanging="424"/>
        <w:spacing w:after="0" w:line="275" w:lineRule="auto"/>
        <w:tabs>
          <w:tab w:leader="none" w:pos="5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May 2019, ALX Oncology Limited issued and sold to investors an aggregate of 6,690,729 shares of its Series B convertible preferred stock at $1.4432 per share, for an aggregate consideration of approximately $9.6 million.</w:t>
      </w:r>
    </w:p>
    <w:p>
      <w:pPr>
        <w:spacing w:after="0" w:line="132" w:lineRule="exact"/>
        <w:rPr>
          <w:rFonts w:ascii="Arial" w:cs="Arial" w:eastAsia="Arial" w:hAnsi="Arial"/>
          <w:sz w:val="17"/>
          <w:szCs w:val="17"/>
          <w:color w:val="auto"/>
        </w:rPr>
      </w:pPr>
    </w:p>
    <w:p>
      <w:pPr>
        <w:ind w:left="540" w:right="240" w:hanging="424"/>
        <w:spacing w:after="0" w:line="275" w:lineRule="auto"/>
        <w:tabs>
          <w:tab w:leader="none" w:pos="5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December 2019, ALX Oncology Limited issued to certain lenders warrants to purchase an aggregate of 403,348 shares of its Series B convertible preferred stock at $1.4432 per share pursuant to a loan and security agreement.</w:t>
      </w:r>
    </w:p>
    <w:p>
      <w:pPr>
        <w:spacing w:after="0" w:line="132" w:lineRule="exact"/>
        <w:rPr>
          <w:rFonts w:ascii="Arial" w:cs="Arial" w:eastAsia="Arial" w:hAnsi="Arial"/>
          <w:sz w:val="17"/>
          <w:szCs w:val="17"/>
          <w:color w:val="auto"/>
        </w:rPr>
      </w:pPr>
    </w:p>
    <w:p>
      <w:pPr>
        <w:ind w:left="540" w:right="620" w:hanging="424"/>
        <w:spacing w:after="0" w:line="275" w:lineRule="auto"/>
        <w:tabs>
          <w:tab w:leader="none" w:pos="5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February 2020, ALX Oncology Limited issued and sold to investors an aggregate of 72,754,989 shares of its Series C convertible preferred stock at $1.4432 per share for an aggregate consideration of approximately $105.0 million.</w:t>
      </w:r>
    </w:p>
    <w:p>
      <w:pPr>
        <w:spacing w:after="0" w:line="132" w:lineRule="exact"/>
        <w:rPr>
          <w:rFonts w:ascii="Arial" w:cs="Arial" w:eastAsia="Arial" w:hAnsi="Arial"/>
          <w:sz w:val="17"/>
          <w:szCs w:val="17"/>
          <w:color w:val="auto"/>
        </w:rPr>
      </w:pPr>
    </w:p>
    <w:p>
      <w:pPr>
        <w:ind w:left="540" w:right="120" w:hanging="424"/>
        <w:spacing w:after="0" w:line="275" w:lineRule="auto"/>
        <w:tabs>
          <w:tab w:leader="none" w:pos="5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Between January 2017 to March 2020, ALX Oncology Limited granted to certain service providers stock options to purchase an aggregate of 21,465,623 shares of its common stock upon the exercise of options at exercise prices per share ranging from $0.15 to $0.62.</w:t>
      </w:r>
    </w:p>
    <w:p>
      <w:pPr>
        <w:spacing w:after="0" w:line="132" w:lineRule="exact"/>
        <w:rPr>
          <w:rFonts w:ascii="Arial" w:cs="Arial" w:eastAsia="Arial" w:hAnsi="Arial"/>
          <w:sz w:val="17"/>
          <w:szCs w:val="17"/>
          <w:color w:val="auto"/>
        </w:rPr>
      </w:pPr>
    </w:p>
    <w:p>
      <w:pPr>
        <w:ind w:left="540" w:right="80" w:hanging="424"/>
        <w:spacing w:after="0" w:line="253" w:lineRule="auto"/>
        <w:tabs>
          <w:tab w:leader="none" w:pos="5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Between January 2017 to March 2020, ALX Oncology Limited issued and sold to certain service providers 99,731 shares of common stock upon the exercise of options at exercise prices per share ranging from $0.15 to $0.29, for an aggregate exercise price of approximately $19,491.69.</w:t>
      </w:r>
    </w:p>
    <w:p>
      <w:pPr>
        <w:spacing w:after="0" w:line="151" w:lineRule="exact"/>
        <w:rPr>
          <w:rFonts w:ascii="Arial" w:cs="Arial" w:eastAsia="Arial" w:hAnsi="Arial"/>
          <w:sz w:val="17"/>
          <w:szCs w:val="17"/>
          <w:color w:val="auto"/>
        </w:rPr>
      </w:pPr>
    </w:p>
    <w:p>
      <w:pPr>
        <w:ind w:left="540" w:hanging="424"/>
        <w:spacing w:after="0" w:line="235" w:lineRule="auto"/>
        <w:tabs>
          <w:tab w:leader="none" w:pos="5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On April 1, 2020, we incorporated ALX Oncology Holdings Inc. in Delaware, and we completed a reorganization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 In connection with this reorganization, on April 1, 2020: (a) we issued and sold to the existing shareholders of ALX Oncology Limited an aggregate of 3,166,946 shares of our common stock at purchase prices per share ranging from $0.007 to $1.91, an aggregate of 9,297,081 shares of our Series A convertible preferred stock at a purchase price per share of $6.58, an aggregate of 1,016,727 shares of our Series B convertible preferred stock at a purchase price per share of $9.4972 and an aggregate of 11,055,966 shares of our Series C convertible preferred stock at a purchase price per share of $9.4972, in exchange for promissory notes with an aggregate principal amount of approximately $176.3 million; (b) we acquired 525,000,000 shares of common stock of ALX Oncology Limited in exchange for the promissory notes that were acquired in connection with the issuance and sale of our capital stock described in clause (a); and (c) we granted stock options to the holders of outstanding options to purchase common stock of ALX Oncology Limited to purchase an aggregate of 3,200,872 shares of our common stock upon the exercise of options at exercise prices per share ranging from $0.86 to $4.08.</w:t>
      </w:r>
    </w:p>
    <w:p>
      <w:pPr>
        <w:spacing w:after="0" w:line="171" w:lineRule="exact"/>
        <w:rPr>
          <w:rFonts w:ascii="Arial" w:cs="Arial" w:eastAsia="Arial" w:hAnsi="Arial"/>
          <w:sz w:val="17"/>
          <w:szCs w:val="17"/>
          <w:color w:val="auto"/>
        </w:rPr>
      </w:pPr>
    </w:p>
    <w:p>
      <w:pPr>
        <w:ind w:left="540" w:right="60" w:hanging="424"/>
        <w:spacing w:after="0" w:line="246" w:lineRule="auto"/>
        <w:tabs>
          <w:tab w:leader="none" w:pos="5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connection with the reorganization and to replace the warrants that were originally issued by ALX Oncology Limited, on April 1, 2020, we issued to certain lenders warrants to purchase an aggregate of 61,292 shares of our Series B convertible preferred stock with an exercise price of $9.4972 per share pursuant to the amended loan and security agreement that was originally entered into by ALX Oncology Limited in December 2019.</w:t>
      </w:r>
    </w:p>
    <w:p>
      <w:pPr>
        <w:spacing w:after="0" w:line="157" w:lineRule="exact"/>
        <w:rPr>
          <w:rFonts w:ascii="Arial" w:cs="Arial" w:eastAsia="Arial" w:hAnsi="Arial"/>
          <w:sz w:val="17"/>
          <w:szCs w:val="17"/>
          <w:color w:val="auto"/>
        </w:rPr>
      </w:pPr>
    </w:p>
    <w:p>
      <w:pPr>
        <w:ind w:left="540" w:right="40" w:hanging="424"/>
        <w:spacing w:after="0" w:line="253" w:lineRule="auto"/>
        <w:tabs>
          <w:tab w:leader="none" w:pos="5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Since April 2, 2020, we have granted options to purchase an aggregate of 1,790,028 shares of our common stock at exercise prices per share ranging from $4.81 to $76.93, to a total of 39 service providers under our 2020 Equity Incentive Plan and our Amended and Restated 2020 Equity Incentive Plan.</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100"/>
          </w:cols>
          <w:pgMar w:left="320" w:top="455" w:right="47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The offers, sales and issuances of the securities described in Items 15(1), (2), (3), (4), (5) and (9) were exempt from registration under the Securities Act under Section 4(a)(2) of the Securities Act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21" w:lineRule="exact"/>
        <w:rPr>
          <w:sz w:val="20"/>
          <w:szCs w:val="20"/>
          <w:color w:val="auto"/>
        </w:rPr>
      </w:pPr>
    </w:p>
    <w:p>
      <w:pPr>
        <w:ind w:left="120" w:right="240"/>
        <w:spacing w:after="0" w:line="245" w:lineRule="auto"/>
        <w:rPr>
          <w:sz w:val="20"/>
          <w:szCs w:val="20"/>
          <w:color w:val="auto"/>
        </w:rPr>
      </w:pPr>
      <w:r>
        <w:rPr>
          <w:rFonts w:ascii="Arial" w:cs="Arial" w:eastAsia="Arial" w:hAnsi="Arial"/>
          <w:sz w:val="17"/>
          <w:szCs w:val="17"/>
          <w:color w:val="auto"/>
        </w:rPr>
        <w:t>The offers, sales and issuances of the securities described in Items 15(6), (7) and (10) were exempt from registration under the Securities Act under Rule 701 in that the transactions were under compensatory benefit plans and contracts relating to compensation as provided under Rule</w:t>
      </w:r>
    </w:p>
    <w:p>
      <w:pPr>
        <w:spacing w:after="0" w:line="1" w:lineRule="exact"/>
        <w:rPr>
          <w:sz w:val="20"/>
          <w:szCs w:val="20"/>
          <w:color w:val="auto"/>
        </w:rPr>
      </w:pPr>
    </w:p>
    <w:p>
      <w:pPr>
        <w:ind w:left="120" w:right="160" w:hanging="4"/>
        <w:spacing w:after="0" w:line="238" w:lineRule="auto"/>
        <w:tabs>
          <w:tab w:leader="none" w:pos="5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recipients of such securities were the registrant’s employees, consultants or directors and received the securities under ALX Oncology Limited’s equity incentive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offers, sales and issuances of the securities described in Items 15(8) were exempt from registration under the Securities Act under either</w:t>
      </w:r>
    </w:p>
    <w:p>
      <w:pPr>
        <w:spacing w:after="0" w:line="16" w:lineRule="exact"/>
        <w:rPr>
          <w:sz w:val="20"/>
          <w:szCs w:val="20"/>
          <w:color w:val="auto"/>
        </w:rPr>
      </w:pPr>
    </w:p>
    <w:p>
      <w:pPr>
        <w:ind w:left="120" w:right="20" w:hanging="4"/>
        <w:spacing w:after="0" w:line="236" w:lineRule="auto"/>
        <w:tabs>
          <w:tab w:leader="none" w:pos="37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Rule 701 in that the transactions were under compensatory benefit plans and contracts relating to compensation as provided under Rule 701 or (2) Section 4(a)(2) of the Securities Act as transactions by an issuer not involving any public offering. The recipients of such securities were the registrant’s employees, consultants or directors and received the securities under the registrant’s 2020 Equity Incentive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 Exhibits.</w:t>
      </w:r>
    </w:p>
    <w:p>
      <w:pPr>
        <w:spacing w:after="0" w:line="43"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See the Exhibit Index immediately preceding the signature page hereto for a list of exhibits filed as part of this registration statement on Form S-1, which Exhibit Index is incorporated herein by reference.</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 Financial Statement Schedules.</w:t>
      </w:r>
    </w:p>
    <w:p>
      <w:pPr>
        <w:spacing w:after="0" w:line="41" w:lineRule="exact"/>
        <w:rPr>
          <w:sz w:val="20"/>
          <w:szCs w:val="20"/>
          <w:color w:val="auto"/>
        </w:rPr>
      </w:pPr>
    </w:p>
    <w:p>
      <w:pPr>
        <w:ind w:left="120" w:right="220"/>
        <w:spacing w:after="0" w:line="248" w:lineRule="auto"/>
        <w:rPr>
          <w:sz w:val="20"/>
          <w:szCs w:val="20"/>
          <w:color w:val="auto"/>
        </w:rPr>
      </w:pPr>
      <w:r>
        <w:rPr>
          <w:rFonts w:ascii="Arial" w:cs="Arial" w:eastAsia="Arial" w:hAnsi="Arial"/>
          <w:sz w:val="17"/>
          <w:szCs w:val="17"/>
          <w:color w:val="auto"/>
        </w:rPr>
        <w:t>Schedules have been omitted because the information required to be set forth therein is not applicable or is shown in the consolidated financial statements or notes thereto.</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73"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92"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120"/>
          </w:cols>
          <w:pgMar w:left="320" w:top="455" w:right="45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undersigned registrant hereby undertakes that:</w:t>
      </w:r>
    </w:p>
    <w:p>
      <w:pPr>
        <w:spacing w:after="0" w:line="196" w:lineRule="exact"/>
        <w:rPr>
          <w:sz w:val="20"/>
          <w:szCs w:val="20"/>
          <w:color w:val="auto"/>
        </w:rPr>
      </w:pPr>
    </w:p>
    <w:p>
      <w:pPr>
        <w:ind w:left="980" w:hanging="432"/>
        <w:spacing w:after="0" w:line="244" w:lineRule="auto"/>
        <w:tabs>
          <w:tab w:leader="none" w:pos="980" w:val="left"/>
        </w:tabs>
        <w:numPr>
          <w:ilvl w:val="0"/>
          <w:numId w:val="142"/>
        </w:numPr>
        <w:rPr>
          <w:rFonts w:ascii="MS PGothic" w:cs="MS PGothic" w:eastAsia="MS PGothic" w:hAnsi="MS PGothic"/>
          <w:sz w:val="13"/>
          <w:szCs w:val="13"/>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 w:lineRule="exact"/>
        <w:rPr>
          <w:rFonts w:ascii="MS PGothic" w:cs="MS PGothic" w:eastAsia="MS PGothic" w:hAnsi="MS PGothic"/>
          <w:sz w:val="13"/>
          <w:szCs w:val="13"/>
          <w:color w:val="auto"/>
        </w:rPr>
      </w:pPr>
    </w:p>
    <w:p>
      <w:pPr>
        <w:ind w:left="980" w:right="340" w:hanging="432"/>
        <w:spacing w:after="0" w:line="252" w:lineRule="auto"/>
        <w:tabs>
          <w:tab w:leader="none" w:pos="980" w:val="left"/>
        </w:tabs>
        <w:numPr>
          <w:ilvl w:val="0"/>
          <w:numId w:val="142"/>
        </w:numPr>
        <w:rPr>
          <w:rFonts w:ascii="MS PGothic" w:cs="MS PGothic" w:eastAsia="MS PGothic" w:hAnsi="MS PGothic"/>
          <w:sz w:val="13"/>
          <w:szCs w:val="13"/>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0960"/>
          </w:cols>
          <w:pgMar w:left="320" w:top="455" w:right="61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149860</wp:posOffset>
            </wp:positionV>
            <wp:extent cx="699516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0" w:type="dxa"/>
            <w:vAlign w:val="bottom"/>
            <w:gridSpan w:val="6"/>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0"/>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15"/>
            <w:vMerge w:val="restart"/>
          </w:tcPr>
          <w:p>
            <w:pPr>
              <w:ind w:left="280"/>
              <w:spacing w:after="0"/>
              <w:rPr>
                <w:sz w:val="20"/>
                <w:szCs w:val="20"/>
                <w:color w:val="auto"/>
              </w:rPr>
            </w:pPr>
            <w:r>
              <w:rPr>
                <w:rFonts w:ascii="Arial" w:cs="Arial" w:eastAsia="Arial" w:hAnsi="Arial"/>
                <w:sz w:val="14"/>
                <w:szCs w:val="14"/>
                <w:b w:val="1"/>
                <w:bCs w:val="1"/>
                <w:color w:val="auto"/>
              </w:rPr>
              <w:t>EXHIBIT TITLE</w:t>
            </w:r>
          </w:p>
        </w:tc>
        <w:tc>
          <w:tcPr>
            <w:tcW w:w="200" w:type="dxa"/>
            <w:vAlign w:val="bottom"/>
            <w:vMerge w:val="restart"/>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FILING</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gridSpan w:val="15"/>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4"/>
                <w:szCs w:val="14"/>
                <w:b w:val="1"/>
                <w:bCs w:val="1"/>
                <w:color w:val="auto"/>
              </w:rPr>
              <w:t>FORM</w:t>
            </w:r>
          </w:p>
        </w:tc>
        <w:tc>
          <w:tcPr>
            <w:tcW w:w="280" w:type="dxa"/>
            <w:vAlign w:val="bottom"/>
          </w:tcPr>
          <w:p>
            <w:pPr>
              <w:spacing w:after="0"/>
              <w:rPr>
                <w:sz w:val="14"/>
                <w:szCs w:val="14"/>
                <w:color w:val="auto"/>
              </w:rPr>
            </w:pPr>
          </w:p>
        </w:tc>
        <w:tc>
          <w:tcPr>
            <w:tcW w:w="1020" w:type="dxa"/>
            <w:vAlign w:val="bottom"/>
          </w:tcPr>
          <w:p>
            <w:pPr>
              <w:jc w:val="right"/>
              <w:ind w:right="132"/>
              <w:spacing w:after="0"/>
              <w:rPr>
                <w:sz w:val="20"/>
                <w:szCs w:val="20"/>
                <w:color w:val="auto"/>
              </w:rPr>
            </w:pPr>
            <w:r>
              <w:rPr>
                <w:rFonts w:ascii="Arial" w:cs="Arial" w:eastAsia="Arial" w:hAnsi="Arial"/>
                <w:sz w:val="14"/>
                <w:szCs w:val="14"/>
                <w:b w:val="1"/>
                <w:bCs w:val="1"/>
                <w:color w:val="auto"/>
              </w:rPr>
              <w:t>FILE NO.</w:t>
            </w:r>
          </w:p>
        </w:tc>
        <w:tc>
          <w:tcPr>
            <w:tcW w:w="2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EXHIBIT</w:t>
            </w: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DATE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4"/>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3"/>
                <w:szCs w:val="23"/>
                <w:color w:val="auto"/>
              </w:rPr>
            </w:pPr>
          </w:p>
        </w:tc>
        <w:tc>
          <w:tcPr>
            <w:tcW w:w="4540" w:type="dxa"/>
            <w:vAlign w:val="bottom"/>
            <w:tcBorders>
              <w:top w:val="single" w:sz="8" w:color="auto"/>
            </w:tcBorders>
            <w:gridSpan w:val="21"/>
          </w:tcPr>
          <w:p>
            <w:pPr>
              <w:spacing w:after="0"/>
              <w:rPr>
                <w:rFonts w:ascii="Arial" w:cs="Arial" w:eastAsia="Arial" w:hAnsi="Arial"/>
                <w:sz w:val="17"/>
                <w:szCs w:val="17"/>
                <w:u w:val="single" w:color="auto"/>
                <w:color w:val="0000EE"/>
              </w:rPr>
            </w:pPr>
            <w:hyperlink w:anchor="page242">
              <w:r>
                <w:rPr>
                  <w:rFonts w:ascii="Arial" w:cs="Arial" w:eastAsia="Arial" w:hAnsi="Arial"/>
                  <w:sz w:val="17"/>
                  <w:szCs w:val="17"/>
                  <w:u w:val="single" w:color="auto"/>
                  <w:color w:val="0000EE"/>
                </w:rPr>
                <w:t>Form of Underwriting Agreement.</w:t>
              </w:r>
            </w:hyperlink>
          </w:p>
        </w:tc>
        <w:tc>
          <w:tcPr>
            <w:tcW w:w="2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2"/>
        </w:trPr>
        <w:tc>
          <w:tcPr>
            <w:tcW w:w="640" w:type="dxa"/>
            <w:vAlign w:val="bottom"/>
          </w:tcPr>
          <w:p>
            <w:pPr>
              <w:spacing w:after="0" w:line="192" w:lineRule="exact"/>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4740" w:type="dxa"/>
            <w:vAlign w:val="bottom"/>
            <w:gridSpan w:val="22"/>
          </w:tcPr>
          <w:p>
            <w:pPr>
              <w:spacing w:after="0" w:line="192" w:lineRule="exact"/>
              <w:rPr>
                <w:rFonts w:ascii="Arial" w:cs="Arial" w:eastAsia="Arial" w:hAnsi="Arial"/>
                <w:sz w:val="17"/>
                <w:szCs w:val="17"/>
                <w:color w:val="0000EE"/>
              </w:rPr>
            </w:pPr>
            <w:hyperlink r:id="rId414">
              <w:r>
                <w:rPr>
                  <w:rFonts w:ascii="Arial" w:cs="Arial" w:eastAsia="Arial" w:hAnsi="Arial"/>
                  <w:sz w:val="17"/>
                  <w:szCs w:val="17"/>
                  <w:color w:val="0000EE"/>
                </w:rPr>
                <w:t>Amended and Restated Certificate of Incorporation of the</w:t>
              </w:r>
            </w:hyperlink>
          </w:p>
        </w:tc>
        <w:tc>
          <w:tcPr>
            <w:tcW w:w="800" w:type="dxa"/>
            <w:vAlign w:val="bottom"/>
            <w:gridSpan w:val="2"/>
          </w:tcPr>
          <w:p>
            <w:pPr>
              <w:jc w:val="right"/>
              <w:ind w:right="280"/>
              <w:spacing w:after="0" w:line="192" w:lineRule="exact"/>
              <w:rPr>
                <w:sz w:val="20"/>
                <w:szCs w:val="20"/>
                <w:color w:val="auto"/>
              </w:rPr>
            </w:pPr>
            <w:r>
              <w:rPr>
                <w:rFonts w:ascii="Arial" w:cs="Arial" w:eastAsia="Arial" w:hAnsi="Arial"/>
                <w:sz w:val="18"/>
                <w:szCs w:val="18"/>
                <w:color w:val="auto"/>
              </w:rPr>
              <w:t>8-K</w:t>
            </w:r>
          </w:p>
        </w:tc>
        <w:tc>
          <w:tcPr>
            <w:tcW w:w="1280" w:type="dxa"/>
            <w:vAlign w:val="bottom"/>
            <w:gridSpan w:val="2"/>
          </w:tcPr>
          <w:p>
            <w:pPr>
              <w:jc w:val="right"/>
              <w:ind w:right="260"/>
              <w:spacing w:after="0" w:line="192" w:lineRule="exact"/>
              <w:rPr>
                <w:sz w:val="20"/>
                <w:szCs w:val="20"/>
                <w:color w:val="auto"/>
              </w:rPr>
            </w:pPr>
            <w:r>
              <w:rPr>
                <w:rFonts w:ascii="Arial" w:cs="Arial" w:eastAsia="Arial" w:hAnsi="Arial"/>
                <w:sz w:val="18"/>
                <w:szCs w:val="18"/>
                <w:color w:val="auto"/>
              </w:rPr>
              <w:t>001-39386</w:t>
            </w:r>
          </w:p>
        </w:tc>
        <w:tc>
          <w:tcPr>
            <w:tcW w:w="860" w:type="dxa"/>
            <w:vAlign w:val="bottom"/>
            <w:gridSpan w:val="2"/>
          </w:tcPr>
          <w:p>
            <w:pPr>
              <w:jc w:val="right"/>
              <w:ind w:right="280"/>
              <w:spacing w:after="0" w:line="192" w:lineRule="exact"/>
              <w:rPr>
                <w:sz w:val="20"/>
                <w:szCs w:val="20"/>
                <w:color w:val="auto"/>
              </w:rPr>
            </w:pPr>
            <w:r>
              <w:rPr>
                <w:rFonts w:ascii="Arial" w:cs="Arial" w:eastAsia="Arial" w:hAnsi="Arial"/>
                <w:sz w:val="18"/>
                <w:szCs w:val="18"/>
                <w:color w:val="auto"/>
              </w:rPr>
              <w:t>3.1</w:t>
            </w:r>
          </w:p>
        </w:tc>
        <w:tc>
          <w:tcPr>
            <w:tcW w:w="1460" w:type="dxa"/>
            <w:vAlign w:val="bottom"/>
            <w:gridSpan w:val="2"/>
          </w:tcPr>
          <w:p>
            <w:pPr>
              <w:jc w:val="right"/>
              <w:ind w:right="260"/>
              <w:spacing w:after="0" w:line="192" w:lineRule="exact"/>
              <w:rPr>
                <w:sz w:val="20"/>
                <w:szCs w:val="20"/>
                <w:color w:val="auto"/>
              </w:rPr>
            </w:pPr>
            <w:r>
              <w:rPr>
                <w:rFonts w:ascii="Arial" w:cs="Arial" w:eastAsia="Arial" w:hAnsi="Arial"/>
                <w:sz w:val="18"/>
                <w:szCs w:val="18"/>
                <w:color w:val="auto"/>
              </w:rPr>
              <w:t>July 21, 2020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Borders>
              <w:top w:val="single" w:sz="8" w:color="0000EE"/>
              <w:bottom w:val="single" w:sz="8" w:color="0000EE"/>
            </w:tcBorders>
            <w:gridSpan w:val="2"/>
          </w:tcPr>
          <w:p>
            <w:pPr>
              <w:spacing w:after="0" w:line="169" w:lineRule="exact"/>
              <w:rPr>
                <w:rFonts w:ascii="Arial" w:cs="Arial" w:eastAsia="Arial" w:hAnsi="Arial"/>
                <w:sz w:val="17"/>
                <w:szCs w:val="17"/>
                <w:color w:val="0000EE"/>
                <w:w w:val="99"/>
              </w:rPr>
            </w:pPr>
            <w:hyperlink r:id="rId414">
              <w:r>
                <w:rPr>
                  <w:rFonts w:ascii="Arial" w:cs="Arial" w:eastAsia="Arial" w:hAnsi="Arial"/>
                  <w:sz w:val="17"/>
                  <w:szCs w:val="17"/>
                  <w:color w:val="0000EE"/>
                  <w:w w:val="99"/>
                </w:rPr>
                <w:t>Registrant.</w:t>
              </w:r>
            </w:hyperlink>
          </w:p>
        </w:tc>
        <w:tc>
          <w:tcPr>
            <w:tcW w:w="3500" w:type="dxa"/>
            <w:vAlign w:val="bottom"/>
            <w:tcBorders>
              <w:top w:val="single" w:sz="8" w:color="0000EE"/>
            </w:tcBorders>
            <w:gridSpan w:val="1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4740" w:type="dxa"/>
            <w:vAlign w:val="bottom"/>
            <w:gridSpan w:val="22"/>
          </w:tcPr>
          <w:p>
            <w:pPr>
              <w:spacing w:after="0"/>
              <w:rPr>
                <w:rFonts w:ascii="Arial" w:cs="Arial" w:eastAsia="Arial" w:hAnsi="Arial"/>
                <w:sz w:val="17"/>
                <w:szCs w:val="17"/>
                <w:color w:val="0000EE"/>
              </w:rPr>
            </w:pPr>
            <w:hyperlink r:id="rId415">
              <w:r>
                <w:rPr>
                  <w:rFonts w:ascii="Arial" w:cs="Arial" w:eastAsia="Arial" w:hAnsi="Arial"/>
                  <w:sz w:val="17"/>
                  <w:szCs w:val="17"/>
                  <w:u w:val="single" w:color="auto"/>
                  <w:color w:val="0000EE"/>
                </w:rPr>
                <w:t>Amended and Restated Bylaws of the Registrant</w:t>
              </w:r>
              <w:r>
                <w:rPr>
                  <w:rFonts w:ascii="Arial" w:cs="Arial" w:eastAsia="Arial" w:hAnsi="Arial"/>
                  <w:sz w:val="17"/>
                  <w:szCs w:val="17"/>
                  <w:color w:val="0000EE"/>
                </w:rPr>
                <w:t>.</w:t>
              </w:r>
            </w:hyperlink>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8-K</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001-39386</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21, 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line="192" w:lineRule="exact"/>
              <w:rPr>
                <w:sz w:val="20"/>
                <w:szCs w:val="20"/>
                <w:color w:val="auto"/>
              </w:rPr>
            </w:pPr>
            <w:r>
              <w:rPr>
                <w:rFonts w:ascii="Arial" w:cs="Arial" w:eastAsia="Arial" w:hAnsi="Arial"/>
                <w:sz w:val="18"/>
                <w:szCs w:val="18"/>
                <w:color w:val="auto"/>
              </w:rPr>
              <w:t>4.1</w:t>
            </w:r>
          </w:p>
        </w:tc>
        <w:tc>
          <w:tcPr>
            <w:tcW w:w="400" w:type="dxa"/>
            <w:vAlign w:val="bottom"/>
          </w:tcPr>
          <w:p>
            <w:pPr>
              <w:spacing w:after="0"/>
              <w:rPr>
                <w:sz w:val="18"/>
                <w:szCs w:val="18"/>
                <w:color w:val="auto"/>
              </w:rPr>
            </w:pPr>
          </w:p>
        </w:tc>
        <w:tc>
          <w:tcPr>
            <w:tcW w:w="4740" w:type="dxa"/>
            <w:vAlign w:val="bottom"/>
            <w:gridSpan w:val="22"/>
          </w:tcPr>
          <w:p>
            <w:pPr>
              <w:spacing w:after="0" w:line="192" w:lineRule="exact"/>
              <w:rPr>
                <w:rFonts w:ascii="Arial" w:cs="Arial" w:eastAsia="Arial" w:hAnsi="Arial"/>
                <w:sz w:val="17"/>
                <w:szCs w:val="17"/>
                <w:color w:val="0000EE"/>
              </w:rPr>
            </w:pPr>
            <w:hyperlink r:id="rId416">
              <w:r>
                <w:rPr>
                  <w:rFonts w:ascii="Arial" w:cs="Arial" w:eastAsia="Arial" w:hAnsi="Arial"/>
                  <w:sz w:val="17"/>
                  <w:szCs w:val="17"/>
                  <w:color w:val="0000EE"/>
                </w:rPr>
                <w:t>Amended and Restated Investors’ Rights Agreement</w:t>
              </w:r>
            </w:hyperlink>
          </w:p>
        </w:tc>
        <w:tc>
          <w:tcPr>
            <w:tcW w:w="800" w:type="dxa"/>
            <w:vAlign w:val="bottom"/>
            <w:gridSpan w:val="2"/>
          </w:tcPr>
          <w:p>
            <w:pPr>
              <w:jc w:val="right"/>
              <w:ind w:right="280"/>
              <w:spacing w:after="0" w:line="192" w:lineRule="exact"/>
              <w:rPr>
                <w:sz w:val="20"/>
                <w:szCs w:val="20"/>
                <w:color w:val="auto"/>
              </w:rPr>
            </w:pPr>
            <w:r>
              <w:rPr>
                <w:rFonts w:ascii="Arial" w:cs="Arial" w:eastAsia="Arial" w:hAnsi="Arial"/>
                <w:sz w:val="18"/>
                <w:szCs w:val="18"/>
                <w:color w:val="auto"/>
              </w:rPr>
              <w:t>S-1</w:t>
            </w:r>
          </w:p>
        </w:tc>
        <w:tc>
          <w:tcPr>
            <w:tcW w:w="1280" w:type="dxa"/>
            <w:vAlign w:val="bottom"/>
            <w:gridSpan w:val="2"/>
          </w:tcPr>
          <w:p>
            <w:pPr>
              <w:jc w:val="right"/>
              <w:ind w:right="260"/>
              <w:spacing w:after="0" w:line="192" w:lineRule="exact"/>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line="192" w:lineRule="exact"/>
              <w:rPr>
                <w:sz w:val="20"/>
                <w:szCs w:val="20"/>
                <w:color w:val="auto"/>
              </w:rPr>
            </w:pPr>
            <w:r>
              <w:rPr>
                <w:rFonts w:ascii="Arial" w:cs="Arial" w:eastAsia="Arial" w:hAnsi="Arial"/>
                <w:sz w:val="18"/>
                <w:szCs w:val="18"/>
                <w:color w:val="auto"/>
              </w:rPr>
              <w:t>4.1</w:t>
            </w:r>
          </w:p>
        </w:tc>
        <w:tc>
          <w:tcPr>
            <w:tcW w:w="1460" w:type="dxa"/>
            <w:vAlign w:val="bottom"/>
            <w:gridSpan w:val="2"/>
          </w:tcPr>
          <w:p>
            <w:pPr>
              <w:jc w:val="right"/>
              <w:ind w:right="260"/>
              <w:spacing w:after="0" w:line="192" w:lineRule="exact"/>
              <w:rPr>
                <w:sz w:val="20"/>
                <w:szCs w:val="20"/>
                <w:color w:val="auto"/>
              </w:rPr>
            </w:pPr>
            <w:r>
              <w:rPr>
                <w:rFonts w:ascii="Arial" w:cs="Arial" w:eastAsia="Arial" w:hAnsi="Arial"/>
                <w:sz w:val="18"/>
                <w:szCs w:val="18"/>
                <w:color w:val="auto"/>
              </w:rPr>
              <w:t>June 26, 2020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0" w:type="dxa"/>
            <w:vAlign w:val="bottom"/>
            <w:tcBorders>
              <w:top w:val="single" w:sz="8" w:color="0000EE"/>
            </w:tcBorders>
            <w:gridSpan w:val="11"/>
          </w:tcPr>
          <w:p>
            <w:pPr>
              <w:spacing w:after="0" w:line="169" w:lineRule="exact"/>
              <w:rPr>
                <w:rFonts w:ascii="Arial" w:cs="Arial" w:eastAsia="Arial" w:hAnsi="Arial"/>
                <w:sz w:val="17"/>
                <w:szCs w:val="17"/>
                <w:color w:val="0000EE"/>
              </w:rPr>
            </w:pPr>
            <w:hyperlink r:id="rId416">
              <w:r>
                <w:rPr>
                  <w:rFonts w:ascii="Arial" w:cs="Arial" w:eastAsia="Arial" w:hAnsi="Arial"/>
                  <w:sz w:val="17"/>
                  <w:szCs w:val="17"/>
                  <w:color w:val="0000EE"/>
                </w:rPr>
                <w:t>among the Registrant and certain of its stockholders,</w:t>
              </w:r>
            </w:hyperlink>
          </w:p>
        </w:tc>
        <w:tc>
          <w:tcPr>
            <w:tcW w:w="40" w:type="dxa"/>
            <w:vAlign w:val="bottom"/>
          </w:tcPr>
          <w:p>
            <w:pPr>
              <w:spacing w:after="0"/>
              <w:rPr>
                <w:sz w:val="14"/>
                <w:szCs w:val="14"/>
                <w:color w:val="auto"/>
              </w:rPr>
            </w:pPr>
          </w:p>
        </w:tc>
        <w:tc>
          <w:tcPr>
            <w:tcW w:w="700" w:type="dxa"/>
            <w:vAlign w:val="bottom"/>
            <w:gridSpan w:val="10"/>
          </w:tcPr>
          <w:p>
            <w:pPr>
              <w:spacing w:after="0" w:line="169" w:lineRule="exact"/>
              <w:rPr>
                <w:rFonts w:ascii="Arial" w:cs="Arial" w:eastAsia="Arial" w:hAnsi="Arial"/>
                <w:sz w:val="17"/>
                <w:szCs w:val="17"/>
                <w:color w:val="0000EE"/>
              </w:rPr>
            </w:pPr>
            <w:hyperlink r:id="rId416">
              <w:r>
                <w:rPr>
                  <w:rFonts w:ascii="Arial" w:cs="Arial" w:eastAsia="Arial" w:hAnsi="Arial"/>
                  <w:sz w:val="17"/>
                  <w:szCs w:val="17"/>
                  <w:color w:val="0000EE"/>
                </w:rPr>
                <w:t>dated</w:t>
              </w:r>
            </w:hyperlink>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Borders>
              <w:top w:val="single" w:sz="8" w:color="0000EE"/>
              <w:bottom w:val="single" w:sz="8" w:color="0000EE"/>
            </w:tcBorders>
            <w:gridSpan w:val="4"/>
          </w:tcPr>
          <w:p>
            <w:pPr>
              <w:spacing w:after="0" w:line="169" w:lineRule="exact"/>
              <w:rPr>
                <w:rFonts w:ascii="Arial" w:cs="Arial" w:eastAsia="Arial" w:hAnsi="Arial"/>
                <w:sz w:val="17"/>
                <w:szCs w:val="17"/>
                <w:color w:val="0000EE"/>
                <w:w w:val="99"/>
              </w:rPr>
            </w:pPr>
            <w:hyperlink r:id="rId416">
              <w:r>
                <w:rPr>
                  <w:rFonts w:ascii="Arial" w:cs="Arial" w:eastAsia="Arial" w:hAnsi="Arial"/>
                  <w:sz w:val="17"/>
                  <w:szCs w:val="17"/>
                  <w:color w:val="0000EE"/>
                  <w:w w:val="99"/>
                </w:rPr>
                <w:t>April 1, 2020.</w:t>
              </w:r>
            </w:hyperlink>
          </w:p>
        </w:tc>
        <w:tc>
          <w:tcPr>
            <w:tcW w:w="3460" w:type="dxa"/>
            <w:vAlign w:val="bottom"/>
            <w:tcBorders>
              <w:top w:val="single" w:sz="8" w:color="0000EE"/>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4740" w:type="dxa"/>
            <w:vAlign w:val="bottom"/>
            <w:gridSpan w:val="22"/>
          </w:tcPr>
          <w:p>
            <w:pPr>
              <w:spacing w:after="0"/>
              <w:rPr>
                <w:rFonts w:ascii="Arial" w:cs="Arial" w:eastAsia="Arial" w:hAnsi="Arial"/>
                <w:sz w:val="17"/>
                <w:szCs w:val="17"/>
                <w:u w:val="single" w:color="auto"/>
                <w:color w:val="0000EE"/>
              </w:rPr>
            </w:pPr>
            <w:hyperlink r:id="rId417">
              <w:r>
                <w:rPr>
                  <w:rFonts w:ascii="Arial" w:cs="Arial" w:eastAsia="Arial" w:hAnsi="Arial"/>
                  <w:sz w:val="17"/>
                  <w:szCs w:val="17"/>
                  <w:u w:val="single" w:color="auto"/>
                  <w:color w:val="0000EE"/>
                </w:rPr>
                <w:t>Specimen common stock certificate of the Registrant.</w:t>
              </w:r>
            </w:hyperlink>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S-1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June 26, 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line="192" w:lineRule="exact"/>
              <w:rPr>
                <w:sz w:val="20"/>
                <w:szCs w:val="20"/>
                <w:color w:val="auto"/>
              </w:rPr>
            </w:pPr>
            <w:r>
              <w:rPr>
                <w:rFonts w:ascii="Arial" w:cs="Arial" w:eastAsia="Arial" w:hAnsi="Arial"/>
                <w:sz w:val="18"/>
                <w:szCs w:val="18"/>
                <w:color w:val="auto"/>
              </w:rPr>
              <w:t>5.1</w:t>
            </w:r>
          </w:p>
        </w:tc>
        <w:tc>
          <w:tcPr>
            <w:tcW w:w="400" w:type="dxa"/>
            <w:vAlign w:val="bottom"/>
          </w:tcPr>
          <w:p>
            <w:pPr>
              <w:spacing w:after="0"/>
              <w:rPr>
                <w:sz w:val="18"/>
                <w:szCs w:val="18"/>
                <w:color w:val="auto"/>
              </w:rPr>
            </w:pPr>
          </w:p>
        </w:tc>
        <w:tc>
          <w:tcPr>
            <w:tcW w:w="4740" w:type="dxa"/>
            <w:vAlign w:val="bottom"/>
            <w:gridSpan w:val="22"/>
          </w:tcPr>
          <w:p>
            <w:pPr>
              <w:spacing w:after="0" w:line="192" w:lineRule="exact"/>
              <w:rPr>
                <w:rFonts w:ascii="Arial" w:cs="Arial" w:eastAsia="Arial" w:hAnsi="Arial"/>
                <w:sz w:val="17"/>
                <w:szCs w:val="17"/>
                <w:color w:val="0000EE"/>
              </w:rPr>
            </w:pPr>
            <w:hyperlink w:anchor="page291">
              <w:r>
                <w:rPr>
                  <w:rFonts w:ascii="Arial" w:cs="Arial" w:eastAsia="Arial" w:hAnsi="Arial"/>
                  <w:sz w:val="17"/>
                  <w:szCs w:val="17"/>
                  <w:color w:val="0000EE"/>
                </w:rPr>
                <w:t>Opinion of Wilson Sonsini Goodrich &amp; Rosati, Professional</w:t>
              </w:r>
            </w:hyperlink>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line="19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20" w:type="dxa"/>
            <w:vAlign w:val="bottom"/>
            <w:tcBorders>
              <w:top w:val="single" w:sz="8" w:color="0000EE"/>
            </w:tcBorders>
            <w:gridSpan w:val="17"/>
          </w:tcPr>
          <w:p>
            <w:pPr>
              <w:spacing w:after="0" w:line="169" w:lineRule="exact"/>
              <w:rPr>
                <w:rFonts w:ascii="Arial" w:cs="Arial" w:eastAsia="Arial" w:hAnsi="Arial"/>
                <w:sz w:val="17"/>
                <w:szCs w:val="17"/>
                <w:color w:val="0000EE"/>
              </w:rPr>
            </w:pPr>
            <w:hyperlink w:anchor="page291">
              <w:r>
                <w:rPr>
                  <w:rFonts w:ascii="Arial" w:cs="Arial" w:eastAsia="Arial" w:hAnsi="Arial"/>
                  <w:sz w:val="17"/>
                  <w:szCs w:val="17"/>
                  <w:color w:val="0000EE"/>
                </w:rPr>
                <w:t>Corporation.</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w:t>
            </w:r>
          </w:p>
        </w:tc>
        <w:tc>
          <w:tcPr>
            <w:tcW w:w="400" w:type="dxa"/>
            <w:vAlign w:val="bottom"/>
          </w:tcPr>
          <w:p>
            <w:pPr>
              <w:spacing w:after="0"/>
              <w:rPr>
                <w:sz w:val="20"/>
                <w:szCs w:val="20"/>
                <w:color w:val="auto"/>
              </w:rPr>
            </w:pPr>
          </w:p>
        </w:tc>
        <w:tc>
          <w:tcPr>
            <w:tcW w:w="4740" w:type="dxa"/>
            <w:vAlign w:val="bottom"/>
            <w:gridSpan w:val="22"/>
          </w:tcPr>
          <w:p>
            <w:pPr>
              <w:spacing w:after="0"/>
              <w:rPr>
                <w:rFonts w:ascii="Arial" w:cs="Arial" w:eastAsia="Arial" w:hAnsi="Arial"/>
                <w:sz w:val="17"/>
                <w:szCs w:val="17"/>
                <w:color w:val="0000EE"/>
              </w:rPr>
            </w:pPr>
            <w:hyperlink r:id="rId418">
              <w:r>
                <w:rPr>
                  <w:rFonts w:ascii="Arial" w:cs="Arial" w:eastAsia="Arial" w:hAnsi="Arial"/>
                  <w:sz w:val="17"/>
                  <w:szCs w:val="17"/>
                  <w:color w:val="0000EE"/>
                </w:rPr>
                <w:t>Form of Indemnification Agreement between the Registrant</w:t>
              </w:r>
            </w:hyperlink>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S-1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June 26, 2020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00" w:type="dxa"/>
            <w:vAlign w:val="bottom"/>
            <w:tcBorders>
              <w:top w:val="single" w:sz="8" w:color="0000EE"/>
            </w:tcBorders>
            <w:gridSpan w:val="19"/>
          </w:tcPr>
          <w:p>
            <w:pPr>
              <w:spacing w:after="0" w:line="169" w:lineRule="exact"/>
              <w:rPr>
                <w:rFonts w:ascii="Arial" w:cs="Arial" w:eastAsia="Arial" w:hAnsi="Arial"/>
                <w:sz w:val="17"/>
                <w:szCs w:val="17"/>
                <w:color w:val="0000EE"/>
              </w:rPr>
            </w:pPr>
            <w:hyperlink r:id="rId418">
              <w:r>
                <w:rPr>
                  <w:rFonts w:ascii="Arial" w:cs="Arial" w:eastAsia="Arial" w:hAnsi="Arial"/>
                  <w:sz w:val="17"/>
                  <w:szCs w:val="17"/>
                  <w:color w:val="0000EE"/>
                </w:rPr>
                <w:t>and each of its directors and executive officers.</w:t>
              </w:r>
            </w:hyperlink>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10.2</w:t>
            </w:r>
            <w:r>
              <w:rPr>
                <w:rFonts w:ascii="Arial" w:cs="Arial" w:eastAsia="Arial" w:hAnsi="Arial"/>
                <w:sz w:val="15"/>
                <w:szCs w:val="15"/>
                <w:color w:val="auto"/>
              </w:rPr>
              <w:t>+</w:t>
            </w:r>
          </w:p>
        </w:tc>
        <w:tc>
          <w:tcPr>
            <w:tcW w:w="400" w:type="dxa"/>
            <w:vAlign w:val="bottom"/>
          </w:tcPr>
          <w:p>
            <w:pPr>
              <w:spacing w:after="0"/>
              <w:rPr>
                <w:sz w:val="20"/>
                <w:szCs w:val="20"/>
                <w:color w:val="auto"/>
              </w:rPr>
            </w:pPr>
          </w:p>
        </w:tc>
        <w:tc>
          <w:tcPr>
            <w:tcW w:w="4740" w:type="dxa"/>
            <w:vAlign w:val="bottom"/>
            <w:gridSpan w:val="22"/>
          </w:tcPr>
          <w:p>
            <w:pPr>
              <w:spacing w:after="0"/>
              <w:rPr>
                <w:rFonts w:ascii="Arial" w:cs="Arial" w:eastAsia="Arial" w:hAnsi="Arial"/>
                <w:sz w:val="17"/>
                <w:szCs w:val="17"/>
                <w:color w:val="0000EE"/>
              </w:rPr>
            </w:pPr>
            <w:hyperlink r:id="rId419">
              <w:r>
                <w:rPr>
                  <w:rFonts w:ascii="Arial" w:cs="Arial" w:eastAsia="Arial" w:hAnsi="Arial"/>
                  <w:sz w:val="17"/>
                  <w:szCs w:val="17"/>
                  <w:color w:val="0000EE"/>
                </w:rPr>
                <w:t>Amended and Restated 2020 Equity Incentive Plan and</w:t>
              </w:r>
            </w:hyperlink>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S-1/A</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0" w:type="dxa"/>
            <w:vAlign w:val="bottom"/>
            <w:tcBorders>
              <w:top w:val="single" w:sz="8" w:color="0000EE"/>
            </w:tcBorders>
            <w:gridSpan w:val="13"/>
          </w:tcPr>
          <w:p>
            <w:pPr>
              <w:spacing w:after="0" w:line="169" w:lineRule="exact"/>
              <w:rPr>
                <w:rFonts w:ascii="Arial" w:cs="Arial" w:eastAsia="Arial" w:hAnsi="Arial"/>
                <w:sz w:val="17"/>
                <w:szCs w:val="17"/>
                <w:color w:val="0000EE"/>
              </w:rPr>
            </w:pPr>
            <w:hyperlink r:id="rId419">
              <w:r>
                <w:rPr>
                  <w:rFonts w:ascii="Arial" w:cs="Arial" w:eastAsia="Arial" w:hAnsi="Arial"/>
                  <w:sz w:val="17"/>
                  <w:szCs w:val="17"/>
                  <w:color w:val="0000EE"/>
                </w:rPr>
                <w:t>forms of agreements thereunder.</w:t>
              </w:r>
            </w:hyperlink>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22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40" w:type="dxa"/>
            <w:vAlign w:val="bottom"/>
          </w:tcPr>
          <w:p>
            <w:pPr>
              <w:spacing w:after="0"/>
              <w:rPr>
                <w:sz w:val="20"/>
                <w:szCs w:val="20"/>
                <w:color w:val="auto"/>
              </w:rPr>
            </w:pPr>
            <w:r>
              <w:rPr>
                <w:rFonts w:ascii="Arial" w:cs="Arial" w:eastAsia="Arial" w:hAnsi="Arial"/>
                <w:sz w:val="18"/>
                <w:szCs w:val="18"/>
                <w:color w:val="auto"/>
              </w:rPr>
              <w:t>10.3</w:t>
            </w:r>
            <w:r>
              <w:rPr>
                <w:rFonts w:ascii="Arial" w:cs="Arial" w:eastAsia="Arial" w:hAnsi="Arial"/>
                <w:sz w:val="15"/>
                <w:szCs w:val="15"/>
                <w:color w:val="auto"/>
              </w:rPr>
              <w:t>+</w:t>
            </w:r>
          </w:p>
        </w:tc>
        <w:tc>
          <w:tcPr>
            <w:tcW w:w="400" w:type="dxa"/>
            <w:vAlign w:val="bottom"/>
          </w:tcPr>
          <w:p>
            <w:pPr>
              <w:spacing w:after="0"/>
              <w:rPr>
                <w:sz w:val="24"/>
                <w:szCs w:val="24"/>
                <w:color w:val="auto"/>
              </w:rPr>
            </w:pPr>
          </w:p>
        </w:tc>
        <w:tc>
          <w:tcPr>
            <w:tcW w:w="4740" w:type="dxa"/>
            <w:vAlign w:val="bottom"/>
            <w:gridSpan w:val="22"/>
          </w:tcPr>
          <w:p>
            <w:pPr>
              <w:spacing w:after="0"/>
              <w:rPr>
                <w:rFonts w:ascii="Arial" w:cs="Arial" w:eastAsia="Arial" w:hAnsi="Arial"/>
                <w:sz w:val="17"/>
                <w:szCs w:val="17"/>
                <w:color w:val="0000EE"/>
              </w:rPr>
            </w:pPr>
            <w:hyperlink r:id="rId420">
              <w:r>
                <w:rPr>
                  <w:rFonts w:ascii="Arial" w:cs="Arial" w:eastAsia="Arial" w:hAnsi="Arial"/>
                  <w:sz w:val="17"/>
                  <w:szCs w:val="17"/>
                  <w:u w:val="single" w:color="auto"/>
                  <w:color w:val="0000EE"/>
                </w:rPr>
                <w:t>2020 Employee Stock Purchase Plan</w:t>
              </w:r>
              <w:r>
                <w:rPr>
                  <w:rFonts w:ascii="Arial" w:cs="Arial" w:eastAsia="Arial" w:hAnsi="Arial"/>
                  <w:sz w:val="17"/>
                  <w:szCs w:val="17"/>
                  <w:color w:val="0000EE"/>
                </w:rPr>
                <w:t>.</w:t>
              </w:r>
            </w:hyperlink>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S-1/A</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line="192" w:lineRule="exact"/>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w:t>
            </w:r>
          </w:p>
        </w:tc>
        <w:tc>
          <w:tcPr>
            <w:tcW w:w="400" w:type="dxa"/>
            <w:vAlign w:val="bottom"/>
          </w:tcPr>
          <w:p>
            <w:pPr>
              <w:spacing w:after="0"/>
              <w:rPr>
                <w:sz w:val="18"/>
                <w:szCs w:val="18"/>
                <w:color w:val="auto"/>
              </w:rPr>
            </w:pPr>
          </w:p>
        </w:tc>
        <w:tc>
          <w:tcPr>
            <w:tcW w:w="4740" w:type="dxa"/>
            <w:vAlign w:val="bottom"/>
            <w:gridSpan w:val="22"/>
          </w:tcPr>
          <w:p>
            <w:pPr>
              <w:spacing w:after="0" w:line="192" w:lineRule="exact"/>
              <w:rPr>
                <w:rFonts w:ascii="Arial" w:cs="Arial" w:eastAsia="Arial" w:hAnsi="Arial"/>
                <w:sz w:val="17"/>
                <w:szCs w:val="17"/>
                <w:color w:val="0000EE"/>
              </w:rPr>
            </w:pPr>
            <w:hyperlink r:id="rId421">
              <w:r>
                <w:rPr>
                  <w:rFonts w:ascii="Arial" w:cs="Arial" w:eastAsia="Arial" w:hAnsi="Arial"/>
                  <w:sz w:val="17"/>
                  <w:szCs w:val="17"/>
                  <w:color w:val="0000EE"/>
                </w:rPr>
                <w:t>Confirmatory Offer Letter between the Registrant and</w:t>
              </w:r>
            </w:hyperlink>
          </w:p>
        </w:tc>
        <w:tc>
          <w:tcPr>
            <w:tcW w:w="800" w:type="dxa"/>
            <w:vAlign w:val="bottom"/>
            <w:gridSpan w:val="2"/>
          </w:tcPr>
          <w:p>
            <w:pPr>
              <w:jc w:val="right"/>
              <w:ind w:right="280"/>
              <w:spacing w:after="0" w:line="192" w:lineRule="exact"/>
              <w:rPr>
                <w:sz w:val="20"/>
                <w:szCs w:val="20"/>
                <w:color w:val="auto"/>
              </w:rPr>
            </w:pPr>
            <w:r>
              <w:rPr>
                <w:rFonts w:ascii="Arial" w:cs="Arial" w:eastAsia="Arial" w:hAnsi="Arial"/>
                <w:sz w:val="18"/>
                <w:szCs w:val="18"/>
                <w:color w:val="auto"/>
              </w:rPr>
              <w:t>S-1/A</w:t>
            </w:r>
          </w:p>
        </w:tc>
        <w:tc>
          <w:tcPr>
            <w:tcW w:w="1280" w:type="dxa"/>
            <w:vAlign w:val="bottom"/>
            <w:gridSpan w:val="2"/>
          </w:tcPr>
          <w:p>
            <w:pPr>
              <w:jc w:val="right"/>
              <w:ind w:right="260"/>
              <w:spacing w:after="0" w:line="192" w:lineRule="exact"/>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line="192" w:lineRule="exact"/>
              <w:rPr>
                <w:sz w:val="20"/>
                <w:szCs w:val="20"/>
                <w:color w:val="auto"/>
              </w:rPr>
            </w:pPr>
            <w:r>
              <w:rPr>
                <w:rFonts w:ascii="Arial" w:cs="Arial" w:eastAsia="Arial" w:hAnsi="Arial"/>
                <w:sz w:val="18"/>
                <w:szCs w:val="18"/>
                <w:color w:val="auto"/>
              </w:rPr>
              <w:t>10.4</w:t>
            </w:r>
          </w:p>
        </w:tc>
        <w:tc>
          <w:tcPr>
            <w:tcW w:w="1460" w:type="dxa"/>
            <w:vAlign w:val="bottom"/>
            <w:gridSpan w:val="2"/>
          </w:tcPr>
          <w:p>
            <w:pPr>
              <w:jc w:val="right"/>
              <w:ind w:right="260"/>
              <w:spacing w:after="0" w:line="192" w:lineRule="exact"/>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40" w:type="dxa"/>
            <w:vAlign w:val="bottom"/>
            <w:tcBorders>
              <w:top w:val="single" w:sz="8" w:color="0000EE"/>
            </w:tcBorders>
            <w:gridSpan w:val="12"/>
          </w:tcPr>
          <w:p>
            <w:pPr>
              <w:spacing w:after="0" w:line="169" w:lineRule="exact"/>
              <w:rPr>
                <w:rFonts w:ascii="Arial" w:cs="Arial" w:eastAsia="Arial" w:hAnsi="Arial"/>
                <w:sz w:val="17"/>
                <w:szCs w:val="17"/>
                <w:color w:val="0000EE"/>
              </w:rPr>
            </w:pPr>
            <w:hyperlink r:id="rId421">
              <w:r>
                <w:rPr>
                  <w:rFonts w:ascii="Arial" w:cs="Arial" w:eastAsia="Arial" w:hAnsi="Arial"/>
                  <w:sz w:val="17"/>
                  <w:szCs w:val="17"/>
                  <w:color w:val="0000EE"/>
                </w:rPr>
                <w:t>Jaume Pons, Ph.D.</w:t>
              </w:r>
            </w:hyperlink>
          </w:p>
        </w:tc>
        <w:tc>
          <w:tcPr>
            <w:tcW w:w="3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22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r>
              <w:rPr>
                <w:rFonts w:ascii="Arial" w:cs="Arial" w:eastAsia="Arial" w:hAnsi="Arial"/>
                <w:sz w:val="18"/>
                <w:szCs w:val="18"/>
                <w:color w:val="auto"/>
              </w:rPr>
              <w:t>10.5</w:t>
            </w:r>
            <w:r>
              <w:rPr>
                <w:rFonts w:ascii="Arial" w:cs="Arial" w:eastAsia="Arial" w:hAnsi="Arial"/>
                <w:sz w:val="15"/>
                <w:szCs w:val="15"/>
                <w:color w:val="auto"/>
              </w:rPr>
              <w:t>+</w:t>
            </w:r>
          </w:p>
        </w:tc>
        <w:tc>
          <w:tcPr>
            <w:tcW w:w="400" w:type="dxa"/>
            <w:vAlign w:val="bottom"/>
          </w:tcPr>
          <w:p>
            <w:pPr>
              <w:spacing w:after="0"/>
              <w:rPr>
                <w:sz w:val="20"/>
                <w:szCs w:val="20"/>
                <w:color w:val="auto"/>
              </w:rPr>
            </w:pPr>
          </w:p>
        </w:tc>
        <w:tc>
          <w:tcPr>
            <w:tcW w:w="4740" w:type="dxa"/>
            <w:vAlign w:val="bottom"/>
            <w:gridSpan w:val="22"/>
          </w:tcPr>
          <w:p>
            <w:pPr>
              <w:spacing w:after="0"/>
              <w:rPr>
                <w:rFonts w:ascii="Arial" w:cs="Arial" w:eastAsia="Arial" w:hAnsi="Arial"/>
                <w:sz w:val="17"/>
                <w:szCs w:val="17"/>
                <w:color w:val="0000EE"/>
              </w:rPr>
            </w:pPr>
            <w:hyperlink r:id="rId422">
              <w:r>
                <w:rPr>
                  <w:rFonts w:ascii="Arial" w:cs="Arial" w:eastAsia="Arial" w:hAnsi="Arial"/>
                  <w:sz w:val="17"/>
                  <w:szCs w:val="17"/>
                  <w:color w:val="0000EE"/>
                </w:rPr>
                <w:t>Confirmatory Offer Letter between the Registrant and Peter</w:t>
              </w:r>
            </w:hyperlink>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S-1/A</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20" w:type="dxa"/>
            <w:vAlign w:val="bottom"/>
            <w:tcBorders>
              <w:top w:val="single" w:sz="8" w:color="0000EE"/>
            </w:tcBorders>
            <w:gridSpan w:val="20"/>
          </w:tcPr>
          <w:p>
            <w:pPr>
              <w:spacing w:after="0" w:line="169" w:lineRule="exact"/>
              <w:rPr>
                <w:rFonts w:ascii="Arial" w:cs="Arial" w:eastAsia="Arial" w:hAnsi="Arial"/>
                <w:sz w:val="17"/>
                <w:szCs w:val="17"/>
                <w:color w:val="0000EE"/>
              </w:rPr>
            </w:pPr>
            <w:hyperlink r:id="rId422">
              <w:r>
                <w:rPr>
                  <w:rFonts w:ascii="Arial" w:cs="Arial" w:eastAsia="Arial" w:hAnsi="Arial"/>
                  <w:sz w:val="17"/>
                  <w:szCs w:val="17"/>
                  <w:color w:val="0000EE"/>
                </w:rPr>
                <w:t>García.</w:t>
              </w:r>
            </w:hyperlink>
          </w:p>
        </w:tc>
        <w:tc>
          <w:tcPr>
            <w:tcW w:w="22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r>
              <w:rPr>
                <w:rFonts w:ascii="Arial" w:cs="Arial" w:eastAsia="Arial" w:hAnsi="Arial"/>
                <w:sz w:val="18"/>
                <w:szCs w:val="18"/>
                <w:color w:val="auto"/>
              </w:rPr>
              <w:t>10.6</w:t>
            </w:r>
            <w:r>
              <w:rPr>
                <w:rFonts w:ascii="Arial" w:cs="Arial" w:eastAsia="Arial" w:hAnsi="Arial"/>
                <w:sz w:val="15"/>
                <w:szCs w:val="15"/>
                <w:color w:val="auto"/>
              </w:rPr>
              <w:t>+</w:t>
            </w:r>
          </w:p>
        </w:tc>
        <w:tc>
          <w:tcPr>
            <w:tcW w:w="400" w:type="dxa"/>
            <w:vAlign w:val="bottom"/>
          </w:tcPr>
          <w:p>
            <w:pPr>
              <w:spacing w:after="0"/>
              <w:rPr>
                <w:sz w:val="20"/>
                <w:szCs w:val="20"/>
                <w:color w:val="auto"/>
              </w:rPr>
            </w:pPr>
          </w:p>
        </w:tc>
        <w:tc>
          <w:tcPr>
            <w:tcW w:w="4740" w:type="dxa"/>
            <w:vAlign w:val="bottom"/>
            <w:gridSpan w:val="22"/>
          </w:tcPr>
          <w:p>
            <w:pPr>
              <w:spacing w:after="0"/>
              <w:rPr>
                <w:rFonts w:ascii="Arial" w:cs="Arial" w:eastAsia="Arial" w:hAnsi="Arial"/>
                <w:sz w:val="17"/>
                <w:szCs w:val="17"/>
                <w:color w:val="0000EE"/>
              </w:rPr>
            </w:pPr>
            <w:hyperlink r:id="rId423">
              <w:r>
                <w:rPr>
                  <w:rFonts w:ascii="Arial" w:cs="Arial" w:eastAsia="Arial" w:hAnsi="Arial"/>
                  <w:sz w:val="17"/>
                  <w:szCs w:val="17"/>
                  <w:color w:val="0000EE"/>
                </w:rPr>
                <w:t>Confirmatory Offer Letter between the Registrant and</w:t>
              </w:r>
            </w:hyperlink>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S-1/A</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10.7</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40" w:type="dxa"/>
            <w:vAlign w:val="bottom"/>
            <w:tcBorders>
              <w:top w:val="single" w:sz="8" w:color="0000EE"/>
            </w:tcBorders>
            <w:gridSpan w:val="12"/>
          </w:tcPr>
          <w:p>
            <w:pPr>
              <w:spacing w:after="0" w:line="169" w:lineRule="exact"/>
              <w:rPr>
                <w:rFonts w:ascii="Arial" w:cs="Arial" w:eastAsia="Arial" w:hAnsi="Arial"/>
                <w:sz w:val="17"/>
                <w:szCs w:val="17"/>
                <w:color w:val="0000EE"/>
              </w:rPr>
            </w:pPr>
            <w:hyperlink r:id="rId423">
              <w:r>
                <w:rPr>
                  <w:rFonts w:ascii="Arial" w:cs="Arial" w:eastAsia="Arial" w:hAnsi="Arial"/>
                  <w:sz w:val="17"/>
                  <w:szCs w:val="17"/>
                  <w:color w:val="0000EE"/>
                </w:rPr>
                <w:t>Steffen Pietzke.</w:t>
              </w:r>
            </w:hyperlink>
          </w:p>
        </w:tc>
        <w:tc>
          <w:tcPr>
            <w:tcW w:w="3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6"/>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5"/>
                <w:szCs w:val="15"/>
                <w:color w:val="auto"/>
              </w:rPr>
              <w:t>+</w:t>
            </w:r>
          </w:p>
        </w:tc>
        <w:tc>
          <w:tcPr>
            <w:tcW w:w="400" w:type="dxa"/>
            <w:vAlign w:val="bottom"/>
          </w:tcPr>
          <w:p>
            <w:pPr>
              <w:spacing w:after="0"/>
              <w:rPr>
                <w:sz w:val="20"/>
                <w:szCs w:val="20"/>
                <w:color w:val="auto"/>
              </w:rPr>
            </w:pPr>
          </w:p>
        </w:tc>
        <w:tc>
          <w:tcPr>
            <w:tcW w:w="4740" w:type="dxa"/>
            <w:vAlign w:val="bottom"/>
            <w:gridSpan w:val="22"/>
          </w:tcPr>
          <w:p>
            <w:pPr>
              <w:spacing w:after="0"/>
              <w:rPr>
                <w:rFonts w:ascii="Arial" w:cs="Arial" w:eastAsia="Arial" w:hAnsi="Arial"/>
                <w:sz w:val="17"/>
                <w:szCs w:val="17"/>
                <w:color w:val="0000EE"/>
              </w:rPr>
            </w:pPr>
            <w:hyperlink r:id="rId424">
              <w:r>
                <w:rPr>
                  <w:rFonts w:ascii="Arial" w:cs="Arial" w:eastAsia="Arial" w:hAnsi="Arial"/>
                  <w:sz w:val="17"/>
                  <w:szCs w:val="17"/>
                  <w:color w:val="0000EE"/>
                </w:rPr>
                <w:t>Confirmatory Offer Letter between the Registrant and</w:t>
              </w:r>
            </w:hyperlink>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S-1/A</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Borders>
              <w:top w:val="single" w:sz="8" w:color="0000EE"/>
              <w:bottom w:val="single" w:sz="8" w:color="0000EE"/>
            </w:tcBorders>
            <w:gridSpan w:val="7"/>
          </w:tcPr>
          <w:p>
            <w:pPr>
              <w:spacing w:after="0" w:line="169" w:lineRule="exact"/>
              <w:rPr>
                <w:rFonts w:ascii="Arial" w:cs="Arial" w:eastAsia="Arial" w:hAnsi="Arial"/>
                <w:sz w:val="17"/>
                <w:szCs w:val="17"/>
                <w:color w:val="0000EE"/>
              </w:rPr>
            </w:pPr>
            <w:hyperlink r:id="rId424">
              <w:r>
                <w:rPr>
                  <w:rFonts w:ascii="Arial" w:cs="Arial" w:eastAsia="Arial" w:hAnsi="Arial"/>
                  <w:sz w:val="17"/>
                  <w:szCs w:val="17"/>
                  <w:color w:val="0000EE"/>
                </w:rPr>
                <w:t>Sophia Randolph, M.D., Ph.D.</w:t>
              </w:r>
            </w:hyperlink>
          </w:p>
        </w:tc>
        <w:tc>
          <w:tcPr>
            <w:tcW w:w="1740" w:type="dxa"/>
            <w:vAlign w:val="bottom"/>
            <w:tcBorders>
              <w:top w:val="single" w:sz="8" w:color="0000EE"/>
            </w:tcBorders>
            <w:gridSpan w:val="5"/>
          </w:tcPr>
          <w:p>
            <w:pPr>
              <w:spacing w:after="0"/>
              <w:rPr>
                <w:sz w:val="14"/>
                <w:szCs w:val="14"/>
                <w:color w:val="auto"/>
              </w:rPr>
            </w:pPr>
          </w:p>
        </w:tc>
        <w:tc>
          <w:tcPr>
            <w:tcW w:w="3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6"/>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640" w:type="dxa"/>
            <w:vAlign w:val="bottom"/>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5"/>
                <w:szCs w:val="15"/>
                <w:color w:val="auto"/>
              </w:rPr>
              <w:t>+</w:t>
            </w:r>
          </w:p>
        </w:tc>
        <w:tc>
          <w:tcPr>
            <w:tcW w:w="400" w:type="dxa"/>
            <w:vAlign w:val="bottom"/>
          </w:tcPr>
          <w:p>
            <w:pPr>
              <w:spacing w:after="0"/>
              <w:rPr>
                <w:sz w:val="24"/>
                <w:szCs w:val="24"/>
                <w:color w:val="auto"/>
              </w:rPr>
            </w:pPr>
          </w:p>
        </w:tc>
        <w:tc>
          <w:tcPr>
            <w:tcW w:w="4740" w:type="dxa"/>
            <w:vAlign w:val="bottom"/>
            <w:gridSpan w:val="22"/>
          </w:tcPr>
          <w:p>
            <w:pPr>
              <w:spacing w:after="0"/>
              <w:rPr>
                <w:rFonts w:ascii="Arial" w:cs="Arial" w:eastAsia="Arial" w:hAnsi="Arial"/>
                <w:sz w:val="17"/>
                <w:szCs w:val="17"/>
                <w:u w:val="single" w:color="auto"/>
                <w:color w:val="0000EE"/>
              </w:rPr>
            </w:pPr>
            <w:hyperlink r:id="rId425">
              <w:r>
                <w:rPr>
                  <w:rFonts w:ascii="Arial" w:cs="Arial" w:eastAsia="Arial" w:hAnsi="Arial"/>
                  <w:sz w:val="17"/>
                  <w:szCs w:val="17"/>
                  <w:u w:val="single" w:color="auto"/>
                  <w:color w:val="0000EE"/>
                </w:rPr>
                <w:t>Executive Incentive Compensation Plan.</w:t>
              </w:r>
            </w:hyperlink>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S-1/A</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5"/>
                <w:szCs w:val="15"/>
                <w:color w:val="auto"/>
              </w:rPr>
              <w:t>+</w:t>
            </w:r>
          </w:p>
        </w:tc>
        <w:tc>
          <w:tcPr>
            <w:tcW w:w="400" w:type="dxa"/>
            <w:vAlign w:val="bottom"/>
          </w:tcPr>
          <w:p>
            <w:pPr>
              <w:spacing w:after="0"/>
              <w:rPr>
                <w:sz w:val="23"/>
                <w:szCs w:val="23"/>
                <w:color w:val="auto"/>
              </w:rPr>
            </w:pPr>
          </w:p>
        </w:tc>
        <w:tc>
          <w:tcPr>
            <w:tcW w:w="4740" w:type="dxa"/>
            <w:vAlign w:val="bottom"/>
            <w:gridSpan w:val="22"/>
          </w:tcPr>
          <w:p>
            <w:pPr>
              <w:spacing w:after="0"/>
              <w:rPr>
                <w:rFonts w:ascii="Arial" w:cs="Arial" w:eastAsia="Arial" w:hAnsi="Arial"/>
                <w:sz w:val="17"/>
                <w:szCs w:val="17"/>
                <w:color w:val="0000EE"/>
              </w:rPr>
            </w:pPr>
            <w:hyperlink r:id="rId426">
              <w:r>
                <w:rPr>
                  <w:rFonts w:ascii="Arial" w:cs="Arial" w:eastAsia="Arial" w:hAnsi="Arial"/>
                  <w:sz w:val="17"/>
                  <w:szCs w:val="17"/>
                  <w:u w:val="single" w:color="auto"/>
                  <w:color w:val="0000EE"/>
                </w:rPr>
                <w:t>Outside Director Compensation Policy</w:t>
              </w:r>
              <w:r>
                <w:rPr>
                  <w:rFonts w:ascii="Arial" w:cs="Arial" w:eastAsia="Arial" w:hAnsi="Arial"/>
                  <w:sz w:val="17"/>
                  <w:szCs w:val="17"/>
                  <w:color w:val="0000EE"/>
                </w:rPr>
                <w:t>.</w:t>
              </w:r>
            </w:hyperlink>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S-1/A</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10.10</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5"/>
                <w:szCs w:val="15"/>
                <w:color w:val="auto"/>
              </w:rPr>
              <w:t>+</w:t>
            </w:r>
          </w:p>
        </w:tc>
        <w:tc>
          <w:tcPr>
            <w:tcW w:w="400" w:type="dxa"/>
            <w:vAlign w:val="bottom"/>
          </w:tcPr>
          <w:p>
            <w:pPr>
              <w:spacing w:after="0"/>
              <w:rPr>
                <w:sz w:val="23"/>
                <w:szCs w:val="23"/>
                <w:color w:val="auto"/>
              </w:rPr>
            </w:pPr>
          </w:p>
        </w:tc>
        <w:tc>
          <w:tcPr>
            <w:tcW w:w="4740" w:type="dxa"/>
            <w:vAlign w:val="bottom"/>
            <w:gridSpan w:val="22"/>
          </w:tcPr>
          <w:p>
            <w:pPr>
              <w:spacing w:after="0"/>
              <w:rPr>
                <w:rFonts w:ascii="Arial" w:cs="Arial" w:eastAsia="Arial" w:hAnsi="Arial"/>
                <w:sz w:val="17"/>
                <w:szCs w:val="17"/>
                <w:u w:val="single" w:color="auto"/>
                <w:color w:val="0000EE"/>
              </w:rPr>
            </w:pPr>
            <w:hyperlink r:id="rId427">
              <w:r>
                <w:rPr>
                  <w:rFonts w:ascii="Arial" w:cs="Arial" w:eastAsia="Arial" w:hAnsi="Arial"/>
                  <w:sz w:val="17"/>
                  <w:szCs w:val="17"/>
                  <w:u w:val="single" w:color="auto"/>
                  <w:color w:val="0000EE"/>
                </w:rPr>
                <w:t>Form of Change in Control and Severance Agreement.</w:t>
              </w:r>
            </w:hyperlink>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S-1/A</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10.11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July 13, 2020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640" w:type="dxa"/>
            <w:vAlign w:val="bottom"/>
          </w:tcPr>
          <w:p>
            <w:pPr>
              <w:spacing w:after="0" w:line="192" w:lineRule="exact"/>
              <w:rPr>
                <w:sz w:val="20"/>
                <w:szCs w:val="20"/>
                <w:color w:val="auto"/>
              </w:rPr>
            </w:pPr>
            <w:r>
              <w:rPr>
                <w:rFonts w:ascii="Arial" w:cs="Arial" w:eastAsia="Arial" w:hAnsi="Arial"/>
                <w:sz w:val="18"/>
                <w:szCs w:val="18"/>
                <w:color w:val="auto"/>
              </w:rPr>
              <w:t>10.11</w:t>
            </w:r>
            <w:r>
              <w:rPr>
                <w:rFonts w:ascii="Arial" w:cs="Arial" w:eastAsia="Arial" w:hAnsi="Arial"/>
                <w:sz w:val="15"/>
                <w:szCs w:val="15"/>
                <w:color w:val="auto"/>
              </w:rPr>
              <w:t>+</w:t>
            </w:r>
          </w:p>
        </w:tc>
        <w:tc>
          <w:tcPr>
            <w:tcW w:w="400" w:type="dxa"/>
            <w:vAlign w:val="bottom"/>
          </w:tcPr>
          <w:p>
            <w:pPr>
              <w:spacing w:after="0"/>
              <w:rPr>
                <w:sz w:val="18"/>
                <w:szCs w:val="18"/>
                <w:color w:val="auto"/>
              </w:rPr>
            </w:pPr>
          </w:p>
        </w:tc>
        <w:tc>
          <w:tcPr>
            <w:tcW w:w="4740" w:type="dxa"/>
            <w:vAlign w:val="bottom"/>
            <w:gridSpan w:val="22"/>
          </w:tcPr>
          <w:p>
            <w:pPr>
              <w:spacing w:after="0" w:line="192" w:lineRule="exact"/>
              <w:rPr>
                <w:rFonts w:ascii="Arial" w:cs="Arial" w:eastAsia="Arial" w:hAnsi="Arial"/>
                <w:sz w:val="17"/>
                <w:szCs w:val="17"/>
                <w:color w:val="0000EE"/>
              </w:rPr>
            </w:pPr>
            <w:hyperlink r:id="rId428">
              <w:r>
                <w:rPr>
                  <w:rFonts w:ascii="Arial" w:cs="Arial" w:eastAsia="Arial" w:hAnsi="Arial"/>
                  <w:sz w:val="17"/>
                  <w:szCs w:val="17"/>
                  <w:color w:val="0000EE"/>
                </w:rPr>
                <w:t>Exclusive (Equity) Agreement between the Registrant and</w:t>
              </w:r>
            </w:hyperlink>
          </w:p>
        </w:tc>
        <w:tc>
          <w:tcPr>
            <w:tcW w:w="800" w:type="dxa"/>
            <w:vAlign w:val="bottom"/>
            <w:gridSpan w:val="2"/>
          </w:tcPr>
          <w:p>
            <w:pPr>
              <w:jc w:val="right"/>
              <w:ind w:right="280"/>
              <w:spacing w:after="0" w:line="192" w:lineRule="exact"/>
              <w:rPr>
                <w:sz w:val="20"/>
                <w:szCs w:val="20"/>
                <w:color w:val="auto"/>
              </w:rPr>
            </w:pPr>
            <w:r>
              <w:rPr>
                <w:rFonts w:ascii="Arial" w:cs="Arial" w:eastAsia="Arial" w:hAnsi="Arial"/>
                <w:sz w:val="18"/>
                <w:szCs w:val="18"/>
                <w:color w:val="auto"/>
              </w:rPr>
              <w:t>S-1</w:t>
            </w:r>
          </w:p>
        </w:tc>
        <w:tc>
          <w:tcPr>
            <w:tcW w:w="1280" w:type="dxa"/>
            <w:vAlign w:val="bottom"/>
            <w:gridSpan w:val="2"/>
          </w:tcPr>
          <w:p>
            <w:pPr>
              <w:jc w:val="right"/>
              <w:ind w:right="260"/>
              <w:spacing w:after="0" w:line="192" w:lineRule="exact"/>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line="192" w:lineRule="exact"/>
              <w:rPr>
                <w:sz w:val="20"/>
                <w:szCs w:val="20"/>
                <w:color w:val="auto"/>
              </w:rPr>
            </w:pPr>
            <w:r>
              <w:rPr>
                <w:rFonts w:ascii="Arial" w:cs="Arial" w:eastAsia="Arial" w:hAnsi="Arial"/>
                <w:sz w:val="18"/>
                <w:szCs w:val="18"/>
                <w:color w:val="auto"/>
              </w:rPr>
              <w:t>10.12</w:t>
            </w:r>
          </w:p>
        </w:tc>
        <w:tc>
          <w:tcPr>
            <w:tcW w:w="1460" w:type="dxa"/>
            <w:vAlign w:val="bottom"/>
            <w:gridSpan w:val="2"/>
          </w:tcPr>
          <w:p>
            <w:pPr>
              <w:jc w:val="right"/>
              <w:ind w:right="260"/>
              <w:spacing w:after="0" w:line="192" w:lineRule="exact"/>
              <w:rPr>
                <w:sz w:val="20"/>
                <w:szCs w:val="20"/>
                <w:color w:val="auto"/>
              </w:rPr>
            </w:pPr>
            <w:r>
              <w:rPr>
                <w:rFonts w:ascii="Arial" w:cs="Arial" w:eastAsia="Arial" w:hAnsi="Arial"/>
                <w:sz w:val="18"/>
                <w:szCs w:val="18"/>
                <w:color w:val="auto"/>
              </w:rPr>
              <w:t>June 26, 2020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80" w:type="dxa"/>
            <w:vAlign w:val="bottom"/>
            <w:tcBorders>
              <w:top w:val="single" w:sz="8" w:color="0000EE"/>
            </w:tcBorders>
            <w:gridSpan w:val="15"/>
          </w:tcPr>
          <w:p>
            <w:pPr>
              <w:spacing w:after="0" w:line="169" w:lineRule="exact"/>
              <w:rPr>
                <w:rFonts w:ascii="Arial" w:cs="Arial" w:eastAsia="Arial" w:hAnsi="Arial"/>
                <w:sz w:val="17"/>
                <w:szCs w:val="17"/>
                <w:color w:val="0000EE"/>
              </w:rPr>
            </w:pPr>
            <w:hyperlink r:id="rId428">
              <w:r>
                <w:rPr>
                  <w:rFonts w:ascii="Arial" w:cs="Arial" w:eastAsia="Arial" w:hAnsi="Arial"/>
                  <w:sz w:val="17"/>
                  <w:szCs w:val="17"/>
                  <w:color w:val="0000EE"/>
                </w:rPr>
                <w:t>The Board of Trustees of the Leland Stanford Junior</w:t>
              </w:r>
            </w:hyperlink>
          </w:p>
        </w:tc>
        <w:tc>
          <w:tcPr>
            <w:tcW w:w="20" w:type="dxa"/>
            <w:vAlign w:val="bottom"/>
          </w:tcPr>
          <w:p>
            <w:pPr>
              <w:spacing w:after="0"/>
              <w:rPr>
                <w:sz w:val="14"/>
                <w:szCs w:val="14"/>
                <w:color w:val="auto"/>
              </w:rPr>
            </w:pPr>
          </w:p>
        </w:tc>
        <w:tc>
          <w:tcPr>
            <w:tcW w:w="340" w:type="dxa"/>
            <w:vAlign w:val="bottom"/>
            <w:gridSpan w:val="6"/>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80" w:type="dxa"/>
            <w:vAlign w:val="bottom"/>
            <w:gridSpan w:val="8"/>
            <w:shd w:val="clear" w:color="auto" w:fill="0000EE"/>
          </w:tcPr>
          <w:p>
            <w:pPr>
              <w:spacing w:after="0" w:line="20" w:lineRule="exact"/>
              <w:rPr>
                <w:sz w:val="1"/>
                <w:szCs w:val="1"/>
                <w:color w:val="auto"/>
              </w:rPr>
            </w:pPr>
          </w:p>
        </w:tc>
        <w:tc>
          <w:tcPr>
            <w:tcW w:w="146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740" w:type="dxa"/>
            <w:vAlign w:val="bottom"/>
            <w:gridSpan w:val="22"/>
          </w:tcPr>
          <w:p>
            <w:pPr>
              <w:spacing w:after="0" w:line="169" w:lineRule="exact"/>
              <w:rPr>
                <w:rFonts w:ascii="Arial" w:cs="Arial" w:eastAsia="Arial" w:hAnsi="Arial"/>
                <w:sz w:val="17"/>
                <w:szCs w:val="17"/>
                <w:color w:val="0000EE"/>
              </w:rPr>
            </w:pPr>
            <w:hyperlink r:id="rId428">
              <w:r>
                <w:rPr>
                  <w:rFonts w:ascii="Arial" w:cs="Arial" w:eastAsia="Arial" w:hAnsi="Arial"/>
                  <w:sz w:val="17"/>
                  <w:szCs w:val="17"/>
                  <w:color w:val="0000EE"/>
                </w:rPr>
                <w:t>University, effective as of March 24, 2015, as amended on</w:t>
              </w:r>
            </w:hyperlink>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0" w:type="dxa"/>
            <w:vAlign w:val="bottom"/>
            <w:tcBorders>
              <w:top w:val="single" w:sz="8" w:color="0000EE"/>
            </w:tcBorders>
            <w:gridSpan w:val="16"/>
          </w:tcPr>
          <w:p>
            <w:pPr>
              <w:spacing w:after="0" w:line="169" w:lineRule="exact"/>
              <w:rPr>
                <w:rFonts w:ascii="Arial" w:cs="Arial" w:eastAsia="Arial" w:hAnsi="Arial"/>
                <w:sz w:val="17"/>
                <w:szCs w:val="17"/>
                <w:color w:val="0000EE"/>
              </w:rPr>
            </w:pPr>
            <w:hyperlink r:id="rId428">
              <w:r>
                <w:rPr>
                  <w:rFonts w:ascii="Arial" w:cs="Arial" w:eastAsia="Arial" w:hAnsi="Arial"/>
                  <w:sz w:val="17"/>
                  <w:szCs w:val="17"/>
                  <w:color w:val="0000EE"/>
                </w:rPr>
                <w:t>April 24, 2015 and May 15, 2015.</w:t>
              </w:r>
            </w:hyperlink>
          </w:p>
        </w:tc>
        <w:tc>
          <w:tcPr>
            <w:tcW w:w="340" w:type="dxa"/>
            <w:vAlign w:val="bottom"/>
            <w:gridSpan w:val="6"/>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080"/>
          </w:cols>
          <w:pgMar w:left="320" w:top="455" w:right="49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7"/>
                <w:szCs w:val="17"/>
                <w:color w:val="auto"/>
              </w:rPr>
            </w:pPr>
          </w:p>
        </w:tc>
        <w:tc>
          <w:tcPr>
            <w:tcW w:w="4500" w:type="dxa"/>
            <w:vAlign w:val="bottom"/>
            <w:tcBorders>
              <w:bottom w:val="single" w:sz="8" w:color="auto"/>
            </w:tcBorders>
            <w:gridSpan w:val="4"/>
          </w:tcPr>
          <w:p>
            <w:pPr>
              <w:ind w:left="1740"/>
              <w:spacing w:after="0"/>
              <w:rPr>
                <w:sz w:val="20"/>
                <w:szCs w:val="20"/>
                <w:color w:val="auto"/>
              </w:rPr>
            </w:pPr>
            <w:r>
              <w:rPr>
                <w:rFonts w:ascii="Arial" w:cs="Arial" w:eastAsia="Arial" w:hAnsi="Arial"/>
                <w:sz w:val="14"/>
                <w:szCs w:val="14"/>
                <w:b w:val="1"/>
                <w:bCs w:val="1"/>
                <w:color w:val="auto"/>
              </w:rPr>
              <w:t>EXHIBIT TITLE</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520" w:type="dxa"/>
            <w:vAlign w:val="bottom"/>
          </w:tcPr>
          <w:p>
            <w:pPr>
              <w:spacing w:after="0"/>
              <w:rPr>
                <w:sz w:val="20"/>
                <w:szCs w:val="20"/>
                <w:color w:val="auto"/>
              </w:rPr>
            </w:pPr>
          </w:p>
        </w:tc>
        <w:tc>
          <w:tcPr>
            <w:tcW w:w="4500" w:type="dxa"/>
            <w:vAlign w:val="bottom"/>
            <w:gridSpan w:val="4"/>
          </w:tcPr>
          <w:p>
            <w:pPr>
              <w:spacing w:after="0"/>
              <w:rPr>
                <w:rFonts w:ascii="Arial" w:cs="Arial" w:eastAsia="Arial" w:hAnsi="Arial"/>
                <w:sz w:val="17"/>
                <w:szCs w:val="17"/>
                <w:color w:val="0000EE"/>
              </w:rPr>
            </w:pPr>
            <w:hyperlink r:id="rId430">
              <w:r>
                <w:rPr>
                  <w:rFonts w:ascii="Arial" w:cs="Arial" w:eastAsia="Arial" w:hAnsi="Arial"/>
                  <w:sz w:val="17"/>
                  <w:szCs w:val="17"/>
                  <w:color w:val="0000EE"/>
                </w:rPr>
                <w:t>Loan and Security Agreement, dated as of December 20,</w:t>
              </w:r>
            </w:hyperlink>
          </w:p>
        </w:tc>
      </w:tr>
      <w:tr>
        <w:trPr>
          <w:trHeight w:val="169"/>
        </w:trPr>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60" w:type="dxa"/>
            <w:vAlign w:val="bottom"/>
            <w:tcBorders>
              <w:top w:val="single" w:sz="8" w:color="0000EE"/>
              <w:bottom w:val="single" w:sz="8" w:color="0000EE"/>
            </w:tcBorders>
            <w:gridSpan w:val="2"/>
          </w:tcPr>
          <w:p>
            <w:pPr>
              <w:spacing w:after="0" w:line="169" w:lineRule="exact"/>
              <w:rPr>
                <w:rFonts w:ascii="Arial" w:cs="Arial" w:eastAsia="Arial" w:hAnsi="Arial"/>
                <w:sz w:val="17"/>
                <w:szCs w:val="17"/>
                <w:color w:val="0000EE"/>
                <w:w w:val="99"/>
              </w:rPr>
            </w:pPr>
            <w:hyperlink r:id="rId430">
              <w:r>
                <w:rPr>
                  <w:rFonts w:ascii="Arial" w:cs="Arial" w:eastAsia="Arial" w:hAnsi="Arial"/>
                  <w:sz w:val="17"/>
                  <w:szCs w:val="17"/>
                  <w:color w:val="0000EE"/>
                  <w:w w:val="99"/>
                </w:rPr>
                <w:t>2019, among the Registrant, certain of its affiliates, Silicon</w:t>
              </w:r>
            </w:hyperlink>
          </w:p>
        </w:tc>
        <w:tc>
          <w:tcPr>
            <w:tcW w:w="40" w:type="dxa"/>
            <w:vAlign w:val="bottom"/>
            <w:tcBorders>
              <w:bottom w:val="single" w:sz="8" w:color="0000EE"/>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0" w:type="dxa"/>
            <w:vAlign w:val="bottom"/>
            <w:gridSpan w:val="3"/>
          </w:tcPr>
          <w:p>
            <w:pPr>
              <w:spacing w:after="0" w:line="169" w:lineRule="exact"/>
              <w:rPr>
                <w:rFonts w:ascii="Arial" w:cs="Arial" w:eastAsia="Arial" w:hAnsi="Arial"/>
                <w:sz w:val="17"/>
                <w:szCs w:val="17"/>
                <w:color w:val="0000EE"/>
              </w:rPr>
            </w:pPr>
            <w:hyperlink r:id="rId430">
              <w:r>
                <w:rPr>
                  <w:rFonts w:ascii="Arial" w:cs="Arial" w:eastAsia="Arial" w:hAnsi="Arial"/>
                  <w:sz w:val="17"/>
                  <w:szCs w:val="17"/>
                  <w:color w:val="0000EE"/>
                </w:rPr>
                <w:t>Valley Bank and WestRiver Innovation Lending Fund VIII,</w:t>
              </w:r>
            </w:hyperlink>
          </w:p>
        </w:tc>
        <w:tc>
          <w:tcPr>
            <w:tcW w:w="100" w:type="dxa"/>
            <w:vAlign w:val="bottom"/>
          </w:tcPr>
          <w:p>
            <w:pPr>
              <w:spacing w:after="0"/>
              <w:rPr>
                <w:sz w:val="14"/>
                <w:szCs w:val="14"/>
                <w:color w:val="auto"/>
              </w:rPr>
            </w:pPr>
          </w:p>
        </w:tc>
      </w:tr>
      <w:tr>
        <w:trPr>
          <w:trHeight w:val="168"/>
        </w:trPr>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40" w:type="dxa"/>
            <w:vAlign w:val="bottom"/>
            <w:tcBorders>
              <w:top w:val="single" w:sz="8" w:color="0000EE"/>
            </w:tcBorders>
          </w:tcPr>
          <w:p>
            <w:pPr>
              <w:spacing w:after="0" w:line="168" w:lineRule="exact"/>
              <w:rPr>
                <w:rFonts w:ascii="Arial" w:cs="Arial" w:eastAsia="Arial" w:hAnsi="Arial"/>
                <w:sz w:val="17"/>
                <w:szCs w:val="17"/>
                <w:u w:val="single" w:color="auto"/>
                <w:color w:val="0000EE"/>
              </w:rPr>
            </w:pPr>
            <w:hyperlink r:id="rId430">
              <w:r>
                <w:rPr>
                  <w:rFonts w:ascii="Arial" w:cs="Arial" w:eastAsia="Arial" w:hAnsi="Arial"/>
                  <w:sz w:val="17"/>
                  <w:szCs w:val="17"/>
                  <w:u w:val="single" w:color="auto"/>
                  <w:color w:val="0000EE"/>
                </w:rPr>
                <w:t>L.P., as amended by the Joinder and First Amendment to</w:t>
              </w:r>
            </w:hyperlink>
          </w:p>
        </w:tc>
        <w:tc>
          <w:tcPr>
            <w:tcW w:w="160" w:type="dxa"/>
            <w:vAlign w:val="bottom"/>
            <w:gridSpan w:val="3"/>
          </w:tcPr>
          <w:p>
            <w:pPr>
              <w:spacing w:after="0"/>
              <w:rPr>
                <w:sz w:val="14"/>
                <w:szCs w:val="14"/>
                <w:color w:val="auto"/>
              </w:rPr>
            </w:pPr>
          </w:p>
        </w:tc>
      </w:tr>
      <w:tr>
        <w:trPr>
          <w:trHeight w:val="231"/>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00" w:type="dxa"/>
            <w:vAlign w:val="bottom"/>
            <w:gridSpan w:val="4"/>
          </w:tcPr>
          <w:p>
            <w:pPr>
              <w:spacing w:after="0"/>
              <w:rPr>
                <w:rFonts w:ascii="Arial" w:cs="Arial" w:eastAsia="Arial" w:hAnsi="Arial"/>
                <w:sz w:val="17"/>
                <w:szCs w:val="17"/>
                <w:u w:val="single" w:color="auto"/>
                <w:color w:val="0000EE"/>
              </w:rPr>
            </w:pPr>
            <w:hyperlink r:id="rId430">
              <w:r>
                <w:rPr>
                  <w:rFonts w:ascii="Arial" w:cs="Arial" w:eastAsia="Arial" w:hAnsi="Arial"/>
                  <w:sz w:val="17"/>
                  <w:szCs w:val="17"/>
                  <w:u w:val="single" w:color="auto"/>
                  <w:color w:val="0000EE"/>
                </w:rPr>
                <w:t>Loan and Security Agreement on May 21, 2020.</w:t>
              </w:r>
            </w:hyperlink>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0" w:type="dxa"/>
            <w:vAlign w:val="bottom"/>
            <w:gridSpan w:val="6"/>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0"/>
        </w:trPr>
        <w:tc>
          <w:tcPr>
            <w:tcW w:w="4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FILING</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FORM</w:t>
            </w:r>
          </w:p>
        </w:tc>
        <w:tc>
          <w:tcPr>
            <w:tcW w:w="280" w:type="dxa"/>
            <w:vAlign w:val="bottom"/>
          </w:tcPr>
          <w:p>
            <w:pPr>
              <w:spacing w:after="0"/>
              <w:rPr>
                <w:sz w:val="15"/>
                <w:szCs w:val="15"/>
                <w:color w:val="auto"/>
              </w:rPr>
            </w:pPr>
          </w:p>
        </w:tc>
        <w:tc>
          <w:tcPr>
            <w:tcW w:w="1020" w:type="dxa"/>
            <w:vAlign w:val="bottom"/>
          </w:tcPr>
          <w:p>
            <w:pPr>
              <w:jc w:val="right"/>
              <w:ind w:right="142"/>
              <w:spacing w:after="0"/>
              <w:rPr>
                <w:sz w:val="20"/>
                <w:szCs w:val="20"/>
                <w:color w:val="auto"/>
              </w:rPr>
            </w:pPr>
            <w:r>
              <w:rPr>
                <w:rFonts w:ascii="Arial" w:cs="Arial" w:eastAsia="Arial" w:hAnsi="Arial"/>
                <w:sz w:val="14"/>
                <w:szCs w:val="14"/>
                <w:b w:val="1"/>
                <w:bCs w:val="1"/>
                <w:color w:val="auto"/>
              </w:rPr>
              <w:t>FILE NO.</w:t>
            </w:r>
          </w:p>
        </w:tc>
        <w:tc>
          <w:tcPr>
            <w:tcW w:w="26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EXHIBIT</w:t>
            </w: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S-1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333-239490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10.13</w:t>
            </w: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June 26, 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41" w:lineRule="exact"/>
        <w:rPr>
          <w:sz w:val="20"/>
          <w:szCs w:val="20"/>
          <w:color w:val="auto"/>
        </w:rPr>
      </w:pPr>
    </w:p>
    <w:p>
      <w:pPr>
        <w:sectPr>
          <w:pgSz w:w="11900" w:h="16838" w:orient="portrait"/>
          <w:cols w:equalWidth="0" w:num="2">
            <w:col w:w="5780" w:space="200"/>
            <w:col w:w="5100"/>
          </w:cols>
          <w:pgMar w:left="320" w:top="455" w:right="499" w:bottom="1440" w:gutter="0" w:footer="0" w:header="0"/>
        </w:sectPr>
      </w:pPr>
    </w:p>
    <w:tbl>
      <w:tblPr>
        <w:tblLayout w:type="fixed"/>
        <w:tblInd w:w="120" w:type="dxa"/>
        <w:tblCellMar>
          <w:top w:w="0" w:type="dxa"/>
          <w:left w:w="0" w:type="dxa"/>
          <w:bottom w:w="0" w:type="dxa"/>
          <w:right w:w="0" w:type="dxa"/>
        </w:tblCellMar>
      </w:tblPr>
      <w:tr>
        <w:trPr>
          <w:trHeight w:val="227"/>
        </w:trPr>
        <w:tc>
          <w:tcPr>
            <w:tcW w:w="1160" w:type="dxa"/>
            <w:vAlign w:val="bottom"/>
          </w:tcPr>
          <w:p>
            <w:pPr>
              <w:spacing w:after="0"/>
              <w:rPr>
                <w:sz w:val="20"/>
                <w:szCs w:val="20"/>
                <w:color w:val="auto"/>
              </w:rPr>
            </w:pPr>
            <w:r>
              <w:rPr>
                <w:rFonts w:ascii="Arial" w:cs="Arial" w:eastAsia="Arial" w:hAnsi="Arial"/>
                <w:sz w:val="18"/>
                <w:szCs w:val="18"/>
                <w:color w:val="auto"/>
              </w:rPr>
              <w:t>10.13</w:t>
            </w:r>
          </w:p>
        </w:tc>
        <w:tc>
          <w:tcPr>
            <w:tcW w:w="4680" w:type="dxa"/>
            <w:vAlign w:val="bottom"/>
            <w:gridSpan w:val="11"/>
          </w:tcPr>
          <w:p>
            <w:pPr>
              <w:spacing w:after="0"/>
              <w:rPr>
                <w:rFonts w:ascii="Arial" w:cs="Arial" w:eastAsia="Arial" w:hAnsi="Arial"/>
                <w:sz w:val="17"/>
                <w:szCs w:val="17"/>
                <w:color w:val="0000EE"/>
              </w:rPr>
            </w:pPr>
            <w:hyperlink r:id="rId431">
              <w:r>
                <w:rPr>
                  <w:rFonts w:ascii="Arial" w:cs="Arial" w:eastAsia="Arial" w:hAnsi="Arial"/>
                  <w:sz w:val="17"/>
                  <w:szCs w:val="17"/>
                  <w:color w:val="0000EE"/>
                </w:rPr>
                <w:t>Conformed Copy of Amended and Restated Research and</w:t>
              </w:r>
            </w:hyperlink>
          </w:p>
        </w:tc>
        <w:tc>
          <w:tcPr>
            <w:tcW w:w="620" w:type="dxa"/>
            <w:vAlign w:val="bottom"/>
          </w:tcPr>
          <w:p>
            <w:pPr>
              <w:ind w:left="180"/>
              <w:spacing w:after="0"/>
              <w:rPr>
                <w:sz w:val="20"/>
                <w:szCs w:val="20"/>
                <w:color w:val="auto"/>
              </w:rPr>
            </w:pPr>
            <w:r>
              <w:rPr>
                <w:rFonts w:ascii="Arial" w:cs="Arial" w:eastAsia="Arial" w:hAnsi="Arial"/>
                <w:sz w:val="18"/>
                <w:szCs w:val="18"/>
                <w:color w:val="auto"/>
              </w:rPr>
              <w:t>S-1</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333-239490</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10.14</w:t>
            </w:r>
          </w:p>
        </w:tc>
        <w:tc>
          <w:tcPr>
            <w:tcW w:w="2340" w:type="dxa"/>
            <w:vAlign w:val="bottom"/>
          </w:tcPr>
          <w:p>
            <w:pPr>
              <w:ind w:left="160"/>
              <w:spacing w:after="0"/>
              <w:rPr>
                <w:sz w:val="20"/>
                <w:szCs w:val="20"/>
                <w:color w:val="auto"/>
              </w:rPr>
            </w:pPr>
            <w:r>
              <w:rPr>
                <w:rFonts w:ascii="Arial" w:cs="Arial" w:eastAsia="Arial" w:hAnsi="Arial"/>
                <w:sz w:val="18"/>
                <w:szCs w:val="18"/>
                <w:color w:val="auto"/>
              </w:rPr>
              <w:t>June 26, 2020</w:t>
            </w:r>
          </w:p>
        </w:tc>
      </w:tr>
      <w:tr>
        <w:trPr>
          <w:trHeight w:val="169"/>
        </w:trPr>
        <w:tc>
          <w:tcPr>
            <w:tcW w:w="1160" w:type="dxa"/>
            <w:vAlign w:val="bottom"/>
          </w:tcPr>
          <w:p>
            <w:pPr>
              <w:spacing w:after="0"/>
              <w:rPr>
                <w:sz w:val="14"/>
                <w:szCs w:val="14"/>
                <w:color w:val="auto"/>
              </w:rPr>
            </w:pPr>
          </w:p>
        </w:tc>
        <w:tc>
          <w:tcPr>
            <w:tcW w:w="4440" w:type="dxa"/>
            <w:vAlign w:val="bottom"/>
            <w:tcBorders>
              <w:top w:val="single" w:sz="8" w:color="0000EE"/>
            </w:tcBorders>
            <w:gridSpan w:val="7"/>
          </w:tcPr>
          <w:p>
            <w:pPr>
              <w:spacing w:after="0" w:line="169" w:lineRule="exact"/>
              <w:rPr>
                <w:rFonts w:ascii="Arial" w:cs="Arial" w:eastAsia="Arial" w:hAnsi="Arial"/>
                <w:sz w:val="17"/>
                <w:szCs w:val="17"/>
                <w:color w:val="0000EE"/>
              </w:rPr>
            </w:pPr>
            <w:hyperlink r:id="rId431">
              <w:r>
                <w:rPr>
                  <w:rFonts w:ascii="Arial" w:cs="Arial" w:eastAsia="Arial" w:hAnsi="Arial"/>
                  <w:sz w:val="17"/>
                  <w:szCs w:val="17"/>
                  <w:color w:val="0000EE"/>
                </w:rPr>
                <w:t>Development Services Agreement, dated as of June 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169"/>
        </w:trPr>
        <w:tc>
          <w:tcPr>
            <w:tcW w:w="1160" w:type="dxa"/>
            <w:vAlign w:val="bottom"/>
          </w:tcPr>
          <w:p>
            <w:pPr>
              <w:spacing w:after="0"/>
              <w:rPr>
                <w:sz w:val="14"/>
                <w:szCs w:val="14"/>
                <w:color w:val="auto"/>
              </w:rPr>
            </w:pPr>
          </w:p>
        </w:tc>
        <w:tc>
          <w:tcPr>
            <w:tcW w:w="4280" w:type="dxa"/>
            <w:vAlign w:val="bottom"/>
            <w:tcBorders>
              <w:top w:val="single" w:sz="8" w:color="0000EE"/>
            </w:tcBorders>
            <w:gridSpan w:val="6"/>
          </w:tcPr>
          <w:p>
            <w:pPr>
              <w:spacing w:after="0" w:line="169" w:lineRule="exact"/>
              <w:rPr>
                <w:rFonts w:ascii="Arial" w:cs="Arial" w:eastAsia="Arial" w:hAnsi="Arial"/>
                <w:sz w:val="17"/>
                <w:szCs w:val="17"/>
                <w:color w:val="0000EE"/>
              </w:rPr>
            </w:pPr>
            <w:hyperlink r:id="rId431">
              <w:r>
                <w:rPr>
                  <w:rFonts w:ascii="Arial" w:cs="Arial" w:eastAsia="Arial" w:hAnsi="Arial"/>
                  <w:sz w:val="17"/>
                  <w:szCs w:val="17"/>
                  <w:color w:val="0000EE"/>
                </w:rPr>
                <w:t>2018, between ALX Oncology Inc. and Tollnine, Inc.,</w:t>
              </w:r>
            </w:hyperlink>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224"/>
        </w:trPr>
        <w:tc>
          <w:tcPr>
            <w:tcW w:w="1160" w:type="dxa"/>
            <w:vAlign w:val="bottom"/>
          </w:tcPr>
          <w:p>
            <w:pPr>
              <w:spacing w:after="0"/>
              <w:rPr>
                <w:sz w:val="19"/>
                <w:szCs w:val="19"/>
                <w:color w:val="auto"/>
              </w:rPr>
            </w:pPr>
          </w:p>
        </w:tc>
        <w:tc>
          <w:tcPr>
            <w:tcW w:w="3960" w:type="dxa"/>
            <w:vAlign w:val="bottom"/>
            <w:tcBorders>
              <w:top w:val="single" w:sz="8" w:color="0000EE"/>
            </w:tcBorders>
            <w:gridSpan w:val="4"/>
          </w:tcPr>
          <w:p>
            <w:pPr>
              <w:spacing w:after="0"/>
              <w:rPr>
                <w:rFonts w:ascii="Arial" w:cs="Arial" w:eastAsia="Arial" w:hAnsi="Arial"/>
                <w:sz w:val="17"/>
                <w:szCs w:val="17"/>
                <w:u w:val="single" w:color="auto"/>
                <w:color w:val="0000EE"/>
              </w:rPr>
            </w:pPr>
            <w:hyperlink r:id="rId431">
              <w:r>
                <w:rPr>
                  <w:rFonts w:ascii="Arial" w:cs="Arial" w:eastAsia="Arial" w:hAnsi="Arial"/>
                  <w:sz w:val="17"/>
                  <w:szCs w:val="17"/>
                  <w:u w:val="single" w:color="auto"/>
                  <w:color w:val="0000EE"/>
                </w:rPr>
                <w:t>incorporating Amendment No. 1, dated as of May 3,</w:t>
              </w:r>
            </w:hyperlink>
          </w:p>
        </w:tc>
        <w:tc>
          <w:tcPr>
            <w:tcW w:w="500" w:type="dxa"/>
            <w:vAlign w:val="bottom"/>
            <w:gridSpan w:val="4"/>
          </w:tcPr>
          <w:p>
            <w:pPr>
              <w:jc w:val="right"/>
              <w:ind w:right="80"/>
              <w:spacing w:after="0"/>
              <w:rPr>
                <w:rFonts w:ascii="Arial" w:cs="Arial" w:eastAsia="Arial" w:hAnsi="Arial"/>
                <w:sz w:val="17"/>
                <w:szCs w:val="17"/>
                <w:u w:val="single" w:color="auto"/>
                <w:color w:val="0000EE"/>
                <w:w w:val="93"/>
              </w:rPr>
            </w:pPr>
            <w:hyperlink r:id="rId431">
              <w:r>
                <w:rPr>
                  <w:rFonts w:ascii="Arial" w:cs="Arial" w:eastAsia="Arial" w:hAnsi="Arial"/>
                  <w:sz w:val="17"/>
                  <w:szCs w:val="17"/>
                  <w:u w:val="single" w:color="auto"/>
                  <w:color w:val="0000EE"/>
                  <w:w w:val="93"/>
                </w:rPr>
                <w:t>2019.</w:t>
              </w:r>
            </w:hyperlink>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201"/>
        </w:trPr>
        <w:tc>
          <w:tcPr>
            <w:tcW w:w="1160" w:type="dxa"/>
            <w:vAlign w:val="bottom"/>
          </w:tcPr>
          <w:p>
            <w:pPr>
              <w:spacing w:after="0" w:line="182" w:lineRule="exact"/>
              <w:rPr>
                <w:sz w:val="20"/>
                <w:szCs w:val="20"/>
                <w:color w:val="auto"/>
              </w:rPr>
            </w:pPr>
            <w:r>
              <w:rPr>
                <w:rFonts w:ascii="Arial" w:cs="Arial" w:eastAsia="Arial" w:hAnsi="Arial"/>
                <w:sz w:val="18"/>
                <w:szCs w:val="18"/>
                <w:color w:val="auto"/>
              </w:rPr>
              <w:t>10.14</w:t>
            </w:r>
          </w:p>
        </w:tc>
        <w:tc>
          <w:tcPr>
            <w:tcW w:w="4680" w:type="dxa"/>
            <w:vAlign w:val="bottom"/>
            <w:gridSpan w:val="11"/>
          </w:tcPr>
          <w:p>
            <w:pPr>
              <w:spacing w:after="0" w:line="181" w:lineRule="exact"/>
              <w:rPr>
                <w:rFonts w:ascii="Arial" w:cs="Arial" w:eastAsia="Arial" w:hAnsi="Arial"/>
                <w:sz w:val="17"/>
                <w:szCs w:val="17"/>
                <w:color w:val="0000EE"/>
              </w:rPr>
            </w:pPr>
            <w:hyperlink r:id="rId432">
              <w:r>
                <w:rPr>
                  <w:rFonts w:ascii="Arial" w:cs="Arial" w:eastAsia="Arial" w:hAnsi="Arial"/>
                  <w:sz w:val="17"/>
                  <w:szCs w:val="17"/>
                  <w:color w:val="0000EE"/>
                </w:rPr>
                <w:t>Research and Development Services Agreement, dated as</w:t>
              </w:r>
            </w:hyperlink>
          </w:p>
        </w:tc>
        <w:tc>
          <w:tcPr>
            <w:tcW w:w="620" w:type="dxa"/>
            <w:vAlign w:val="bottom"/>
          </w:tcPr>
          <w:p>
            <w:pPr>
              <w:ind w:left="180"/>
              <w:spacing w:after="0" w:line="182" w:lineRule="exact"/>
              <w:rPr>
                <w:sz w:val="20"/>
                <w:szCs w:val="20"/>
                <w:color w:val="auto"/>
              </w:rPr>
            </w:pPr>
            <w:r>
              <w:rPr>
                <w:rFonts w:ascii="Arial" w:cs="Arial" w:eastAsia="Arial" w:hAnsi="Arial"/>
                <w:sz w:val="18"/>
                <w:szCs w:val="18"/>
                <w:color w:val="auto"/>
              </w:rPr>
              <w:t>S-1</w:t>
            </w:r>
          </w:p>
        </w:tc>
        <w:tc>
          <w:tcPr>
            <w:tcW w:w="134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333-239490</w:t>
            </w:r>
          </w:p>
        </w:tc>
        <w:tc>
          <w:tcPr>
            <w:tcW w:w="820" w:type="dxa"/>
            <w:vAlign w:val="bottom"/>
          </w:tcPr>
          <w:p>
            <w:pPr>
              <w:jc w:val="right"/>
              <w:ind w:right="90"/>
              <w:spacing w:after="0" w:line="182" w:lineRule="exact"/>
              <w:rPr>
                <w:sz w:val="20"/>
                <w:szCs w:val="20"/>
                <w:color w:val="auto"/>
              </w:rPr>
            </w:pPr>
            <w:r>
              <w:rPr>
                <w:rFonts w:ascii="Arial" w:cs="Arial" w:eastAsia="Arial" w:hAnsi="Arial"/>
                <w:sz w:val="18"/>
                <w:szCs w:val="18"/>
                <w:color w:val="auto"/>
              </w:rPr>
              <w:t>10.15</w:t>
            </w:r>
          </w:p>
        </w:tc>
        <w:tc>
          <w:tcPr>
            <w:tcW w:w="2340" w:type="dxa"/>
            <w:vAlign w:val="bottom"/>
          </w:tcPr>
          <w:p>
            <w:pPr>
              <w:ind w:left="160"/>
              <w:spacing w:after="0" w:line="182" w:lineRule="exact"/>
              <w:rPr>
                <w:sz w:val="20"/>
                <w:szCs w:val="20"/>
                <w:color w:val="auto"/>
              </w:rPr>
            </w:pPr>
            <w:r>
              <w:rPr>
                <w:rFonts w:ascii="Arial" w:cs="Arial" w:eastAsia="Arial" w:hAnsi="Arial"/>
                <w:sz w:val="18"/>
                <w:szCs w:val="18"/>
                <w:color w:val="auto"/>
              </w:rPr>
              <w:t>June 26, 2020</w:t>
            </w:r>
          </w:p>
        </w:tc>
      </w:tr>
      <w:tr>
        <w:trPr>
          <w:trHeight w:val="169"/>
        </w:trPr>
        <w:tc>
          <w:tcPr>
            <w:tcW w:w="1160" w:type="dxa"/>
            <w:vAlign w:val="bottom"/>
          </w:tcPr>
          <w:p>
            <w:pPr>
              <w:spacing w:after="0"/>
              <w:rPr>
                <w:sz w:val="14"/>
                <w:szCs w:val="14"/>
                <w:color w:val="auto"/>
              </w:rPr>
            </w:pPr>
          </w:p>
        </w:tc>
        <w:tc>
          <w:tcPr>
            <w:tcW w:w="4460" w:type="dxa"/>
            <w:vAlign w:val="bottom"/>
            <w:tcBorders>
              <w:top w:val="single" w:sz="8" w:color="0000EE"/>
            </w:tcBorders>
            <w:gridSpan w:val="8"/>
          </w:tcPr>
          <w:p>
            <w:pPr>
              <w:spacing w:after="0" w:line="169" w:lineRule="exact"/>
              <w:rPr>
                <w:rFonts w:ascii="Arial" w:cs="Arial" w:eastAsia="Arial" w:hAnsi="Arial"/>
                <w:sz w:val="17"/>
                <w:szCs w:val="17"/>
                <w:color w:val="0000EE"/>
              </w:rPr>
            </w:pPr>
            <w:hyperlink r:id="rId432">
              <w:r>
                <w:rPr>
                  <w:rFonts w:ascii="Arial" w:cs="Arial" w:eastAsia="Arial" w:hAnsi="Arial"/>
                  <w:sz w:val="17"/>
                  <w:szCs w:val="17"/>
                  <w:color w:val="0000EE"/>
                </w:rPr>
                <w:t>of June 25, 2020, between the Registrant and Tallac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224"/>
        </w:trPr>
        <w:tc>
          <w:tcPr>
            <w:tcW w:w="1160" w:type="dxa"/>
            <w:vAlign w:val="bottom"/>
          </w:tcPr>
          <w:p>
            <w:pPr>
              <w:spacing w:after="0"/>
              <w:rPr>
                <w:sz w:val="19"/>
                <w:szCs w:val="19"/>
                <w:color w:val="auto"/>
              </w:rPr>
            </w:pPr>
          </w:p>
        </w:tc>
        <w:tc>
          <w:tcPr>
            <w:tcW w:w="3980" w:type="dxa"/>
            <w:vAlign w:val="bottom"/>
            <w:tcBorders>
              <w:top w:val="single" w:sz="8" w:color="0000EE"/>
            </w:tcBorders>
            <w:gridSpan w:val="5"/>
          </w:tcPr>
          <w:p>
            <w:pPr>
              <w:spacing w:after="0"/>
              <w:rPr>
                <w:rFonts w:ascii="Arial" w:cs="Arial" w:eastAsia="Arial" w:hAnsi="Arial"/>
                <w:sz w:val="17"/>
                <w:szCs w:val="17"/>
                <w:u w:val="single" w:color="auto"/>
                <w:color w:val="0000EE"/>
              </w:rPr>
            </w:pPr>
            <w:hyperlink r:id="rId432">
              <w:r>
                <w:rPr>
                  <w:rFonts w:ascii="Arial" w:cs="Arial" w:eastAsia="Arial" w:hAnsi="Arial"/>
                  <w:sz w:val="17"/>
                  <w:szCs w:val="17"/>
                  <w:u w:val="single" w:color="auto"/>
                  <w:color w:val="0000EE"/>
                </w:rPr>
                <w:t>Therapeutics, Inc. (formerly known as Tollnine, Inc.).</w:t>
              </w:r>
            </w:hyperlink>
          </w:p>
        </w:tc>
        <w:tc>
          <w:tcPr>
            <w:tcW w:w="50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259"/>
        </w:trPr>
        <w:tc>
          <w:tcPr>
            <w:tcW w:w="1160" w:type="dxa"/>
            <w:vAlign w:val="bottom"/>
          </w:tcPr>
          <w:p>
            <w:pPr>
              <w:spacing w:after="0"/>
              <w:rPr>
                <w:sz w:val="20"/>
                <w:szCs w:val="20"/>
                <w:color w:val="auto"/>
              </w:rPr>
            </w:pPr>
            <w:r>
              <w:rPr>
                <w:rFonts w:ascii="Arial" w:cs="Arial" w:eastAsia="Arial" w:hAnsi="Arial"/>
                <w:sz w:val="18"/>
                <w:szCs w:val="18"/>
                <w:color w:val="auto"/>
              </w:rPr>
              <w:t>21.1</w:t>
            </w:r>
          </w:p>
        </w:tc>
        <w:tc>
          <w:tcPr>
            <w:tcW w:w="4680" w:type="dxa"/>
            <w:vAlign w:val="bottom"/>
            <w:gridSpan w:val="11"/>
          </w:tcPr>
          <w:p>
            <w:pPr>
              <w:spacing w:after="0"/>
              <w:rPr>
                <w:rFonts w:ascii="Arial" w:cs="Arial" w:eastAsia="Arial" w:hAnsi="Arial"/>
                <w:sz w:val="17"/>
                <w:szCs w:val="17"/>
                <w:u w:val="single" w:color="auto"/>
                <w:color w:val="0000EE"/>
              </w:rPr>
            </w:pPr>
            <w:hyperlink r:id="rId433">
              <w:r>
                <w:rPr>
                  <w:rFonts w:ascii="Arial" w:cs="Arial" w:eastAsia="Arial" w:hAnsi="Arial"/>
                  <w:sz w:val="17"/>
                  <w:szCs w:val="17"/>
                  <w:u w:val="single" w:color="auto"/>
                  <w:color w:val="0000EE"/>
                </w:rPr>
                <w:t>List of subsidiaries of Registrant.</w:t>
              </w:r>
            </w:hyperlink>
          </w:p>
        </w:tc>
        <w:tc>
          <w:tcPr>
            <w:tcW w:w="620" w:type="dxa"/>
            <w:vAlign w:val="bottom"/>
          </w:tcPr>
          <w:p>
            <w:pPr>
              <w:ind w:left="180"/>
              <w:spacing w:after="0"/>
              <w:rPr>
                <w:sz w:val="20"/>
                <w:szCs w:val="20"/>
                <w:color w:val="auto"/>
              </w:rPr>
            </w:pPr>
            <w:r>
              <w:rPr>
                <w:rFonts w:ascii="Arial" w:cs="Arial" w:eastAsia="Arial" w:hAnsi="Arial"/>
                <w:sz w:val="18"/>
                <w:szCs w:val="18"/>
                <w:color w:val="auto"/>
              </w:rPr>
              <w:t>S-1</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333-239490</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21.1</w:t>
            </w:r>
          </w:p>
        </w:tc>
        <w:tc>
          <w:tcPr>
            <w:tcW w:w="2340" w:type="dxa"/>
            <w:vAlign w:val="bottom"/>
          </w:tcPr>
          <w:p>
            <w:pPr>
              <w:ind w:left="160"/>
              <w:spacing w:after="0"/>
              <w:rPr>
                <w:sz w:val="20"/>
                <w:szCs w:val="20"/>
                <w:color w:val="auto"/>
              </w:rPr>
            </w:pPr>
            <w:r>
              <w:rPr>
                <w:rFonts w:ascii="Arial" w:cs="Arial" w:eastAsia="Arial" w:hAnsi="Arial"/>
                <w:sz w:val="18"/>
                <w:szCs w:val="18"/>
                <w:color w:val="auto"/>
              </w:rPr>
              <w:t>June 26, 2020</w:t>
            </w:r>
          </w:p>
        </w:tc>
      </w:tr>
      <w:tr>
        <w:trPr>
          <w:trHeight w:val="212"/>
        </w:trPr>
        <w:tc>
          <w:tcPr>
            <w:tcW w:w="1160" w:type="dxa"/>
            <w:vAlign w:val="bottom"/>
          </w:tcPr>
          <w:p>
            <w:pPr>
              <w:spacing w:after="0" w:line="192" w:lineRule="exact"/>
              <w:rPr>
                <w:sz w:val="20"/>
                <w:szCs w:val="20"/>
                <w:color w:val="auto"/>
              </w:rPr>
            </w:pPr>
            <w:r>
              <w:rPr>
                <w:rFonts w:ascii="Arial" w:cs="Arial" w:eastAsia="Arial" w:hAnsi="Arial"/>
                <w:sz w:val="18"/>
                <w:szCs w:val="18"/>
                <w:color w:val="auto"/>
              </w:rPr>
              <w:t>23.1</w:t>
            </w:r>
          </w:p>
        </w:tc>
        <w:tc>
          <w:tcPr>
            <w:tcW w:w="4680" w:type="dxa"/>
            <w:vAlign w:val="bottom"/>
            <w:gridSpan w:val="11"/>
          </w:tcPr>
          <w:p>
            <w:pPr>
              <w:spacing w:after="0" w:line="192" w:lineRule="exact"/>
              <w:rPr>
                <w:rFonts w:ascii="Arial" w:cs="Arial" w:eastAsia="Arial" w:hAnsi="Arial"/>
                <w:sz w:val="17"/>
                <w:szCs w:val="17"/>
                <w:color w:val="0000EE"/>
              </w:rPr>
            </w:pPr>
            <w:hyperlink w:anchor="page293">
              <w:r>
                <w:rPr>
                  <w:rFonts w:ascii="Arial" w:cs="Arial" w:eastAsia="Arial" w:hAnsi="Arial"/>
                  <w:sz w:val="17"/>
                  <w:szCs w:val="17"/>
                  <w:color w:val="0000EE"/>
                </w:rPr>
                <w:t>Consent of Independent Registered Public Accounting Firm</w:t>
              </w:r>
            </w:hyperlink>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tcPr>
          <w:p>
            <w:pPr>
              <w:ind w:left="2220"/>
              <w:spacing w:after="0" w:line="192" w:lineRule="exact"/>
              <w:rPr>
                <w:sz w:val="20"/>
                <w:szCs w:val="20"/>
                <w:color w:val="auto"/>
              </w:rPr>
            </w:pPr>
            <w:r>
              <w:rPr>
                <w:rFonts w:ascii="Arial" w:cs="Arial" w:eastAsia="Arial" w:hAnsi="Arial"/>
                <w:sz w:val="18"/>
                <w:szCs w:val="18"/>
                <w:color w:val="auto"/>
                <w:w w:val="82"/>
              </w:rPr>
              <w:t>X</w:t>
            </w:r>
          </w:p>
        </w:tc>
      </w:tr>
      <w:tr>
        <w:trPr>
          <w:trHeight w:val="169"/>
        </w:trPr>
        <w:tc>
          <w:tcPr>
            <w:tcW w:w="1160" w:type="dxa"/>
            <w:vAlign w:val="bottom"/>
          </w:tcPr>
          <w:p>
            <w:pPr>
              <w:spacing w:after="0"/>
              <w:rPr>
                <w:sz w:val="14"/>
                <w:szCs w:val="14"/>
                <w:color w:val="auto"/>
              </w:rPr>
            </w:pPr>
          </w:p>
        </w:tc>
        <w:tc>
          <w:tcPr>
            <w:tcW w:w="4500" w:type="dxa"/>
            <w:vAlign w:val="bottom"/>
            <w:tcBorders>
              <w:top w:val="single" w:sz="8" w:color="0000EE"/>
            </w:tcBorders>
            <w:gridSpan w:val="10"/>
          </w:tcPr>
          <w:p>
            <w:pPr>
              <w:spacing w:after="0" w:line="169" w:lineRule="exact"/>
              <w:rPr>
                <w:rFonts w:ascii="Arial" w:cs="Arial" w:eastAsia="Arial" w:hAnsi="Arial"/>
                <w:sz w:val="17"/>
                <w:szCs w:val="17"/>
                <w:color w:val="0000EE"/>
              </w:rPr>
            </w:pPr>
            <w:hyperlink w:anchor="page293">
              <w:r>
                <w:rPr>
                  <w:rFonts w:ascii="Arial" w:cs="Arial" w:eastAsia="Arial" w:hAnsi="Arial"/>
                  <w:sz w:val="17"/>
                  <w:szCs w:val="17"/>
                  <w:color w:val="0000EE"/>
                </w:rPr>
                <w:t>as to the Registrant.</w:t>
              </w:r>
            </w:hyperlink>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20"/>
        </w:trPr>
        <w:tc>
          <w:tcPr>
            <w:tcW w:w="116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36"/>
        </w:trPr>
        <w:tc>
          <w:tcPr>
            <w:tcW w:w="1160" w:type="dxa"/>
            <w:vAlign w:val="bottom"/>
          </w:tcPr>
          <w:p>
            <w:pPr>
              <w:spacing w:after="0"/>
              <w:rPr>
                <w:sz w:val="20"/>
                <w:szCs w:val="20"/>
                <w:color w:val="auto"/>
              </w:rPr>
            </w:pPr>
            <w:r>
              <w:rPr>
                <w:rFonts w:ascii="Arial" w:cs="Arial" w:eastAsia="Arial" w:hAnsi="Arial"/>
                <w:sz w:val="18"/>
                <w:szCs w:val="18"/>
                <w:color w:val="auto"/>
              </w:rPr>
              <w:t>23.2</w:t>
            </w:r>
          </w:p>
        </w:tc>
        <w:tc>
          <w:tcPr>
            <w:tcW w:w="4680" w:type="dxa"/>
            <w:vAlign w:val="bottom"/>
            <w:gridSpan w:val="11"/>
          </w:tcPr>
          <w:p>
            <w:pPr>
              <w:spacing w:after="0"/>
              <w:rPr>
                <w:rFonts w:ascii="Arial" w:cs="Arial" w:eastAsia="Arial" w:hAnsi="Arial"/>
                <w:sz w:val="17"/>
                <w:szCs w:val="17"/>
                <w:color w:val="0000EE"/>
              </w:rPr>
            </w:pPr>
            <w:hyperlink w:anchor="page294">
              <w:r>
                <w:rPr>
                  <w:rFonts w:ascii="Arial" w:cs="Arial" w:eastAsia="Arial" w:hAnsi="Arial"/>
                  <w:sz w:val="17"/>
                  <w:szCs w:val="17"/>
                  <w:color w:val="0000EE"/>
                </w:rPr>
                <w:t>Consent of Independent Registered Public Accounting Firm</w:t>
              </w:r>
            </w:hyperlink>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340" w:type="dxa"/>
            <w:vAlign w:val="bottom"/>
          </w:tcPr>
          <w:p>
            <w:pPr>
              <w:ind w:left="2220"/>
              <w:spacing w:after="0"/>
              <w:rPr>
                <w:sz w:val="20"/>
                <w:szCs w:val="20"/>
                <w:color w:val="auto"/>
              </w:rPr>
            </w:pPr>
            <w:r>
              <w:rPr>
                <w:rFonts w:ascii="Arial" w:cs="Arial" w:eastAsia="Arial" w:hAnsi="Arial"/>
                <w:sz w:val="18"/>
                <w:szCs w:val="18"/>
                <w:color w:val="auto"/>
                <w:w w:val="82"/>
              </w:rPr>
              <w:t>X</w:t>
            </w:r>
          </w:p>
        </w:tc>
      </w:tr>
      <w:tr>
        <w:trPr>
          <w:trHeight w:val="169"/>
        </w:trPr>
        <w:tc>
          <w:tcPr>
            <w:tcW w:w="1160" w:type="dxa"/>
            <w:vAlign w:val="bottom"/>
          </w:tcPr>
          <w:p>
            <w:pPr>
              <w:spacing w:after="0"/>
              <w:rPr>
                <w:sz w:val="14"/>
                <w:szCs w:val="14"/>
                <w:color w:val="auto"/>
              </w:rPr>
            </w:pPr>
          </w:p>
        </w:tc>
        <w:tc>
          <w:tcPr>
            <w:tcW w:w="2160" w:type="dxa"/>
            <w:vAlign w:val="bottom"/>
            <w:tcBorders>
              <w:top w:val="single" w:sz="8" w:color="0000EE"/>
              <w:bottom w:val="single" w:sz="8" w:color="0000EE"/>
            </w:tcBorders>
            <w:gridSpan w:val="2"/>
          </w:tcPr>
          <w:p>
            <w:pPr>
              <w:spacing w:after="0" w:line="169" w:lineRule="exact"/>
              <w:rPr>
                <w:rFonts w:ascii="Arial" w:cs="Arial" w:eastAsia="Arial" w:hAnsi="Arial"/>
                <w:sz w:val="17"/>
                <w:szCs w:val="17"/>
                <w:color w:val="0000EE"/>
                <w:w w:val="99"/>
              </w:rPr>
            </w:pPr>
            <w:hyperlink w:anchor="page294">
              <w:r>
                <w:rPr>
                  <w:rFonts w:ascii="Arial" w:cs="Arial" w:eastAsia="Arial" w:hAnsi="Arial"/>
                  <w:sz w:val="17"/>
                  <w:szCs w:val="17"/>
                  <w:color w:val="0000EE"/>
                  <w:w w:val="99"/>
                </w:rPr>
                <w:t>as to ALX Oncology Limited.</w:t>
              </w:r>
            </w:hyperlink>
          </w:p>
        </w:tc>
        <w:tc>
          <w:tcPr>
            <w:tcW w:w="2340" w:type="dxa"/>
            <w:vAlign w:val="bottom"/>
            <w:tcBorders>
              <w:top w:val="single" w:sz="8" w:color="0000EE"/>
            </w:tcBorders>
            <w:gridSpan w:val="8"/>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23.3</w:t>
            </w:r>
          </w:p>
        </w:tc>
        <w:tc>
          <w:tcPr>
            <w:tcW w:w="4680" w:type="dxa"/>
            <w:vAlign w:val="bottom"/>
            <w:gridSpan w:val="11"/>
          </w:tcPr>
          <w:p>
            <w:pPr>
              <w:spacing w:after="0"/>
              <w:rPr>
                <w:rFonts w:ascii="Arial" w:cs="Arial" w:eastAsia="Arial" w:hAnsi="Arial"/>
                <w:sz w:val="17"/>
                <w:szCs w:val="17"/>
                <w:color w:val="0000EE"/>
              </w:rPr>
            </w:pPr>
            <w:hyperlink w:anchor="page291">
              <w:r>
                <w:rPr>
                  <w:rFonts w:ascii="Arial" w:cs="Arial" w:eastAsia="Arial" w:hAnsi="Arial"/>
                  <w:sz w:val="17"/>
                  <w:szCs w:val="17"/>
                  <w:color w:val="0000EE"/>
                </w:rPr>
                <w:t>Consent of Wilson Sonsini Goodrich &amp; Rosati, Professional</w:t>
              </w:r>
            </w:hyperlink>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340" w:type="dxa"/>
            <w:vAlign w:val="bottom"/>
          </w:tcPr>
          <w:p>
            <w:pPr>
              <w:ind w:left="2220"/>
              <w:spacing w:after="0"/>
              <w:rPr>
                <w:sz w:val="20"/>
                <w:szCs w:val="20"/>
                <w:color w:val="auto"/>
              </w:rPr>
            </w:pPr>
            <w:r>
              <w:rPr>
                <w:rFonts w:ascii="Arial" w:cs="Arial" w:eastAsia="Arial" w:hAnsi="Arial"/>
                <w:sz w:val="18"/>
                <w:szCs w:val="18"/>
                <w:color w:val="auto"/>
                <w:w w:val="82"/>
              </w:rPr>
              <w:t>X</w:t>
            </w:r>
          </w:p>
        </w:tc>
      </w:tr>
      <w:tr>
        <w:trPr>
          <w:trHeight w:val="169"/>
        </w:trPr>
        <w:tc>
          <w:tcPr>
            <w:tcW w:w="1160" w:type="dxa"/>
            <w:vAlign w:val="bottom"/>
          </w:tcPr>
          <w:p>
            <w:pPr>
              <w:spacing w:after="0"/>
              <w:rPr>
                <w:sz w:val="14"/>
                <w:szCs w:val="14"/>
                <w:color w:val="auto"/>
              </w:rPr>
            </w:pPr>
          </w:p>
        </w:tc>
        <w:tc>
          <w:tcPr>
            <w:tcW w:w="4480" w:type="dxa"/>
            <w:vAlign w:val="bottom"/>
            <w:tcBorders>
              <w:top w:val="single" w:sz="8" w:color="0000EE"/>
            </w:tcBorders>
            <w:gridSpan w:val="9"/>
          </w:tcPr>
          <w:p>
            <w:pPr>
              <w:spacing w:after="0" w:line="169" w:lineRule="exact"/>
              <w:rPr>
                <w:rFonts w:ascii="Arial" w:cs="Arial" w:eastAsia="Arial" w:hAnsi="Arial"/>
                <w:sz w:val="17"/>
                <w:szCs w:val="17"/>
                <w:color w:val="0000EE"/>
              </w:rPr>
            </w:pPr>
            <w:hyperlink w:anchor="page291">
              <w:r>
                <w:rPr>
                  <w:rFonts w:ascii="Arial" w:cs="Arial" w:eastAsia="Arial" w:hAnsi="Arial"/>
                  <w:sz w:val="17"/>
                  <w:szCs w:val="17"/>
                  <w:color w:val="0000EE"/>
                </w:rPr>
                <w:t>Corporation (included in Exhibit 5.1).</w:t>
              </w:r>
            </w:hyperlink>
          </w:p>
        </w:tc>
        <w:tc>
          <w:tcPr>
            <w:tcW w:w="20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r>
      <w:tr>
        <w:trPr>
          <w:trHeight w:val="295"/>
        </w:trPr>
        <w:tc>
          <w:tcPr>
            <w:tcW w:w="1160" w:type="dxa"/>
            <w:vAlign w:val="bottom"/>
          </w:tcPr>
          <w:p>
            <w:pPr>
              <w:spacing w:after="0"/>
              <w:rPr>
                <w:sz w:val="20"/>
                <w:szCs w:val="20"/>
                <w:color w:val="auto"/>
              </w:rPr>
            </w:pPr>
            <w:r>
              <w:rPr>
                <w:rFonts w:ascii="Arial" w:cs="Arial" w:eastAsia="Arial" w:hAnsi="Arial"/>
                <w:sz w:val="18"/>
                <w:szCs w:val="18"/>
                <w:color w:val="auto"/>
              </w:rPr>
              <w:t>24.1</w:t>
            </w:r>
          </w:p>
        </w:tc>
        <w:tc>
          <w:tcPr>
            <w:tcW w:w="2760" w:type="dxa"/>
            <w:vAlign w:val="bottom"/>
            <w:tcBorders>
              <w:top w:val="single" w:sz="8" w:color="0000EE"/>
            </w:tcBorders>
            <w:gridSpan w:val="3"/>
          </w:tcPr>
          <w:p>
            <w:pPr>
              <w:spacing w:after="0"/>
              <w:rPr>
                <w:rFonts w:ascii="Arial" w:cs="Arial" w:eastAsia="Arial" w:hAnsi="Arial"/>
                <w:sz w:val="17"/>
                <w:szCs w:val="17"/>
                <w:u w:val="single" w:color="auto"/>
                <w:color w:val="0000EE"/>
              </w:rPr>
            </w:pPr>
            <w:hyperlink w:anchor="page241">
              <w:r>
                <w:rPr>
                  <w:rFonts w:ascii="Arial" w:cs="Arial" w:eastAsia="Arial" w:hAnsi="Arial"/>
                  <w:sz w:val="17"/>
                  <w:szCs w:val="17"/>
                  <w:u w:val="single" w:color="auto"/>
                  <w:color w:val="0000EE"/>
                </w:rPr>
                <w:t>Power of Attorney.</w:t>
              </w:r>
            </w:hyperlink>
          </w:p>
        </w:tc>
        <w:tc>
          <w:tcPr>
            <w:tcW w:w="1920" w:type="dxa"/>
            <w:vAlign w:val="bottom"/>
            <w:gridSpan w:val="8"/>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tcPr>
          <w:p>
            <w:pPr>
              <w:ind w:left="2220"/>
              <w:spacing w:after="0"/>
              <w:rPr>
                <w:sz w:val="20"/>
                <w:szCs w:val="20"/>
                <w:color w:val="auto"/>
              </w:rPr>
            </w:pPr>
            <w:r>
              <w:rPr>
                <w:rFonts w:ascii="Arial" w:cs="Arial" w:eastAsia="Arial" w:hAnsi="Arial"/>
                <w:sz w:val="18"/>
                <w:szCs w:val="18"/>
                <w:color w:val="auto"/>
                <w:w w:val="82"/>
              </w:rPr>
              <w:t>X</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4680" w:type="dxa"/>
            <w:vAlign w:val="bottom"/>
            <w:gridSpan w:val="11"/>
          </w:tcPr>
          <w:p>
            <w:pPr>
              <w:spacing w:after="0"/>
              <w:rPr>
                <w:sz w:val="20"/>
                <w:szCs w:val="20"/>
                <w:color w:val="auto"/>
              </w:rPr>
            </w:pPr>
            <w:r>
              <w:rPr>
                <w:rFonts w:ascii="Arial" w:cs="Arial" w:eastAsia="Arial" w:hAnsi="Arial"/>
                <w:sz w:val="17"/>
                <w:szCs w:val="17"/>
                <w:color w:val="auto"/>
              </w:rPr>
              <w:t>XBRL Instance Document.</w:t>
            </w: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340" w:type="dxa"/>
            <w:vAlign w:val="bottom"/>
          </w:tcPr>
          <w:p>
            <w:pPr>
              <w:ind w:left="2220"/>
              <w:spacing w:after="0"/>
              <w:rPr>
                <w:sz w:val="20"/>
                <w:szCs w:val="20"/>
                <w:color w:val="auto"/>
              </w:rPr>
            </w:pPr>
            <w:r>
              <w:rPr>
                <w:rFonts w:ascii="Arial" w:cs="Arial" w:eastAsia="Arial" w:hAnsi="Arial"/>
                <w:sz w:val="18"/>
                <w:szCs w:val="18"/>
                <w:color w:val="auto"/>
                <w:w w:val="82"/>
              </w:rPr>
              <w:t>X</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4680" w:type="dxa"/>
            <w:vAlign w:val="bottom"/>
            <w:gridSpan w:val="11"/>
          </w:tcPr>
          <w:p>
            <w:pPr>
              <w:spacing w:after="0"/>
              <w:rPr>
                <w:sz w:val="20"/>
                <w:szCs w:val="20"/>
                <w:color w:val="auto"/>
              </w:rPr>
            </w:pPr>
            <w:r>
              <w:rPr>
                <w:rFonts w:ascii="Arial" w:cs="Arial" w:eastAsia="Arial" w:hAnsi="Arial"/>
                <w:sz w:val="17"/>
                <w:szCs w:val="17"/>
                <w:color w:val="auto"/>
              </w:rPr>
              <w:t>XBRL Taxonomy Extension Schema Document.</w:t>
            </w: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340" w:type="dxa"/>
            <w:vAlign w:val="bottom"/>
          </w:tcPr>
          <w:p>
            <w:pPr>
              <w:ind w:left="2220"/>
              <w:spacing w:after="0"/>
              <w:rPr>
                <w:sz w:val="20"/>
                <w:szCs w:val="20"/>
                <w:color w:val="auto"/>
              </w:rPr>
            </w:pPr>
            <w:r>
              <w:rPr>
                <w:rFonts w:ascii="Arial" w:cs="Arial" w:eastAsia="Arial" w:hAnsi="Arial"/>
                <w:sz w:val="18"/>
                <w:szCs w:val="18"/>
                <w:color w:val="auto"/>
                <w:w w:val="82"/>
              </w:rPr>
              <w:t>X</w:t>
            </w:r>
          </w:p>
        </w:tc>
      </w:tr>
      <w:tr>
        <w:trPr>
          <w:trHeight w:val="21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4680" w:type="dxa"/>
            <w:vAlign w:val="bottom"/>
            <w:gridSpan w:val="11"/>
          </w:tcPr>
          <w:p>
            <w:pPr>
              <w:spacing w:after="0"/>
              <w:rPr>
                <w:sz w:val="20"/>
                <w:szCs w:val="20"/>
                <w:color w:val="auto"/>
              </w:rPr>
            </w:pPr>
            <w:r>
              <w:rPr>
                <w:rFonts w:ascii="Arial" w:cs="Arial" w:eastAsia="Arial" w:hAnsi="Arial"/>
                <w:sz w:val="17"/>
                <w:szCs w:val="17"/>
                <w:color w:val="auto"/>
              </w:rPr>
              <w:t>XBRL Taxonomy Extension Calculation Linkbase</w:t>
            </w: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tcPr>
          <w:p>
            <w:pPr>
              <w:ind w:left="2220"/>
              <w:spacing w:after="0"/>
              <w:rPr>
                <w:sz w:val="20"/>
                <w:szCs w:val="20"/>
                <w:color w:val="auto"/>
              </w:rPr>
            </w:pPr>
            <w:r>
              <w:rPr>
                <w:rFonts w:ascii="Arial" w:cs="Arial" w:eastAsia="Arial" w:hAnsi="Arial"/>
                <w:sz w:val="18"/>
                <w:szCs w:val="18"/>
                <w:color w:val="auto"/>
                <w:w w:val="82"/>
              </w:rPr>
              <w:t>X</w:t>
            </w:r>
          </w:p>
        </w:tc>
      </w:tr>
      <w:tr>
        <w:trPr>
          <w:trHeight w:val="231"/>
        </w:trPr>
        <w:tc>
          <w:tcPr>
            <w:tcW w:w="1160" w:type="dxa"/>
            <w:vAlign w:val="bottom"/>
          </w:tcPr>
          <w:p>
            <w:pPr>
              <w:spacing w:after="0"/>
              <w:rPr>
                <w:sz w:val="20"/>
                <w:szCs w:val="20"/>
                <w:color w:val="auto"/>
              </w:rPr>
            </w:pPr>
          </w:p>
        </w:tc>
        <w:tc>
          <w:tcPr>
            <w:tcW w:w="4680" w:type="dxa"/>
            <w:vAlign w:val="bottom"/>
            <w:gridSpan w:val="11"/>
          </w:tcPr>
          <w:p>
            <w:pPr>
              <w:spacing w:after="0"/>
              <w:rPr>
                <w:sz w:val="20"/>
                <w:szCs w:val="20"/>
                <w:color w:val="auto"/>
              </w:rPr>
            </w:pPr>
            <w:r>
              <w:rPr>
                <w:rFonts w:ascii="Arial" w:cs="Arial" w:eastAsia="Arial" w:hAnsi="Arial"/>
                <w:sz w:val="17"/>
                <w:szCs w:val="17"/>
                <w:color w:val="auto"/>
              </w:rPr>
              <w:t>Document.</w:t>
            </w: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273"/>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4680" w:type="dxa"/>
            <w:vAlign w:val="bottom"/>
            <w:gridSpan w:val="11"/>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340" w:type="dxa"/>
            <w:vAlign w:val="bottom"/>
          </w:tcPr>
          <w:p>
            <w:pPr>
              <w:ind w:left="2220"/>
              <w:spacing w:after="0"/>
              <w:rPr>
                <w:sz w:val="20"/>
                <w:szCs w:val="20"/>
                <w:color w:val="auto"/>
              </w:rPr>
            </w:pPr>
            <w:r>
              <w:rPr>
                <w:rFonts w:ascii="Arial" w:cs="Arial" w:eastAsia="Arial" w:hAnsi="Arial"/>
                <w:sz w:val="18"/>
                <w:szCs w:val="18"/>
                <w:color w:val="auto"/>
                <w:w w:val="82"/>
              </w:rPr>
              <w:t>X</w:t>
            </w:r>
          </w:p>
        </w:tc>
      </w:tr>
      <w:tr>
        <w:trPr>
          <w:trHeight w:val="270"/>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4680" w:type="dxa"/>
            <w:vAlign w:val="bottom"/>
            <w:gridSpan w:val="11"/>
          </w:tcPr>
          <w:p>
            <w:pPr>
              <w:spacing w:after="0"/>
              <w:rPr>
                <w:sz w:val="20"/>
                <w:szCs w:val="20"/>
                <w:color w:val="auto"/>
              </w:rPr>
            </w:pPr>
            <w:r>
              <w:rPr>
                <w:rFonts w:ascii="Arial" w:cs="Arial" w:eastAsia="Arial" w:hAnsi="Arial"/>
                <w:sz w:val="17"/>
                <w:szCs w:val="17"/>
                <w:color w:val="auto"/>
              </w:rPr>
              <w:t>XBRL Taxonomy Extension Label Linkbase Document.</w:t>
            </w: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340" w:type="dxa"/>
            <w:vAlign w:val="bottom"/>
          </w:tcPr>
          <w:p>
            <w:pPr>
              <w:ind w:left="2220"/>
              <w:spacing w:after="0"/>
              <w:rPr>
                <w:sz w:val="20"/>
                <w:szCs w:val="20"/>
                <w:color w:val="auto"/>
              </w:rPr>
            </w:pPr>
            <w:r>
              <w:rPr>
                <w:rFonts w:ascii="Arial" w:cs="Arial" w:eastAsia="Arial" w:hAnsi="Arial"/>
                <w:sz w:val="18"/>
                <w:szCs w:val="18"/>
                <w:color w:val="auto"/>
                <w:w w:val="82"/>
              </w:rPr>
              <w:t>X</w:t>
            </w:r>
          </w:p>
        </w:tc>
      </w:tr>
      <w:tr>
        <w:trPr>
          <w:trHeight w:val="21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4680" w:type="dxa"/>
            <w:vAlign w:val="bottom"/>
            <w:gridSpan w:val="11"/>
          </w:tcPr>
          <w:p>
            <w:pPr>
              <w:spacing w:after="0"/>
              <w:rPr>
                <w:sz w:val="20"/>
                <w:szCs w:val="20"/>
                <w:color w:val="auto"/>
              </w:rPr>
            </w:pPr>
            <w:r>
              <w:rPr>
                <w:rFonts w:ascii="Arial" w:cs="Arial" w:eastAsia="Arial" w:hAnsi="Arial"/>
                <w:sz w:val="17"/>
                <w:szCs w:val="17"/>
                <w:color w:val="auto"/>
              </w:rPr>
              <w:t>XBRL Taxonomy Extension Presentation Linkbase</w:t>
            </w: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tcPr>
          <w:p>
            <w:pPr>
              <w:ind w:left="2220"/>
              <w:spacing w:after="0"/>
              <w:rPr>
                <w:sz w:val="20"/>
                <w:szCs w:val="20"/>
                <w:color w:val="auto"/>
              </w:rPr>
            </w:pPr>
            <w:r>
              <w:rPr>
                <w:rFonts w:ascii="Arial" w:cs="Arial" w:eastAsia="Arial" w:hAnsi="Arial"/>
                <w:sz w:val="18"/>
                <w:szCs w:val="18"/>
                <w:color w:val="auto"/>
                <w:w w:val="82"/>
              </w:rPr>
              <w:t>X</w:t>
            </w:r>
          </w:p>
        </w:tc>
      </w:tr>
      <w:tr>
        <w:trPr>
          <w:trHeight w:val="231"/>
        </w:trPr>
        <w:tc>
          <w:tcPr>
            <w:tcW w:w="1160" w:type="dxa"/>
            <w:vAlign w:val="bottom"/>
          </w:tcPr>
          <w:p>
            <w:pPr>
              <w:spacing w:after="0"/>
              <w:rPr>
                <w:sz w:val="20"/>
                <w:szCs w:val="20"/>
                <w:color w:val="auto"/>
              </w:rPr>
            </w:pPr>
          </w:p>
        </w:tc>
        <w:tc>
          <w:tcPr>
            <w:tcW w:w="4680" w:type="dxa"/>
            <w:vAlign w:val="bottom"/>
            <w:gridSpan w:val="11"/>
          </w:tcPr>
          <w:p>
            <w:pPr>
              <w:spacing w:after="0"/>
              <w:rPr>
                <w:sz w:val="20"/>
                <w:szCs w:val="20"/>
                <w:color w:val="auto"/>
              </w:rPr>
            </w:pPr>
            <w:r>
              <w:rPr>
                <w:rFonts w:ascii="Arial" w:cs="Arial" w:eastAsia="Arial" w:hAnsi="Arial"/>
                <w:sz w:val="17"/>
                <w:szCs w:val="17"/>
                <w:color w:val="auto"/>
              </w:rPr>
              <w:t>Document.</w:t>
            </w: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To be filed by amendment.</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Indicated management contract or compensatory plan.</w:t>
      </w:r>
    </w:p>
    <w:p>
      <w:pPr>
        <w:spacing w:after="0" w:line="1" w:lineRule="exact"/>
        <w:rPr>
          <w:sz w:val="20"/>
          <w:szCs w:val="20"/>
          <w:color w:val="auto"/>
        </w:rPr>
      </w:pPr>
    </w:p>
    <w:p>
      <w:pPr>
        <w:ind w:left="540" w:right="200" w:hanging="180"/>
        <w:spacing w:after="0" w:line="264" w:lineRule="auto"/>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pursuant to a request for confidential treatment and this exhibit has been filed separately with the SEC.</w:t>
      </w: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080"/>
          </w:cols>
          <w:pgMar w:left="320" w:top="455" w:right="499" w:bottom="1440" w:gutter="0" w:footer="0" w:header="0"/>
          <w:type w:val="continuous"/>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180">
        <w:r>
          <w:rPr>
            <w:rFonts w:ascii="Times New Roman" w:cs="Times New Roman" w:eastAsia="Times New Roman" w:hAnsi="Times New Roman"/>
            <w:sz w:val="18"/>
            <w:szCs w:val="18"/>
            <w:b w:val="1"/>
            <w:bCs w:val="1"/>
            <w:u w:val="single" w:color="auto"/>
            <w:color w:val="0000EE"/>
          </w:rPr>
          <w:t>Index to Financial Statements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16"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Burlingame, State of California, on December 7, 2020.</w:t>
      </w:r>
    </w:p>
    <w:p>
      <w:pPr>
        <w:spacing w:after="0" w:line="131"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ALX ONCOLOGY HOLDINGS INC.</w:t>
      </w:r>
    </w:p>
    <w:p>
      <w:pPr>
        <w:spacing w:after="0" w:line="158"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13970</wp:posOffset>
            </wp:positionV>
            <wp:extent cx="259715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5"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Jaume Pons, Ph.D.</w:t>
      </w:r>
    </w:p>
    <w:p>
      <w:pPr>
        <w:spacing w:after="0" w:line="1"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316" w:lineRule="exact"/>
        <w:rPr>
          <w:sz w:val="20"/>
          <w:szCs w:val="20"/>
          <w:color w:val="auto"/>
        </w:rPr>
      </w:pPr>
    </w:p>
    <w:p>
      <w:pPr>
        <w:ind w:left="120" w:right="120"/>
        <w:spacing w:after="0" w:line="237"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Jaume Pons, Ph.D., and Peter Garcia as his or her true and lawful attorneys-in-fact and agents, with full power of substitution and substitution, for him or her and in his or her name, place and stead, in any and all capacities (including his or her capacity as a director and/or officer of ALX Oncology Holdings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26"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96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1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05"/>
        </w:trPr>
        <w:tc>
          <w:tcPr>
            <w:tcW w:w="3960" w:type="dxa"/>
            <w:vAlign w:val="bottom"/>
          </w:tcPr>
          <w:p>
            <w:pPr>
              <w:spacing w:after="0"/>
              <w:rPr>
                <w:sz w:val="20"/>
                <w:szCs w:val="20"/>
                <w:color w:val="auto"/>
              </w:rPr>
            </w:pPr>
            <w:r>
              <w:rPr>
                <w:rFonts w:ascii="Arial" w:cs="Arial" w:eastAsia="Arial" w:hAnsi="Arial"/>
                <w:sz w:val="17"/>
                <w:szCs w:val="17"/>
                <w:color w:val="auto"/>
              </w:rPr>
              <w:t>/s/ Jaume Pons</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Arial" w:cs="Arial" w:eastAsia="Arial" w:hAnsi="Arial"/>
                <w:sz w:val="17"/>
                <w:szCs w:val="17"/>
                <w:color w:val="auto"/>
              </w:rPr>
              <w:t>President, Chief Executive Officer and Director</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December 7, 2020</w:t>
            </w:r>
          </w:p>
        </w:tc>
        <w:tc>
          <w:tcPr>
            <w:tcW w:w="0" w:type="dxa"/>
            <w:vAlign w:val="bottom"/>
          </w:tcPr>
          <w:p>
            <w:pPr>
              <w:spacing w:after="0"/>
              <w:rPr>
                <w:sz w:val="1"/>
                <w:szCs w:val="1"/>
                <w:color w:val="auto"/>
              </w:rPr>
            </w:pPr>
          </w:p>
        </w:tc>
      </w:tr>
      <w:tr>
        <w:trPr>
          <w:trHeight w:val="26"/>
        </w:trPr>
        <w:tc>
          <w:tcPr>
            <w:tcW w:w="39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740" w:type="dxa"/>
            <w:vAlign w:val="bottom"/>
            <w:vMerge w:val="restart"/>
          </w:tcPr>
          <w:p>
            <w:pPr>
              <w:jc w:val="center"/>
              <w:spacing w:after="0"/>
              <w:rPr>
                <w:sz w:val="20"/>
                <w:szCs w:val="20"/>
                <w:color w:val="auto"/>
              </w:rPr>
            </w:pPr>
            <w:r>
              <w:rPr>
                <w:rFonts w:ascii="Arial" w:cs="Arial" w:eastAsia="Arial" w:hAnsi="Arial"/>
                <w:sz w:val="17"/>
                <w:szCs w:val="17"/>
                <w:i w:val="1"/>
                <w:iCs w:val="1"/>
                <w:color w:val="auto"/>
              </w:rPr>
              <w:t>(Principal Executive Officer)</w:t>
            </w: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60" w:type="dxa"/>
            <w:vAlign w:val="bottom"/>
          </w:tcPr>
          <w:p>
            <w:pPr>
              <w:spacing w:after="0"/>
              <w:rPr>
                <w:sz w:val="20"/>
                <w:szCs w:val="20"/>
                <w:color w:val="auto"/>
              </w:rPr>
            </w:pPr>
            <w:r>
              <w:rPr>
                <w:rFonts w:ascii="Arial" w:cs="Arial" w:eastAsia="Arial" w:hAnsi="Arial"/>
                <w:sz w:val="17"/>
                <w:szCs w:val="17"/>
                <w:color w:val="auto"/>
              </w:rPr>
              <w:t>Jaume Pons, Ph.D.</w:t>
            </w:r>
          </w:p>
        </w:tc>
        <w:tc>
          <w:tcPr>
            <w:tcW w:w="120" w:type="dxa"/>
            <w:vAlign w:val="bottom"/>
            <w:vMerge w:val="continue"/>
          </w:tcPr>
          <w:p>
            <w:pPr>
              <w:spacing w:after="0"/>
              <w:rPr>
                <w:sz w:val="19"/>
                <w:szCs w:val="19"/>
                <w:color w:val="auto"/>
              </w:rPr>
            </w:pPr>
          </w:p>
        </w:tc>
        <w:tc>
          <w:tcPr>
            <w:tcW w:w="4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3960" w:type="dxa"/>
            <w:vAlign w:val="bottom"/>
          </w:tcPr>
          <w:p>
            <w:pPr>
              <w:spacing w:after="0"/>
              <w:rPr>
                <w:sz w:val="20"/>
                <w:szCs w:val="20"/>
                <w:color w:val="auto"/>
              </w:rPr>
            </w:pPr>
            <w:r>
              <w:rPr>
                <w:rFonts w:ascii="Arial" w:cs="Arial" w:eastAsia="Arial" w:hAnsi="Arial"/>
                <w:sz w:val="17"/>
                <w:szCs w:val="17"/>
                <w:color w:val="auto"/>
              </w:rPr>
              <w:t>/s/ Peter Garcia</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Arial" w:cs="Arial" w:eastAsia="Arial" w:hAnsi="Arial"/>
                <w:sz w:val="17"/>
                <w:szCs w:val="17"/>
                <w:color w:val="auto"/>
                <w:w w:val="99"/>
              </w:rPr>
              <w:t>Chief Financial Officer</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December 7, 2020</w:t>
            </w:r>
          </w:p>
        </w:tc>
        <w:tc>
          <w:tcPr>
            <w:tcW w:w="0" w:type="dxa"/>
            <w:vAlign w:val="bottom"/>
          </w:tcPr>
          <w:p>
            <w:pPr>
              <w:spacing w:after="0"/>
              <w:rPr>
                <w:sz w:val="1"/>
                <w:szCs w:val="1"/>
                <w:color w:val="auto"/>
              </w:rPr>
            </w:pPr>
          </w:p>
        </w:tc>
      </w:tr>
      <w:tr>
        <w:trPr>
          <w:trHeight w:val="27"/>
        </w:trPr>
        <w:tc>
          <w:tcPr>
            <w:tcW w:w="39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7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60" w:type="dxa"/>
            <w:vAlign w:val="bottom"/>
          </w:tcPr>
          <w:p>
            <w:pPr>
              <w:spacing w:after="0"/>
              <w:rPr>
                <w:sz w:val="20"/>
                <w:szCs w:val="20"/>
                <w:color w:val="auto"/>
              </w:rPr>
            </w:pPr>
            <w:r>
              <w:rPr>
                <w:rFonts w:ascii="Arial" w:cs="Arial" w:eastAsia="Arial" w:hAnsi="Arial"/>
                <w:sz w:val="17"/>
                <w:szCs w:val="17"/>
                <w:color w:val="auto"/>
              </w:rPr>
              <w:t>Peter Garcia</w:t>
            </w:r>
          </w:p>
        </w:tc>
        <w:tc>
          <w:tcPr>
            <w:tcW w:w="120" w:type="dxa"/>
            <w:vAlign w:val="bottom"/>
            <w:vMerge w:val="continue"/>
          </w:tcPr>
          <w:p>
            <w:pPr>
              <w:spacing w:after="0"/>
              <w:rPr>
                <w:sz w:val="19"/>
                <w:szCs w:val="19"/>
                <w:color w:val="auto"/>
              </w:rPr>
            </w:pPr>
          </w:p>
        </w:tc>
        <w:tc>
          <w:tcPr>
            <w:tcW w:w="4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960" w:type="dxa"/>
            <w:vAlign w:val="bottom"/>
          </w:tcPr>
          <w:p>
            <w:pPr>
              <w:spacing w:after="0"/>
              <w:rPr>
                <w:sz w:val="20"/>
                <w:szCs w:val="20"/>
                <w:color w:val="auto"/>
              </w:rPr>
            </w:pPr>
            <w:r>
              <w:rPr>
                <w:rFonts w:ascii="Arial" w:cs="Arial" w:eastAsia="Arial" w:hAnsi="Arial"/>
                <w:sz w:val="17"/>
                <w:szCs w:val="17"/>
                <w:color w:val="auto"/>
              </w:rPr>
              <w:t>/s/ Steffen Pietzke</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Arial" w:cs="Arial" w:eastAsia="Arial" w:hAnsi="Arial"/>
                <w:sz w:val="17"/>
                <w:szCs w:val="17"/>
                <w:color w:val="auto"/>
              </w:rPr>
              <w:t>Vice President, Finance and Chief Accounting Officer</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December 7, 2020</w:t>
            </w:r>
          </w:p>
        </w:tc>
        <w:tc>
          <w:tcPr>
            <w:tcW w:w="0" w:type="dxa"/>
            <w:vAlign w:val="bottom"/>
          </w:tcPr>
          <w:p>
            <w:pPr>
              <w:spacing w:after="0"/>
              <w:rPr>
                <w:sz w:val="1"/>
                <w:szCs w:val="1"/>
                <w:color w:val="auto"/>
              </w:rPr>
            </w:pPr>
          </w:p>
        </w:tc>
      </w:tr>
      <w:tr>
        <w:trPr>
          <w:trHeight w:val="26"/>
        </w:trPr>
        <w:tc>
          <w:tcPr>
            <w:tcW w:w="39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4740" w:type="dxa"/>
            <w:vAlign w:val="bottom"/>
            <w:vMerge w:val="restart"/>
          </w:tcPr>
          <w:p>
            <w:pPr>
              <w:jc w:val="center"/>
              <w:spacing w:after="0"/>
              <w:rPr>
                <w:sz w:val="20"/>
                <w:szCs w:val="20"/>
                <w:color w:val="auto"/>
              </w:rPr>
            </w:pPr>
            <w:r>
              <w:rPr>
                <w:rFonts w:ascii="Arial" w:cs="Arial" w:eastAsia="Arial" w:hAnsi="Arial"/>
                <w:sz w:val="17"/>
                <w:szCs w:val="17"/>
                <w:i w:val="1"/>
                <w:iCs w:val="1"/>
                <w:color w:val="auto"/>
              </w:rPr>
              <w:t>(Principal Accounting Officer)</w:t>
            </w: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60" w:type="dxa"/>
            <w:vAlign w:val="bottom"/>
          </w:tcPr>
          <w:p>
            <w:pPr>
              <w:spacing w:after="0"/>
              <w:rPr>
                <w:sz w:val="20"/>
                <w:szCs w:val="20"/>
                <w:color w:val="auto"/>
              </w:rPr>
            </w:pPr>
            <w:r>
              <w:rPr>
                <w:rFonts w:ascii="Arial" w:cs="Arial" w:eastAsia="Arial" w:hAnsi="Arial"/>
                <w:sz w:val="17"/>
                <w:szCs w:val="17"/>
                <w:color w:val="auto"/>
              </w:rPr>
              <w:t>Steffen Pietzke</w:t>
            </w:r>
          </w:p>
        </w:tc>
        <w:tc>
          <w:tcPr>
            <w:tcW w:w="120" w:type="dxa"/>
            <w:vAlign w:val="bottom"/>
            <w:vMerge w:val="continue"/>
          </w:tcPr>
          <w:p>
            <w:pPr>
              <w:spacing w:after="0"/>
              <w:rPr>
                <w:sz w:val="19"/>
                <w:szCs w:val="19"/>
                <w:color w:val="auto"/>
              </w:rPr>
            </w:pPr>
          </w:p>
        </w:tc>
        <w:tc>
          <w:tcPr>
            <w:tcW w:w="4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Corey Goodman</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Arial" w:cs="Arial" w:eastAsia="Arial" w:hAnsi="Arial"/>
                <w:sz w:val="17"/>
                <w:szCs w:val="17"/>
                <w:color w:val="auto"/>
              </w:rPr>
              <w:t>Executive Chairman of the Board of Directors</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December 7, 2020</w:t>
            </w:r>
          </w:p>
        </w:tc>
        <w:tc>
          <w:tcPr>
            <w:tcW w:w="0" w:type="dxa"/>
            <w:vAlign w:val="bottom"/>
          </w:tcPr>
          <w:p>
            <w:pPr>
              <w:spacing w:after="0"/>
              <w:rPr>
                <w:sz w:val="1"/>
                <w:szCs w:val="1"/>
                <w:color w:val="auto"/>
              </w:rPr>
            </w:pPr>
          </w:p>
        </w:tc>
      </w:tr>
      <w:tr>
        <w:trPr>
          <w:trHeight w:val="224"/>
        </w:trPr>
        <w:tc>
          <w:tcPr>
            <w:tcW w:w="3960" w:type="dxa"/>
            <w:vAlign w:val="bottom"/>
          </w:tcPr>
          <w:p>
            <w:pPr>
              <w:spacing w:after="0"/>
              <w:rPr>
                <w:sz w:val="20"/>
                <w:szCs w:val="20"/>
                <w:color w:val="auto"/>
              </w:rPr>
            </w:pPr>
            <w:r>
              <w:rPr>
                <w:rFonts w:ascii="Arial" w:cs="Arial" w:eastAsia="Arial" w:hAnsi="Arial"/>
                <w:sz w:val="17"/>
                <w:szCs w:val="17"/>
                <w:color w:val="auto"/>
              </w:rPr>
              <w:t>Corey Goodman, Ph.D.</w:t>
            </w:r>
          </w:p>
        </w:tc>
        <w:tc>
          <w:tcPr>
            <w:tcW w:w="1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Rekha Hemrajani</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December 7, 2020</w:t>
            </w:r>
          </w:p>
        </w:tc>
        <w:tc>
          <w:tcPr>
            <w:tcW w:w="0" w:type="dxa"/>
            <w:vAlign w:val="bottom"/>
          </w:tcPr>
          <w:p>
            <w:pPr>
              <w:spacing w:after="0"/>
              <w:rPr>
                <w:sz w:val="1"/>
                <w:szCs w:val="1"/>
                <w:color w:val="auto"/>
              </w:rPr>
            </w:pPr>
          </w:p>
        </w:tc>
      </w:tr>
      <w:tr>
        <w:trPr>
          <w:trHeight w:val="224"/>
        </w:trPr>
        <w:tc>
          <w:tcPr>
            <w:tcW w:w="3960" w:type="dxa"/>
            <w:vAlign w:val="bottom"/>
          </w:tcPr>
          <w:p>
            <w:pPr>
              <w:spacing w:after="0"/>
              <w:rPr>
                <w:sz w:val="20"/>
                <w:szCs w:val="20"/>
                <w:color w:val="auto"/>
              </w:rPr>
            </w:pPr>
            <w:r>
              <w:rPr>
                <w:rFonts w:ascii="Arial" w:cs="Arial" w:eastAsia="Arial" w:hAnsi="Arial"/>
                <w:sz w:val="17"/>
                <w:szCs w:val="17"/>
                <w:color w:val="auto"/>
              </w:rPr>
              <w:t>Rekha Hemrajani</w:t>
            </w:r>
          </w:p>
        </w:tc>
        <w:tc>
          <w:tcPr>
            <w:tcW w:w="1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Jason Lettmann</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December 7, 2020</w:t>
            </w:r>
          </w:p>
        </w:tc>
        <w:tc>
          <w:tcPr>
            <w:tcW w:w="0" w:type="dxa"/>
            <w:vAlign w:val="bottom"/>
          </w:tcPr>
          <w:p>
            <w:pPr>
              <w:spacing w:after="0"/>
              <w:rPr>
                <w:sz w:val="1"/>
                <w:szCs w:val="1"/>
                <w:color w:val="auto"/>
              </w:rPr>
            </w:pPr>
          </w:p>
        </w:tc>
      </w:tr>
      <w:tr>
        <w:trPr>
          <w:trHeight w:val="224"/>
        </w:trPr>
        <w:tc>
          <w:tcPr>
            <w:tcW w:w="3960" w:type="dxa"/>
            <w:vAlign w:val="bottom"/>
          </w:tcPr>
          <w:p>
            <w:pPr>
              <w:spacing w:after="0"/>
              <w:rPr>
                <w:sz w:val="20"/>
                <w:szCs w:val="20"/>
                <w:color w:val="auto"/>
              </w:rPr>
            </w:pPr>
            <w:r>
              <w:rPr>
                <w:rFonts w:ascii="Arial" w:cs="Arial" w:eastAsia="Arial" w:hAnsi="Arial"/>
                <w:sz w:val="17"/>
                <w:szCs w:val="17"/>
                <w:color w:val="auto"/>
              </w:rPr>
              <w:t>Jason Lettmann</w:t>
            </w:r>
          </w:p>
        </w:tc>
        <w:tc>
          <w:tcPr>
            <w:tcW w:w="1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Jack Nielsen</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December 7, 2020</w:t>
            </w:r>
          </w:p>
        </w:tc>
        <w:tc>
          <w:tcPr>
            <w:tcW w:w="0" w:type="dxa"/>
            <w:vAlign w:val="bottom"/>
          </w:tcPr>
          <w:p>
            <w:pPr>
              <w:spacing w:after="0"/>
              <w:rPr>
                <w:sz w:val="1"/>
                <w:szCs w:val="1"/>
                <w:color w:val="auto"/>
              </w:rPr>
            </w:pPr>
          </w:p>
        </w:tc>
      </w:tr>
      <w:tr>
        <w:trPr>
          <w:trHeight w:val="224"/>
        </w:trPr>
        <w:tc>
          <w:tcPr>
            <w:tcW w:w="3960" w:type="dxa"/>
            <w:vAlign w:val="bottom"/>
          </w:tcPr>
          <w:p>
            <w:pPr>
              <w:spacing w:after="0"/>
              <w:rPr>
                <w:sz w:val="20"/>
                <w:szCs w:val="20"/>
                <w:color w:val="auto"/>
              </w:rPr>
            </w:pPr>
            <w:r>
              <w:rPr>
                <w:rFonts w:ascii="Arial" w:cs="Arial" w:eastAsia="Arial" w:hAnsi="Arial"/>
                <w:sz w:val="17"/>
                <w:szCs w:val="17"/>
                <w:color w:val="auto"/>
              </w:rPr>
              <w:t>Jack Nielsen</w:t>
            </w:r>
          </w:p>
        </w:tc>
        <w:tc>
          <w:tcPr>
            <w:tcW w:w="1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Graham Walmsley</w:t>
            </w:r>
          </w:p>
        </w:tc>
        <w:tc>
          <w:tcPr>
            <w:tcW w:w="120" w:type="dxa"/>
            <w:vAlign w:val="bottom"/>
          </w:tcPr>
          <w:p>
            <w:pPr>
              <w:spacing w:after="0"/>
              <w:rPr>
                <w:sz w:val="24"/>
                <w:szCs w:val="24"/>
                <w:color w:val="auto"/>
              </w:rPr>
            </w:pPr>
          </w:p>
        </w:tc>
        <w:tc>
          <w:tcPr>
            <w:tcW w:w="4740" w:type="dxa"/>
            <w:vAlign w:val="bottom"/>
          </w:tcPr>
          <w:p>
            <w:pPr>
              <w:jc w:val="center"/>
              <w:spacing w:after="0"/>
              <w:rPr>
                <w:sz w:val="20"/>
                <w:szCs w:val="20"/>
                <w:color w:val="auto"/>
              </w:rPr>
            </w:pPr>
            <w:r>
              <w:rPr>
                <w:rFonts w:ascii="Arial" w:cs="Arial" w:eastAsia="Arial" w:hAnsi="Arial"/>
                <w:sz w:val="17"/>
                <w:szCs w:val="17"/>
                <w:color w:val="auto"/>
              </w:rPr>
              <w:t>Director</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December 7, 2020</w:t>
            </w:r>
          </w:p>
        </w:tc>
        <w:tc>
          <w:tcPr>
            <w:tcW w:w="0" w:type="dxa"/>
            <w:vAlign w:val="bottom"/>
          </w:tcPr>
          <w:p>
            <w:pPr>
              <w:spacing w:after="0"/>
              <w:rPr>
                <w:sz w:val="1"/>
                <w:szCs w:val="1"/>
                <w:color w:val="auto"/>
              </w:rPr>
            </w:pPr>
          </w:p>
        </w:tc>
      </w:tr>
      <w:tr>
        <w:trPr>
          <w:trHeight w:val="224"/>
        </w:trPr>
        <w:tc>
          <w:tcPr>
            <w:tcW w:w="3960" w:type="dxa"/>
            <w:vAlign w:val="bottom"/>
          </w:tcPr>
          <w:p>
            <w:pPr>
              <w:spacing w:after="0"/>
              <w:rPr>
                <w:sz w:val="20"/>
                <w:szCs w:val="20"/>
                <w:color w:val="auto"/>
              </w:rPr>
            </w:pPr>
            <w:r>
              <w:rPr>
                <w:rFonts w:ascii="Arial" w:cs="Arial" w:eastAsia="Arial" w:hAnsi="Arial"/>
                <w:sz w:val="17"/>
                <w:szCs w:val="17"/>
                <w:color w:val="auto"/>
              </w:rPr>
              <w:t>Graham Walmsley, M.D., Ph.D.</w:t>
            </w:r>
          </w:p>
        </w:tc>
        <w:tc>
          <w:tcPr>
            <w:tcW w:w="1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Pr>
          <w:p>
            <w:pPr>
              <w:ind w:left="1300"/>
              <w:spacing w:after="0"/>
              <w:rPr>
                <w:sz w:val="20"/>
                <w:szCs w:val="20"/>
                <w:color w:val="auto"/>
              </w:rPr>
            </w:pPr>
            <w:r>
              <w:rPr>
                <w:rFonts w:ascii="Arial" w:cs="Arial" w:eastAsia="Arial" w:hAnsi="Arial"/>
                <w:sz w:val="16"/>
                <w:szCs w:val="16"/>
                <w:color w:val="auto"/>
              </w:rPr>
              <w:t>II-7</w:t>
            </w: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ind w:left="5380" w:hanging="271"/>
        <w:spacing w:after="0"/>
        <w:tabs>
          <w:tab w:leader="none" w:pos="53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CREDIT SUISSE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10154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499 Park Avenue,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Introductory. </w:t>
      </w:r>
      <w:r>
        <w:rPr>
          <w:rFonts w:ascii="Times New Roman" w:cs="Times New Roman" w:eastAsia="Times New Roman" w:hAnsi="Times New Roman"/>
          <w:sz w:val="18"/>
          <w:szCs w:val="18"/>
          <w:color w:val="auto"/>
        </w:rPr>
        <w:t>ALX Oncology Holdings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an aggregate of [●] shares of its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sold by the Company are called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In addition, the Company has granted to the Underwriters an option to purchase up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 Shares as provided in Section 2. The additional [●] Shares to be sold by the Company pursuant to such option are collectively called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Optional Shares</w:t>
      </w:r>
      <w:r>
        <w:rPr>
          <w:rFonts w:ascii="Times New Roman" w:cs="Times New Roman" w:eastAsia="Times New Roman" w:hAnsi="Times New Roman"/>
          <w:sz w:val="17"/>
          <w:szCs w:val="17"/>
          <w:color w:val="auto"/>
        </w:rPr>
        <w:t>.” The Firm Shares and, if and to the extent such option is exercised, the Optional Shares are collectively called the “</w:t>
      </w:r>
      <w:r>
        <w:rPr>
          <w:rFonts w:ascii="Times New Roman" w:cs="Times New Roman" w:eastAsia="Times New Roman" w:hAnsi="Times New Roman"/>
          <w:sz w:val="17"/>
          <w:szCs w:val="17"/>
          <w:b w:val="1"/>
          <w:bCs w:val="1"/>
          <w:color w:val="auto"/>
        </w:rPr>
        <w:t>Offered Shares</w:t>
      </w:r>
      <w:r>
        <w:rPr>
          <w:rFonts w:ascii="Times New Roman" w:cs="Times New Roman" w:eastAsia="Times New Roman" w:hAnsi="Times New Roman"/>
          <w:sz w:val="17"/>
          <w:szCs w:val="17"/>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Credit Suisse Securities (USA) LLC (“</w:t>
      </w:r>
      <w:r>
        <w:rPr>
          <w:rFonts w:ascii="Times New Roman" w:cs="Times New Roman" w:eastAsia="Times New Roman" w:hAnsi="Times New Roman"/>
          <w:sz w:val="18"/>
          <w:szCs w:val="18"/>
          <w:b w:val="1"/>
          <w:bCs w:val="1"/>
          <w:color w:val="auto"/>
        </w:rPr>
        <w:t>Credit Suisse</w:t>
      </w:r>
      <w:r>
        <w:rPr>
          <w:rFonts w:ascii="Times New Roman" w:cs="Times New Roman" w:eastAsia="Times New Roman" w:hAnsi="Times New Roman"/>
          <w:sz w:val="18"/>
          <w:szCs w:val="18"/>
          <w:color w:val="auto"/>
        </w:rPr>
        <w:t>”), Piper Sandler &amp; Co. (“</w:t>
      </w:r>
      <w:r>
        <w:rPr>
          <w:rFonts w:ascii="Times New Roman" w:cs="Times New Roman" w:eastAsia="Times New Roman" w:hAnsi="Times New Roman"/>
          <w:sz w:val="18"/>
          <w:szCs w:val="18"/>
          <w:b w:val="1"/>
          <w:bCs w:val="1"/>
          <w:color w:val="auto"/>
        </w:rPr>
        <w:t>Piper Sandler</w:t>
      </w:r>
      <w:r>
        <w:rPr>
          <w:rFonts w:ascii="Times New Roman" w:cs="Times New Roman" w:eastAsia="Times New Roman" w:hAnsi="Times New Roman"/>
          <w:sz w:val="18"/>
          <w:szCs w:val="18"/>
          <w:color w:val="auto"/>
        </w:rPr>
        <w:t>”) and Cantor Fitzgerald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t>
      </w:r>
      <w:r>
        <w:rPr>
          <w:rFonts w:ascii="Times New Roman" w:cs="Times New Roman" w:eastAsia="Times New Roman" w:hAnsi="Times New Roman"/>
          <w:sz w:val="18"/>
          <w:szCs w:val="18"/>
          <w:b w:val="1"/>
          <w:bCs w:val="1"/>
          <w:color w:val="auto"/>
        </w:rPr>
        <w:t>Cantor</w:t>
      </w:r>
      <w:r>
        <w:rPr>
          <w:rFonts w:ascii="Times New Roman" w:cs="Times New Roman" w:eastAsia="Times New Roman" w:hAnsi="Times New Roman"/>
          <w:sz w:val="18"/>
          <w:szCs w:val="18"/>
          <w:color w:val="auto"/>
        </w:rPr>
        <w:t>”) have agreed to act as representatives of the several Underwriters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offering and sale of the Offered Shares. To the extent there are no additional underwriters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term “Representatives” as used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shall mean you, as Underwriters, and the term “Underwriters” shall mean either the singular or the plural, as the context requires.</w:t>
      </w:r>
    </w:p>
    <w:p>
      <w:pPr>
        <w:sectPr>
          <w:pgSz w:w="11900" w:h="16838" w:orient="portrait"/>
          <w:cols w:equalWidth="0" w:num="1">
            <w:col w:w="11020"/>
          </w:cols>
          <w:pgMar w:left="440" w:top="117" w:right="439" w:bottom="1440" w:gutter="0" w:footer="0" w:header="0"/>
        </w:sectPr>
      </w:pPr>
    </w:p>
    <w:bookmarkStart w:id="242" w:name="page243"/>
    <w:bookmarkEnd w:id="242"/>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prepared and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S-1, File No. 333-[●] which contains a form of prospectus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including any information deemed to be a part thereof at the time of effectiveness pursuant to Rule 430A under the Securities Act, is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Any registration statement filed by the Company pursuant to Rule 462(b) under the Securities Act in connection with the offer and sale of the Offered Shares is called the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and from and after the date and time of filing of any such Rule 462(b) Registration Statement the term “Registration Statement” shall include the Rule 462(b) Registration Statement. The prospectus, in the form first used by the Underwriters to confirm sales of the Offered Shares or in the form first made available to the Underwriters by the Company to meet requests of purchasers pursuant to Rule 173 under the Securities Act, is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The preliminary prospectus dated [●], 2020 describing the Offered Shares and the offering thereof is called 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and the Preliminary Prospectus and any other prospectus in preliminary form that describes the Offered Shares and the offering thereof and is used prior to the filing of the Prospectus is called a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 p.m. (New York City time) on [●], 2020. As used herein,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and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xml:space="preserve">” means the Preliminary Prospectus together with the free writing prospectuses, if any, identified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and the pricing information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As used herein,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xml:space="preserve"> means a “road show” (as defined in Rule 433 under the Securities Act) relating to the offering of the Offered Shares contemplated hereby that is a “written communication” (as defined in Rule 405 under the Securities Act). As used herein, “</w:t>
      </w:r>
      <w:r>
        <w:rPr>
          <w:rFonts w:ascii="Times New Roman" w:cs="Times New Roman" w:eastAsia="Times New Roman" w:hAnsi="Times New Roman"/>
          <w:sz w:val="18"/>
          <w:szCs w:val="18"/>
          <w:b w:val="1"/>
          <w:bCs w:val="1"/>
          <w:color w:val="auto"/>
        </w:rPr>
        <w:t>Section 5(d) Written Communication</w:t>
      </w:r>
      <w:r>
        <w:rPr>
          <w:rFonts w:ascii="Times New Roman" w:cs="Times New Roman" w:eastAsia="Times New Roman" w:hAnsi="Times New Roman"/>
          <w:sz w:val="18"/>
          <w:szCs w:val="18"/>
          <w:color w:val="auto"/>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Times New Roman" w:cs="Times New Roman" w:eastAsia="Times New Roman" w:hAnsi="Times New Roman"/>
          <w:sz w:val="18"/>
          <w:szCs w:val="18"/>
          <w:b w:val="1"/>
          <w:bCs w:val="1"/>
          <w:color w:val="auto"/>
        </w:rPr>
        <w:t>QIBs</w:t>
      </w:r>
      <w:r>
        <w:rPr>
          <w:rFonts w:ascii="Times New Roman" w:cs="Times New Roman" w:eastAsia="Times New Roman" w:hAnsi="Times New Roman"/>
          <w:sz w:val="18"/>
          <w:szCs w:val="18"/>
          <w:color w:val="auto"/>
        </w:rPr>
        <w:t>”) and/or institutions that are accredited investors (“</w:t>
      </w:r>
      <w:r>
        <w:rPr>
          <w:rFonts w:ascii="Times New Roman" w:cs="Times New Roman" w:eastAsia="Times New Roman" w:hAnsi="Times New Roman"/>
          <w:sz w:val="18"/>
          <w:szCs w:val="18"/>
          <w:b w:val="1"/>
          <w:bCs w:val="1"/>
          <w:color w:val="auto"/>
        </w:rPr>
        <w:t>IAIs</w:t>
      </w:r>
      <w:r>
        <w:rPr>
          <w:rFonts w:ascii="Times New Roman" w:cs="Times New Roman" w:eastAsia="Times New Roman" w:hAnsi="Times New Roman"/>
          <w:sz w:val="18"/>
          <w:szCs w:val="18"/>
          <w:color w:val="auto"/>
        </w:rPr>
        <w:t>”), as such terms are respectively defined in Rule 144A and Rule 501(a) under the Securities Act, to determine whether such investors might have an interest in the offering of the Offered Shares; “</w:t>
      </w:r>
      <w:r>
        <w:rPr>
          <w:rFonts w:ascii="Times New Roman" w:cs="Times New Roman" w:eastAsia="Times New Roman" w:hAnsi="Times New Roman"/>
          <w:sz w:val="18"/>
          <w:szCs w:val="18"/>
          <w:b w:val="1"/>
          <w:bCs w:val="1"/>
          <w:color w:val="auto"/>
        </w:rPr>
        <w:t>Section 5(d) Oral Communication</w:t>
      </w:r>
      <w:r>
        <w:rPr>
          <w:rFonts w:ascii="Times New Roman" w:cs="Times New Roman" w:eastAsia="Times New Roman" w:hAnsi="Times New Roman"/>
          <w:sz w:val="18"/>
          <w:szCs w:val="18"/>
          <w:color w:val="auto"/>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of the Offered Shares; “</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means any materials or information provided to investors by, or with the approval of, the Company in connection with the marketing of the offering of the Offered Shares, including any roadshow or investor presentations made to investors by the Company (whether in person or electronically); and “</w:t>
      </w:r>
      <w:r>
        <w:rPr>
          <w:rFonts w:ascii="Times New Roman" w:cs="Times New Roman" w:eastAsia="Times New Roman" w:hAnsi="Times New Roman"/>
          <w:sz w:val="18"/>
          <w:szCs w:val="18"/>
          <w:b w:val="1"/>
          <w:bCs w:val="1"/>
          <w:color w:val="auto"/>
        </w:rPr>
        <w:t>Permitted Section 5(d)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means the Section 5(d) Written Communication(s) and Marketing Materials listed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w:t>
      </w:r>
    </w:p>
    <w:p>
      <w:pPr>
        <w:spacing w:after="0" w:line="208"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auto"/>
        </w:rPr>
        <w:t>All references in this Agreement to (i) the Registration Statement, any preliminary prospectus (including the Preliminary Prospectus), or the Prospectus, or any amendments or supplements to any of the foregoing, or any free writing prospectus, shall include any copy thereof filed with the Commission pursuant to its Electronic Data Gathering, Analysis and Retrieval System (“</w:t>
      </w:r>
      <w:r>
        <w:rPr>
          <w:rFonts w:ascii="Times New Roman" w:cs="Times New Roman" w:eastAsia="Times New Roman" w:hAnsi="Times New Roman"/>
          <w:sz w:val="17"/>
          <w:szCs w:val="17"/>
          <w:b w:val="1"/>
          <w:bCs w:val="1"/>
          <w:color w:val="auto"/>
        </w:rPr>
        <w:t>EDGAR</w:t>
      </w:r>
      <w:r>
        <w:rPr>
          <w:rFonts w:ascii="Times New Roman" w:cs="Times New Roman" w:eastAsia="Times New Roman" w:hAnsi="Times New Roman"/>
          <w:sz w:val="17"/>
          <w:szCs w:val="17"/>
          <w:color w:val="auto"/>
        </w:rPr>
        <w:t>”) and (ii) the Prospectus shall be deemed to include any “electronic Prospectus” provided for use in connection with the offering of the Offered Shares as contemplated by Section 3(n) of this Agreement.</w:t>
      </w:r>
    </w:p>
    <w:p>
      <w:pPr>
        <w:spacing w:after="0" w:line="164"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 the event that the Company has only one subsidiary, then all references herein to “subsidiaries” of the Company shall be deemed to refer to such single subsidiary, </w:t>
      </w:r>
      <w:r>
        <w:rPr>
          <w:rFonts w:ascii="Times New Roman" w:cs="Times New Roman" w:eastAsia="Times New Roman" w:hAnsi="Times New Roman"/>
          <w:sz w:val="18"/>
          <w:szCs w:val="18"/>
          <w:u w:val="single" w:color="auto"/>
          <w:color w:val="auto"/>
        </w:rPr>
        <w:t>mutatis mutandis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243" w:name="page244"/>
    <w:bookmarkEnd w:id="24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hereby confirms its agreements with the Underwriters as follows:</w:t>
      </w:r>
    </w:p>
    <w:p>
      <w:pPr>
        <w:spacing w:after="0" w:line="221" w:lineRule="exact"/>
        <w:rPr>
          <w:sz w:val="20"/>
          <w:szCs w:val="20"/>
          <w:color w:val="auto"/>
        </w:rPr>
      </w:pPr>
    </w:p>
    <w:p>
      <w:pPr>
        <w:ind w:right="2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 Representations and Warranties of the Company. </w:t>
      </w:r>
      <w:r>
        <w:rPr>
          <w:rFonts w:ascii="Times New Roman" w:cs="Times New Roman" w:eastAsia="Times New Roman" w:hAnsi="Times New Roman"/>
          <w:sz w:val="18"/>
          <w:szCs w:val="18"/>
          <w:color w:val="auto"/>
        </w:rPr>
        <w:t>The Company hereby represents, warrants and covenants to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 as of the date of this Agreement, as of the First Closing Date (as hereinafter defined) and as of each Option Closing Date (as hereinafter defined), if any, as follows:</w:t>
      </w:r>
    </w:p>
    <w:p>
      <w:pPr>
        <w:spacing w:after="0" w:line="63" w:lineRule="exact"/>
        <w:rPr>
          <w:sz w:val="20"/>
          <w:szCs w:val="20"/>
          <w:color w:val="auto"/>
        </w:rPr>
      </w:pPr>
    </w:p>
    <w:p>
      <w:pPr>
        <w:ind w:firstLine="436"/>
        <w:spacing w:after="0" w:line="262" w:lineRule="auto"/>
        <w:tabs>
          <w:tab w:leader="none" w:pos="695"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has become effective under the Securities Act. The Company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knowledge of the Company, are contemplated or threatened by the Commission.</w:t>
      </w:r>
    </w:p>
    <w:p>
      <w:pPr>
        <w:spacing w:after="0" w:line="68" w:lineRule="exact"/>
        <w:rPr>
          <w:rFonts w:ascii="Times New Roman" w:cs="Times New Roman" w:eastAsia="Times New Roman" w:hAnsi="Times New Roman"/>
          <w:sz w:val="18"/>
          <w:szCs w:val="18"/>
          <w:b w:val="1"/>
          <w:bCs w:val="1"/>
          <w:color w:val="auto"/>
        </w:rPr>
      </w:pPr>
    </w:p>
    <w:p>
      <w:pPr>
        <w:ind w:right="20" w:firstLine="436"/>
        <w:spacing w:after="0" w:line="252" w:lineRule="auto"/>
        <w:tabs>
          <w:tab w:leader="none" w:pos="705"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Disclosure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preliminary prospectus and the Prospectus when filed complied in all material respects with the Securities Act and, if filed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First Closing 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9(b) below. There are no contracts or other documents required to be described in the Time of Sale Prospectus or the Prospectus or to be filed as an exhibit to the Registration Statement which have not been described or filed as required.</w:t>
      </w:r>
    </w:p>
    <w:p>
      <w:pPr>
        <w:spacing w:after="0" w:line="85" w:lineRule="exact"/>
        <w:rPr>
          <w:rFonts w:ascii="Times New Roman" w:cs="Times New Roman" w:eastAsia="Times New Roman" w:hAnsi="Times New Roman"/>
          <w:sz w:val="18"/>
          <w:szCs w:val="18"/>
          <w:b w:val="1"/>
          <w:bCs w:val="1"/>
          <w:color w:val="auto"/>
        </w:rPr>
      </w:pPr>
    </w:p>
    <w:p>
      <w:pPr>
        <w:ind w:firstLine="436"/>
        <w:spacing w:after="0" w:line="255" w:lineRule="auto"/>
        <w:tabs>
          <w:tab w:leader="none" w:pos="685"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Free Writing Prospectuses; Road Show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the determination date referenced in Rule 164(h) under the Securities Act, the Company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retention and legending, as applicable, and each such free writing prospectus, as of its issue date and at all subsequent times through the completion of the public offer and sale of the Offered Shares did not, does not and will not include any</w:t>
      </w:r>
    </w:p>
    <w:p>
      <w:pPr>
        <w:sectPr>
          <w:pgSz w:w="11900" w:h="16838" w:orient="portrait"/>
          <w:cols w:equalWidth="0" w:num="1">
            <w:col w:w="10940"/>
          </w:cols>
          <w:pgMar w:left="440" w:top="270" w:right="519" w:bottom="1440" w:gutter="0" w:footer="0" w:header="0"/>
        </w:sectPr>
      </w:pPr>
    </w:p>
    <w:bookmarkStart w:id="244" w:name="page245"/>
    <w:bookmarkEnd w:id="244"/>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information that conflicted, conflicts or will conflict with the information contained in the Registration Statement, the Prospectus or any preliminary prospectus unless such information has been superseded or modified as of such time. Except for the free writing prospectuses, if any, identified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and electronic road shows, if any, furnished to the Representatives before first use, the Company has not prepared, used or referred to, and will not, without the Representatives’ prior written consent (which consent shall not be unreasonably withheld, conditioned or delayed),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77" w:lineRule="exact"/>
        <w:rPr>
          <w:sz w:val="20"/>
          <w:szCs w:val="20"/>
          <w:color w:val="auto"/>
        </w:rPr>
      </w:pPr>
    </w:p>
    <w:p>
      <w:pPr>
        <w:ind w:right="100" w:firstLine="436"/>
        <w:spacing w:after="0" w:line="259" w:lineRule="auto"/>
        <w:tabs>
          <w:tab w:leader="none" w:pos="705"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Distribution of Offering Material By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later of (i) the expiration or termination of the option granted to the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Underwriters in Section 2, (ii) the completion of the Underwriters’ distribution of the Offered Shares and (iii) the expiration of 25 days after the date of the Prospectus,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the free writing prospectuses, if any, identified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and any Permitted Section 5(d) Communications.</w:t>
      </w:r>
    </w:p>
    <w:p>
      <w:pPr>
        <w:spacing w:after="0" w:line="71"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Underwriting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b w:val="1"/>
          <w:bCs w:val="1"/>
          <w:color w:val="auto"/>
        </w:rPr>
      </w:pPr>
    </w:p>
    <w:p>
      <w:pPr>
        <w:ind w:right="200" w:firstLine="436"/>
        <w:spacing w:after="0" w:line="262" w:lineRule="auto"/>
        <w:tabs>
          <w:tab w:leader="none" w:pos="665"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Authorization of 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Offered Shares have been duly authorized for issuance and sale pursuant to this Agreement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when issued and delivered by the Company against payment therefor pursuant to this Agreement, will be validly issued, fully paid and nonassessable, and the issuance and sale of the Offered Shares is not subject to any preemptive rights, rights of first refusal or other similar rights to subscribe for or purchase the Offered Shares.</w:t>
      </w:r>
    </w:p>
    <w:p>
      <w:pPr>
        <w:spacing w:after="0" w:line="68" w:lineRule="exact"/>
        <w:rPr>
          <w:rFonts w:ascii="Times New Roman" w:cs="Times New Roman" w:eastAsia="Times New Roman" w:hAnsi="Times New Roman"/>
          <w:sz w:val="18"/>
          <w:szCs w:val="18"/>
          <w:b w:val="1"/>
          <w:bCs w:val="1"/>
          <w:color w:val="auto"/>
        </w:rPr>
      </w:pPr>
    </w:p>
    <w:p>
      <w:pPr>
        <w:ind w:right="20" w:firstLine="436"/>
        <w:spacing w:after="0" w:line="268" w:lineRule="auto"/>
        <w:tabs>
          <w:tab w:leader="none" w:pos="695"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Applicable Registration or Other Similar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persons with registration or other similar rights to have any equity or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registered for sale under the Registration Statement or included in the offering contemplated by this Agreement, except for such rights as have been duly waived.</w:t>
      </w:r>
    </w:p>
    <w:p>
      <w:pPr>
        <w:spacing w:after="0" w:line="62"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705"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Adverse Change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 there has been no material adverse change, or any development that could reasonably be expected to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transactions not in the ordinary course of business; and (iii) there has not been any material decrease in the capital stock or any material increase in any short-term or long-term indebtedness of the Company or its subsidiaries and there has been no dividend or distribution of any kind declared, paid or made by the Company or, except for dividends paid to the Company or its subsidiaries, by the Company’s subsidiaries on any class of capital stock, or any repurchase or redemption by the Company or any of its subsidiaries of any class of capital stock.</w:t>
      </w:r>
    </w:p>
    <w:p>
      <w:pPr>
        <w:sectPr>
          <w:pgSz w:w="11900" w:h="16838" w:orient="portrait"/>
          <w:cols w:equalWidth="0" w:num="1">
            <w:col w:w="10980"/>
          </w:cols>
          <w:pgMar w:left="440" w:top="270" w:right="479" w:bottom="1440" w:gutter="0" w:footer="0" w:header="0"/>
        </w:sectPr>
      </w:pPr>
    </w:p>
    <w:bookmarkStart w:id="245" w:name="page246"/>
    <w:bookmarkEnd w:id="245"/>
    <w:p>
      <w:pPr>
        <w:ind w:left="4" w:right="260" w:firstLine="436"/>
        <w:spacing w:after="0" w:line="257" w:lineRule="auto"/>
        <w:tabs>
          <w:tab w:leader="none" w:pos="659"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Independent Accountants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KPMG LLP, which has expressed its opinion with respect to the financial statements (which term as used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includes the related notes thereto) filed with the Commission as a part of the Registration Statement, the Time of Sale Prospectus and the Prospectus, is (i) an independent registered public accounting firm as required by the Securities Act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74" w:lineRule="exact"/>
        <w:rPr>
          <w:rFonts w:ascii="Times New Roman" w:cs="Times New Roman" w:eastAsia="Times New Roman" w:hAnsi="Times New Roman"/>
          <w:sz w:val="18"/>
          <w:szCs w:val="18"/>
          <w:b w:val="1"/>
          <w:bCs w:val="1"/>
          <w:color w:val="auto"/>
        </w:rPr>
      </w:pPr>
    </w:p>
    <w:p>
      <w:pPr>
        <w:ind w:left="4" w:firstLine="436"/>
        <w:spacing w:after="0" w:line="252" w:lineRule="auto"/>
        <w:tabs>
          <w:tab w:leader="none" w:pos="669"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financial statements filed with the Commission as a part of the Registration Statement, the Time of Sale 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Prospectus present fairly, in all material respects, the consolidated financial position of the Company and ALX Oncology Limited, the Company’s predecessor and wholly-owned subsidiary, and their respective subsidiaries as of the dates indicated and the results of their operations, changes in stockholders’ equity (deficit)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in the Registration Statement, the Time of Sale Prospectus and the Prospectus fairly presents the information called for in all material respects and has been prepared in accordance with the Commission’s rules and guidelines applicable thereto. No other financial statements are required to be included in the Registration Statement, the Time of Sale Prospectus or the Prospectus. The financial data set forth in each of the Registration Statement, the Time of Sale Prospectus and the Prospectus under the captions “Prospectus Summary—Summary Consolidated Financial Data,” “Selected Consolidated Financial Data” and “Capitalization” fairly present, in all material respects, the information set forth therein on a basis consistent with that of the audited financial statements contained in the Registration Statement, the Time of Sale Prospectus and the Prospectus. All disclosures contained in the Registration Statement, any preliminary prospectus or the Prospectus and any free writing prospectus, that constitute non-GAAP financial measures (as defined by the rules and regulations under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or other financial data filed with the Commission as a part of the Registration Statement, the Time of Sale Prospectus and the Prospectus.</w:t>
      </w:r>
    </w:p>
    <w:p>
      <w:pPr>
        <w:spacing w:after="0" w:line="83" w:lineRule="exact"/>
        <w:rPr>
          <w:rFonts w:ascii="Times New Roman" w:cs="Times New Roman" w:eastAsia="Times New Roman" w:hAnsi="Times New Roman"/>
          <w:sz w:val="18"/>
          <w:szCs w:val="18"/>
          <w:b w:val="1"/>
          <w:bCs w:val="1"/>
          <w:color w:val="auto"/>
        </w:rPr>
      </w:pPr>
    </w:p>
    <w:p>
      <w:pPr>
        <w:ind w:left="4" w:firstLine="436"/>
        <w:spacing w:after="0" w:line="274" w:lineRule="auto"/>
        <w:tabs>
          <w:tab w:leader="none" w:pos="709" w:val="left"/>
        </w:tabs>
        <w:numPr>
          <w:ilvl w:val="1"/>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Company’s Accounting System</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as otherwise disclosed in the Registration Statement, the Time of Sale Prospectus and the Prospectus,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and each of its wholly-owned subsidiaries make and keep accurate books and records and maintain a system of internal accounting controls sufficient to provide reasonable assurance that: (i) transactions are executed in accordance with management’s general or specific authorization;</w:t>
      </w:r>
    </w:p>
    <w:p>
      <w:pPr>
        <w:ind w:left="4" w:hanging="4"/>
        <w:spacing w:after="0" w:line="252" w:lineRule="auto"/>
        <w:tabs>
          <w:tab w:leader="none" w:pos="26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in the Registration Statement, the Time of Sale Prospectus and the Prospectus fairly presents the information called for in all material respects and is prepared in accordance with the Commission’s rules and guidelines applicable thereto.</w:t>
      </w:r>
    </w:p>
    <w:p>
      <w:pPr>
        <w:sectPr>
          <w:pgSz w:w="11900" w:h="16838" w:orient="portrait"/>
          <w:cols w:equalWidth="0" w:num="1">
            <w:col w:w="10984"/>
          </w:cols>
          <w:pgMar w:left="436" w:top="266" w:right="479" w:bottom="1440" w:gutter="0" w:footer="0" w:header="0"/>
        </w:sectPr>
      </w:pPr>
    </w:p>
    <w:bookmarkStart w:id="246" w:name="page247"/>
    <w:bookmarkEnd w:id="246"/>
    <w:p>
      <w:pPr>
        <w:ind w:left="-436" w:firstLine="436"/>
        <w:spacing w:after="0" w:line="253" w:lineRule="auto"/>
        <w:tabs>
          <w:tab w:leader="none" w:pos="219"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Disclosure Controls and Procedures; Deficiencies in or Changes to Internal Control Over Financial Reporting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otherwise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disclosed in the Registration Statement, the Time of Sale Prospectus and the Prospectus,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Except as otherwise disclosed in the Registration Statement, the Time of Sale Prospectus and the Prospectus, since the end of the ALX Oncology Limited’s most recent audited fiscal year, to the Company’s knowledge: (A) there have been no significant deficiencies or material weakness in the Company’s and ALX Oncology Limited’s internal control over financial reporting (whether or not remediated) and (B) no change in the Company’s and ALX Oncology Limited’s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79" w:lineRule="exact"/>
        <w:rPr>
          <w:rFonts w:ascii="Times New Roman" w:cs="Times New Roman" w:eastAsia="Times New Roman" w:hAnsi="Times New Roman"/>
          <w:sz w:val="18"/>
          <w:szCs w:val="18"/>
          <w:b w:val="1"/>
          <w:bCs w:val="1"/>
          <w:color w:val="auto"/>
        </w:rPr>
      </w:pPr>
    </w:p>
    <w:p>
      <w:pPr>
        <w:ind w:left="-436" w:right="160" w:firstLine="436"/>
        <w:spacing w:after="0" w:line="275" w:lineRule="auto"/>
        <w:tabs>
          <w:tab w:leader="none" w:pos="319" w:val="left"/>
        </w:tabs>
        <w:numPr>
          <w:ilvl w:val="0"/>
          <w:numId w:val="1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Incorporation and Good Standing of the Company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has been duly incorporated and is validly existing as a corporation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Company is duly qualified as a foreign corporation to transact business and is in good standing in the State of California and each other jurisdiction in which such qualification is required, whether by reason of the ownership or leasing of property or the conduct of business, except where the failure so to qualify or to be in good standing could not reasonably be expected to result in a Material Adverse Change.</w:t>
      </w:r>
    </w:p>
    <w:p>
      <w:pPr>
        <w:spacing w:after="0" w:line="60" w:lineRule="exact"/>
        <w:rPr>
          <w:rFonts w:ascii="Times New Roman" w:cs="Times New Roman" w:eastAsia="Times New Roman" w:hAnsi="Times New Roman"/>
          <w:sz w:val="17"/>
          <w:szCs w:val="17"/>
          <w:b w:val="1"/>
          <w:bCs w:val="1"/>
          <w:color w:val="auto"/>
        </w:rPr>
      </w:pPr>
    </w:p>
    <w:p>
      <w:pPr>
        <w:ind w:left="-436" w:firstLine="436"/>
        <w:spacing w:after="0" w:line="254" w:lineRule="auto"/>
        <w:tabs>
          <w:tab w:leader="none" w:pos="269"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“subsidiaries” (for purposes of this Agreement, as defined in Rule 405 under the Securities Act) has been duly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the Time of Sale Prospectus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so to qualify or to be in good standing could not reasonably be expected to result in a Material Adverse Change. All of the issued and outstanding capital stock or other equity or ownership interests of each of the Company’s subsidiaries have been duly authorized and validly issued, are fully paid and nonassessable and, except as otherwise disclosed in the Registration Statement, the Time of Sale Prospectus and the Prospectus,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w:t>
      </w:r>
    </w:p>
    <w:p>
      <w:pPr>
        <w:sectPr>
          <w:pgSz w:w="11900" w:h="16838" w:orient="portrait"/>
          <w:cols w:equalWidth="0" w:num="1">
            <w:col w:w="10564"/>
          </w:cols>
          <w:pgMar w:left="876" w:top="266" w:right="459" w:bottom="1440" w:gutter="0" w:footer="0" w:header="0"/>
        </w:sectPr>
      </w:pPr>
    </w:p>
    <w:bookmarkStart w:id="247" w:name="page248"/>
    <w:bookmarkEnd w:id="247"/>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security holder of such subsidiary. ALX Oncology Limited is a wholly-owned subsidiary of the Company.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Registration Statement.</w:t>
      </w:r>
    </w:p>
    <w:p>
      <w:pPr>
        <w:spacing w:after="0" w:line="68" w:lineRule="exact"/>
        <w:rPr>
          <w:sz w:val="20"/>
          <w:szCs w:val="20"/>
          <w:color w:val="auto"/>
        </w:rPr>
      </w:pPr>
    </w:p>
    <w:p>
      <w:pPr>
        <w:ind w:right="80" w:firstLine="436"/>
        <w:spacing w:after="0" w:line="253" w:lineRule="auto"/>
        <w:tabs>
          <w:tab w:leader="none" w:pos="695"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Capitalization and Other Capital Stock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authorized, issued and outstanding capital stock of the Company is as set forth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Statement, the Time of Sale Prospectus and the Prospectus under the caption “Capitalization” (other than for subsequent issuances, if any, pursuant to employee benefit plans, or upon the exercise of outstanding options or warrants, or pursuant to the automatic conversions of preferred stock of the Company into shares of common stock as a result of the public offering contemplated hereby, in each case as described in the Registration Statement, the Time of Sale Prospectus and the Prospectus). The Shares (including the Offered Shares) conform in all material respects to the description thereof contained in the Time of Sale Prospectus. All of the issued and outstanding Shares have been duly authorized and validly issued, are fully paid and nonassessable and have been issued in compliance with all federal and state securities laws.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the Time of Sale Prospectus and the Prospectus. The descriptions of the Company’s and ALX Oncology Limited’s stock option, stock bonus and other stock plans or arrangements, and the options or other rights granted thereunder, set forth in the Registration Statement, the Time of Sale Prospectus and the Prospectus in all material respects accurately and fairly presents the information required to be shown with respect to such plans, arrangements, options and rights.</w:t>
      </w:r>
    </w:p>
    <w:p>
      <w:pPr>
        <w:spacing w:after="0" w:line="77" w:lineRule="exact"/>
        <w:rPr>
          <w:rFonts w:ascii="Times New Roman" w:cs="Times New Roman" w:eastAsia="Times New Roman" w:hAnsi="Times New Roman"/>
          <w:sz w:val="18"/>
          <w:szCs w:val="18"/>
          <w:b w:val="1"/>
          <w:bCs w:val="1"/>
          <w:color w:val="auto"/>
        </w:rPr>
      </w:pPr>
    </w:p>
    <w:p>
      <w:pPr>
        <w:ind w:right="160" w:firstLine="436"/>
        <w:spacing w:after="0" w:line="259" w:lineRule="auto"/>
        <w:tabs>
          <w:tab w:leader="none" w:pos="705"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Exchange Listing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Shares are registered pursuant to Section 12(b) or 12(g) of the Exchange Act and are listed on The Nasdaq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Select Market (the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the Company has taken no action designed to, or likely to have the effect of, terminating the registration of the Shares under the Exchange Act or delisting the Shares from the Nasdaq, nor has the Company received any notification that the Commission or the Nasdaq is contemplating terminating such registration or listing. To the Company’s knowledge, it is in compliance with all applicable listing requirements of the Nasdaq.</w:t>
      </w:r>
    </w:p>
    <w:p>
      <w:pPr>
        <w:spacing w:after="0" w:line="71"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705"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Non-Contravention of Existing Instruments; No Further Authorizations or Approvals Required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is in violation of its charter or by-laws, partnership agreement or operating agreement or similar organizational documents, as applicable, or is in default (or, with the giving of notice or lapse of time, would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8"/>
          <w:szCs w:val="18"/>
          <w:b w:val="1"/>
          <w:bCs w:val="1"/>
          <w:color w:val="auto"/>
        </w:rPr>
        <w:t>Existing Instrument</w:t>
      </w:r>
      <w:r>
        <w:rPr>
          <w:rFonts w:ascii="Times New Roman" w:cs="Times New Roman" w:eastAsia="Times New Roman" w:hAnsi="Times New Roman"/>
          <w:sz w:val="18"/>
          <w:szCs w:val="18"/>
          <w:color w:val="auto"/>
        </w:rPr>
        <w:t>”), except for such Defaults as would not reasonably be expected, individually or in the aggregate, to result in a Material Adverse Change. The Company’s execution, delivery and performance of this Agreement, consummation of the transactions contemplated hereby and by the Registration Statement, the Time of Sale Prospectus and the Prospectus and the issuance and sale of the Offered Shares (including the use of proceeds from the sale of the Offered Shares as described in the Registration Statement, the Time of Sale Prospectus and the Prospectus under the caption “Use of Proceeds”) (i) have been duly authorized by all necessary corporate action and will not result in any violation of the provisions of the charter or by-laws, partnership agreement or operating agreement or similar organizational documents, as applicable, of the Company or any of its subsidiaries,</w:t>
      </w:r>
    </w:p>
    <w:p>
      <w:pPr>
        <w:sectPr>
          <w:pgSz w:w="11900" w:h="16838" w:orient="portrait"/>
          <w:cols w:equalWidth="0" w:num="1">
            <w:col w:w="11020"/>
          </w:cols>
          <w:pgMar w:left="440" w:top="270" w:right="439" w:bottom="1440" w:gutter="0" w:footer="0" w:header="0"/>
        </w:sectPr>
      </w:pPr>
    </w:p>
    <w:bookmarkStart w:id="248" w:name="page249"/>
    <w:bookmarkEnd w:id="248"/>
    <w:p>
      <w:pPr>
        <w:ind w:left="4" w:right="120" w:hanging="4"/>
        <w:spacing w:after="0" w:line="253" w:lineRule="auto"/>
        <w:tabs>
          <w:tab w:leader="none" w:pos="26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except for such Defaults or a Debt Repayment Triggering Event as would not reasonably be expected, individually or in the aggregate, to result in a Material Adverse Change, and (iii) will not result in any violation of any law, administrative regulation or administrative or court decree applicable to the Company or any of its subsidiaries, except for such violations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the Time of Sale Prospectus and the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As used herein, a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debenture or other evidence of indebtedness (or any person acting on such holder’s behalf) the right to require the repurchase, redemption or repayment of all or a portion of such indebtedness by the Company or any of its subsidiaries.</w:t>
      </w:r>
    </w:p>
    <w:p>
      <w:pPr>
        <w:spacing w:after="0" w:line="75" w:lineRule="exact"/>
        <w:rPr>
          <w:rFonts w:ascii="Times New Roman" w:cs="Times New Roman" w:eastAsia="Times New Roman" w:hAnsi="Times New Roman"/>
          <w:sz w:val="18"/>
          <w:szCs w:val="18"/>
          <w:color w:val="auto"/>
        </w:rPr>
      </w:pPr>
    </w:p>
    <w:p>
      <w:pPr>
        <w:ind w:left="4" w:right="240" w:firstLine="436"/>
        <w:spacing w:after="0" w:line="268" w:lineRule="auto"/>
        <w:tabs>
          <w:tab w:leader="none" w:pos="689"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Compliance with Laws. </w:t>
      </w:r>
      <w:r>
        <w:rPr>
          <w:rFonts w:ascii="Times New Roman" w:cs="Times New Roman" w:eastAsia="Times New Roman" w:hAnsi="Times New Roman"/>
          <w:sz w:val="18"/>
          <w:szCs w:val="18"/>
          <w:color w:val="auto"/>
        </w:rPr>
        <w:t>The Company and its subsidiaries have been and are in compliance in all material respects with all applicable laws,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rules and regulations, except where failure to be so in compliance could not reasonably be expected, individually or in the aggregate, to result in a Material Adverse Change.</w:t>
      </w:r>
    </w:p>
    <w:p>
      <w:pPr>
        <w:spacing w:after="0" w:line="62" w:lineRule="exact"/>
        <w:rPr>
          <w:rFonts w:ascii="Times New Roman" w:cs="Times New Roman" w:eastAsia="Times New Roman" w:hAnsi="Times New Roman"/>
          <w:sz w:val="18"/>
          <w:szCs w:val="18"/>
          <w:b w:val="1"/>
          <w:bCs w:val="1"/>
          <w:color w:val="auto"/>
        </w:rPr>
      </w:pPr>
    </w:p>
    <w:p>
      <w:pPr>
        <w:ind w:left="4" w:right="160" w:firstLine="436"/>
        <w:spacing w:after="0" w:line="270" w:lineRule="auto"/>
        <w:tabs>
          <w:tab w:leader="none" w:pos="679" w:val="left"/>
        </w:tabs>
        <w:numPr>
          <w:ilvl w:val="1"/>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No Material Actions or Proceedings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There is no action, suit, proceeding, inquiry or investigation brought by or before any legal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governmental entity now pending or, to the knowledge of the Company, threatened, against or affecting the Company or any of its subsidiaries, which could reasonably be expected, individually or in the aggregate, to result in a Material Adverse Change. Except as would not reasonably be expected, individually or in the aggregate, to result in a Material Adverse Change, (i) no labor dispute with the employees of the Company or any of its subsidiaries, or with the employees of any principal supplier, manufacturer, customer or contractor of the Company or any of its subsidiaries, exists or,</w:t>
      </w:r>
    </w:p>
    <w:p>
      <w:pPr>
        <w:spacing w:after="0" w:line="2"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is threatened or imminent.</w:t>
      </w:r>
    </w:p>
    <w:p>
      <w:pPr>
        <w:spacing w:after="0" w:line="94" w:lineRule="exact"/>
        <w:rPr>
          <w:rFonts w:ascii="Times New Roman" w:cs="Times New Roman" w:eastAsia="Times New Roman" w:hAnsi="Times New Roman"/>
          <w:sz w:val="18"/>
          <w:szCs w:val="18"/>
          <w:color w:val="auto"/>
        </w:rPr>
      </w:pPr>
    </w:p>
    <w:p>
      <w:pPr>
        <w:ind w:left="4" w:firstLine="436"/>
        <w:spacing w:after="0" w:line="253" w:lineRule="auto"/>
        <w:tabs>
          <w:tab w:leader="none" w:pos="669" w:val="left"/>
        </w:tabs>
        <w:numPr>
          <w:ilvl w:val="1"/>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own, or have obtained valid and enforceable licenses for the inventions, patent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patents, trademarks, trade names, service names, service marks, copyrights, trade secrets, know how (including unpatented and/or unpatentable proprietary of confidential information, systems or procedures) and other intellectual property described in the Registration Statement, the Time of Sale Prospectus and the Prospectus as being owned or licensed by them or which are necessary for the conduct of their respective businesses as currently conducted or as currently proposed to be conducted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and the conduct of their respective businesses does not and will not infringe upon or misappropriate in any material respect any such rights of others. The Intellectual Property of the Company and its subsidiaries has not been adjudged by a court of competent jurisdiction to be invalid or unenforceable, in whole or in part, and the Company is unaware of any facts which would form a reasonable basis for any such adjudication. To the Company’s knowledge: (i) there are no third parties who have rights to any Intellectual Property, including no liens, security interests, or other encumbrances, except for customary reversionary rights of third-party licensors with respect to Intellectual Property that is disclosed in the Registration Statement, the Time of Sale Prospectus and the Prospectus as licensed to the Company or one or more of its subsidiaries; and (ii) there is no infringement by third parties of any Intellectual Property. The Intellectual Property has</w:t>
      </w:r>
    </w:p>
    <w:p>
      <w:pPr>
        <w:sectPr>
          <w:pgSz w:w="11900" w:h="16838" w:orient="portrait"/>
          <w:cols w:equalWidth="0" w:num="1">
            <w:col w:w="11004"/>
          </w:cols>
          <w:pgMar w:left="436" w:top="270" w:right="459" w:bottom="1440" w:gutter="0" w:footer="0" w:header="0"/>
        </w:sectPr>
      </w:pPr>
    </w:p>
    <w:bookmarkStart w:id="249" w:name="page250"/>
    <w:bookmarkEnd w:id="249"/>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 been adjudged by a court of competent jurisdiction invalid or unenforceable, in whole or in part, and the Company is unaware of any facts which would form a reasonable basis for any such adjudication. Neither the Company nor any of its subsidiaries has received any notice of any claim, or is otherwise aware, of any infringement or misappropriation of any intellectual property rights of another, and the Company is unaware of any facts which would form a reasonable basis for any such notice or claim. There is no pending or threatened action, suit, proceeding or claim by others:</w:t>
      </w:r>
    </w:p>
    <w:p>
      <w:pPr>
        <w:spacing w:after="0" w:line="3" w:lineRule="exact"/>
        <w:rPr>
          <w:sz w:val="20"/>
          <w:szCs w:val="20"/>
          <w:color w:val="auto"/>
        </w:rPr>
      </w:pPr>
    </w:p>
    <w:p>
      <w:pPr>
        <w:ind w:left="4" w:hanging="4"/>
        <w:spacing w:after="0" w:line="250" w:lineRule="auto"/>
        <w:tabs>
          <w:tab w:leader="none" w:pos="29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challenging the Company’s or any of its subsidiaries’ rights in or to any Intellectual Property, and the Company is unaware of any facts which would form a reasonable basis for any such action, suit, proceeding or claim; (B) challenging the validity, enforceability or scope of any Intellectual Property, including no interferences, oppositions, reexaminations, or government proceedings, and the Company is unaware of any facts which would form a reasonable basis for any such action, suit, proceeding or claim; or (C) asserting that the Company or any of its subsidiaries infringes, misappropriates, or otherwise violates, or would, upon the commercialization of any product or service described in the Registration Statement, the Time of Sale Prospectus or the Prospectus as under development, infringe, misappropriate, or violate, any patent, trademark, trade name, service name, copyright, trade secret or other proprietary rights of others, and the Company is unaware of any facts which would form a reasonable basis for any such action, suit, proceeding or claim. The Company and its subsidiaries have complied with the terms of each agreement pursuant to which Intellectual Property has been licensed to the Company or any of its subsidiaries,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 including the execution of appropriate nondisclosure, confidentiality agreements and invention assignment agreements and invention assignments with their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Intellectual Property owned by the Company or its subsidiaries or technology (including information technology and outsourced arrangements) employed by the Company or its subsidiaries has been obtained or is being used by the Company or its subsidiaries in violation of any contractual obligation binding on the Company or its subsidiaries or any of their respective officers, directors or employees or otherwise in violation of the rights of any persons. The product candidates described in the Registration Statement, the Time of Sale Prospectus and the Prospectus as under development by the Company or any of its subsidiaries fall within the scope of the claims of one or more patents owned by, or exclusively licensed to, the Company or any of its subsidiaries.</w:t>
      </w:r>
    </w:p>
    <w:p>
      <w:pPr>
        <w:spacing w:after="0" w:line="94"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709"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All Necessary Permits, etc</w:t>
      </w:r>
      <w:r>
        <w:rPr>
          <w:rFonts w:ascii="Times New Roman" w:cs="Times New Roman" w:eastAsia="Times New Roman" w:hAnsi="Times New Roman"/>
          <w:sz w:val="18"/>
          <w:szCs w:val="18"/>
          <w:color w:val="auto"/>
        </w:rPr>
        <w:t>. The Company and its subsidiaries possess such valid and current licenses, certificates, authorizations, approvals,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consents or permits required by state, federal or foreign regulatory agencies or bodies to conduct their respective businesses as currently conducted and as described in the Registration Statement, the Time of Sale Prospectus or the Prospectus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Neither the Company nor any of its subsidiaries is in violation of, or in default under, any of the Permits or has received any notice of proceedings relating to the revocation or suspension of, or non-compliance with, any such certificate, authorization or permit. The Company and its subsidiaries have filed, obtained, maintained or submitted all reports, documents, forms, notices, applications, records, claims, submissions and supplements or amendments as required by any Permits and that all such reports, documents, forms, notices, applications, records, claims, submissions and supplements or amendments were timely, complete, correct and not misleading on the date filed (or were corrected or supplemented by a subsequent submission), except, in each case, where the failure to do so would not reasonably be expected, individually or in the aggregate, to result in a Material Adverse Change.</w:t>
      </w:r>
    </w:p>
    <w:p>
      <w:pPr>
        <w:sectPr>
          <w:pgSz w:w="11900" w:h="16838" w:orient="portrait"/>
          <w:cols w:equalWidth="0" w:num="1">
            <w:col w:w="11004"/>
          </w:cols>
          <w:pgMar w:left="436" w:top="270" w:right="459" w:bottom="1440" w:gutter="0" w:footer="0" w:header="0"/>
        </w:sectPr>
      </w:pPr>
    </w:p>
    <w:bookmarkStart w:id="250" w:name="page251"/>
    <w:bookmarkEnd w:id="250"/>
    <w:p>
      <w:pPr>
        <w:ind w:left="-436" w:firstLine="436"/>
        <w:spacing w:after="0" w:line="254" w:lineRule="auto"/>
        <w:tabs>
          <w:tab w:leader="none" w:pos="259"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Title to Properties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otherwise disclosed in the Registration Statement, the Time of Sale Prospectus and the Prospectus,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its subsidiaries have good and marketable title to all of the personal property and other assets reflected as owned in the financial statements referred to in Section 1(k) above (or elsewhere in the Registration Statement, the Time of Sale Prospectus or the Prospectus), in each case free and clear of any security interests, mortgages, liens, encumbrances, equities, adverse claims and other defects. The real property, improvements, equipment and personal property held under lease by the Company or any of its subsidiaries are held under valid and enforceable leases (subject to the effects of (i) bankruptcy, insolvency, fraudulent conveyance, fraudulent transfer, reorganization, moratorium or other similar laws relating to or affecting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 and public policy with respect to rights to indemnity and contribution), with such exceptions as are not material and do not materially interfere with the use made or proposed to be made of such real property, improvements, equipment or personal property by the Company or such subsidiary. The Company and its subsidiaries do not own any real property.</w:t>
      </w:r>
    </w:p>
    <w:p>
      <w:pPr>
        <w:spacing w:after="0" w:line="74" w:lineRule="exact"/>
        <w:rPr>
          <w:rFonts w:ascii="Times New Roman" w:cs="Times New Roman" w:eastAsia="Times New Roman" w:hAnsi="Times New Roman"/>
          <w:sz w:val="18"/>
          <w:szCs w:val="18"/>
          <w:b w:val="1"/>
          <w:bCs w:val="1"/>
          <w:color w:val="auto"/>
        </w:rPr>
      </w:pPr>
    </w:p>
    <w:p>
      <w:pPr>
        <w:ind w:left="-436" w:right="80" w:firstLine="436"/>
        <w:spacing w:after="0" w:line="256" w:lineRule="auto"/>
        <w:tabs>
          <w:tab w:leader="none" w:pos="299"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Tax Law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have filed all necessary U.S. federal, state and foreign income and franchise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to the extent that failure to file or pay could reasonably be expected to result in a Material Adverse Change. The Company has made adequate charges, accruals and reserves in the applicable financial statements referred to in Section 1(k) above in respect of all U.S. federal, state and foreign income and franchise taxes for all periods as to which the tax liability of the Company or any of its subsidiaries has not been finally determined, to the extent that failure to do so could reasonably be expected to result in a Material Adverse Change.</w:t>
      </w:r>
    </w:p>
    <w:p>
      <w:pPr>
        <w:spacing w:after="0" w:line="74" w:lineRule="exact"/>
        <w:rPr>
          <w:rFonts w:ascii="Times New Roman" w:cs="Times New Roman" w:eastAsia="Times New Roman" w:hAnsi="Times New Roman"/>
          <w:sz w:val="18"/>
          <w:szCs w:val="18"/>
          <w:b w:val="1"/>
          <w:bCs w:val="1"/>
          <w:color w:val="auto"/>
        </w:rPr>
      </w:pPr>
    </w:p>
    <w:p>
      <w:pPr>
        <w:ind w:left="-436" w:right="160" w:firstLine="436"/>
        <w:spacing w:after="0" w:line="255" w:lineRule="auto"/>
        <w:tabs>
          <w:tab w:leader="none" w:pos="259"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of the Company and its subsidiaries are insured by recognized, financially sound and reputable institutions with policies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amounts and with such deductibles and covering such risks as the Company reasonably believes is adequate and customary for their businesses including, but not limited to, policies covering real and personal property owned or leased by the Company and its subsidiaries against theft, damage, destruction and acts of vandalism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could not reasonably be expected, individually or in the aggregate, to result in a Material Adverse Change. Neither the Company nor any of its subsidiaries has been denied any insurance coverage which it has sought or for which it has applied.</w:t>
      </w:r>
    </w:p>
    <w:p>
      <w:pPr>
        <w:spacing w:after="0" w:line="76" w:lineRule="exact"/>
        <w:rPr>
          <w:rFonts w:ascii="Times New Roman" w:cs="Times New Roman" w:eastAsia="Times New Roman" w:hAnsi="Times New Roman"/>
          <w:sz w:val="18"/>
          <w:szCs w:val="18"/>
          <w:b w:val="1"/>
          <w:bCs w:val="1"/>
          <w:color w:val="auto"/>
        </w:rPr>
      </w:pPr>
    </w:p>
    <w:p>
      <w:pPr>
        <w:ind w:left="-436" w:right="120" w:firstLine="436"/>
        <w:spacing w:after="0" w:line="259" w:lineRule="auto"/>
        <w:tabs>
          <w:tab w:leader="none" w:pos="259"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Environmental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would not reasonably be expected, individually or in the aggregate, to result in a Material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w:t>
      </w:r>
    </w:p>
    <w:p>
      <w:pPr>
        <w:sectPr>
          <w:pgSz w:w="11900" w:h="16838" w:orient="portrait"/>
          <w:cols w:equalWidth="0" w:num="1">
            <w:col w:w="10504"/>
          </w:cols>
          <w:pgMar w:left="876" w:top="266" w:right="519" w:bottom="1440" w:gutter="0" w:footer="0" w:header="0"/>
        </w:sectPr>
      </w:pPr>
    </w:p>
    <w:bookmarkStart w:id="251" w:name="page252"/>
    <w:bookmarkEnd w:id="251"/>
    <w:p>
      <w:pPr>
        <w:ind w:left="4" w:right="10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regulations relating to the release or threatened release of chemicals, pollutants, contaminants, wastes, toxic substances, hazardous substances, petroleum or petroleum products (collectively, “</w:t>
      </w:r>
      <w:r>
        <w:rPr>
          <w:rFonts w:ascii="Times New Roman" w:cs="Times New Roman" w:eastAsia="Times New Roman" w:hAnsi="Times New Roman"/>
          <w:sz w:val="17"/>
          <w:szCs w:val="17"/>
          <w:b w:val="1"/>
          <w:bCs w:val="1"/>
          <w:color w:val="auto"/>
        </w:rPr>
        <w:t>Hazardous Materials</w:t>
      </w:r>
      <w:r>
        <w:rPr>
          <w:rFonts w:ascii="Times New Roman" w:cs="Times New Roman" w:eastAsia="Times New Roman" w:hAnsi="Times New Roman"/>
          <w:sz w:val="17"/>
          <w:szCs w:val="17"/>
          <w:color w:val="auto"/>
        </w:rPr>
        <w:t>”) or to the manufacture, processing, distribution, use, treatment, storage, disposal, transport or handling of Hazardous Materials (collectively, “</w:t>
      </w:r>
      <w:r>
        <w:rPr>
          <w:rFonts w:ascii="Times New Roman" w:cs="Times New Roman" w:eastAsia="Times New Roman" w:hAnsi="Times New Roman"/>
          <w:sz w:val="17"/>
          <w:szCs w:val="17"/>
          <w:b w:val="1"/>
          <w:bCs w:val="1"/>
          <w:color w:val="auto"/>
        </w:rPr>
        <w:t>Environmental Laws</w:t>
      </w:r>
      <w:r>
        <w:rPr>
          <w:rFonts w:ascii="Times New Roman" w:cs="Times New Roman" w:eastAsia="Times New Roman" w:hAnsi="Times New Roman"/>
          <w:sz w:val="17"/>
          <w:szCs w:val="17"/>
          <w:color w:val="auto"/>
        </w:rPr>
        <w:t>”); (ii) the Company and its subsidiaries have all permits, authorizations and approvals required under any applicable Environmental Laws and are each in compliance with their requirements; (iii) 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w:t>
      </w:r>
    </w:p>
    <w:p>
      <w:pPr>
        <w:spacing w:after="0" w:line="5" w:lineRule="exact"/>
        <w:rPr>
          <w:sz w:val="20"/>
          <w:szCs w:val="20"/>
          <w:color w:val="auto"/>
        </w:rPr>
      </w:pPr>
    </w:p>
    <w:p>
      <w:pPr>
        <w:ind w:left="4" w:right="220" w:hanging="4"/>
        <w:spacing w:after="0" w:line="255" w:lineRule="auto"/>
        <w:tabs>
          <w:tab w:leader="none" w:pos="30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7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[Reserved.]</w:t>
      </w:r>
    </w:p>
    <w:p>
      <w:pPr>
        <w:spacing w:after="0" w:line="113" w:lineRule="exact"/>
        <w:rPr>
          <w:sz w:val="20"/>
          <w:szCs w:val="20"/>
          <w:color w:val="auto"/>
        </w:rPr>
      </w:pPr>
    </w:p>
    <w:p>
      <w:pPr>
        <w:ind w:left="4" w:right="20" w:firstLine="436"/>
        <w:spacing w:after="0" w:line="252" w:lineRule="auto"/>
        <w:tabs>
          <w:tab w:leader="none" w:pos="789" w:val="left"/>
        </w:tabs>
        <w:numPr>
          <w:ilvl w:val="1"/>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ERISA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and its subsidiaries and any “employee benefit plan” (as defined under the Employee Retirement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Act of 1974, as amended, and the regulations and published interpretations thereunder (collectively,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established or maintained by the Company, its subsidiaries or, to Company’s knowledge, their “ERISA Affiliates” (as defined below) are in compliance in all material respects with ERISA. “</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of which the Company or such subsidiary thereof is a member. No “reportable event” (as defined under Section 4043 of ERISA) has occurred or is reasonably expected to occur with respect to any “employee benefit plan” established or maintained by the Company, its subsidiaries or any of their ERISA Affiliates, that would reasonably be expected to result in material liability to the Company or its subsidiaries. No “employee benefit plan” established or maintained by the Company, its subsidiaries or any of their ERISA Affiliates, if such “employee benefit plan” were terminated, would have any “amount of unfunded benefit liabilities” (as defined under Section 4001(a)(18) of ERISA) that would reasonably be expected to result in material liability to the Company and its subsidiaries. Neither the Company, its subsidiaries nor any of their ERISA Affiliates has incurred or reasonably expects to incur any material liability under (i) Title IV of ERISA with respect to termination of, or withdrawal from, any “employee benefit plan” or</w:t>
      </w:r>
    </w:p>
    <w:p>
      <w:pPr>
        <w:spacing w:after="0" w:line="6" w:lineRule="exact"/>
        <w:rPr>
          <w:rFonts w:ascii="Times New Roman" w:cs="Times New Roman" w:eastAsia="Times New Roman" w:hAnsi="Times New Roman"/>
          <w:sz w:val="18"/>
          <w:szCs w:val="18"/>
          <w:b w:val="1"/>
          <w:bCs w:val="1"/>
          <w:color w:val="auto"/>
        </w:rPr>
      </w:pPr>
    </w:p>
    <w:p>
      <w:pPr>
        <w:jc w:val="both"/>
        <w:ind w:left="4" w:right="260" w:hanging="4"/>
        <w:spacing w:after="0" w:line="255" w:lineRule="auto"/>
        <w:tabs>
          <w:tab w:leader="none" w:pos="26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412, 4971, 4975 or 4980B of the Code. Each employee benefit plan established or maintained by the Company, its subsidiaries or any of their ERISA Affiliates that is intended to be qualified under Section 401(a) of the Code is so qualified and, to the Company’s knowledge, nothing has occurred, whether by action or failure to act, which would reasonably be expected to cause the loss of such qualification.</w:t>
      </w:r>
    </w:p>
    <w:p>
      <w:pPr>
        <w:spacing w:after="0" w:line="73" w:lineRule="exact"/>
        <w:rPr>
          <w:rFonts w:ascii="Times New Roman" w:cs="Times New Roman" w:eastAsia="Times New Roman" w:hAnsi="Times New Roman"/>
          <w:sz w:val="18"/>
          <w:szCs w:val="18"/>
          <w:color w:val="auto"/>
        </w:rPr>
      </w:pPr>
    </w:p>
    <w:p>
      <w:pPr>
        <w:ind w:left="4" w:right="220" w:firstLine="436"/>
        <w:spacing w:after="0" w:line="262" w:lineRule="auto"/>
        <w:tabs>
          <w:tab w:leader="none" w:pos="809" w:val="left"/>
        </w:tabs>
        <w:numPr>
          <w:ilvl w:val="1"/>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Company Not an “Investment Company.” </w:t>
      </w:r>
      <w:r>
        <w:rPr>
          <w:rFonts w:ascii="Times New Roman" w:cs="Times New Roman" w:eastAsia="Times New Roman" w:hAnsi="Times New Roman"/>
          <w:sz w:val="18"/>
          <w:szCs w:val="18"/>
          <w:color w:val="auto"/>
        </w:rPr>
        <w:t>The Company is not, and will not be, either after receipt of payment for the Offered Shares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b w:val="1"/>
          <w:bCs w:val="1"/>
          <w:color w:val="auto"/>
        </w:rPr>
      </w:pPr>
    </w:p>
    <w:p>
      <w:pPr>
        <w:jc w:val="both"/>
        <w:ind w:left="4" w:firstLine="436"/>
        <w:spacing w:after="0" w:line="262" w:lineRule="auto"/>
        <w:tabs>
          <w:tab w:leader="none" w:pos="769" w:val="left"/>
        </w:tabs>
        <w:numPr>
          <w:ilvl w:val="1"/>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Price Stabilization or Manipulation; Compliance with Regulation M</w:t>
      </w:r>
      <w:r>
        <w:rPr>
          <w:rFonts w:ascii="Times New Roman" w:cs="Times New Roman" w:eastAsia="Times New Roman" w:hAnsi="Times New Roman"/>
          <w:sz w:val="18"/>
          <w:szCs w:val="18"/>
          <w:color w:val="auto"/>
        </w:rPr>
        <w:t>. Neither the Company nor any of its subsidiaries has taken, directly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or indirectly, any action designed, or that would reasonably be expected, to cause or result in stabilization or manipulation of the price of the Shares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xml:space="preserve"> with respect to the Shares, whether to facilitate the sale or resale of the Offered Shares or otherwise, and has taken no action which would directly or indirectly violate Regulation M.</w:t>
      </w:r>
    </w:p>
    <w:p>
      <w:pPr>
        <w:sectPr>
          <w:pgSz w:w="11900" w:h="16838" w:orient="portrait"/>
          <w:cols w:equalWidth="0" w:num="1">
            <w:col w:w="11024"/>
          </w:cols>
          <w:pgMar w:left="436" w:top="270" w:right="439" w:bottom="1440" w:gutter="0" w:footer="0" w:header="0"/>
        </w:sectPr>
      </w:pPr>
    </w:p>
    <w:bookmarkStart w:id="252" w:name="page253"/>
    <w:bookmarkEnd w:id="252"/>
    <w:p>
      <w:pPr>
        <w:ind w:left="804" w:hanging="364"/>
        <w:spacing w:after="0"/>
        <w:tabs>
          <w:tab w:leader="none" w:pos="804"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Related-Party Transactions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business relationships or related-party transactions involving the Company or any of its</w:t>
      </w:r>
    </w:p>
    <w:p>
      <w:pPr>
        <w:spacing w:after="0" w:line="31" w:lineRule="exact"/>
        <w:rPr>
          <w:rFonts w:ascii="Times New Roman" w:cs="Times New Roman" w:eastAsia="Times New Roman" w:hAnsi="Times New Roman"/>
          <w:sz w:val="18"/>
          <w:szCs w:val="18"/>
          <w:b w:val="1"/>
          <w:bCs w:val="1"/>
          <w:color w:val="auto"/>
        </w:rPr>
      </w:pPr>
    </w:p>
    <w:p>
      <w:pPr>
        <w:ind w:left="4" w:right="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 or any other person required to be described in the Registration Statement, the Time of Sale Prospectus or the Prospectus that have not been described as required.</w:t>
      </w:r>
    </w:p>
    <w:p>
      <w:pPr>
        <w:spacing w:after="0" w:line="69" w:lineRule="exact"/>
        <w:rPr>
          <w:rFonts w:ascii="Times New Roman" w:cs="Times New Roman" w:eastAsia="Times New Roman" w:hAnsi="Times New Roman"/>
          <w:sz w:val="18"/>
          <w:szCs w:val="18"/>
          <w:b w:val="1"/>
          <w:bCs w:val="1"/>
          <w:color w:val="auto"/>
        </w:rPr>
      </w:pPr>
    </w:p>
    <w:p>
      <w:pPr>
        <w:ind w:left="4" w:right="160" w:firstLine="436"/>
        <w:spacing w:after="0" w:line="259" w:lineRule="auto"/>
        <w:tabs>
          <w:tab w:leader="none" w:pos="769"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FINRA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the information provided to the Underwriters or to counsel for the Underwriters by the Company, its counsel,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and directors and, to the Company’s knowledge, the holders of any securities (debt or equity) or options to acquire any securities of the Company in connection with the offering of the Offered Shares is true, complete and correct in all material respects and compliant with FINRA’s rules and any letters, filings or other supplemental information provided to FINRA pursuant to FINRA Rules or NASD Conduct Rules is true, complete and correct in all material respects.</w:t>
      </w:r>
    </w:p>
    <w:p>
      <w:pPr>
        <w:spacing w:after="0" w:line="71" w:lineRule="exact"/>
        <w:rPr>
          <w:rFonts w:ascii="Times New Roman" w:cs="Times New Roman" w:eastAsia="Times New Roman" w:hAnsi="Times New Roman"/>
          <w:sz w:val="18"/>
          <w:szCs w:val="18"/>
          <w:b w:val="1"/>
          <w:bCs w:val="1"/>
          <w:color w:val="auto"/>
        </w:rPr>
      </w:pPr>
    </w:p>
    <w:p>
      <w:pPr>
        <w:ind w:left="4" w:firstLine="436"/>
        <w:spacing w:after="0" w:line="259" w:lineRule="auto"/>
        <w:tabs>
          <w:tab w:leader="none" w:pos="729"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Parties to Lock-Up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has furnished to the Underwriters a letter agreement in the form attached hereto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from the directors and officers of the Company and from certain securityholders of the Company. If any additional persons shall become directors or officers (as defined in Rule 16a-1(f) under the Exchange Act) of the Company prior to the end of the Company Lock-up Period (as defined below), the Company shall cause each such person, prior to or contemporaneously with their appointment or election as a director or officer of the Company, to execute and deliver to the Representatives a Lock-up Agreement.</w:t>
      </w:r>
    </w:p>
    <w:p>
      <w:pPr>
        <w:spacing w:after="0" w:line="71" w:lineRule="exact"/>
        <w:rPr>
          <w:rFonts w:ascii="Times New Roman" w:cs="Times New Roman" w:eastAsia="Times New Roman" w:hAnsi="Times New Roman"/>
          <w:sz w:val="18"/>
          <w:szCs w:val="18"/>
          <w:b w:val="1"/>
          <w:bCs w:val="1"/>
          <w:color w:val="auto"/>
        </w:rPr>
      </w:pPr>
    </w:p>
    <w:p>
      <w:pPr>
        <w:ind w:left="4" w:right="20" w:firstLine="436"/>
        <w:spacing w:after="0" w:line="268" w:lineRule="auto"/>
        <w:tabs>
          <w:tab w:leader="none" w:pos="789"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Statistical and Market-Related Data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statistical, demographic and market-related data included in the Registration Statement, the Time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Prospectus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62" w:lineRule="exact"/>
        <w:rPr>
          <w:rFonts w:ascii="Times New Roman" w:cs="Times New Roman" w:eastAsia="Times New Roman" w:hAnsi="Times New Roman"/>
          <w:sz w:val="18"/>
          <w:szCs w:val="18"/>
          <w:b w:val="1"/>
          <w:bCs w:val="1"/>
          <w:color w:val="auto"/>
        </w:rPr>
      </w:pPr>
    </w:p>
    <w:p>
      <w:pPr>
        <w:ind w:left="4" w:right="100" w:firstLine="436"/>
        <w:spacing w:after="0" w:line="268" w:lineRule="auto"/>
        <w:tabs>
          <w:tab w:leader="none" w:pos="809"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Sarbanes-Oxley Act. </w:t>
      </w:r>
      <w:r>
        <w:rPr>
          <w:rFonts w:ascii="Times New Roman" w:cs="Times New Roman" w:eastAsia="Times New Roman" w:hAnsi="Times New Roman"/>
          <w:sz w:val="18"/>
          <w:szCs w:val="18"/>
          <w:color w:val="auto"/>
        </w:rPr>
        <w:t>There is, and has been, no failure on the part of the Company or any of its directors or officers, in their capacities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to comply with any applicable provision of the Sarbanes-Oxley Act of 2002, as amended and the rules and regulations promulgated in connection therewith, including Section 402 related to loans and Sections 302 and 906 related to certifications.</w:t>
      </w:r>
    </w:p>
    <w:p>
      <w:pPr>
        <w:spacing w:after="0" w:line="62" w:lineRule="exact"/>
        <w:rPr>
          <w:rFonts w:ascii="Times New Roman" w:cs="Times New Roman" w:eastAsia="Times New Roman" w:hAnsi="Times New Roman"/>
          <w:sz w:val="18"/>
          <w:szCs w:val="18"/>
          <w:b w:val="1"/>
          <w:bCs w:val="1"/>
          <w:color w:val="auto"/>
        </w:rPr>
      </w:pPr>
    </w:p>
    <w:p>
      <w:pPr>
        <w:ind w:left="4" w:firstLine="436"/>
        <w:spacing w:after="0" w:line="262" w:lineRule="auto"/>
        <w:tabs>
          <w:tab w:leader="none" w:pos="709"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Unlawful Contributions or Other Payments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nor, to the Company’s knowledge,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or agent of the Company or any of its subsidiaries,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68" w:lineRule="exact"/>
        <w:rPr>
          <w:rFonts w:ascii="Times New Roman" w:cs="Times New Roman" w:eastAsia="Times New Roman" w:hAnsi="Times New Roman"/>
          <w:sz w:val="18"/>
          <w:szCs w:val="18"/>
          <w:b w:val="1"/>
          <w:bCs w:val="1"/>
          <w:color w:val="auto"/>
        </w:rPr>
      </w:pPr>
    </w:p>
    <w:p>
      <w:pPr>
        <w:ind w:left="4" w:right="20" w:firstLine="436"/>
        <w:spacing w:after="0" w:line="254" w:lineRule="auto"/>
        <w:tabs>
          <w:tab w:leader="none" w:pos="729" w:val="left"/>
        </w:tabs>
        <w:numPr>
          <w:ilvl w:val="1"/>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Anti-Corruption and Anti-Bribery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nor any director, officer, or employee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or any of its subsidiaries, nor to the knowledge of the Company, any agent,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w:t>
      </w:r>
    </w:p>
    <w:p>
      <w:pPr>
        <w:spacing w:after="0" w:line="3" w:lineRule="exact"/>
        <w:rPr>
          <w:rFonts w:ascii="Times New Roman" w:cs="Times New Roman" w:eastAsia="Times New Roman" w:hAnsi="Times New Roman"/>
          <w:sz w:val="18"/>
          <w:szCs w:val="18"/>
          <w:b w:val="1"/>
          <w:bCs w:val="1"/>
          <w:color w:val="auto"/>
        </w:rPr>
      </w:pPr>
    </w:p>
    <w:p>
      <w:pPr>
        <w:ind w:left="324" w:hanging="324"/>
        <w:spacing w:after="0"/>
        <w:tabs>
          <w:tab w:leader="none" w:pos="3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w:t>
      </w:r>
    </w:p>
    <w:p>
      <w:pPr>
        <w:sectPr>
          <w:pgSz w:w="11900" w:h="16838" w:orient="portrait"/>
          <w:cols w:equalWidth="0" w:num="1">
            <w:col w:w="11004"/>
          </w:cols>
          <w:pgMar w:left="436" w:top="266" w:right="459" w:bottom="1440" w:gutter="0" w:footer="0" w:header="0"/>
        </w:sectPr>
      </w:pPr>
    </w:p>
    <w:bookmarkStart w:id="253" w:name="page254"/>
    <w:bookmarkEnd w:id="253"/>
    <w:p>
      <w:pPr>
        <w:ind w:right="8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provision of the U.S. Foreign Corrupt Practices Act of 1977, as amended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71" w:lineRule="exact"/>
        <w:rPr>
          <w:sz w:val="20"/>
          <w:szCs w:val="20"/>
          <w:color w:val="auto"/>
        </w:rPr>
      </w:pPr>
    </w:p>
    <w:p>
      <w:pPr>
        <w:ind w:right="20" w:firstLine="436"/>
        <w:spacing w:after="0" w:line="257" w:lineRule="auto"/>
        <w:tabs>
          <w:tab w:leader="none" w:pos="805"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Money Laundering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operations of the Company and its subsidiaries, and have been conducted at all times, in compliance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74" w:lineRule="exact"/>
        <w:rPr>
          <w:rFonts w:ascii="Times New Roman" w:cs="Times New Roman" w:eastAsia="Times New Roman" w:hAnsi="Times New Roman"/>
          <w:sz w:val="18"/>
          <w:szCs w:val="18"/>
          <w:b w:val="1"/>
          <w:bCs w:val="1"/>
          <w:color w:val="auto"/>
        </w:rPr>
      </w:pPr>
    </w:p>
    <w:p>
      <w:pPr>
        <w:ind w:firstLine="436"/>
        <w:spacing w:after="0" w:line="253" w:lineRule="auto"/>
        <w:tabs>
          <w:tab w:leader="none" w:pos="705"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Neither the Company nor any of its subsidiaries, directors, officers, or employees, nor, to the knowledge of the Company, after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the United Nations Security Council, the European Union, Her Majesty’s Treasury of the United Kingdom, the Swiss Secretariat of Economic Affairs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Sanctions, including, without limitation,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81" w:lineRule="exact"/>
        <w:rPr>
          <w:rFonts w:ascii="Times New Roman" w:cs="Times New Roman" w:eastAsia="Times New Roman" w:hAnsi="Times New Roman"/>
          <w:sz w:val="18"/>
          <w:szCs w:val="18"/>
          <w:b w:val="1"/>
          <w:bCs w:val="1"/>
          <w:color w:val="auto"/>
        </w:rPr>
      </w:pPr>
    </w:p>
    <w:p>
      <w:pPr>
        <w:ind w:right="480" w:firstLine="436"/>
        <w:spacing w:after="0" w:line="286" w:lineRule="auto"/>
        <w:tabs>
          <w:tab w:leader="none" w:pos="905"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Brokers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pursuant to this Agreement, there is no broker, finder or other party that is entitled to receive from the Company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brokerage or finder’s fee or other fee or commission as a result of any transactions contemplated by this Agreement.</w:t>
      </w:r>
    </w:p>
    <w:p>
      <w:pPr>
        <w:spacing w:after="0" w:line="46" w:lineRule="exact"/>
        <w:rPr>
          <w:rFonts w:ascii="Times New Roman" w:cs="Times New Roman" w:eastAsia="Times New Roman" w:hAnsi="Times New Roman"/>
          <w:sz w:val="18"/>
          <w:szCs w:val="18"/>
          <w:b w:val="1"/>
          <w:bCs w:val="1"/>
          <w:color w:val="auto"/>
        </w:rPr>
      </w:pPr>
    </w:p>
    <w:p>
      <w:pPr>
        <w:ind w:firstLine="436"/>
        <w:spacing w:after="0" w:line="257" w:lineRule="auto"/>
        <w:tabs>
          <w:tab w:leader="none" w:pos="805"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Forward-Looking Statements. </w:t>
      </w:r>
      <w:r>
        <w:rPr>
          <w:rFonts w:ascii="Times New Roman" w:cs="Times New Roman" w:eastAsia="Times New Roman" w:hAnsi="Times New Roman"/>
          <w:sz w:val="18"/>
          <w:szCs w:val="18"/>
          <w:color w:val="auto"/>
        </w:rPr>
        <w:t>Each financial or operational projection or other “forward-looking statement” (as defined by Section 27A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Act or Section 21E of the Exchange Act) contained in the Registration Statement, the Time of Sale Prospectus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was false or misleading.</w:t>
      </w:r>
    </w:p>
    <w:p>
      <w:pPr>
        <w:sectPr>
          <w:pgSz w:w="11900" w:h="16838" w:orient="portrait"/>
          <w:cols w:equalWidth="0" w:num="1">
            <w:col w:w="10980"/>
          </w:cols>
          <w:pgMar w:left="440" w:top="266" w:right="479" w:bottom="1440" w:gutter="0" w:footer="0" w:header="0"/>
        </w:sectPr>
      </w:pPr>
    </w:p>
    <w:bookmarkStart w:id="254" w:name="page255"/>
    <w:bookmarkEnd w:id="254"/>
    <w:p>
      <w:pPr>
        <w:jc w:val="both"/>
        <w:ind w:left="4" w:right="360" w:firstLine="436"/>
        <w:spacing w:after="0" w:line="268" w:lineRule="auto"/>
        <w:tabs>
          <w:tab w:leader="none" w:pos="789" w:val="left"/>
        </w:tabs>
        <w:numPr>
          <w:ilvl w:val="1"/>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Outstanding Loans or Other Extensions of Credit</w:t>
      </w:r>
      <w:r>
        <w:rPr>
          <w:rFonts w:ascii="Times New Roman" w:cs="Times New Roman" w:eastAsia="Times New Roman" w:hAnsi="Times New Roman"/>
          <w:sz w:val="18"/>
          <w:szCs w:val="18"/>
          <w:color w:val="auto"/>
        </w:rPr>
        <w:t>. The Company does not have any outstanding extension of credit, in the form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personal loan, to or for any director or executive officer (or equivalent thereof) of the Company except for such extensions of credit as are expressly permitted by Section 13(k) of the Exchange Act.</w:t>
      </w:r>
    </w:p>
    <w:p>
      <w:pPr>
        <w:spacing w:after="0" w:line="62" w:lineRule="exact"/>
        <w:rPr>
          <w:rFonts w:ascii="Times New Roman" w:cs="Times New Roman" w:eastAsia="Times New Roman" w:hAnsi="Times New Roman"/>
          <w:sz w:val="18"/>
          <w:szCs w:val="18"/>
          <w:b w:val="1"/>
          <w:bCs w:val="1"/>
          <w:color w:val="auto"/>
        </w:rPr>
      </w:pPr>
    </w:p>
    <w:p>
      <w:pPr>
        <w:ind w:left="4" w:right="80" w:firstLine="436"/>
        <w:spacing w:after="0" w:line="267" w:lineRule="auto"/>
        <w:tabs>
          <w:tab w:leader="none" w:pos="809" w:val="left"/>
        </w:tabs>
        <w:numPr>
          <w:ilvl w:val="1"/>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Cybersecurity</w:t>
      </w:r>
      <w:r>
        <w:rPr>
          <w:rFonts w:ascii="Times New Roman" w:cs="Times New Roman" w:eastAsia="Times New Roman" w:hAnsi="Times New Roman"/>
          <w:sz w:val="17"/>
          <w:szCs w:val="17"/>
          <w:color w:val="auto"/>
        </w:rPr>
        <w:t>. The Company and its subsidiaries’ information technology assets and equipment, computers, systems, networks, hardware,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software, websites, applications, and databases (collectively, “</w:t>
      </w:r>
      <w:r>
        <w:rPr>
          <w:rFonts w:ascii="Times New Roman" w:cs="Times New Roman" w:eastAsia="Times New Roman" w:hAnsi="Times New Roman"/>
          <w:sz w:val="17"/>
          <w:szCs w:val="17"/>
          <w:b w:val="1"/>
          <w:bCs w:val="1"/>
          <w:color w:val="auto"/>
        </w:rPr>
        <w:t>IT Systems</w:t>
      </w:r>
      <w:r>
        <w:rPr>
          <w:rFonts w:ascii="Times New Roman" w:cs="Times New Roman" w:eastAsia="Times New Roman" w:hAnsi="Times New Roman"/>
          <w:sz w:val="17"/>
          <w:szCs w:val="17"/>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Data” (defined below) and all sensitive, confidential or regulated data (“</w:t>
      </w:r>
      <w:r>
        <w:rPr>
          <w:rFonts w:ascii="Times New Roman" w:cs="Times New Roman" w:eastAsia="Times New Roman" w:hAnsi="Times New Roman"/>
          <w:sz w:val="17"/>
          <w:szCs w:val="17"/>
          <w:b w:val="1"/>
          <w:bCs w:val="1"/>
          <w:color w:val="auto"/>
        </w:rPr>
        <w:t>Confidential Data</w:t>
      </w:r>
      <w:r>
        <w:rPr>
          <w:rFonts w:ascii="Times New Roman" w:cs="Times New Roman" w:eastAsia="Times New Roman" w:hAnsi="Times New Roman"/>
          <w:sz w:val="17"/>
          <w:szCs w:val="17"/>
          <w:color w:val="auto"/>
        </w:rPr>
        <w:t>”) used in connection with their businesses. “</w:t>
      </w:r>
      <w:r>
        <w:rPr>
          <w:rFonts w:ascii="Times New Roman" w:cs="Times New Roman" w:eastAsia="Times New Roman" w:hAnsi="Times New Roman"/>
          <w:sz w:val="17"/>
          <w:szCs w:val="17"/>
          <w:b w:val="1"/>
          <w:bCs w:val="1"/>
          <w:color w:val="auto"/>
        </w:rPr>
        <w:t>Personal Data</w:t>
      </w:r>
      <w:r>
        <w:rPr>
          <w:rFonts w:ascii="Times New Roman" w:cs="Times New Roman" w:eastAsia="Times New Roman" w:hAnsi="Times New Roman"/>
          <w:sz w:val="17"/>
          <w:szCs w:val="17"/>
          <w:color w:val="auto"/>
        </w:rPr>
        <w:t>” means (i) a natural person’s name, street address, telephone number, e-mail address, photograph, social security number or other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w:t>
      </w:r>
    </w:p>
    <w:p>
      <w:pPr>
        <w:spacing w:after="0" w:line="7" w:lineRule="exact"/>
        <w:rPr>
          <w:rFonts w:ascii="Times New Roman" w:cs="Times New Roman" w:eastAsia="Times New Roman" w:hAnsi="Times New Roman"/>
          <w:sz w:val="17"/>
          <w:szCs w:val="17"/>
          <w:b w:val="1"/>
          <w:bCs w:val="1"/>
          <w:color w:val="auto"/>
        </w:rPr>
      </w:pPr>
    </w:p>
    <w:p>
      <w:pPr>
        <w:ind w:left="4" w:hanging="4"/>
        <w:spacing w:after="0" w:line="251" w:lineRule="auto"/>
        <w:tabs>
          <w:tab w:leader="none" w:pos="30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(v) any “personal information” as defined by the California Consumer Privacy Act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and (vi) any other piece of information that allows the identification of such natural person, or his or her family, or permits the collection or analysis of any data related to an identified person’s health or sexual orientation. Except as would not, individually or in the aggregate, result in a Material Adverse Change, in the past five years,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Confidential Data, and Personal Data and to the protection of such IT Systems, Confidential Data, and Personal Data from unauthorized use, access, misappropriation or modification.</w:t>
      </w:r>
    </w:p>
    <w:p>
      <w:pPr>
        <w:spacing w:after="0" w:line="80" w:lineRule="exact"/>
        <w:rPr>
          <w:rFonts w:ascii="Times New Roman" w:cs="Times New Roman" w:eastAsia="Times New Roman" w:hAnsi="Times New Roman"/>
          <w:sz w:val="18"/>
          <w:szCs w:val="18"/>
          <w:color w:val="auto"/>
        </w:rPr>
      </w:pPr>
    </w:p>
    <w:p>
      <w:pPr>
        <w:ind w:left="4" w:firstLine="436"/>
        <w:spacing w:after="0" w:line="253" w:lineRule="auto"/>
        <w:tabs>
          <w:tab w:leader="none" w:pos="809" w:val="left"/>
        </w:tabs>
        <w:numPr>
          <w:ilvl w:val="1"/>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Data Privacy Laws</w:t>
      </w:r>
      <w:r>
        <w:rPr>
          <w:rFonts w:ascii="Times New Roman" w:cs="Times New Roman" w:eastAsia="Times New Roman" w:hAnsi="Times New Roman"/>
          <w:sz w:val="18"/>
          <w:szCs w:val="18"/>
          <w:color w:val="auto"/>
        </w:rPr>
        <w:t>. The Company and its subsidiaries are, and at all prior times were, in material compliance with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state and federal data privacy and security laws and regulations, including without limitation HIPAA, CCPA, and the European Union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(EU 2016/679) (collectively, the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To ensure compliance with the Privacy Laws, the Company and its subsidiaries have in place, comply with, and take appropriate steps to ensure compliance in all material respects with their policies and procedures relating to data privacy and security and the collection, storage, use, processing, disclosure, handling, and analysis of Personal Data and Confidential Data (the “</w:t>
      </w:r>
      <w:r>
        <w:rPr>
          <w:rFonts w:ascii="Times New Roman" w:cs="Times New Roman" w:eastAsia="Times New Roman" w:hAnsi="Times New Roman"/>
          <w:sz w:val="18"/>
          <w:szCs w:val="18"/>
          <w:b w:val="1"/>
          <w:bCs w:val="1"/>
          <w:color w:val="auto"/>
        </w:rPr>
        <w:t>Policies</w:t>
      </w:r>
      <w:r>
        <w:rPr>
          <w:rFonts w:ascii="Times New Roman" w:cs="Times New Roman" w:eastAsia="Times New Roman" w:hAnsi="Times New Roman"/>
          <w:sz w:val="18"/>
          <w:szCs w:val="18"/>
          <w:color w:val="auto"/>
        </w:rPr>
        <w:t>”). The Company and its subsidiaries have, except as would not reasonably be expected, individually or in the aggregate, to result in a Material Adverse Change, at all times made all disclosures to users or customers required by applicable laws and regulatory rules or requirements, and none of such disclosures made or contained in any Policy have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ectPr>
          <w:pgSz w:w="11900" w:h="16838" w:orient="portrait"/>
          <w:cols w:equalWidth="0" w:num="1">
            <w:col w:w="11004"/>
          </w:cols>
          <w:pgMar w:left="436" w:top="266" w:right="459" w:bottom="1440" w:gutter="0" w:footer="0" w:header="0"/>
        </w:sectPr>
      </w:pPr>
    </w:p>
    <w:bookmarkStart w:id="255" w:name="page256"/>
    <w:bookmarkEnd w:id="255"/>
    <w:p>
      <w:pPr>
        <w:ind w:left="-436" w:right="60" w:firstLine="436"/>
        <w:spacing w:after="0" w:line="262" w:lineRule="auto"/>
        <w:tabs>
          <w:tab w:leader="none" w:pos="328"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Emerging Growth Company Status</w:t>
      </w:r>
      <w:r>
        <w:rPr>
          <w:rFonts w:ascii="Times New Roman" w:cs="Times New Roman" w:eastAsia="Times New Roman" w:hAnsi="Times New Roman"/>
          <w:sz w:val="18"/>
          <w:szCs w:val="18"/>
          <w:color w:val="auto"/>
        </w:rPr>
        <w:t>. From the time of initial confidential submission of the registration statement relating to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initial public offering to the Commission (or, if 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b w:val="1"/>
          <w:bCs w:val="1"/>
          <w:color w:val="auto"/>
        </w:rPr>
      </w:pPr>
    </w:p>
    <w:p>
      <w:pPr>
        <w:ind w:left="-436" w:firstLine="436"/>
        <w:spacing w:after="0" w:line="254" w:lineRule="auto"/>
        <w:tabs>
          <w:tab w:leader="none" w:pos="309"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Communications</w:t>
      </w:r>
      <w:r>
        <w:rPr>
          <w:rFonts w:ascii="Times New Roman" w:cs="Times New Roman" w:eastAsia="Times New Roman" w:hAnsi="Times New Roman"/>
          <w:sz w:val="18"/>
          <w:szCs w:val="18"/>
          <w:color w:val="auto"/>
        </w:rPr>
        <w:t>. The Company (i) has not alone engaged in communications with potential investors in reliance on Section 5(d)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Act other than Section 5(d) Oral Communications and Permitted Section 5(d) Communications with the consent of the Representatives with entities that are QIBs or IAIs or those reasonably believed to be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Shares.</w:t>
      </w:r>
    </w:p>
    <w:p>
      <w:pPr>
        <w:spacing w:after="0" w:line="74" w:lineRule="exact"/>
        <w:rPr>
          <w:rFonts w:ascii="Times New Roman" w:cs="Times New Roman" w:eastAsia="Times New Roman" w:hAnsi="Times New Roman"/>
          <w:sz w:val="18"/>
          <w:szCs w:val="18"/>
          <w:b w:val="1"/>
          <w:bCs w:val="1"/>
          <w:color w:val="auto"/>
        </w:rPr>
      </w:pPr>
    </w:p>
    <w:p>
      <w:pPr>
        <w:ind w:left="-436" w:right="100" w:firstLine="436"/>
        <w:spacing w:after="0" w:line="253" w:lineRule="auto"/>
        <w:tabs>
          <w:tab w:leader="none" w:pos="289"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Clinical Data and Regulatory Compliance. </w:t>
      </w:r>
      <w:r>
        <w:rPr>
          <w:rFonts w:ascii="Times New Roman" w:cs="Times New Roman" w:eastAsia="Times New Roman" w:hAnsi="Times New Roman"/>
          <w:sz w:val="18"/>
          <w:szCs w:val="18"/>
          <w:color w:val="auto"/>
        </w:rPr>
        <w:t>The preclinical tests and clinical trials, and other studies used to support regulatory approval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that are described in, or the results of which are referred to in, the Registration Statement, the Time of Sale Prospectus or the Prospectus were and, if still pending, are being conducted in all material respects in accordance with applicable study protocols approved for such studies and with applicable statutes and regulations promulgated by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the Time of Sale Prospectuses or the Prospectus; the Company and its subsidiaries have made all such filings and obtained all such approvals as may be required by the FDA or any committee thereof or from any other U.S. or foreign government or drug regulatory agency, or health care facility Institutional Review Board, each having jurisdiction over biopharmaceutical products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neither the Company nor any of its subsidiaries has received any notice of, or correspondence from, any Regulatory Agency requiring the termination or suspension of any clinical trials that are described or referred to in the Registration Statement, the Time of Sale Prospectus or the Prospectus; and the Company and its subsidiaries have each operated and currently are in compliance in all material respects with all applicable rules, regulations and policies of the Regulatory Agencies.</w:t>
      </w:r>
    </w:p>
    <w:p>
      <w:pPr>
        <w:sectPr>
          <w:pgSz w:w="11900" w:h="16838" w:orient="portrait"/>
          <w:cols w:equalWidth="0" w:num="1">
            <w:col w:w="10564"/>
          </w:cols>
          <w:pgMar w:left="876" w:top="266" w:right="459" w:bottom="1440" w:gutter="0" w:footer="0" w:header="0"/>
        </w:sectPr>
      </w:pPr>
    </w:p>
    <w:bookmarkStart w:id="256" w:name="page257"/>
    <w:bookmarkEnd w:id="256"/>
    <w:p>
      <w:pPr>
        <w:ind w:right="80" w:firstLine="436"/>
        <w:spacing w:after="0" w:line="252" w:lineRule="auto"/>
        <w:tabs>
          <w:tab w:leader="none" w:pos="805"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Compliance with Health Care Laws. </w:t>
      </w:r>
      <w:r>
        <w:rPr>
          <w:rFonts w:ascii="Times New Roman" w:cs="Times New Roman" w:eastAsia="Times New Roman" w:hAnsi="Times New Roman"/>
          <w:sz w:val="18"/>
          <w:szCs w:val="18"/>
          <w:color w:val="auto"/>
        </w:rPr>
        <w:t>The Company and its subsidiaries are, and at all times have been, in material compliance with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 Care Laws applicable to biopharmaceutical products. For purposes of this Agreement, “Health Care Laws” means: (i) the Federal Food, Drug, and Cosmetic Act (21 U.S.C. Section 301 et seq.), the Public Health Service Act (42 U.S.C. Section 201 et seq.), and the regulations promulgated thereunder pertaining to biopharmaceutical products; (ii) to the extent applicable to pre-commercial biopharmaceutical products, all applicable federal, state, local and foreign health care fraud and abuse laws, including, without limitation, the Anti-Kickback Statute (42 U.S.C. Section 1320a-7b(b)), the Civil False Claims Act (31 U.S.C. Section 3729 et seq.), the criminal false statements law (42 U.S.C. Section 1320a-7b(a)), 18 U.S.C. Sections 286 and 287, the health care fraud criminal provisions under the U.S. Health Insurance Portability and Accountability Act of 1996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(42 U.S.C. Section 1320d et seq.), the civil monetary penalties law (42 U.S.C. Section 1320a-7a), the exclusion law (42 U.S.C. Section 1320a-7), and applicable laws governing government funded or sponsored healthcare programs; (iii) HIPAA, as amended by the Health Information Technology for Economic and Clinical Health Act (42 U.S.C. Section 17921 et seq.); (iv) all other local, state, federal, national, supranational and foreign laws, relating to the regulation of the Company or its subsidiaries; and (v) the directives and regulations promulgated pursuant to such statutes and any state or non-U.S. counterpart thereof. Neither the Company nor any of its subsidiaries has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nor any of its subsidiaries nor any of their respective employees, officers, directors, or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77" w:lineRule="exact"/>
        <w:rPr>
          <w:rFonts w:ascii="Times New Roman" w:cs="Times New Roman" w:eastAsia="Times New Roman" w:hAnsi="Times New Roman"/>
          <w:sz w:val="18"/>
          <w:szCs w:val="18"/>
          <w:b w:val="1"/>
          <w:bCs w:val="1"/>
          <w:color w:val="auto"/>
        </w:rPr>
      </w:pPr>
    </w:p>
    <w:p>
      <w:pPr>
        <w:ind w:firstLine="436"/>
        <w:spacing w:after="0" w:line="259" w:lineRule="auto"/>
        <w:tabs>
          <w:tab w:leader="none" w:pos="785"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No Contract Terminations. </w:t>
      </w:r>
      <w:r>
        <w:rPr>
          <w:rFonts w:ascii="Times New Roman" w:cs="Times New Roman" w:eastAsia="Times New Roman" w:hAnsi="Times New Roman"/>
          <w:sz w:val="18"/>
          <w:szCs w:val="18"/>
          <w:color w:val="auto"/>
        </w:rPr>
        <w:t>Neither the Company nor any of its subsidiaries has sent or received any communication regarding termination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or intent not to renew, any of the contracts or agreements referred to or described in any preliminary prospectus, the Prospectus or any free writing prospectus, or referred to or described in, or filed as an exhibit to, the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71" w:lineRule="exact"/>
        <w:rPr>
          <w:rFonts w:ascii="Times New Roman" w:cs="Times New Roman" w:eastAsia="Times New Roman" w:hAnsi="Times New Roman"/>
          <w:sz w:val="18"/>
          <w:szCs w:val="18"/>
          <w:b w:val="1"/>
          <w:bCs w:val="1"/>
          <w:color w:val="auto"/>
        </w:rPr>
      </w:pPr>
    </w:p>
    <w:p>
      <w:pPr>
        <w:ind w:right="60" w:firstLine="436"/>
        <w:spacing w:after="0" w:line="259" w:lineRule="auto"/>
        <w:tabs>
          <w:tab w:leader="none" w:pos="865"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Dividend Restrictions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otherwise disclosed in the Registration Statement, the Time of Sale Prospectus and the Prospectus,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71" w:lineRule="exact"/>
        <w:rPr>
          <w:rFonts w:ascii="Times New Roman" w:cs="Times New Roman" w:eastAsia="Times New Roman" w:hAnsi="Times New Roman"/>
          <w:sz w:val="18"/>
          <w:szCs w:val="18"/>
          <w:b w:val="1"/>
          <w:bCs w:val="1"/>
          <w:color w:val="auto"/>
        </w:rPr>
      </w:pPr>
    </w:p>
    <w:p>
      <w:pPr>
        <w:ind w:firstLine="436"/>
        <w:spacing w:after="0" w:line="263" w:lineRule="auto"/>
        <w:tabs>
          <w:tab w:leader="none" w:pos="785"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Ratings</w:t>
      </w:r>
      <w:r>
        <w:rPr>
          <w:rFonts w:ascii="Times New Roman" w:cs="Times New Roman" w:eastAsia="Times New Roman" w:hAnsi="Times New Roman"/>
          <w:sz w:val="18"/>
          <w:szCs w:val="18"/>
          <w:color w:val="auto"/>
        </w:rPr>
        <w:t>. There are (and prior to the Closing Date, will be) no debt securities, convertible securities or preferred stock issued or guaranteed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the Company or any of its subsidiaries that are rated by a “nationally recognized statistical rating organization”, as such term is defined in</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3(a)(62) under the Exchange Act.</w:t>
      </w:r>
    </w:p>
    <w:p>
      <w:pPr>
        <w:sectPr>
          <w:pgSz w:w="11900" w:h="16838" w:orient="portrait"/>
          <w:cols w:equalWidth="0" w:num="1">
            <w:col w:w="11000"/>
          </w:cols>
          <w:pgMar w:left="440" w:top="266" w:right="459" w:bottom="1440" w:gutter="0" w:footer="0" w:header="0"/>
        </w:sectPr>
      </w:pPr>
    </w:p>
    <w:bookmarkStart w:id="257" w:name="page258"/>
    <w:bookmarkEnd w:id="257"/>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certificate signed by any officer of the Company or any of its subsidiaries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76"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 has a reasonable basis for making each of the representations set forth in this Section 1. The Company acknowledges that the Underwriters and, for purposes of the opinions to be delivered pursuant to Section 6 hereof, counsel to the Company and counsel to the Underwriters, will rely upon the accuracy and truthfulness of the foregoing representations and hereby consents to such reliance.</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2. Purchase, Sale and Delivery of the Offered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36"/>
        <w:spacing w:after="0" w:line="262" w:lineRule="auto"/>
        <w:tabs>
          <w:tab w:leader="none" w:pos="695"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Firm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terms herein set forth, the Company agrees to issue and sell to the several Underwriters an aggregate of [●]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Shares. On the basis of the representations, warranties and agreements herein contained, and upon the terms but subject to the conditions herein set forth, the Underwriters agree, severally and not jointly, to purchase from the Company the respective number of Firm Shares set forth opposite their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The purchase price per Firm Share to be paid by the several Underwriters to the Company shall be $[●] per share.</w:t>
      </w:r>
    </w:p>
    <w:p>
      <w:pPr>
        <w:spacing w:after="0" w:line="68" w:lineRule="exact"/>
        <w:rPr>
          <w:rFonts w:ascii="Times New Roman" w:cs="Times New Roman" w:eastAsia="Times New Roman" w:hAnsi="Times New Roman"/>
          <w:sz w:val="18"/>
          <w:szCs w:val="18"/>
          <w:b w:val="1"/>
          <w:bCs w:val="1"/>
          <w:color w:val="auto"/>
        </w:rPr>
      </w:pPr>
    </w:p>
    <w:p>
      <w:pPr>
        <w:ind w:firstLine="436"/>
        <w:spacing w:after="0" w:line="256" w:lineRule="auto"/>
        <w:tabs>
          <w:tab w:leader="none" w:pos="705"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The First Closing Date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of certificates for the Firm Shares to be purchased by the Underwriters and payment therefor shall be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offices of Cooley LLP, 101 California Street, 5th Floor, San Francisco, California 94111 (or such other place as may be agreed to by the Company and the Representatives) at 9:00 a.m. New York City time, on [●], 2020, or such other time and date not later than 1:30 p.m. New York City time, on [●], 2020 as the Representatives shall designate by notice to the Company (the time and date of such closing are called the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w:t>
      </w:r>
    </w:p>
    <w:p>
      <w:pPr>
        <w:spacing w:after="0" w:line="74" w:lineRule="exact"/>
        <w:rPr>
          <w:rFonts w:ascii="Times New Roman" w:cs="Times New Roman" w:eastAsia="Times New Roman" w:hAnsi="Times New Roman"/>
          <w:sz w:val="18"/>
          <w:szCs w:val="18"/>
          <w:b w:val="1"/>
          <w:bCs w:val="1"/>
          <w:color w:val="auto"/>
        </w:rPr>
      </w:pPr>
    </w:p>
    <w:p>
      <w:pPr>
        <w:ind w:right="40" w:firstLine="436"/>
        <w:spacing w:after="0" w:line="268" w:lineRule="auto"/>
        <w:tabs>
          <w:tab w:leader="none" w:pos="685" w:val="left"/>
        </w:tabs>
        <w:numPr>
          <w:ilvl w:val="0"/>
          <w:numId w:val="1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The Optional Shares; Option Closing Date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addition, on the basis of the representations, warranties and agreements herein contained,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upon the terms but subject to the conditions herein set forth, the Company hereby grants an option to the several Underwriters to purchase, severally and not jointly, up to an aggregate of [●] Optional Shares from the Company at the purchase price per share to be paid by the Underwriters for the Firm Shares. The option granted hereunder may be exercised at any time and from time to time in whole or in part upon notice by the Representatives to the Company, which notice may be given at any time within 30 days from the date of this Agreement. Such notice shall set forth (i) the aggregate number of Optional Shares as to which the Underwriters are exercising the option and (ii) the time, date and place at which certificates for the Optional Shares will be delivered (which time and date may be simultaneous with, but not earlier than, the First Closing Date; and in the event that such time and date are simultaneous with the First Closing Date, the term “</w:t>
      </w:r>
      <w:r>
        <w:rPr>
          <w:rFonts w:ascii="Times New Roman" w:cs="Times New Roman" w:eastAsia="Times New Roman" w:hAnsi="Times New Roman"/>
          <w:sz w:val="17"/>
          <w:szCs w:val="17"/>
          <w:b w:val="1"/>
          <w:bCs w:val="1"/>
          <w:color w:val="auto"/>
        </w:rPr>
        <w:t>First Closing Date</w:t>
      </w:r>
      <w:r>
        <w:rPr>
          <w:rFonts w:ascii="Times New Roman" w:cs="Times New Roman" w:eastAsia="Times New Roman" w:hAnsi="Times New Roman"/>
          <w:sz w:val="17"/>
          <w:szCs w:val="17"/>
          <w:color w:val="auto"/>
        </w:rPr>
        <w:t>” shall refer to the time and date of delivery of certificates for the Firm Shares and such Optional Shares). Any such time and date of delivery, if subsequent to the First Closing Date, is called an “</w:t>
      </w:r>
      <w:r>
        <w:rPr>
          <w:rFonts w:ascii="Times New Roman" w:cs="Times New Roman" w:eastAsia="Times New Roman" w:hAnsi="Times New Roman"/>
          <w:sz w:val="17"/>
          <w:szCs w:val="17"/>
          <w:b w:val="1"/>
          <w:bCs w:val="1"/>
          <w:color w:val="auto"/>
        </w:rPr>
        <w:t>Option Closing Date</w:t>
      </w:r>
      <w:r>
        <w:rPr>
          <w:rFonts w:ascii="Times New Roman" w:cs="Times New Roman" w:eastAsia="Times New Roman" w:hAnsi="Times New Roman"/>
          <w:sz w:val="17"/>
          <w:szCs w:val="17"/>
          <w:color w:val="auto"/>
        </w:rPr>
        <w:t xml:space="preserve">,” shall be determined by the Representatives and shall not be earlier than two or later than five full business days after delivery of such notice of exercise. If any Optional Shares are to be purchased, (a) each Underwriter agrees, severally and not jointly, to purchase the number of Optional Shares (subject to such adjustments to eliminate fractional shares as the Representatives may determine) that bears the same proportion to the total number of Optional Shares to be purchased as the number of Firm Shares set forth on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opposite the name of such Underwriter bears to the total number of Firm Shares and (b) the Company agrees to sell the number of Optional Shares (subject to such adjustments to eliminate fractional shares as the Representatives may determine). The Representatives may cancel the option at any time prior to its expiration by giving written notice of such cancellation to the Company.</w:t>
      </w:r>
    </w:p>
    <w:p>
      <w:pPr>
        <w:sectPr>
          <w:pgSz w:w="11900" w:h="16838" w:orient="portrait"/>
          <w:cols w:equalWidth="0" w:num="1">
            <w:col w:w="11020"/>
          </w:cols>
          <w:pgMar w:left="440" w:top="270" w:right="439" w:bottom="1440" w:gutter="0" w:footer="0" w:header="0"/>
        </w:sectPr>
      </w:pPr>
    </w:p>
    <w:bookmarkStart w:id="258" w:name="page259"/>
    <w:bookmarkEnd w:id="258"/>
    <w:p>
      <w:pPr>
        <w:ind w:left="-436" w:right="220" w:firstLine="436"/>
        <w:spacing w:after="0" w:line="262" w:lineRule="auto"/>
        <w:tabs>
          <w:tab w:leader="none" w:pos="269"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 Offering of 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Representatives hereby advise the Company that the Underwriters intend to offer for sale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initially on the terms set forth in the Registration Statement, the Time of Sale Prospectus and the Prospectus, their respective portions of the Offered Shares as soon after this Agreement has been executed and the Registration Statement has been declared effective as the Representatives, in their sole judgment, have determined is advisable and practicable.</w:t>
      </w:r>
    </w:p>
    <w:p>
      <w:pPr>
        <w:spacing w:after="0" w:line="68" w:lineRule="exact"/>
        <w:rPr>
          <w:rFonts w:ascii="Times New Roman" w:cs="Times New Roman" w:eastAsia="Times New Roman" w:hAnsi="Times New Roman"/>
          <w:sz w:val="18"/>
          <w:szCs w:val="18"/>
          <w:b w:val="1"/>
          <w:bCs w:val="1"/>
          <w:color w:val="auto"/>
        </w:rPr>
      </w:pPr>
    </w:p>
    <w:p>
      <w:pPr>
        <w:ind w:left="-436" w:firstLine="436"/>
        <w:spacing w:after="0" w:line="286" w:lineRule="auto"/>
        <w:tabs>
          <w:tab w:leader="none" w:pos="249"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Payment for 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 Payment for the Offered Shares to be sold by the Company shall be made at the First Closing Date (and,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at each Option Closing Date) by wire transfer of immediately available funds to the order of the Company.</w:t>
      </w:r>
    </w:p>
    <w:p>
      <w:pPr>
        <w:spacing w:after="0" w:line="50" w:lineRule="exact"/>
        <w:rPr>
          <w:rFonts w:ascii="Times New Roman" w:cs="Times New Roman" w:eastAsia="Times New Roman" w:hAnsi="Times New Roman"/>
          <w:sz w:val="18"/>
          <w:szCs w:val="18"/>
          <w:b w:val="1"/>
          <w:bCs w:val="1"/>
          <w:color w:val="auto"/>
        </w:rPr>
      </w:pPr>
    </w:p>
    <w:p>
      <w:pPr>
        <w:ind w:left="-436" w:firstLine="987"/>
        <w:spacing w:after="0" w:line="256" w:lineRule="auto"/>
        <w:tabs>
          <w:tab w:leader="none" w:pos="82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understood that the Representatives have been authorized, for their own account and the accounts of the several Underwriters, to accept delivery of and receipt for, and make payment of the purchase price for, the Firm Shares and any Optional Shares the Underwriters have agreed to purchase. Each of Jefferies, Credit Suisse, Piper and Cantor,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75" w:lineRule="exact"/>
        <w:rPr>
          <w:rFonts w:ascii="Times New Roman" w:cs="Times New Roman" w:eastAsia="Times New Roman" w:hAnsi="Times New Roman"/>
          <w:sz w:val="18"/>
          <w:szCs w:val="18"/>
          <w:color w:val="auto"/>
        </w:rPr>
      </w:pPr>
    </w:p>
    <w:p>
      <w:pPr>
        <w:ind w:left="-436" w:firstLine="436"/>
        <w:spacing w:after="0" w:line="254" w:lineRule="auto"/>
        <w:tabs>
          <w:tab w:leader="none" w:pos="229"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Delivery of the Offered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deliver, or cause to be delivered to the Representatives for the accounts of the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certificates for the Firm Shares to be sold by them at the First Closing Date, against release of a wire transfer of immediately available funds for the amount of the purchase price therefor. The Company shall also deliver, or cause to be delivered to the Representatives for the accounts of the several Underwriters, certificates for the Optional Shares the Underwriters have agreed to purchase from them at the First Closing Date or the applicable Option Closing Date, as the case may be, against the release of a wire transfer of immediately available funds for the amount of the purchase price therefor. If Jefferies so elects, delivery of the Offered Shares may be made by credit to the accounts designated by Jefferies through The Depository Trust Company’s full fast transfer or DWAC programs. If Jefferies so elects, the certificates for the Offered Shares shall be in definitive form and registered in such names and denominations as the Representatives shall have requested at least two full business days prior to the First Closing Date (or the applicable Option Closing Date, as the case may be) and shall be made available for inspection on the business day preceding the First Closing Date (or the applicable Option Closing Date, as the case may be) at a location in New York City as the Representatives may designate. Time shall be of the essence, and delivery at the time and place specified in this Agreement is a further condition to the obligations of the Underwriters.</w:t>
      </w:r>
    </w:p>
    <w:p>
      <w:pPr>
        <w:spacing w:after="0" w:line="18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 xml:space="preserve">Section 3. Additional Covenants of the Company. </w:t>
      </w:r>
      <w:r>
        <w:rPr>
          <w:rFonts w:ascii="Times New Roman" w:cs="Times New Roman" w:eastAsia="Times New Roman" w:hAnsi="Times New Roman"/>
          <w:sz w:val="18"/>
          <w:szCs w:val="18"/>
          <w:color w:val="auto"/>
        </w:rPr>
        <w:t>The Company further covenants and agrees with each Underwriter as follows:</w:t>
      </w:r>
    </w:p>
    <w:p>
      <w:pPr>
        <w:spacing w:after="0" w:line="117" w:lineRule="exact"/>
        <w:rPr>
          <w:sz w:val="20"/>
          <w:szCs w:val="20"/>
          <w:color w:val="auto"/>
        </w:rPr>
      </w:pPr>
    </w:p>
    <w:p>
      <w:pPr>
        <w:ind w:left="-436" w:right="80" w:firstLine="436"/>
        <w:spacing w:after="0" w:line="257" w:lineRule="auto"/>
        <w:tabs>
          <w:tab w:leader="none" w:pos="259"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Delivery of Registration Statement, Time of Sale Prospectus and Prospectus. </w:t>
      </w:r>
      <w:r>
        <w:rPr>
          <w:rFonts w:ascii="Times New Roman" w:cs="Times New Roman" w:eastAsia="Times New Roman" w:hAnsi="Times New Roman"/>
          <w:sz w:val="18"/>
          <w:szCs w:val="18"/>
          <w:color w:val="auto"/>
        </w:rPr>
        <w:t>The Company shall furnish, upon request,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Representatives in New York City, without 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 the Offered Shares, as many copies of the Time of Sale Prospectus, the Prospectus and any supplements and amendments thereto or to the Registration Statement as the Representatives may reasonably request.</w:t>
      </w:r>
    </w:p>
    <w:p>
      <w:pPr>
        <w:sectPr>
          <w:pgSz w:w="11900" w:h="16838" w:orient="portrait"/>
          <w:cols w:equalWidth="0" w:num="1">
            <w:col w:w="10564"/>
          </w:cols>
          <w:pgMar w:left="876" w:top="266" w:right="459" w:bottom="1440" w:gutter="0" w:footer="0" w:header="0"/>
        </w:sectPr>
      </w:pPr>
    </w:p>
    <w:bookmarkStart w:id="259" w:name="page260"/>
    <w:bookmarkEnd w:id="259"/>
    <w:p>
      <w:pPr>
        <w:ind w:left="-436" w:right="20" w:firstLine="436"/>
        <w:spacing w:after="0" w:line="254" w:lineRule="auto"/>
        <w:tabs>
          <w:tab w:leader="none" w:pos="269"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Representatives’ Review of Proposed Amendments and Supplements. </w:t>
      </w:r>
      <w:r>
        <w:rPr>
          <w:rFonts w:ascii="Times New Roman" w:cs="Times New Roman" w:eastAsia="Times New Roman" w:hAnsi="Times New Roman"/>
          <w:sz w:val="18"/>
          <w:szCs w:val="18"/>
          <w:color w:val="auto"/>
        </w:rPr>
        <w:t>During the period when a prospectus relating to the Offered Shares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(which consent shall not be unreasonably withheld, conditioned or delayed).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conditioned or delayed). The Company shall file with the Commission within the applicable period specified in Rule 424(b) under the Securities Act any prospectus required to be filed pursuant to such Rule.</w:t>
      </w:r>
    </w:p>
    <w:p>
      <w:pPr>
        <w:spacing w:after="0" w:line="77" w:lineRule="exact"/>
        <w:rPr>
          <w:rFonts w:ascii="Times New Roman" w:cs="Times New Roman" w:eastAsia="Times New Roman" w:hAnsi="Times New Roman"/>
          <w:sz w:val="18"/>
          <w:szCs w:val="18"/>
          <w:b w:val="1"/>
          <w:bCs w:val="1"/>
          <w:color w:val="auto"/>
        </w:rPr>
      </w:pPr>
    </w:p>
    <w:p>
      <w:pPr>
        <w:ind w:left="-436" w:firstLine="436"/>
        <w:spacing w:after="0" w:line="252" w:lineRule="auto"/>
        <w:tabs>
          <w:tab w:leader="none" w:pos="249"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Free Writing Prospectuses. </w:t>
      </w:r>
      <w:r>
        <w:rPr>
          <w:rFonts w:ascii="Times New Roman" w:cs="Times New Roman" w:eastAsia="Times New Roman" w:hAnsi="Times New Roman"/>
          <w:sz w:val="18"/>
          <w:szCs w:val="18"/>
          <w:color w:val="auto"/>
        </w:rPr>
        <w:t>The Company shall furnish to the Representatives for review, a reasonable amount of time prior to the proposed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conditioned or delayed).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which has not been superseded or modified,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prior to amending or supplementing any such free writing prospectus, the Company shall furnish to the Representatives for review,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 conditioned or delayed).</w:t>
      </w:r>
    </w:p>
    <w:p>
      <w:pPr>
        <w:spacing w:after="0" w:line="83" w:lineRule="exact"/>
        <w:rPr>
          <w:rFonts w:ascii="Times New Roman" w:cs="Times New Roman" w:eastAsia="Times New Roman" w:hAnsi="Times New Roman"/>
          <w:sz w:val="18"/>
          <w:szCs w:val="18"/>
          <w:b w:val="1"/>
          <w:bCs w:val="1"/>
          <w:color w:val="auto"/>
        </w:rPr>
      </w:pPr>
    </w:p>
    <w:p>
      <w:pPr>
        <w:ind w:left="-436" w:firstLine="436"/>
        <w:spacing w:after="0" w:line="268" w:lineRule="auto"/>
        <w:tabs>
          <w:tab w:leader="none" w:pos="269"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Filing of Underwriter Free Writing Prospectuses. </w:t>
      </w:r>
      <w:r>
        <w:rPr>
          <w:rFonts w:ascii="Times New Roman" w:cs="Times New Roman" w:eastAsia="Times New Roman" w:hAnsi="Times New Roman"/>
          <w:sz w:val="18"/>
          <w:szCs w:val="18"/>
          <w:color w:val="auto"/>
        </w:rPr>
        <w:t>The Company shall not take any action that would result in an Underwriter or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required to file with the Commission pursuant to Rule 433(d) under the Securities Act a free writing prospectus prepared by or on behalf of such Underwriter that such Underwriter otherwise would not have been required to file thereunder.</w:t>
      </w:r>
    </w:p>
    <w:p>
      <w:pPr>
        <w:sectPr>
          <w:pgSz w:w="11900" w:h="16838" w:orient="portrait"/>
          <w:cols w:equalWidth="0" w:num="1">
            <w:col w:w="10564"/>
          </w:cols>
          <w:pgMar w:left="876" w:top="266" w:right="459" w:bottom="1440" w:gutter="0" w:footer="0" w:header="0"/>
        </w:sectPr>
      </w:pPr>
    </w:p>
    <w:bookmarkStart w:id="260" w:name="page261"/>
    <w:bookmarkEnd w:id="260"/>
    <w:p>
      <w:pPr>
        <w:ind w:left="-436" w:firstLine="436"/>
        <w:spacing w:after="0" w:line="253" w:lineRule="auto"/>
        <w:tabs>
          <w:tab w:leader="none" w:pos="249"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Amendments and Supplements to Time of Sale Prospectus. </w:t>
      </w:r>
      <w:r>
        <w:rPr>
          <w:rFonts w:ascii="Times New Roman" w:cs="Times New Roman" w:eastAsia="Times New Roman" w:hAnsi="Times New Roman"/>
          <w:sz w:val="18"/>
          <w:szCs w:val="18"/>
          <w:color w:val="auto"/>
        </w:rPr>
        <w:t>If the Time of Sale Prospectus is being used to solicit offers to buy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3(b) and Section 3(c)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81" w:lineRule="exact"/>
        <w:rPr>
          <w:rFonts w:ascii="Times New Roman" w:cs="Times New Roman" w:eastAsia="Times New Roman" w:hAnsi="Times New Roman"/>
          <w:sz w:val="18"/>
          <w:szCs w:val="18"/>
          <w:b w:val="1"/>
          <w:bCs w:val="1"/>
          <w:color w:val="auto"/>
        </w:rPr>
      </w:pPr>
    </w:p>
    <w:p>
      <w:pPr>
        <w:ind w:left="-436" w:firstLine="436"/>
        <w:spacing w:after="0" w:line="253" w:lineRule="auto"/>
        <w:tabs>
          <w:tab w:leader="none" w:pos="229"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Notifications and Required 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the date of this Agreement, the Company shall promptly advise the Representatives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writing (which may be by electronic mail)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if the Company gains knowledge of such proceeding,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79" w:lineRule="exact"/>
        <w:rPr>
          <w:rFonts w:ascii="Times New Roman" w:cs="Times New Roman" w:eastAsia="Times New Roman" w:hAnsi="Times New Roman"/>
          <w:sz w:val="18"/>
          <w:szCs w:val="18"/>
          <w:b w:val="1"/>
          <w:bCs w:val="1"/>
          <w:color w:val="auto"/>
        </w:rPr>
      </w:pPr>
    </w:p>
    <w:p>
      <w:pPr>
        <w:ind w:left="-436" w:right="60" w:firstLine="436"/>
        <w:spacing w:after="0" w:line="255" w:lineRule="auto"/>
        <w:tabs>
          <w:tab w:leader="none" w:pos="259"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Amendments and Supplements to the Prospectus and Other Securities Act Matters. </w:t>
      </w:r>
      <w:r>
        <w:rPr>
          <w:rFonts w:ascii="Times New Roman" w:cs="Times New Roman" w:eastAsia="Times New Roman" w:hAnsi="Times New Roman"/>
          <w:sz w:val="18"/>
          <w:szCs w:val="18"/>
          <w:color w:val="auto"/>
        </w:rPr>
        <w:t>If any event shall occur or condition exist as a result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w:t>
      </w:r>
    </w:p>
    <w:p>
      <w:pPr>
        <w:sectPr>
          <w:pgSz w:w="11900" w:h="16838" w:orient="portrait"/>
          <w:cols w:equalWidth="0" w:num="1">
            <w:col w:w="10504"/>
          </w:cols>
          <w:pgMar w:left="876" w:top="266" w:right="519" w:bottom="1440" w:gutter="0" w:footer="0" w:header="0"/>
        </w:sectPr>
      </w:pPr>
    </w:p>
    <w:bookmarkStart w:id="261" w:name="page262"/>
    <w:bookmarkEnd w:id="261"/>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3(b) or Section 3(c).</w:t>
      </w:r>
    </w:p>
    <w:p>
      <w:pPr>
        <w:spacing w:after="0" w:line="68" w:lineRule="exact"/>
        <w:rPr>
          <w:sz w:val="20"/>
          <w:szCs w:val="20"/>
          <w:color w:val="auto"/>
        </w:rPr>
      </w:pPr>
    </w:p>
    <w:p>
      <w:pPr>
        <w:ind w:firstLine="436"/>
        <w:spacing w:after="0" w:line="254" w:lineRule="auto"/>
        <w:tabs>
          <w:tab w:leader="none" w:pos="705"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Blue Sky Compliance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cooperate with the Representatives and counsel for the Underwriters to qualify or register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Offered Shares for sale under (or obtain exemptions from the application of) the state securities or blue sky laws or Canadian provincial securities laws (or other foreign laws) of those jurisdictions as may be reasonably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if the Company gains knowledge of such proceeding, any initiation or threat of any proceeding for any such purpose, and in the event of the issuance of any order suspending such qualification, registration or exemption, the Company shall use its reasonable best efforts to obtain the withdrawal thereof at the earliest possible moment.</w:t>
      </w:r>
    </w:p>
    <w:p>
      <w:pPr>
        <w:spacing w:after="0" w:line="77" w:lineRule="exact"/>
        <w:rPr>
          <w:rFonts w:ascii="Times New Roman" w:cs="Times New Roman" w:eastAsia="Times New Roman" w:hAnsi="Times New Roman"/>
          <w:sz w:val="18"/>
          <w:szCs w:val="18"/>
          <w:b w:val="1"/>
          <w:bCs w:val="1"/>
          <w:color w:val="auto"/>
        </w:rPr>
      </w:pPr>
    </w:p>
    <w:p>
      <w:pPr>
        <w:ind w:right="20" w:firstLine="436"/>
        <w:spacing w:after="0" w:line="286" w:lineRule="auto"/>
        <w:tabs>
          <w:tab w:leader="none" w:pos="655"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apply the net proceeds from the sale of the Offered Shares sold by it in all material respects in the manner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described under the caption “Use of Proceeds” in the Registration Statement, the Time of Sale Prospectus and the Prospectus.</w:t>
      </w:r>
    </w:p>
    <w:p>
      <w:pPr>
        <w:spacing w:after="0" w:line="46"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Transfer Agent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shall engage and maintain, at its expense, a registrar and transfer agent for the Shares.</w:t>
      </w:r>
    </w:p>
    <w:p>
      <w:pPr>
        <w:spacing w:after="0" w:line="117" w:lineRule="exact"/>
        <w:rPr>
          <w:rFonts w:ascii="Times New Roman" w:cs="Times New Roman" w:eastAsia="Times New Roman" w:hAnsi="Times New Roman"/>
          <w:sz w:val="18"/>
          <w:szCs w:val="18"/>
          <w:b w:val="1"/>
          <w:bCs w:val="1"/>
          <w:color w:val="auto"/>
        </w:rPr>
      </w:pPr>
    </w:p>
    <w:p>
      <w:pPr>
        <w:ind w:right="200" w:firstLine="436"/>
        <w:spacing w:after="0" w:line="262" w:lineRule="auto"/>
        <w:tabs>
          <w:tab w:leader="none" w:pos="705"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Earnings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make generally available to its security holders and to the Representatives as soon as practicable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68" w:lineRule="exact"/>
        <w:rPr>
          <w:rFonts w:ascii="Times New Roman" w:cs="Times New Roman" w:eastAsia="Times New Roman" w:hAnsi="Times New Roman"/>
          <w:sz w:val="18"/>
          <w:szCs w:val="18"/>
          <w:b w:val="1"/>
          <w:bCs w:val="1"/>
          <w:color w:val="auto"/>
        </w:rPr>
      </w:pPr>
    </w:p>
    <w:p>
      <w:pPr>
        <w:ind w:firstLine="436"/>
        <w:spacing w:after="0" w:line="257" w:lineRule="auto"/>
        <w:tabs>
          <w:tab w:leader="none" w:pos="655"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Continued Compliance with Securities 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comply with the Securities Act and the Exchange Act so as to permit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of the distribution of the Offered Shares as contemplated by this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the Nasdaq all reports and documents required to be filed under the Exchange Act. Additionally, the Company shall report the use of proceeds from the issuance of the Offered Shares as may be required under Rule 463 under the Securities Act.</w:t>
      </w:r>
    </w:p>
    <w:p>
      <w:pPr>
        <w:spacing w:after="0" w:line="74"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will use its reasonable best efforts to list, subject to notice of issuance, the Offered Shares on the Nasdaq.</w:t>
      </w:r>
    </w:p>
    <w:p>
      <w:pPr>
        <w:sectPr>
          <w:pgSz w:w="11900" w:h="16838" w:orient="portrait"/>
          <w:cols w:equalWidth="0" w:num="1">
            <w:col w:w="11000"/>
          </w:cols>
          <w:pgMar w:left="440" w:top="270" w:right="459" w:bottom="1440" w:gutter="0" w:footer="0" w:header="0"/>
        </w:sectPr>
      </w:pPr>
    </w:p>
    <w:bookmarkStart w:id="262" w:name="page263"/>
    <w:bookmarkEnd w:id="262"/>
    <w:p>
      <w:pPr>
        <w:ind w:left="4" w:right="40" w:firstLine="436"/>
        <w:spacing w:after="0" w:line="268" w:lineRule="auto"/>
        <w:tabs>
          <w:tab w:leader="none" w:pos="709" w:val="left"/>
        </w:tabs>
        <w:numPr>
          <w:ilvl w:val="1"/>
          <w:numId w:val="1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to Provide Copy of the Prospectus in Form That May be Downloaded from the Internet</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If requested by the Representatives,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 shall cause to be prepared and delivered, at its expense, within one business day from the effective date of this Agreement, to the Representatives an “</w:t>
      </w:r>
      <w:r>
        <w:rPr>
          <w:rFonts w:ascii="Times New Roman" w:cs="Times New Roman" w:eastAsia="Times New Roman" w:hAnsi="Times New Roman"/>
          <w:sz w:val="17"/>
          <w:szCs w:val="17"/>
          <w:b w:val="1"/>
          <w:bCs w:val="1"/>
          <w:color w:val="auto"/>
        </w:rPr>
        <w:t>electronic Prospectus</w:t>
      </w:r>
      <w:r>
        <w:rPr>
          <w:rFonts w:ascii="Times New Roman" w:cs="Times New Roman" w:eastAsia="Times New Roman" w:hAnsi="Times New Roman"/>
          <w:sz w:val="17"/>
          <w:szCs w:val="17"/>
          <w:color w:val="auto"/>
        </w:rPr>
        <w:t>” to be used by the Underwriters in connection with the offering and sale of the Offered Shares. As used herein, the term “</w:t>
      </w:r>
      <w:r>
        <w:rPr>
          <w:rFonts w:ascii="Times New Roman" w:cs="Times New Roman" w:eastAsia="Times New Roman" w:hAnsi="Times New Roman"/>
          <w:sz w:val="17"/>
          <w:szCs w:val="17"/>
          <w:b w:val="1"/>
          <w:bCs w:val="1"/>
          <w:color w:val="auto"/>
        </w:rPr>
        <w:t>electronic Prospectus</w:t>
      </w:r>
      <w:r>
        <w:rPr>
          <w:rFonts w:ascii="Times New Roman" w:cs="Times New Roman" w:eastAsia="Times New Roman" w:hAnsi="Times New Roman"/>
          <w:sz w:val="17"/>
          <w:szCs w:val="17"/>
          <w:color w:val="auto"/>
        </w:rPr>
        <w:t>” means a form of the 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w:t>
      </w:r>
    </w:p>
    <w:p>
      <w:pPr>
        <w:spacing w:after="0" w:line="4" w:lineRule="exact"/>
        <w:rPr>
          <w:rFonts w:ascii="Times New Roman" w:cs="Times New Roman" w:eastAsia="Times New Roman" w:hAnsi="Times New Roman"/>
          <w:sz w:val="17"/>
          <w:szCs w:val="17"/>
          <w:b w:val="1"/>
          <w:bCs w:val="1"/>
          <w:color w:val="auto"/>
        </w:rPr>
      </w:pPr>
    </w:p>
    <w:p>
      <w:pPr>
        <w:ind w:left="4" w:right="60" w:hanging="4"/>
        <w:spacing w:after="0" w:line="271" w:lineRule="auto"/>
        <w:tabs>
          <w:tab w:leader="none" w:pos="319"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shall be in or convertible into a paper format or an electronic format, satisfactory to Jefferies, that will allow investors to store and have continuously ready access to the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Prospectus.</w:t>
      </w:r>
    </w:p>
    <w:p>
      <w:pPr>
        <w:spacing w:after="0" w:line="61" w:lineRule="exact"/>
        <w:rPr>
          <w:rFonts w:ascii="Times New Roman" w:cs="Times New Roman" w:eastAsia="Times New Roman" w:hAnsi="Times New Roman"/>
          <w:sz w:val="17"/>
          <w:szCs w:val="17"/>
          <w:color w:val="auto"/>
        </w:rPr>
      </w:pPr>
    </w:p>
    <w:p>
      <w:pPr>
        <w:ind w:left="4" w:firstLine="436"/>
        <w:spacing w:after="0" w:line="252" w:lineRule="auto"/>
        <w:tabs>
          <w:tab w:leader="none" w:pos="699" w:val="left"/>
        </w:tabs>
        <w:numPr>
          <w:ilvl w:val="1"/>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Agreement Not to Offer or Sell Additional Shares</w:t>
      </w:r>
      <w:r>
        <w:rPr>
          <w:rFonts w:ascii="Times New Roman" w:cs="Times New Roman" w:eastAsia="Times New Roman" w:hAnsi="Times New Roman"/>
          <w:sz w:val="18"/>
          <w:szCs w:val="18"/>
          <w:color w:val="auto"/>
        </w:rPr>
        <w:t>. During the period commencing on and including the date hereof and continuing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including the 90th day following the date of the Prospectus (such period, as extended as described below, being referred to herein as the “</w:t>
      </w:r>
      <w:r>
        <w:rPr>
          <w:rFonts w:ascii="Times New Roman" w:cs="Times New Roman" w:eastAsia="Times New Roman" w:hAnsi="Times New Roman"/>
          <w:sz w:val="18"/>
          <w:szCs w:val="18"/>
          <w:b w:val="1"/>
          <w:b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the Company will not, without the prior written consent of Jefferies, Credit Suisse and Piper Sandler (which consent may be withheld in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discretion), directly or indirectly: (i) sell, offer to sell, contract to sell or lend any Shares or Related Securities (as defined below); (ii) effect any short sale, or establish or increase any “put equivalent position” (as defined in Rule 16a-1(h) under the Exchange Act) or liquidate or decrease any “call equivalent position” (as defined in Rule 16a-1(b) under the Exchange Act) of any Shares or Related Securities; (iii) pledge, hypothecate or grant any security interest in any Shares or Related Securities; (iv) in any other way transfer or dispose of any Shares or Related Securities; (v) enter into any swap, hedge or similar arrangement or agreement that transfers, in whole or in part, the economic risk of ownership of any Shares or Related Securities, regardless of whether any such transaction is to be settled in securities, in cash or otherwise; (vi) announce the offering of any Shares or Related Securities; (vii) submit or file any registration statement under the Securities Act in respect of any Shares or Related Securities (other than as contemplated by this Agreement with respect to the Offered Shares); (viii) effect a reverse stock split, recapitalization, share consolidation, reclassification or similar transaction affecting the outstanding Shares; or (ix) publicly announce the intention to do any of the foregoing; provided, however, that the Company may (A) effect the transactions contemplated hereby, (B) issue Shares or Related Securities, or issue Shares upon exercise of Related Securities, in each case, pursuant to any stock option, stock bonus, employee stock purchase plan, or other stock plan or arrangement described in the Registration Statement, the Time of Sale Prospectus and the Prospectus, (C) issue Shares or Related Securities to any non-employee director pursuant to any non-employee director compensation plan or program described in the Registration Statement, the Time of Sale Prospectus and the Prospectus, (D) issue Shares pursuant to the exercise or settlement of Related Securities, or upon the conversion of convertible securities outstanding on the date hereof that are described in the Registration Statement, Time of Sale Prospectus and the Prospectus, (E) file one or more registration statements on Form S-8 to register Shares or Related Securities issued or issuable pursuant to any plans or programs described in (B) or (C) above, and (F) issue Shares or Related Securities, or enter into an agreement to issue Shares or Related Securities, in connection with any merger, joint venture, strategic alliances, commercial, lending or other collaborative or strategic transaction, the creation of a Scientific Advisory Board, or the acquisition or license of the business, property, technology or other assets of another individual or entity or the assumption of an employee benefit plan in connection with a merger or acquisition; provided that the</w:t>
      </w:r>
    </w:p>
    <w:p>
      <w:pPr>
        <w:sectPr>
          <w:pgSz w:w="11900" w:h="16838" w:orient="portrait"/>
          <w:cols w:equalWidth="0" w:num="1">
            <w:col w:w="11004"/>
          </w:cols>
          <w:pgMar w:left="436" w:top="266" w:right="459" w:bottom="1440" w:gutter="0" w:footer="0" w:header="0"/>
        </w:sectPr>
      </w:pPr>
    </w:p>
    <w:bookmarkStart w:id="263" w:name="page264"/>
    <w:bookmarkEnd w:id="26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aggregate number of Shares or Related Securities (on an as-converted or as-exercised basis, as the case may be) that the Company may issue or agree to issue pursuant to this clause (F) shall not exceed 5% of the total number of shares of common stock of the Company immediately following the completion of the transactions contemplated by this Agreement; and provided, that, in the case of clauses (B), (C), (D) and (F), each newly appointed director or executive officer that is a recipient thereof provides to the Representatives a signed Lock-up Agreement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For purposes of the foregoing, “</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77" w:lineRule="exact"/>
        <w:rPr>
          <w:sz w:val="20"/>
          <w:szCs w:val="20"/>
          <w:color w:val="auto"/>
        </w:rPr>
      </w:pPr>
    </w:p>
    <w:p>
      <w:pPr>
        <w:ind w:right="20" w:firstLine="436"/>
        <w:spacing w:after="0" w:line="253" w:lineRule="auto"/>
        <w:tabs>
          <w:tab w:leader="none" w:pos="705"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Future Reports to the Representatives</w:t>
      </w:r>
      <w:r>
        <w:rPr>
          <w:rFonts w:ascii="Times New Roman" w:cs="Times New Roman" w:eastAsia="Times New Roman" w:hAnsi="Times New Roman"/>
          <w:sz w:val="18"/>
          <w:szCs w:val="18"/>
          <w:color w:val="auto"/>
        </w:rPr>
        <w:t>. During the period of five years hereafter, the Company will furnish to the Representatives, 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Jefferies LLC, at 520 Madison Avenue, New York, New York 10022, Attention: Global Head of Syndicate, and c/o Credit Suisse Securities (USA) LLC, at Eleven Madison Avenue, New York, New York, 10010, Attention: IBCM-Legal, c/o Piper Sandler &amp; Co., at 800 Nicollet Mall, Suite 900, Minneapolis, Minnesota 55402, Attention: Equity Capital Markets, with copies to Piper Sandler &amp; Co., 800 Nicollet Mall, Suite 900, Minneapolis, MN 55402, Attention: General Counsel and c/o Cantor Fitzgerald &amp; Co., at 499 Park Avenue, New York, New York 10022, Attention Equity Capital Markets, with copies to Cantor Fitzgerald &amp; Co., 499 Park Avenue, New York, New York 10022, Attention: General Counsel: (i) as soon as practicable after the end of each fiscal year, copies of the Annual Report of the Company containing the balance sheet of the Company as of the close of such fiscal year and statements of income, stockholders’ equity (deficit)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FINRA or any securities exchange; and (iii) as soon as available, copies of any report or communication of the Company furnished or made available generally to holders of its capital stock; provided, however, that the requirements of this Section 3(p) shall be satisfied to the extent that such reports, statement, communications, financial statements or other documents are available on EDGAR.</w:t>
      </w:r>
    </w:p>
    <w:p>
      <w:pPr>
        <w:spacing w:after="0" w:line="79" w:lineRule="exact"/>
        <w:rPr>
          <w:rFonts w:ascii="Times New Roman" w:cs="Times New Roman" w:eastAsia="Times New Roman" w:hAnsi="Times New Roman"/>
          <w:sz w:val="18"/>
          <w:szCs w:val="18"/>
          <w:b w:val="1"/>
          <w:bCs w:val="1"/>
          <w:color w:val="auto"/>
        </w:rPr>
      </w:pPr>
    </w:p>
    <w:p>
      <w:pPr>
        <w:ind w:right="180" w:firstLine="436"/>
        <w:spacing w:after="0" w:line="268" w:lineRule="auto"/>
        <w:tabs>
          <w:tab w:leader="none" w:pos="705"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 Offered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in such a manner as would require the Company or any of its subsidiaries to register as an investment company under the Investment Company Act.</w:t>
      </w:r>
    </w:p>
    <w:p>
      <w:pPr>
        <w:spacing w:after="0" w:line="62" w:lineRule="exact"/>
        <w:rPr>
          <w:rFonts w:ascii="Times New Roman" w:cs="Times New Roman" w:eastAsia="Times New Roman" w:hAnsi="Times New Roman"/>
          <w:sz w:val="18"/>
          <w:szCs w:val="18"/>
          <w:b w:val="1"/>
          <w:bCs w:val="1"/>
          <w:color w:val="auto"/>
        </w:rPr>
      </w:pPr>
    </w:p>
    <w:p>
      <w:pPr>
        <w:ind w:right="120" w:firstLine="436"/>
        <w:spacing w:after="0" w:line="262" w:lineRule="auto"/>
        <w:tabs>
          <w:tab w:leader="none" w:pos="685"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Stabilization or Manipulation; Compliance with Regulation M</w:t>
      </w:r>
      <w:r>
        <w:rPr>
          <w:rFonts w:ascii="Times New Roman" w:cs="Times New Roman" w:eastAsia="Times New Roman" w:hAnsi="Times New Roman"/>
          <w:sz w:val="18"/>
          <w:szCs w:val="18"/>
          <w:color w:val="auto"/>
        </w:rPr>
        <w:t>. The Company will not take, and will ensure that no affiliate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will take, directly or indirectly, any action designed to or that could reasonably be expected to cause or result in stabilization or manipulation of the price of the Shares or any reference security with respect to the Shares, whether to facilitate the sale or resale of the Offered Shares or otherwise, and the Company will, and shall cause each of its affiliates to, comply with all applicable provisions of Regulation M.</w:t>
      </w:r>
    </w:p>
    <w:p>
      <w:pPr>
        <w:spacing w:after="0" w:line="68" w:lineRule="exact"/>
        <w:rPr>
          <w:rFonts w:ascii="Times New Roman" w:cs="Times New Roman" w:eastAsia="Times New Roman" w:hAnsi="Times New Roman"/>
          <w:sz w:val="18"/>
          <w:szCs w:val="18"/>
          <w:b w:val="1"/>
          <w:bCs w:val="1"/>
          <w:color w:val="auto"/>
        </w:rPr>
      </w:pPr>
    </w:p>
    <w:p>
      <w:pPr>
        <w:ind w:right="100" w:firstLine="436"/>
        <w:spacing w:after="0" w:line="257" w:lineRule="auto"/>
        <w:tabs>
          <w:tab w:leader="none" w:pos="675"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Enforce Lock-Up Agreements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Lock-up Period, the Company will enforce all agreements between the Company and any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securityholders that restrict or prohibit, expressly or in operation, the offer, sale or transfer of Shares or Related Securities or any of the other actions restricted or prohibited under the terms of the form of Lock-up Agreement. In addition, the Company will direct the transfer agent to place stop transfer restrictions upon any such securities of the Company that are bound by such “lock-up” agreements for the duration of the periods contemplated in such agreements, including, without limitation, “lock-up” agreements entered into by the Company’s officers, directors and securityholders pursuant to Section 6(j) hereof.</w:t>
      </w:r>
    </w:p>
    <w:p>
      <w:pPr>
        <w:sectPr>
          <w:pgSz w:w="11900" w:h="16838" w:orient="portrait"/>
          <w:cols w:equalWidth="0" w:num="1">
            <w:col w:w="11000"/>
          </w:cols>
          <w:pgMar w:left="440" w:top="270" w:right="459" w:bottom="1440" w:gutter="0" w:footer="0" w:header="0"/>
        </w:sectPr>
      </w:pPr>
    </w:p>
    <w:bookmarkStart w:id="264" w:name="page265"/>
    <w:bookmarkEnd w:id="264"/>
    <w:p>
      <w:pPr>
        <w:ind w:left="4" w:right="180" w:firstLine="436"/>
        <w:spacing w:after="0" w:line="259" w:lineRule="auto"/>
        <w:tabs>
          <w:tab w:leader="none" w:pos="669"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to Provide Interim Financial Statements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the First Closing Date and each applicable Option Closing Date,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furnish the Underwriters, as soon as practicable after they have been prepared by or are available to the Company a copy of any unaudited interim financial statements of the Company for any period subsequent to the period covered by the most recent financial statements appearing in the Registration Statement and the Prospectus; provided that the requirements of this Section 3(t) shall be deemed satisfied to the extent such financial statements are available on EDGAR.</w:t>
      </w:r>
    </w:p>
    <w:p>
      <w:pPr>
        <w:spacing w:after="0" w:line="71"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Amendments and Supplements to Permitted Section 5(d) Communications</w:t>
      </w:r>
      <w:r>
        <w:rPr>
          <w:rFonts w:ascii="Times New Roman" w:cs="Times New Roman" w:eastAsia="Times New Roman" w:hAnsi="Times New Roman"/>
          <w:sz w:val="18"/>
          <w:szCs w:val="18"/>
          <w:color w:val="auto"/>
        </w:rPr>
        <w:t>. If at any time following the distribution of any Permitted</w:t>
      </w:r>
    </w:p>
    <w:p>
      <w:pPr>
        <w:spacing w:after="0" w:line="31"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Section 5(d) Communication, during the period of time after the first date of the Offering of the Shares as in the opinion of counsel to the Underwriters a prospectus relating to the Shares is required by law to be delivered (or required to be delivered but for Rule 172 under the Securities Act) in connection with sales of the Shares by an Underwriter or dealer,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spacing w:after="0" w:line="76" w:lineRule="exact"/>
        <w:rPr>
          <w:sz w:val="20"/>
          <w:szCs w:val="20"/>
          <w:color w:val="auto"/>
        </w:rPr>
      </w:pPr>
    </w:p>
    <w:p>
      <w:pPr>
        <w:ind w:left="4" w:firstLine="436"/>
        <w:spacing w:after="0" w:line="262" w:lineRule="auto"/>
        <w:tabs>
          <w:tab w:leader="none" w:pos="699"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Emerging Growth Company Status</w:t>
      </w:r>
      <w:r>
        <w:rPr>
          <w:rFonts w:ascii="Times New Roman" w:cs="Times New Roman" w:eastAsia="Times New Roman" w:hAnsi="Times New Roman"/>
          <w:sz w:val="18"/>
          <w:szCs w:val="18"/>
          <w:color w:val="auto"/>
        </w:rPr>
        <w:t>. The Company will promptly notify the Representatives if the Company ceases to be an Emerging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at any time prior to the later of (i) the time when a prospectus relating to the Offered Shares is not required by the Securities Act to be delivered (whether physically or through compliance with Rule 172 under the Securities Act or any similar rule) and (ii) the expiration of the Lock-Up Period (as defined herein).</w:t>
      </w:r>
    </w:p>
    <w:p>
      <w:pPr>
        <w:spacing w:after="0" w:line="176"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i w:val="1"/>
          <w:iCs w:val="1"/>
          <w:color w:val="auto"/>
        </w:rPr>
        <w:t>Payment of Expenses</w:t>
      </w:r>
      <w:r>
        <w:rPr>
          <w:rFonts w:ascii="Times New Roman" w:cs="Times New Roman" w:eastAsia="Times New Roman" w:hAnsi="Times New Roman"/>
          <w:sz w:val="18"/>
          <w:szCs w:val="18"/>
          <w:color w:val="auto"/>
        </w:rPr>
        <w:t>. The Company agrees to pay all costs, fees and expenses incurred in connection with the performance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obligations hereunder and in connection with the transactions contemplated hereby, including without limitation: (i) all expenses incident to the issuance and delivery of the Offered Shares (including all printing and engraving costs), (ii) all fees and expenses of the registrar and transfer agent of the Shares, (iii) all necessary issue, transfer and other stamp taxes in connection with the issuance and sale of the Offered Shares to the Underwriters,</w:t>
      </w:r>
    </w:p>
    <w:p>
      <w:pPr>
        <w:spacing w:after="0" w:line="3" w:lineRule="exact"/>
        <w:rPr>
          <w:sz w:val="20"/>
          <w:szCs w:val="20"/>
          <w:color w:val="auto"/>
        </w:rPr>
      </w:pPr>
    </w:p>
    <w:p>
      <w:pPr>
        <w:ind w:left="4" w:hanging="4"/>
        <w:spacing w:after="0" w:line="251" w:lineRule="auto"/>
        <w:tabs>
          <w:tab w:leader="none" w:pos="30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Time of Sale Prospectus, the Prospectus, each free writing prospectus prepared by or on behalf of, used by, or referred to by the Company,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Shares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(vii) the costs, fees and expenses incurred by the Underwriters in connection with determining their compliance with the rules and regulations of FINRA related to the Underwriters’ participation in the offering and distribution of the Offered Shares, including any related filing fees and the legal fees of, and disbursements by, counsel to the Underwriters; provided, however, that such legal fees, taken together with the legal fees described in clause (vi) above, shall not exceed $[●]in the aggregate, (viii) the costs and expenses of the Company relating to investor presentations on any “road show”, any Permitted Section 5(d) Communication or any Section 5(d) Oral Communication undertaken in connection with the offering of the Offered Shares,</w:t>
      </w:r>
    </w:p>
    <w:p>
      <w:pPr>
        <w:sectPr>
          <w:pgSz w:w="11900" w:h="16838" w:orient="portrait"/>
          <w:cols w:equalWidth="0" w:num="1">
            <w:col w:w="11004"/>
          </w:cols>
          <w:pgMar w:left="436" w:top="266" w:right="459" w:bottom="1440" w:gutter="0" w:footer="0" w:header="0"/>
        </w:sectPr>
      </w:pPr>
    </w:p>
    <w:bookmarkStart w:id="265" w:name="page266"/>
    <w:bookmarkEnd w:id="26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any such consultants (it being understood that the Underwriters will pay or cause to be paid the travel and lodging expenses of their representatives), and 50% of the cost of any private aircraft chartered in connection with the road show used by both representatives of the Company and the Underwriters (it being understood that the Underwriters will pay or cause to be paid the other 50% of the cost of such aircraft), (ix) the fees and expenses associated with listing the Offered Shares on the Nasdaq, and (x) all other fees, costs and expenses of the nature referred to in Item 13 of Part II of the Registration Statement; provided, that any expenses payable under clauses (vi) and (vii) above and any expenses relating to the 50% of the cost of any private aircraft chartered in connection with the road show described in clause (viii) above are invoiced in a reasonably timely manner. Except as provided in this Section 4 or in Section 7, Section 9 or Section 10 hereof, the Underwriters shall pay their own expenses, including the fees and disbursements of their counsel, stock transfer taxes payable on resale of any of the Offered Shares by them and any advertising expenses connected with any offers they may make and lodging expenses incurred by them in connection with any road show, as applicable.</w:t>
      </w:r>
    </w:p>
    <w:p>
      <w:pPr>
        <w:spacing w:after="0" w:line="186" w:lineRule="exact"/>
        <w:rPr>
          <w:sz w:val="20"/>
          <w:szCs w:val="20"/>
          <w:color w:val="auto"/>
        </w:rPr>
      </w:pPr>
    </w:p>
    <w:p>
      <w:pPr>
        <w:jc w:val="both"/>
        <w:ind w:right="80" w:firstLine="991"/>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5. </w:t>
      </w:r>
      <w:r>
        <w:rPr>
          <w:rFonts w:ascii="Times New Roman" w:cs="Times New Roman" w:eastAsia="Times New Roman" w:hAnsi="Times New Roman"/>
          <w:sz w:val="17"/>
          <w:szCs w:val="17"/>
          <w:b w:val="1"/>
          <w:bCs w:val="1"/>
          <w:i w:val="1"/>
          <w:iCs w:val="1"/>
          <w:color w:val="auto"/>
        </w:rPr>
        <w:t>Covenant of the Underwriters</w:t>
      </w:r>
      <w:r>
        <w:rPr>
          <w:rFonts w:ascii="Times New Roman" w:cs="Times New Roman" w:eastAsia="Times New Roman" w:hAnsi="Times New Roman"/>
          <w:sz w:val="17"/>
          <w:szCs w:val="17"/>
          <w:color w:val="auto"/>
        </w:rPr>
        <w:t>. Each Underwriter severally and not jointly covenants with the Company not to take any 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53" w:lineRule="exact"/>
        <w:rPr>
          <w:sz w:val="20"/>
          <w:szCs w:val="20"/>
          <w:color w:val="auto"/>
        </w:rPr>
      </w:pPr>
    </w:p>
    <w:p>
      <w:pPr>
        <w:ind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i w:val="1"/>
          <w:iCs w:val="1"/>
          <w:color w:val="auto"/>
        </w:rPr>
        <w:t>Conditions of the Obligations of the Underwriters</w:t>
      </w:r>
      <w:r>
        <w:rPr>
          <w:rFonts w:ascii="Times New Roman" w:cs="Times New Roman" w:eastAsia="Times New Roman" w:hAnsi="Times New Roman"/>
          <w:sz w:val="18"/>
          <w:szCs w:val="18"/>
          <w:color w:val="auto"/>
        </w:rPr>
        <w:t>. The respective obligations of the several Underwriters hereunder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pay for the Offered Shares as provided herein on the First Closing Date and, with respect to the Optional Shares, each Option Closing Date,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to each of the following additional conditions:</w:t>
      </w:r>
    </w:p>
    <w:p>
      <w:pPr>
        <w:spacing w:after="0" w:line="71" w:lineRule="exact"/>
        <w:rPr>
          <w:sz w:val="20"/>
          <w:szCs w:val="20"/>
          <w:color w:val="auto"/>
        </w:rPr>
      </w:pPr>
    </w:p>
    <w:p>
      <w:pPr>
        <w:ind w:right="200" w:firstLine="436"/>
        <w:spacing w:after="0" w:line="259" w:lineRule="auto"/>
        <w:tabs>
          <w:tab w:leader="none" w:pos="695"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Comfort Letter</w:t>
      </w:r>
      <w:r>
        <w:rPr>
          <w:rFonts w:ascii="Times New Roman" w:cs="Times New Roman" w:eastAsia="Times New Roman" w:hAnsi="Times New Roman"/>
          <w:sz w:val="18"/>
          <w:szCs w:val="18"/>
          <w:color w:val="auto"/>
        </w:rPr>
        <w:t>. On the date hereof, the Representatives shall have received from KPMG LLP, independent registered public accountants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71" w:lineRule="exact"/>
        <w:rPr>
          <w:rFonts w:ascii="Times New Roman" w:cs="Times New Roman" w:eastAsia="Times New Roman" w:hAnsi="Times New Roman"/>
          <w:sz w:val="18"/>
          <w:szCs w:val="18"/>
          <w:b w:val="1"/>
          <w:bCs w:val="1"/>
          <w:color w:val="auto"/>
        </w:rPr>
      </w:pPr>
    </w:p>
    <w:p>
      <w:pPr>
        <w:jc w:val="both"/>
        <w:ind w:right="440" w:firstLine="436"/>
        <w:spacing w:after="0" w:line="268" w:lineRule="auto"/>
        <w:tabs>
          <w:tab w:leader="none" w:pos="705"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Compliance with Registration Requirements; No Stop Order; No Objection from FINRA</w:t>
      </w:r>
      <w:r>
        <w:rPr>
          <w:rFonts w:ascii="Times New Roman" w:cs="Times New Roman" w:eastAsia="Times New Roman" w:hAnsi="Times New Roman"/>
          <w:sz w:val="18"/>
          <w:szCs w:val="18"/>
          <w:color w:val="auto"/>
        </w:rPr>
        <w:t>. For the period from and after the date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and through and including the First Closing Date and, with respect to any Optional Shares purchased after the First Closing Date, each Option Closing Date:</w:t>
      </w:r>
    </w:p>
    <w:p>
      <w:pPr>
        <w:spacing w:after="0" w:line="66" w:lineRule="exact"/>
        <w:rPr>
          <w:rFonts w:ascii="Times New Roman" w:cs="Times New Roman" w:eastAsia="Times New Roman" w:hAnsi="Times New Roman"/>
          <w:sz w:val="18"/>
          <w:szCs w:val="18"/>
          <w:b w:val="1"/>
          <w:bCs w:val="1"/>
          <w:color w:val="auto"/>
        </w:rPr>
      </w:pPr>
    </w:p>
    <w:p>
      <w:pPr>
        <w:ind w:right="300" w:firstLine="987"/>
        <w:spacing w:after="0" w:line="261" w:lineRule="auto"/>
        <w:tabs>
          <w:tab w:leader="none" w:pos="120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the Prospectus with the Commission (including the information required by Rule 430A under the Securities Act) in the manner and within the time period required by Rule 424(b) under the Securities Act; or the Company shall have filed a post-effective amendment to the Registration Statement containing the information required by such Rule 430A, and such post-effective amendment shall have become effective.</w:t>
      </w:r>
    </w:p>
    <w:p>
      <w:pPr>
        <w:sectPr>
          <w:pgSz w:w="11900" w:h="16838" w:orient="portrait"/>
          <w:cols w:equalWidth="0" w:num="1">
            <w:col w:w="11000"/>
          </w:cols>
          <w:pgMar w:left="440" w:top="270" w:right="459" w:bottom="1440" w:gutter="0" w:footer="0" w:header="0"/>
        </w:sectPr>
      </w:pPr>
    </w:p>
    <w:bookmarkStart w:id="266" w:name="page267"/>
    <w:bookmarkEnd w:id="266"/>
    <w:p>
      <w:pPr>
        <w:ind w:left="-436" w:right="720" w:firstLine="987"/>
        <w:spacing w:after="0" w:line="282" w:lineRule="auto"/>
        <w:tabs>
          <w:tab w:leader="none" w:pos="82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53" w:lineRule="exact"/>
        <w:rPr>
          <w:rFonts w:ascii="Times New Roman" w:cs="Times New Roman" w:eastAsia="Times New Roman" w:hAnsi="Times New Roman"/>
          <w:sz w:val="18"/>
          <w:szCs w:val="18"/>
          <w:color w:val="auto"/>
        </w:rPr>
      </w:pPr>
    </w:p>
    <w:p>
      <w:pPr>
        <w:ind w:left="864" w:hanging="313"/>
        <w:spacing w:after="0"/>
        <w:tabs>
          <w:tab w:leader="none" w:pos="86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 shall have raised no objection to the fairness and reasonableness of the underwriting terms and arrangements.</w:t>
      </w:r>
    </w:p>
    <w:p>
      <w:pPr>
        <w:spacing w:after="0" w:line="113" w:lineRule="exact"/>
        <w:rPr>
          <w:rFonts w:ascii="Times New Roman" w:cs="Times New Roman" w:eastAsia="Times New Roman" w:hAnsi="Times New Roman"/>
          <w:sz w:val="18"/>
          <w:szCs w:val="18"/>
          <w:color w:val="auto"/>
        </w:rPr>
      </w:pPr>
    </w:p>
    <w:p>
      <w:pPr>
        <w:jc w:val="both"/>
        <w:ind w:left="-436" w:right="60" w:firstLine="436"/>
        <w:spacing w:after="0" w:line="268" w:lineRule="auto"/>
        <w:tabs>
          <w:tab w:leader="none" w:pos="249"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 Material Adverse Change</w:t>
      </w:r>
      <w:r>
        <w:rPr>
          <w:rFonts w:ascii="Times New Roman" w:cs="Times New Roman" w:eastAsia="Times New Roman" w:hAnsi="Times New Roman"/>
          <w:sz w:val="18"/>
          <w:szCs w:val="18"/>
          <w:color w:val="auto"/>
        </w:rPr>
        <w:t>. For the period from and after the date of this Agreement and through and including the First Closing Date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any Optional Shares purchased after the First Closing Date, each Option Closing Date, in the judgment of the Representatives there shall not have occurred any Material Adverse Change.</w:t>
      </w:r>
    </w:p>
    <w:p>
      <w:pPr>
        <w:spacing w:after="0" w:line="62" w:lineRule="exact"/>
        <w:rPr>
          <w:rFonts w:ascii="Times New Roman" w:cs="Times New Roman" w:eastAsia="Times New Roman" w:hAnsi="Times New Roman"/>
          <w:sz w:val="18"/>
          <w:szCs w:val="18"/>
          <w:b w:val="1"/>
          <w:bCs w:val="1"/>
          <w:color w:val="auto"/>
        </w:rPr>
      </w:pPr>
    </w:p>
    <w:p>
      <w:pPr>
        <w:ind w:left="-436" w:firstLine="436"/>
        <w:spacing w:after="0" w:line="268" w:lineRule="auto"/>
        <w:tabs>
          <w:tab w:leader="none" w:pos="269"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Company</w:t>
      </w:r>
      <w:r>
        <w:rPr>
          <w:rFonts w:ascii="Times New Roman" w:cs="Times New Roman" w:eastAsia="Times New Roman" w:hAnsi="Times New Roman"/>
          <w:sz w:val="18"/>
          <w:szCs w:val="18"/>
          <w:color w:val="auto"/>
        </w:rPr>
        <w:t>. On each of the First Closing Date and each Option Closing Date, the Representatives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the opinion and negative assurance letter of Wilson Sonsini Goodrich &amp; Rosati, Professional Corporation, counsel for the Company, dated as of such date, in the form attached hereto as Exhibit A and to such further effect as the Representatives shall reasonably request.</w:t>
      </w:r>
    </w:p>
    <w:p>
      <w:pPr>
        <w:spacing w:after="0" w:line="62" w:lineRule="exact"/>
        <w:rPr>
          <w:rFonts w:ascii="Times New Roman" w:cs="Times New Roman" w:eastAsia="Times New Roman" w:hAnsi="Times New Roman"/>
          <w:sz w:val="18"/>
          <w:szCs w:val="18"/>
          <w:b w:val="1"/>
          <w:bCs w:val="1"/>
          <w:color w:val="auto"/>
        </w:rPr>
      </w:pPr>
    </w:p>
    <w:p>
      <w:pPr>
        <w:ind w:left="-436" w:right="40" w:firstLine="436"/>
        <w:spacing w:after="0" w:line="268" w:lineRule="auto"/>
        <w:tabs>
          <w:tab w:leader="none" w:pos="249"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Opinion of Intellectual Property Counsel for the Company. </w:t>
      </w:r>
      <w:r>
        <w:rPr>
          <w:rFonts w:ascii="Times New Roman" w:cs="Times New Roman" w:eastAsia="Times New Roman" w:hAnsi="Times New Roman"/>
          <w:sz w:val="18"/>
          <w:szCs w:val="18"/>
          <w:color w:val="auto"/>
        </w:rPr>
        <w:t>On each of the First Closing Date and each Option Closing Date,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Representatives shall have received the opinion of Morrison &amp; Forester LLP, intellectual property counsel for the Company, dated as of such date,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to such further effect as the Representatives shall reasonably request.</w:t>
      </w:r>
    </w:p>
    <w:p>
      <w:pPr>
        <w:spacing w:after="0" w:line="62" w:lineRule="exact"/>
        <w:rPr>
          <w:rFonts w:ascii="Times New Roman" w:cs="Times New Roman" w:eastAsia="Times New Roman" w:hAnsi="Times New Roman"/>
          <w:sz w:val="18"/>
          <w:szCs w:val="18"/>
          <w:b w:val="1"/>
          <w:bCs w:val="1"/>
          <w:color w:val="auto"/>
        </w:rPr>
      </w:pPr>
    </w:p>
    <w:p>
      <w:pPr>
        <w:ind w:left="-436" w:right="320" w:firstLine="436"/>
        <w:spacing w:after="0" w:line="268" w:lineRule="auto"/>
        <w:tabs>
          <w:tab w:leader="none" w:pos="229"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Opinion of Counsel for the Underwriters</w:t>
      </w:r>
      <w:r>
        <w:rPr>
          <w:rFonts w:ascii="Times New Roman" w:cs="Times New Roman" w:eastAsia="Times New Roman" w:hAnsi="Times New Roman"/>
          <w:sz w:val="18"/>
          <w:szCs w:val="18"/>
          <w:color w:val="auto"/>
        </w:rPr>
        <w:t>. On each of the First Closing Date and each Option Closing Date, the Representatives shall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the opinion and negative assurance letter of Cooley LLP, counsel for the Underwriters in connection with the offer and sale of the Offered Shares, in form and substance satisfactory to the Representatives, dated as of such date.</w:t>
      </w:r>
    </w:p>
    <w:p>
      <w:pPr>
        <w:spacing w:after="0" w:line="62" w:lineRule="exact"/>
        <w:rPr>
          <w:rFonts w:ascii="Times New Roman" w:cs="Times New Roman" w:eastAsia="Times New Roman" w:hAnsi="Times New Roman"/>
          <w:sz w:val="18"/>
          <w:szCs w:val="18"/>
          <w:b w:val="1"/>
          <w:bCs w:val="1"/>
          <w:color w:val="auto"/>
        </w:rPr>
      </w:pPr>
    </w:p>
    <w:p>
      <w:pPr>
        <w:ind w:left="-436" w:right="300" w:firstLine="436"/>
        <w:spacing w:after="0" w:line="268" w:lineRule="auto"/>
        <w:tabs>
          <w:tab w:leader="none" w:pos="259"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On each of the First Closing Date and each Option Closing Date, the Representatives shall have received a certificate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executed by the Chief Executive Officer or President of the Company and the Chief Financial Officer of the Company, dated as of such date, to the effect set forth in Section 6(b)(ii) and further to the effect that:</w:t>
      </w:r>
    </w:p>
    <w:p>
      <w:pPr>
        <w:spacing w:after="0" w:line="66" w:lineRule="exact"/>
        <w:rPr>
          <w:rFonts w:ascii="Times New Roman" w:cs="Times New Roman" w:eastAsia="Times New Roman" w:hAnsi="Times New Roman"/>
          <w:sz w:val="18"/>
          <w:szCs w:val="18"/>
          <w:b w:val="1"/>
          <w:bCs w:val="1"/>
          <w:color w:val="auto"/>
        </w:rPr>
      </w:pPr>
    </w:p>
    <w:p>
      <w:pPr>
        <w:ind w:left="-436" w:right="440" w:firstLine="987"/>
        <w:spacing w:after="0" w:line="282" w:lineRule="auto"/>
        <w:tabs>
          <w:tab w:leader="none" w:pos="77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and including the date of this Agreement through and including such date, there has not occurred any Material Adverse Change;</w:t>
      </w:r>
    </w:p>
    <w:p>
      <w:pPr>
        <w:spacing w:after="0" w:line="53" w:lineRule="exact"/>
        <w:rPr>
          <w:rFonts w:ascii="Times New Roman" w:cs="Times New Roman" w:eastAsia="Times New Roman" w:hAnsi="Times New Roman"/>
          <w:sz w:val="18"/>
          <w:szCs w:val="18"/>
          <w:color w:val="auto"/>
        </w:rPr>
      </w:pPr>
    </w:p>
    <w:p>
      <w:pPr>
        <w:ind w:left="-436" w:right="320" w:firstLine="987"/>
        <w:spacing w:after="0" w:line="282" w:lineRule="auto"/>
        <w:tabs>
          <w:tab w:leader="none" w:pos="82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53" w:lineRule="exact"/>
        <w:rPr>
          <w:rFonts w:ascii="Times New Roman" w:cs="Times New Roman" w:eastAsia="Times New Roman" w:hAnsi="Times New Roman"/>
          <w:sz w:val="18"/>
          <w:szCs w:val="18"/>
          <w:color w:val="auto"/>
        </w:rPr>
      </w:pPr>
    </w:p>
    <w:p>
      <w:pPr>
        <w:ind w:left="-436" w:right="220" w:firstLine="987"/>
        <w:spacing w:after="0" w:line="282" w:lineRule="auto"/>
        <w:tabs>
          <w:tab w:leader="none" w:pos="87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all the agreements hereunder and satisfied all the conditions on its part to be performed or satisfied hereunder at or prior to such date.</w:t>
      </w:r>
    </w:p>
    <w:p>
      <w:pPr>
        <w:spacing w:after="0" w:line="49" w:lineRule="exact"/>
        <w:rPr>
          <w:rFonts w:ascii="Times New Roman" w:cs="Times New Roman" w:eastAsia="Times New Roman" w:hAnsi="Times New Roman"/>
          <w:sz w:val="18"/>
          <w:szCs w:val="18"/>
          <w:color w:val="auto"/>
        </w:rPr>
      </w:pPr>
    </w:p>
    <w:p>
      <w:pPr>
        <w:ind w:left="-436" w:right="220" w:firstLine="436"/>
        <w:spacing w:after="0" w:line="259" w:lineRule="auto"/>
        <w:tabs>
          <w:tab w:leader="none" w:pos="269"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Bring-down Comfort Letter</w:t>
      </w:r>
      <w:r>
        <w:rPr>
          <w:rFonts w:ascii="Times New Roman" w:cs="Times New Roman" w:eastAsia="Times New Roman" w:hAnsi="Times New Roman"/>
          <w:sz w:val="18"/>
          <w:szCs w:val="18"/>
          <w:color w:val="auto"/>
        </w:rPr>
        <w:t>. On each of the First Closing Date and each Option Closing Date, the Representatives shall have received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KPMG LLP, independent registered public accountants for the Company, a letter dated such date, in form and substance satisfactory to the Representatives, which letter shall: (i) reaffirm the statements made in the letter furnished by them pursuant to Section 6(a),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ectPr>
          <w:pgSz w:w="11900" w:h="16838" w:orient="portrait"/>
          <w:cols w:equalWidth="0" w:num="1">
            <w:col w:w="10564"/>
          </w:cols>
          <w:pgMar w:left="876" w:top="270" w:right="459" w:bottom="1440" w:gutter="0" w:footer="0" w:header="0"/>
        </w:sectPr>
      </w:pPr>
    </w:p>
    <w:bookmarkStart w:id="267" w:name="page268"/>
    <w:bookmarkEnd w:id="267"/>
    <w:p>
      <w:pPr>
        <w:jc w:val="both"/>
        <w:ind w:right="340" w:firstLine="436"/>
        <w:spacing w:after="0" w:line="268" w:lineRule="auto"/>
        <w:tabs>
          <w:tab w:leader="none" w:pos="655"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Lock-Up Agreements</w:t>
      </w:r>
      <w:r>
        <w:rPr>
          <w:rFonts w:ascii="Times New Roman" w:cs="Times New Roman" w:eastAsia="Times New Roman" w:hAnsi="Times New Roman"/>
          <w:sz w:val="18"/>
          <w:szCs w:val="18"/>
          <w:color w:val="auto"/>
        </w:rPr>
        <w:t>. On or prior to the date hereof, the Company shall have furnished to the Representatives an agreement in the form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from each director, officer and certain securityholders of the Company, and each such agreement shall be in full force and effect on each of the First Closing Date and each Option Closing Date.</w:t>
      </w:r>
    </w:p>
    <w:p>
      <w:pPr>
        <w:spacing w:after="0" w:line="62" w:lineRule="exact"/>
        <w:rPr>
          <w:rFonts w:ascii="Times New Roman" w:cs="Times New Roman" w:eastAsia="Times New Roman" w:hAnsi="Times New Roman"/>
          <w:sz w:val="18"/>
          <w:szCs w:val="18"/>
          <w:b w:val="1"/>
          <w:bCs w:val="1"/>
          <w:color w:val="auto"/>
        </w:rPr>
      </w:pPr>
    </w:p>
    <w:p>
      <w:pPr>
        <w:ind w:right="40" w:firstLine="436"/>
        <w:spacing w:after="0" w:line="268" w:lineRule="auto"/>
        <w:tabs>
          <w:tab w:leader="none" w:pos="665"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Rule 462(b) Registration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that a Rule 462(b) Registration Statement is filed in connection with the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62" w:lineRule="exact"/>
        <w:rPr>
          <w:rFonts w:ascii="Times New Roman" w:cs="Times New Roman" w:eastAsia="Times New Roman" w:hAnsi="Times New Roman"/>
          <w:sz w:val="18"/>
          <w:szCs w:val="18"/>
          <w:b w:val="1"/>
          <w:bCs w:val="1"/>
          <w:color w:val="auto"/>
        </w:rPr>
      </w:pPr>
    </w:p>
    <w:p>
      <w:pPr>
        <w:ind w:right="120" w:firstLine="436"/>
        <w:spacing w:after="0" w:line="286" w:lineRule="auto"/>
        <w:tabs>
          <w:tab w:leader="none" w:pos="705"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Approval of Listing</w:t>
      </w:r>
      <w:r>
        <w:rPr>
          <w:rFonts w:ascii="Times New Roman" w:cs="Times New Roman" w:eastAsia="Times New Roman" w:hAnsi="Times New Roman"/>
          <w:sz w:val="18"/>
          <w:szCs w:val="18"/>
          <w:color w:val="auto"/>
        </w:rPr>
        <w:t>. At the First Closing Date, the Offered Shares shall have been approved for listing on the Nasdaq, subject only to official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notice of issuance.</w:t>
      </w:r>
    </w:p>
    <w:p>
      <w:pPr>
        <w:spacing w:after="0" w:line="50"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[Reserved.]</w:t>
      </w:r>
    </w:p>
    <w:p>
      <w:pPr>
        <w:spacing w:after="0" w:line="113" w:lineRule="exact"/>
        <w:rPr>
          <w:rFonts w:ascii="Times New Roman" w:cs="Times New Roman" w:eastAsia="Times New Roman" w:hAnsi="Times New Roman"/>
          <w:sz w:val="18"/>
          <w:szCs w:val="18"/>
          <w:b w:val="1"/>
          <w:bCs w:val="1"/>
          <w:color w:val="auto"/>
        </w:rPr>
      </w:pPr>
    </w:p>
    <w:p>
      <w:pPr>
        <w:ind w:right="160" w:firstLine="436"/>
        <w:spacing w:after="0" w:line="257" w:lineRule="auto"/>
        <w:tabs>
          <w:tab w:leader="none" w:pos="755"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Additional Documents</w:t>
      </w:r>
      <w:r>
        <w:rPr>
          <w:rFonts w:ascii="Times New Roman" w:cs="Times New Roman" w:eastAsia="Times New Roman" w:hAnsi="Times New Roman"/>
          <w:sz w:val="18"/>
          <w:szCs w:val="18"/>
          <w:color w:val="auto"/>
        </w:rPr>
        <w:t>. On or before each of the First Closing Date and each Option Closing Date, the Representatives and counsel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8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any condition specified in this Section 6 is not satisfied when and as required to be satisfied (unless waived in writing by the Representatives), this Agreement may be terminated by the Representatives by notice from the Representatives to the Company at any time on or prior to the First Closing Date and, with respect to the Optional Shares, at any time on or prior to the applicable Option Closing Date, which termination shall be without liability on the part of any party to any other party, except that Section 4, Section 7, Section 9 and Section 10 shall at all times be effective and shall survive such termination.</w:t>
      </w:r>
    </w:p>
    <w:p>
      <w:pPr>
        <w:spacing w:after="0" w:line="179"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i w:val="1"/>
          <w:iCs w:val="1"/>
          <w:color w:val="auto"/>
        </w:rPr>
        <w:t>Reimbursement of Underwriters’ Expenses</w:t>
      </w:r>
      <w:r>
        <w:rPr>
          <w:rFonts w:ascii="Times New Roman" w:cs="Times New Roman" w:eastAsia="Times New Roman" w:hAnsi="Times New Roman"/>
          <w:sz w:val="18"/>
          <w:szCs w:val="18"/>
          <w:color w:val="auto"/>
        </w:rPr>
        <w:t>. If this Agreement is terminated by the Representatives pursuant to Section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 or Section 12,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Shares, including, but not limited to, fees and disbursements of counsel, printing expenses, travel expenses, postage, facsimile and telephone charges. For the avoidance of doubt, it is understood that the Company will not pay or reimburse any costs, fees or expenses incurred by any Underwriter that defaults on its obligations to purchase the Offered Shares.</w:t>
      </w:r>
    </w:p>
    <w:p>
      <w:pPr>
        <w:sectPr>
          <w:pgSz w:w="11900" w:h="16838" w:orient="portrait"/>
          <w:cols w:equalWidth="0" w:num="1">
            <w:col w:w="11000"/>
          </w:cols>
          <w:pgMar w:left="440" w:top="266" w:right="459" w:bottom="1440" w:gutter="0" w:footer="0" w:header="0"/>
        </w:sectPr>
      </w:pPr>
    </w:p>
    <w:bookmarkStart w:id="268" w:name="page269"/>
    <w:bookmarkEnd w:id="268"/>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 </w:t>
      </w:r>
      <w:r>
        <w:rPr>
          <w:rFonts w:ascii="Times New Roman" w:cs="Times New Roman" w:eastAsia="Times New Roman" w:hAnsi="Times New Roman"/>
          <w:sz w:val="18"/>
          <w:szCs w:val="18"/>
          <w:b w:val="1"/>
          <w:bCs w:val="1"/>
          <w:i w:val="1"/>
          <w:iCs w:val="1"/>
          <w:color w:val="auto"/>
        </w:rPr>
        <w:t>Effectiveness of this Agreement</w:t>
      </w:r>
      <w:r>
        <w:rPr>
          <w:rFonts w:ascii="Times New Roman" w:cs="Times New Roman" w:eastAsia="Times New Roman" w:hAnsi="Times New Roman"/>
          <w:sz w:val="18"/>
          <w:szCs w:val="18"/>
          <w:color w:val="auto"/>
        </w:rPr>
        <w:t>. This Agreement shall become effective upon the execution and delivery hereof by the parties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Indemnification.</w:t>
      </w:r>
    </w:p>
    <w:p>
      <w:pPr>
        <w:spacing w:after="0" w:line="117" w:lineRule="exact"/>
        <w:rPr>
          <w:sz w:val="20"/>
          <w:szCs w:val="20"/>
          <w:color w:val="auto"/>
        </w:rPr>
      </w:pPr>
    </w:p>
    <w:p>
      <w:pPr>
        <w:ind w:firstLine="436"/>
        <w:spacing w:after="0" w:line="251" w:lineRule="auto"/>
        <w:tabs>
          <w:tab w:leader="none" w:pos="695"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Indemnification of the Underwriters</w:t>
      </w:r>
      <w:r>
        <w:rPr>
          <w:rFonts w:ascii="Times New Roman" w:cs="Times New Roman" w:eastAsia="Times New Roman" w:hAnsi="Times New Roman"/>
          <w:sz w:val="18"/>
          <w:szCs w:val="18"/>
          <w:color w:val="auto"/>
        </w:rPr>
        <w:t>. The Company agrees to indemnify and hold harmless each Underwriter, its affiliates, directors,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(A)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any matter covered by clause (i) or (ii) above, or (B) the violation of any laws or regulations of foreign jurisdictions where Offered Shares have been offered or sold; and to reimburse each Underwriter and each such affiliate, director, officer, employee, agent and controlling person for any and all reasonable expenses (including the reasonable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such free writing prospectus, any Marketing Material, any Section 5(d) Written Communication or the Prospectus (or any amendment or supplement thereto), it being understood and agreed that the only such information consists of the information described in Section 9(b) below. The indemnity agreement set forth in this Section 9(a) shall be in addition to any liabilities that the Company may otherwise have.</w:t>
      </w:r>
    </w:p>
    <w:p>
      <w:pPr>
        <w:spacing w:after="0" w:line="95" w:lineRule="exact"/>
        <w:rPr>
          <w:rFonts w:ascii="Times New Roman" w:cs="Times New Roman" w:eastAsia="Times New Roman" w:hAnsi="Times New Roman"/>
          <w:sz w:val="18"/>
          <w:szCs w:val="18"/>
          <w:b w:val="1"/>
          <w:bCs w:val="1"/>
          <w:color w:val="auto"/>
        </w:rPr>
      </w:pPr>
    </w:p>
    <w:p>
      <w:pPr>
        <w:jc w:val="both"/>
        <w:ind w:right="540" w:firstLine="436"/>
        <w:spacing w:after="0" w:line="268" w:lineRule="auto"/>
        <w:tabs>
          <w:tab w:leader="none" w:pos="705"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Indemnification of the Company, its Directors and Officers</w:t>
      </w:r>
      <w:r>
        <w:rPr>
          <w:rFonts w:ascii="Times New Roman" w:cs="Times New Roman" w:eastAsia="Times New Roman" w:hAnsi="Times New Roman"/>
          <w:sz w:val="18"/>
          <w:szCs w:val="18"/>
          <w:color w:val="auto"/>
        </w:rPr>
        <w:t>. Each Underwriter agrees, severally and not jointly, to indemnify and hold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harmless the Company, each of its directors, each of the Company’s officers who signed the Registration Statement, and each person, if any, who controls the Company within the meaning of the Securities Act or the Exchange Act, against any loss, claim, damage, liability or</w:t>
      </w:r>
    </w:p>
    <w:p>
      <w:pPr>
        <w:sectPr>
          <w:pgSz w:w="11900" w:h="16838" w:orient="portrait"/>
          <w:cols w:equalWidth="0" w:num="1">
            <w:col w:w="11000"/>
          </w:cols>
          <w:pgMar w:left="440" w:top="266" w:right="459" w:bottom="1440" w:gutter="0" w:footer="0" w:header="0"/>
        </w:sectPr>
      </w:pPr>
    </w:p>
    <w:bookmarkStart w:id="269" w:name="page270"/>
    <w:bookmarkEnd w:id="26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reasonable expenses (including the reasonable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any Section 5(d) Written Communication or the Prospectus (or any amendment or supplement to the foregoing) are the statements set forth in the [•] under the caption “Underwriting” in the Preliminary Prospectus and the Prospectus. The indemnity agreement set forth in this Section 9(b) shall be in addition to any liabilities that each Underwriter may otherwise have.</w:t>
      </w:r>
    </w:p>
    <w:p>
      <w:pPr>
        <w:spacing w:after="0" w:line="76" w:lineRule="exact"/>
        <w:rPr>
          <w:sz w:val="20"/>
          <w:szCs w:val="20"/>
          <w:color w:val="auto"/>
        </w:rPr>
      </w:pPr>
    </w:p>
    <w:p>
      <w:pPr>
        <w:ind w:firstLine="436"/>
        <w:spacing w:after="0" w:line="252" w:lineRule="auto"/>
        <w:tabs>
          <w:tab w:leader="none" w:pos="685"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Notifications and Other Indemnification Procedures</w:t>
      </w:r>
      <w:r>
        <w:rPr>
          <w:rFonts w:ascii="Times New Roman" w:cs="Times New Roman" w:eastAsia="Times New Roman" w:hAnsi="Times New Roman"/>
          <w:sz w:val="18"/>
          <w:szCs w:val="18"/>
          <w:color w:val="auto"/>
        </w:rPr>
        <w:t>. Promptly after receipt by an indemnified party under this Section 9 of notice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commencement of any action, such indemnified party will, if a claim in respect thereof is to be made against an indemnifying party under this Section 9,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so assume the defense of such action and approval by the indemnified party of counsel, the indemnifying party will not be liable to such indemnified party under this Section 9 for any legal or other expenses subsequently incurred by such indemnified party in</w:t>
      </w:r>
    </w:p>
    <w:p>
      <w:pPr>
        <w:sectPr>
          <w:pgSz w:w="11900" w:h="16838" w:orient="portrait"/>
          <w:cols w:equalWidth="0" w:num="1">
            <w:col w:w="11000"/>
          </w:cols>
          <w:pgMar w:left="440" w:top="270" w:right="459" w:bottom="1440" w:gutter="0" w:footer="0" w:header="0"/>
        </w:sectPr>
      </w:pPr>
    </w:p>
    <w:bookmarkStart w:id="270" w:name="page271"/>
    <w:bookmarkEnd w:id="270"/>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9(a) above) or by the Company (in the case of counsel for the indemnified parties referred to in Section 9(b)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76" w:lineRule="exact"/>
        <w:rPr>
          <w:sz w:val="20"/>
          <w:szCs w:val="20"/>
          <w:color w:val="auto"/>
        </w:rPr>
      </w:pPr>
    </w:p>
    <w:p>
      <w:pPr>
        <w:ind w:left="4" w:firstLine="436"/>
        <w:spacing w:after="0" w:line="269" w:lineRule="auto"/>
        <w:tabs>
          <w:tab w:leader="none" w:pos="709" w:val="left"/>
        </w:tabs>
        <w:numPr>
          <w:ilvl w:val="1"/>
          <w:numId w:val="1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Settlements</w:t>
      </w:r>
      <w:r>
        <w:rPr>
          <w:rFonts w:ascii="Times New Roman" w:cs="Times New Roman" w:eastAsia="Times New Roman" w:hAnsi="Times New Roman"/>
          <w:sz w:val="17"/>
          <w:szCs w:val="17"/>
          <w:color w:val="auto"/>
        </w:rPr>
        <w:t>. The indemnifying party under this Section 9 shall not be liable for any settlement of any proceeding effected without its written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the reasonable and documented out-of-pocket fees and expenses of counsel as contemplated by Section 9(c) hereof, the indemnifying party shall be liable for any settlement of any proceeding effected without its written consent if (i) such settlement is entered into more than 45 days after receipt by such indemnifying party of the aforesaid request,</w:t>
      </w:r>
    </w:p>
    <w:p>
      <w:pPr>
        <w:spacing w:after="0" w:line="3"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indemnifying party shall have received notice of the terms of such settlement at least 30 days prior to such settlement being entered into and</w:t>
      </w:r>
    </w:p>
    <w:p>
      <w:pPr>
        <w:spacing w:after="0" w:line="9" w:lineRule="exact"/>
        <w:rPr>
          <w:rFonts w:ascii="Times New Roman" w:cs="Times New Roman" w:eastAsia="Times New Roman" w:hAnsi="Times New Roman"/>
          <w:sz w:val="18"/>
          <w:szCs w:val="18"/>
          <w:color w:val="auto"/>
        </w:rPr>
      </w:pPr>
    </w:p>
    <w:p>
      <w:pPr>
        <w:ind w:left="4" w:right="40" w:hanging="4"/>
        <w:spacing w:after="0" w:line="252" w:lineRule="auto"/>
        <w:tabs>
          <w:tab w:leader="none" w:pos="31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indemnifying party shall not have reimbursed the indemnified party in accordance with such request prior to the date of such settlement, unless such amounts are being contested in good faith.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86"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i w:val="1"/>
          <w:iCs w:val="1"/>
          <w:color w:val="auto"/>
        </w:rPr>
        <w:t>Contribution</w:t>
      </w:r>
      <w:r>
        <w:rPr>
          <w:rFonts w:ascii="Times New Roman" w:cs="Times New Roman" w:eastAsia="Times New Roman" w:hAnsi="Times New Roman"/>
          <w:sz w:val="18"/>
          <w:szCs w:val="18"/>
          <w:color w:val="auto"/>
        </w:rPr>
        <w:t>. If the indemnification provided for in Section 9 is for any reason held to be unavailable to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(after deducting underwriting discounts and commissions but before deducting expenses) received by the Company, and the total underwriting discounts and commissions received by the Underwriters, in each case as set forth on the front cover page</w:t>
      </w:r>
    </w:p>
    <w:p>
      <w:pPr>
        <w:sectPr>
          <w:pgSz w:w="11900" w:h="16838" w:orient="portrait"/>
          <w:cols w:equalWidth="0" w:num="1">
            <w:col w:w="11024"/>
          </w:cols>
          <w:pgMar w:left="436" w:top="270" w:right="439" w:bottom="1440" w:gutter="0" w:footer="0" w:header="0"/>
        </w:sectPr>
      </w:pPr>
    </w:p>
    <w:bookmarkStart w:id="271" w:name="page272"/>
    <w:bookmarkEnd w:id="271"/>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Prospectus, bear to the aggregate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Section 9(c), any legal or other fees or expenses reasonably incurred by such party in connection with investigating or defending any action or claim. The provisions set forth in Section 9(c) with respect to notice of commencement of any action shall apply if a claim for contribution is to be made under this Section 10;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additional notice shall be required with respect to any action for which notice has been given under Section 9(c) for purposes of indemnification.</w:t>
      </w:r>
    </w:p>
    <w:p>
      <w:pPr>
        <w:spacing w:after="0" w:line="183"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Section 10 were determined by pro rata allocation (even if the Underwriters were treated as one entity for such purpose) or by any other method of allocation which does not take account of the equitable considerations referred to in this Section 10.</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provisions of this Section 10, no Underwriter shall be required to contribute any amount in excess of the underwriting discounts and commissions received by such Underwriter in connection with the Offered Shares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10 are several, and not joint, in proportion to their respective underwriting commitments as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For purposes of this Section 10,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84"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i w:val="1"/>
          <w:iCs w:val="1"/>
          <w:color w:val="auto"/>
        </w:rPr>
        <w:t>Default of One or More of the Several Underwriters</w:t>
      </w:r>
      <w:r>
        <w:rPr>
          <w:rFonts w:ascii="Times New Roman" w:cs="Times New Roman" w:eastAsia="Times New Roman" w:hAnsi="Times New Roman"/>
          <w:sz w:val="18"/>
          <w:szCs w:val="18"/>
          <w:color w:val="auto"/>
        </w:rPr>
        <w:t>. If, on the First Closing Date or any Option Closing Date any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 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w:t>
      </w:r>
    </w:p>
    <w:p>
      <w:pPr>
        <w:sectPr>
          <w:pgSz w:w="11900" w:h="16838" w:orient="portrait"/>
          <w:cols w:equalWidth="0" w:num="1">
            <w:col w:w="11020"/>
          </w:cols>
          <w:pgMar w:left="440" w:top="270" w:right="439" w:bottom="1440" w:gutter="0" w:footer="0" w:header="0"/>
        </w:sectPr>
      </w:pPr>
    </w:p>
    <w:bookmarkStart w:id="272" w:name="page273"/>
    <w:bookmarkEnd w:id="27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for the purchase of such Offered Shares are not made within 48 hours after such default, this Agreement shall terminate without liability of any party to any other party except that the provisions of Section 4, Section 7, Section 9 and Section 10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79"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color w:val="auto"/>
        </w:rPr>
        <w:t>As used in this Agreement,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shall be deemed to include any person substituted for a defaulting Underwriter under this Section 11. Any action taken under this Section 11 shall not relieve any defaulting Underwriter from liability in respect of any default of such Underwriter under this Agreement.</w:t>
      </w:r>
    </w:p>
    <w:p>
      <w:pPr>
        <w:spacing w:after="0" w:line="171"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i w:val="1"/>
          <w:iCs w:val="1"/>
          <w:color w:val="auto"/>
        </w:rPr>
        <w:t>Termination of this Agreement</w:t>
      </w:r>
      <w:r>
        <w:rPr>
          <w:rFonts w:ascii="Times New Roman" w:cs="Times New Roman" w:eastAsia="Times New Roman" w:hAnsi="Times New Roman"/>
          <w:sz w:val="18"/>
          <w:szCs w:val="18"/>
          <w:color w:val="auto"/>
        </w:rPr>
        <w:t>. Prior to the purchase of the Firm Shares by the Underwriters on the First Closing Date,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may be terminated by the Representatives by notice given to the Company if at any time: (i) trading or quotation in any of the Company’s securities shall have been suspended or limited by the Commission or by the Nasdaq, or trading in securities generally on either the Nasdaq or the New York Stock Exchange shall have been suspended or limited, or minimum or maximum prices shall have been generally established on any of such stock exchanges; (ii) a general banking moratorium shall have been declared by any federal, New York or California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12 shall be without liability on the part of (a) the Company to any Underwriter, except that the Company shall be obligated to reimburse the expenses of the Representatives and the Underwriters pursuant to Section 4 or Section 7 hereof or (b) any Underwriter to the Company; provided, however, that the provisions of Section 9 and Section 10 shall at all times be effective and shall survive such termination.</w:t>
      </w:r>
    </w:p>
    <w:p>
      <w:pPr>
        <w:spacing w:after="0" w:line="183"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i w:val="1"/>
          <w:iCs w:val="1"/>
          <w:color w:val="auto"/>
        </w:rPr>
        <w:t>No Advisory or Fiduciary Relationship</w:t>
      </w:r>
      <w:r>
        <w:rPr>
          <w:rFonts w:ascii="Times New Roman" w:cs="Times New Roman" w:eastAsia="Times New Roman" w:hAnsi="Times New Roman"/>
          <w:sz w:val="18"/>
          <w:szCs w:val="18"/>
          <w:color w:val="auto"/>
        </w:rPr>
        <w:t>. The Company and acknowledges and agrees that (a) the purchase and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ectPr>
          <w:pgSz w:w="11900" w:h="16838" w:orient="portrait"/>
          <w:cols w:equalWidth="0" w:num="1">
            <w:col w:w="11000"/>
          </w:cols>
          <w:pgMar w:left="440" w:top="270" w:right="459" w:bottom="1440" w:gutter="0" w:footer="0" w:header="0"/>
        </w:sectPr>
      </w:pPr>
    </w:p>
    <w:bookmarkStart w:id="273" w:name="page274"/>
    <w:bookmarkEnd w:id="273"/>
    <w:p>
      <w:pPr>
        <w:ind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14. </w:t>
      </w:r>
      <w:r>
        <w:rPr>
          <w:rFonts w:ascii="Times New Roman" w:cs="Times New Roman" w:eastAsia="Times New Roman" w:hAnsi="Times New Roman"/>
          <w:sz w:val="18"/>
          <w:szCs w:val="18"/>
          <w:b w:val="1"/>
          <w:bCs w:val="1"/>
          <w:i w:val="1"/>
          <w:iCs w:val="1"/>
          <w:color w:val="auto"/>
        </w:rPr>
        <w:t>Representations and Indemnities to Survive Delivery</w:t>
      </w:r>
      <w:r>
        <w:rPr>
          <w:rFonts w:ascii="Times New Roman" w:cs="Times New Roman" w:eastAsia="Times New Roman" w:hAnsi="Times New Roman"/>
          <w:sz w:val="18"/>
          <w:szCs w:val="18"/>
          <w:color w:val="auto"/>
        </w:rPr>
        <w:t>. The respective indemnities, agreements, representations,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their respective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79" w:lineRule="exact"/>
        <w:rPr>
          <w:sz w:val="20"/>
          <w:szCs w:val="20"/>
          <w:color w:val="auto"/>
        </w:rPr>
      </w:pPr>
    </w:p>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All communications hereunder shall be in writing and shall be mailed, hand delivered or telecopied and confirmed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as follows:</w:t>
      </w:r>
    </w:p>
    <w:p>
      <w:pPr>
        <w:sectPr>
          <w:pgSz w:w="11900" w:h="16838" w:orient="portrait"/>
          <w:cols w:equalWidth="0" w:num="1">
            <w:col w:w="10920"/>
          </w:cols>
          <w:pgMar w:left="440" w:top="266" w:right="539" w:bottom="1440" w:gutter="0" w:footer="0" w:header="0"/>
        </w:sectPr>
      </w:pP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If to the Representatives: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619-4437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sectPr>
          <w:pgSz w:w="11900" w:h="16838" w:orient="portrait"/>
          <w:cols w:equalWidth="0" w:num="2">
            <w:col w:w="2020" w:space="680"/>
            <w:col w:w="8220"/>
          </w:cols>
          <w:pgMar w:left="440" w:top="266" w:right="539" w:bottom="1440" w:gutter="0" w:footer="0" w:header="0"/>
          <w:type w:val="continuous"/>
        </w:sectPr>
      </w:pPr>
    </w:p>
    <w:p>
      <w:pPr>
        <w:ind w:left="2700"/>
        <w:spacing w:after="0"/>
        <w:rPr>
          <w:sz w:val="20"/>
          <w:szCs w:val="20"/>
          <w:color w:val="auto"/>
        </w:rPr>
      </w:pPr>
      <w:r>
        <w:rPr>
          <w:rFonts w:ascii="Times New Roman" w:cs="Times New Roman" w:eastAsia="Times New Roman" w:hAnsi="Times New Roman"/>
          <w:sz w:val="17"/>
          <w:szCs w:val="17"/>
          <w:color w:val="auto"/>
        </w:rPr>
        <w:t>Credit Suisse Securities (USA) LLC</w:t>
      </w:r>
    </w:p>
    <w:p>
      <w:pPr>
        <w:spacing w:after="0" w:line="3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Eleven Madison Avenue</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New York, New York 10010</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Facsimile: (212) 325-4296</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Attention: IBCM-Legal</w:t>
      </w:r>
    </w:p>
    <w:p>
      <w:pPr>
        <w:spacing w:after="0" w:line="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800 Nicolette Mall</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Facsimile: (612) 313-3112</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499 Park Avenue</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Facsimile: (212) 829-4708</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Attention: General Counsel</w:t>
      </w:r>
    </w:p>
    <w:p>
      <w:pPr>
        <w:sectPr>
          <w:pgSz w:w="11900" w:h="16838" w:orient="portrait"/>
          <w:cols w:equalWidth="0" w:num="1">
            <w:col w:w="10920"/>
          </w:cols>
          <w:pgMar w:left="440" w:top="266" w:right="539" w:bottom="1440" w:gutter="0" w:footer="0" w:header="0"/>
          <w:type w:val="continuous"/>
        </w:sectPr>
      </w:pPr>
    </w:p>
    <w:p>
      <w:pPr>
        <w:spacing w:after="0" w:line="9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 California Street,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 94111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(415) 693-2222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David Peinsipp</w:t>
      </w:r>
    </w:p>
    <w:p>
      <w:pPr>
        <w:spacing w:after="0" w:line="99" w:lineRule="exact"/>
        <w:rPr>
          <w:sz w:val="20"/>
          <w:szCs w:val="20"/>
          <w:color w:val="auto"/>
        </w:rPr>
      </w:pPr>
    </w:p>
    <w:p>
      <w:pPr>
        <w:sectPr>
          <w:pgSz w:w="11900" w:h="16838" w:orient="portrait"/>
          <w:cols w:equalWidth="0" w:num="2">
            <w:col w:w="1980" w:space="720"/>
            <w:col w:w="8220"/>
          </w:cols>
          <w:pgMar w:left="440" w:top="266" w:right="53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Malcolm Road,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Burlingame, California 94010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Chief Executive Officer</w:t>
      </w:r>
    </w:p>
    <w:p>
      <w:pPr>
        <w:sectPr>
          <w:pgSz w:w="11900" w:h="16838" w:orient="portrait"/>
          <w:cols w:equalWidth="0" w:num="2">
            <w:col w:w="1980" w:space="720"/>
            <w:col w:w="8220"/>
          </w:cols>
          <w:pgMar w:left="440" w:top="266" w:right="539" w:bottom="1440" w:gutter="0" w:footer="0" w:header="0"/>
          <w:type w:val="continuous"/>
        </w:sectPr>
      </w:pPr>
    </w:p>
    <w:bookmarkStart w:id="274" w:name="page275"/>
    <w:bookmarkEnd w:id="274"/>
    <w:p>
      <w:pPr>
        <w:ind w:left="2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Wilson Sonsini Goodrich &amp; Rosati,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-213360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(650) 493-6811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Kenneth Clark</w:t>
      </w:r>
    </w:p>
    <w:p>
      <w:pPr>
        <w:spacing w:after="0" w:line="200" w:lineRule="exact"/>
        <w:rPr>
          <w:sz w:val="20"/>
          <w:szCs w:val="20"/>
          <w:color w:val="auto"/>
        </w:rPr>
      </w:pPr>
    </w:p>
    <w:p>
      <w:pPr>
        <w:sectPr>
          <w:pgSz w:w="11900" w:h="16838" w:orient="portrait"/>
          <w:cols w:equalWidth="0" w:num="2">
            <w:col w:w="1980" w:space="720"/>
            <w:col w:w="8280"/>
          </w:cols>
          <w:pgMar w:left="440" w:top="270" w:right="479" w:bottom="1440" w:gutter="0" w:footer="0" w:header="0"/>
        </w:sectPr>
      </w:pP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right="10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b w:val="1"/>
          <w:bCs w:val="1"/>
          <w:i w:val="1"/>
          <w:iCs w:val="1"/>
          <w:color w:val="auto"/>
        </w:rPr>
        <w:t>Successors</w:t>
      </w:r>
      <w:r>
        <w:rPr>
          <w:rFonts w:ascii="Times New Roman" w:cs="Times New Roman" w:eastAsia="Times New Roman" w:hAnsi="Times New Roman"/>
          <w:sz w:val="18"/>
          <w:szCs w:val="18"/>
          <w:color w:val="auto"/>
        </w:rPr>
        <w:t>. This Agreement will inure to the benefit of and be binding upon the parties hereto, including any substitute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Underwriters pursuant to Section 11 hereof, and to the benefit of the affiliates, directors, officers, employees, agents and controlling persons referred to in Section 9 and Section 10, and in each case their respective successors, and personal representatives, and no other person will have any right or obligation hereunder. The term “successors” shall not include any purchaser of the Offered Shares as such from any of the Underwriters merely by reason of such purchase.</w:t>
      </w:r>
    </w:p>
    <w:p>
      <w:pPr>
        <w:spacing w:after="0" w:line="179"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b w:val="1"/>
          <w:bCs w:val="1"/>
          <w:i w:val="1"/>
          <w:iCs w:val="1"/>
          <w:color w:val="auto"/>
        </w:rPr>
        <w:t>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Section 18. Recognition of the U.S. Special Resolution Regimes.</w:t>
      </w:r>
    </w:p>
    <w:p>
      <w:pPr>
        <w:spacing w:after="0" w:line="121" w:lineRule="exact"/>
        <w:rPr>
          <w:sz w:val="20"/>
          <w:szCs w:val="20"/>
          <w:color w:val="auto"/>
        </w:rPr>
      </w:pPr>
    </w:p>
    <w:p>
      <w:pPr>
        <w:ind w:right="40" w:firstLine="436"/>
        <w:spacing w:after="0" w:line="261" w:lineRule="auto"/>
        <w:tabs>
          <w:tab w:leader="none" w:pos="68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(B)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(D) “U</w:t>
      </w:r>
      <w:r>
        <w:rPr>
          <w:rFonts w:ascii="Times New Roman" w:cs="Times New Roman" w:eastAsia="Times New Roman" w:hAnsi="Times New Roman"/>
          <w:sz w:val="18"/>
          <w:szCs w:val="18"/>
          <w:b w:val="1"/>
          <w:bCs w:val="1"/>
          <w:color w:val="auto"/>
        </w:rPr>
        <w:t>.S.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Wall Street Reform and Consumer Protection Act and the regulations promulgated thereunder.</w:t>
      </w:r>
    </w:p>
    <w:p>
      <w:pPr>
        <w:sectPr>
          <w:pgSz w:w="11900" w:h="16838" w:orient="portrait"/>
          <w:cols w:equalWidth="0" w:num="1">
            <w:col w:w="10980"/>
          </w:cols>
          <w:pgMar w:left="440" w:top="270" w:right="479" w:bottom="1440" w:gutter="0" w:footer="0" w:header="0"/>
          <w:type w:val="continuous"/>
        </w:sectPr>
      </w:pPr>
    </w:p>
    <w:bookmarkStart w:id="275" w:name="page276"/>
    <w:bookmarkEnd w:id="275"/>
    <w:p>
      <w:pPr>
        <w:ind w:right="80" w:firstLine="991"/>
        <w:spacing w:after="0" w:line="27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19. </w:t>
      </w:r>
      <w:r>
        <w:rPr>
          <w:rFonts w:ascii="Times New Roman" w:cs="Times New Roman" w:eastAsia="Times New Roman" w:hAnsi="Times New Roman"/>
          <w:sz w:val="17"/>
          <w:szCs w:val="17"/>
          <w:b w:val="1"/>
          <w:bCs w:val="1"/>
          <w:i w:val="1"/>
          <w:iCs w:val="1"/>
          <w:color w:val="auto"/>
        </w:rPr>
        <w:t>Governing Law Provisions</w:t>
      </w:r>
      <w:r>
        <w:rPr>
          <w:rFonts w:ascii="Times New Roman" w:cs="Times New Roman" w:eastAsia="Times New Roman" w:hAnsi="Times New Roman"/>
          <w:sz w:val="17"/>
          <w:szCs w:val="17"/>
          <w:color w:val="auto"/>
        </w:rPr>
        <w:t>. This Agreement shall be governed by and construed in accordance with the internal laws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 of New York applicable to agreements made and to be performed in such state. Any legal suit, action or proceeding arising out of or based upon this Agreement or the transactions contemplated hereby (“Related Proceedings”) may be instituted in the federal courts of the United States of America located in the Borough of Manhattan in the City of New York or the courts of the State of New York in each case located in the Borough of Manhattan in the City of New York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7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8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20. </w:t>
      </w:r>
      <w:r>
        <w:rPr>
          <w:rFonts w:ascii="Times New Roman" w:cs="Times New Roman" w:eastAsia="Times New Roman" w:hAnsi="Times New Roman"/>
          <w:sz w:val="18"/>
          <w:szCs w:val="18"/>
          <w:b w:val="1"/>
          <w:bCs w:val="1"/>
          <w:i w:val="1"/>
          <w:iCs w:val="1"/>
          <w:color w:val="auto"/>
        </w:rPr>
        <w:t>General Provisions</w:t>
      </w:r>
      <w:r>
        <w:rPr>
          <w:rFonts w:ascii="Times New Roman" w:cs="Times New Roman" w:eastAsia="Times New Roman" w:hAnsi="Times New Roman"/>
          <w:sz w:val="18"/>
          <w:szCs w:val="18"/>
          <w:color w:val="auto"/>
        </w:rPr>
        <w:t>. This Agreement constitutes the entire agreement of the parties to this Agreement and supersedes all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8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Each of the parties hereto acknowledges that it is a sophisticated business person who was adequately represented by counsel during negotiations regarding the provisions hereof, including, without limitation, the indemnification provisions of Section 9 and the contribution provisions of Section 10, and is fully informed regarding said provisions. Each of the parties hereto further acknowledges that the provisions of Section 9 and Section 10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ectPr>
          <w:pgSz w:w="11900" w:h="16838" w:orient="portrait"/>
          <w:cols w:equalWidth="0" w:num="1">
            <w:col w:w="11000"/>
          </w:cols>
          <w:pgMar w:left="440" w:top="266" w:right="459" w:bottom="1440" w:gutter="0" w:footer="0" w:header="0"/>
        </w:sectPr>
      </w:pPr>
    </w:p>
    <w:bookmarkStart w:id="276" w:name="page277"/>
    <w:bookmarkEnd w:id="276"/>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ALXO NCOLOGY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foregoing Underwriting Agreement is hereby confirmed and accepted by the Representatives in New York, New York as of the date first above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SUISSE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CANTOR FITZGERALD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individually and as 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JEFFERIES LLC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SUISSE SECURITIES (USA) LLC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PIPER SANDLER &amp; CO.</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CANTOR FITZGERALD &amp; CO.</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ectPr>
          <w:pgSz w:w="11900" w:h="16838" w:orient="portrait"/>
          <w:cols w:equalWidth="0" w:num="1">
            <w:col w:w="10800"/>
          </w:cols>
          <w:pgMar w:left="440" w:top="270" w:right="65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Schedule A</w:t>
            </w:r>
          </w:p>
        </w:tc>
      </w:tr>
      <w:tr>
        <w:trPr>
          <w:trHeight w:val="367"/>
        </w:trPr>
        <w:tc>
          <w:tcPr>
            <w:tcW w:w="10020" w:type="dxa"/>
            <w:vAlign w:val="bottom"/>
          </w:tcPr>
          <w:p>
            <w:pPr>
              <w:spacing w:after="0"/>
              <w:rPr>
                <w:sz w:val="24"/>
                <w:szCs w:val="24"/>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48"/>
        </w:trPr>
        <w:tc>
          <w:tcPr>
            <w:tcW w:w="10020" w:type="dxa"/>
            <w:vAlign w:val="bottom"/>
          </w:tcPr>
          <w:p>
            <w:pPr>
              <w:spacing w:after="0"/>
              <w:rPr>
                <w:sz w:val="12"/>
                <w:szCs w:val="12"/>
                <w:color w:val="auto"/>
              </w:rPr>
            </w:pPr>
          </w:p>
        </w:tc>
        <w:tc>
          <w:tcPr>
            <w:tcW w:w="10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Firm Shares</w:t>
            </w:r>
          </w:p>
        </w:tc>
      </w:tr>
      <w:tr>
        <w:trPr>
          <w:trHeight w:val="187"/>
        </w:trPr>
        <w:tc>
          <w:tcPr>
            <w:tcW w:w="10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 be Purchased</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LifeSci Capital LLC</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16"/>
        </w:trPr>
        <w:tc>
          <w:tcPr>
            <w:tcW w:w="10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78" w:name="page279"/>
    <w:bookmarkEnd w:id="278"/>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94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Schedule B</w:t>
            </w:r>
          </w:p>
        </w:tc>
        <w:tc>
          <w:tcPr>
            <w:tcW w:w="0" w:type="dxa"/>
            <w:vAlign w:val="bottom"/>
          </w:tcPr>
          <w:p>
            <w:pPr>
              <w:spacing w:after="0"/>
              <w:rPr>
                <w:sz w:val="1"/>
                <w:szCs w:val="1"/>
                <w:color w:val="auto"/>
              </w:rPr>
            </w:pPr>
          </w:p>
        </w:tc>
      </w:tr>
      <w:tr>
        <w:trPr>
          <w:trHeight w:val="608"/>
        </w:trPr>
        <w:tc>
          <w:tcPr>
            <w:tcW w:w="2940" w:type="dxa"/>
            <w:vAlign w:val="bottom"/>
          </w:tcPr>
          <w:p>
            <w:pPr>
              <w:spacing w:after="0"/>
              <w:rPr>
                <w:sz w:val="24"/>
                <w:szCs w:val="24"/>
                <w:color w:val="auto"/>
              </w:rPr>
            </w:pPr>
          </w:p>
        </w:tc>
        <w:tc>
          <w:tcPr>
            <w:tcW w:w="61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Free Writing Prospectuses Included in the Time of Sale Prospectus</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9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8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w:t>
            </w:r>
          </w:p>
        </w:tc>
        <w:tc>
          <w:tcPr>
            <w:tcW w:w="1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20" w:type="dxa"/>
            <w:vAlign w:val="bottom"/>
            <w:gridSpan w:val="3"/>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Pricing Information Included in the Time of Sale Prospectus</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per share to the public:</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Number of shares being sold by the Company: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potentially issuable pursuant to the option to purchase additional shares: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79" w:name="page280"/>
    <w:bookmarkEnd w:id="27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u w:val="single" w:color="auto"/>
          <w:color w:val="auto"/>
        </w:rPr>
        <w:t>Permitted Section 5(d) Communications</w:t>
      </w: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020"/>
          </w:cols>
          <w:pgMar w:left="1440" w:top="266" w:right="4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u w:val="single" w:color="auto"/>
          <w:color w:val="auto"/>
        </w:rPr>
        <w:t>Form of Opinion of Company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020"/>
          </w:cols>
          <w:pgMar w:left="1440" w:top="266" w:right="4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u w:val="single" w:color="auto"/>
          <w:color w:val="auto"/>
        </w:rPr>
        <w:t>Form of Negative Assurance Letter of Company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020"/>
          </w:cols>
          <w:pgMar w:left="1440" w:top="266" w:right="4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u w:val="single" w:color="auto"/>
          <w:color w:val="auto"/>
        </w:rPr>
        <w:t>Form of Opinion of Intellectual Property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020"/>
          </w:cols>
          <w:pgMar w:left="1440" w:top="266" w:right="4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Credit Suisse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Piper Sandler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10154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Cantor Fitzgerald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499 Park Avenue, 6th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ALX Oncology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&amp; Gentlemen:</w:t>
      </w:r>
    </w:p>
    <w:p>
      <w:pPr>
        <w:spacing w:after="0" w:line="11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undersigned is an owner of shares of common stock, par value $0.001 per share, of the Company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or of securities convertible into or exchangeable or exercisable for Shares. The Company proposes to conduct a public offering of Shares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for which Jefferies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Credit Suisse Securities (USA) LLC (“</w:t>
      </w:r>
      <w:r>
        <w:rPr>
          <w:rFonts w:ascii="Times New Roman" w:cs="Times New Roman" w:eastAsia="Times New Roman" w:hAnsi="Times New Roman"/>
          <w:sz w:val="18"/>
          <w:szCs w:val="18"/>
          <w:b w:val="1"/>
          <w:bCs w:val="1"/>
          <w:color w:val="auto"/>
        </w:rPr>
        <w:t>Credit Suisse</w:t>
      </w:r>
      <w:r>
        <w:rPr>
          <w:rFonts w:ascii="Times New Roman" w:cs="Times New Roman" w:eastAsia="Times New Roman" w:hAnsi="Times New Roman"/>
          <w:sz w:val="18"/>
          <w:szCs w:val="18"/>
          <w:color w:val="auto"/>
        </w:rPr>
        <w:t>”), Piper Sandler &amp; Co. (“</w:t>
      </w:r>
      <w:r>
        <w:rPr>
          <w:rFonts w:ascii="Times New Roman" w:cs="Times New Roman" w:eastAsia="Times New Roman" w:hAnsi="Times New Roman"/>
          <w:sz w:val="18"/>
          <w:szCs w:val="18"/>
          <w:b w:val="1"/>
          <w:bCs w:val="1"/>
          <w:color w:val="auto"/>
        </w:rPr>
        <w:t>Piper</w:t>
      </w:r>
      <w:r>
        <w:rPr>
          <w:rFonts w:ascii="Times New Roman" w:cs="Times New Roman" w:eastAsia="Times New Roman" w:hAnsi="Times New Roman"/>
          <w:sz w:val="18"/>
          <w:szCs w:val="18"/>
          <w:color w:val="auto"/>
        </w:rPr>
        <w:t>”) and Cantor Fitzgerald &amp; Co. will act as the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of the underwriters. The undersigned recognizes that the Offering will benefit each of the Company and the undersigned. The undersigned acknowledges that the underwriters are relying on the representations and agreements of the undersigned contained in this letter agreement in conducting the Offering and, at a subsequent date, in entering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and other underwriting arrangements with the Company with respect to the Offering.</w:t>
      </w:r>
    </w:p>
    <w:p>
      <w:pPr>
        <w:spacing w:after="0" w:line="18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Annex A sets forth definitions for capitalized terms used in this letter agreement that are not defined in the body of this letter agreement. Those definitions are a part of this letter agreement.</w:t>
      </w:r>
    </w:p>
    <w:p>
      <w:pPr>
        <w:spacing w:after="0" w:line="16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In consideration of the foregoing, and for other good and valuable consideration, the receipt and sufficiency of which are hereby acknowledged, the undersigned hereby agrees that, during the Lock-up Period, the undersigned will not (and, if the undersigned is a natural person, will cause any Family Member not to), without the prior written consent of Jefferies, Credit Suisse and Piper, which may withhold their consent in their sole discretion:</w:t>
      </w:r>
    </w:p>
    <w:p>
      <w:pPr>
        <w:spacing w:after="0" w:line="63" w:lineRule="exact"/>
        <w:rPr>
          <w:sz w:val="20"/>
          <w:szCs w:val="20"/>
          <w:color w:val="auto"/>
        </w:rPr>
      </w:pPr>
    </w:p>
    <w:p>
      <w:pPr>
        <w:ind w:left="2080" w:right="560" w:hanging="545"/>
        <w:spacing w:after="0" w:line="282" w:lineRule="auto"/>
        <w:tabs>
          <w:tab w:leader="none" w:pos="2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66" w:right="439" w:bottom="1440" w:gutter="0" w:footer="0" w:header="0"/>
        </w:sectPr>
      </w:pPr>
    </w:p>
    <w:bookmarkStart w:id="284" w:name="page285"/>
    <w:bookmarkEnd w:id="284"/>
    <w:p>
      <w:pPr>
        <w:ind w:left="2080" w:hanging="545"/>
        <w:spacing w:after="0"/>
        <w:tabs>
          <w:tab w:leader="none" w:pos="2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enter into any Swap,</w:t>
      </w:r>
    </w:p>
    <w:p>
      <w:pPr>
        <w:spacing w:after="0" w:line="130" w:lineRule="exact"/>
        <w:rPr>
          <w:rFonts w:ascii="Times New Roman" w:cs="Times New Roman" w:eastAsia="Times New Roman" w:hAnsi="Times New Roman"/>
          <w:sz w:val="18"/>
          <w:szCs w:val="18"/>
          <w:color w:val="auto"/>
        </w:rPr>
      </w:pPr>
    </w:p>
    <w:p>
      <w:pPr>
        <w:ind w:left="2080" w:right="80" w:hanging="545"/>
        <w:spacing w:after="0" w:line="266" w:lineRule="auto"/>
        <w:tabs>
          <w:tab w:leader="none" w:pos="2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81"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do any of the foregoing.</w:t>
      </w:r>
    </w:p>
    <w:p>
      <w:pPr>
        <w:spacing w:after="0" w:line="225"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 foregoing will not apply to the registration of the offer and sale of the Shares, and the sale of the Shares to the underwriters, in each case as contemplated by the Underwriting Agreement. In addition, the foregoing restrictions shall not apply to the transfer of Shares or Related Securities:</w:t>
      </w:r>
    </w:p>
    <w:p>
      <w:pPr>
        <w:spacing w:after="0" w:line="43" w:lineRule="exact"/>
        <w:rPr>
          <w:sz w:val="20"/>
          <w:szCs w:val="20"/>
          <w:color w:val="auto"/>
        </w:rPr>
      </w:pPr>
    </w:p>
    <w:p>
      <w:pPr>
        <w:ind w:left="1420" w:hanging="439"/>
        <w:spacing w:after="0"/>
        <w:tabs>
          <w:tab w:leader="none" w:pos="14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w:t>
      </w:r>
    </w:p>
    <w:p>
      <w:pPr>
        <w:spacing w:after="0" w:line="132"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or other entities formed for the direct or indirect benefit of the undersigned or a Family Member of the undersigned,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Family Member,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trust, to a trustor, trustee or beneficiary of the trust or to the estate of a beneficiary of such trust,</w:t>
      </w:r>
    </w:p>
    <w:p>
      <w:pPr>
        <w:spacing w:after="0" w:line="130"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corporation, partnership, limited liability company or other entity of which the undersigned or any Family Member is the legal and beneficial owner of all of the outstanding equity securities or similar interests,</w:t>
      </w:r>
    </w:p>
    <w:p>
      <w:pPr>
        <w:spacing w:after="0" w:line="67" w:lineRule="exact"/>
        <w:rPr>
          <w:rFonts w:ascii="Times New Roman" w:cs="Times New Roman" w:eastAsia="Times New Roman" w:hAnsi="Times New Roman"/>
          <w:sz w:val="18"/>
          <w:szCs w:val="18"/>
          <w:color w:val="auto"/>
        </w:rPr>
      </w:pPr>
    </w:p>
    <w:p>
      <w:pPr>
        <w:ind w:left="1420" w:hanging="439"/>
        <w:spacing w:after="0" w:line="254" w:lineRule="auto"/>
        <w:tabs>
          <w:tab w:leader="none" w:pos="14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the undersigned (including, for the avoidance of doubt, any wholly-owned direct or indirect subsidiary of the undersigned or to the immediate or indirect parent entity of the undersigned), or to any investment fund or other entity controlling, controlled by, managing or managed by or under common control with the undersigned (including, for the avoidance of doubt, where the undersigned is a partnership, to its general partner or a successor partnership or fund, or any other funds managed by such partnership), or (B) as part of a distribution, transfer or other disposition by the undersigned to its stockholders, partners, members or other equity holders,</w:t>
      </w:r>
    </w:p>
    <w:p>
      <w:pPr>
        <w:spacing w:after="0" w:line="9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undersigned may purchase in open market transactions on or after the date set forth on the cover of the Prospectus,</w:t>
      </w:r>
    </w:p>
    <w:p>
      <w:pPr>
        <w:spacing w:after="0" w:line="130" w:lineRule="exact"/>
        <w:rPr>
          <w:rFonts w:ascii="Times New Roman" w:cs="Times New Roman" w:eastAsia="Times New Roman" w:hAnsi="Times New Roman"/>
          <w:sz w:val="18"/>
          <w:szCs w:val="18"/>
          <w:color w:val="auto"/>
        </w:rPr>
      </w:pPr>
    </w:p>
    <w:p>
      <w:pPr>
        <w:ind w:left="1420" w:hanging="439"/>
        <w:spacing w:after="0" w:line="266" w:lineRule="auto"/>
        <w:tabs>
          <w:tab w:leader="none" w:pos="142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pursuant to a court order or settlement agreement related to the distribution of assets in connection with the dissolution of a marriage or civil union, provided that such Shares or Related Securities shall remain subject to the terms of this letter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000"/>
          </w:cols>
          <w:pgMar w:left="440" w:top="270" w:right="459" w:bottom="1440" w:gutter="0" w:footer="0" w:header="0"/>
        </w:sectPr>
      </w:pPr>
    </w:p>
    <w:bookmarkStart w:id="285" w:name="page286"/>
    <w:bookmarkEnd w:id="285"/>
    <w:p>
      <w:pPr>
        <w:ind w:left="1420" w:right="60" w:hanging="439"/>
        <w:spacing w:after="0" w:line="266" w:lineRule="auto"/>
        <w:tabs>
          <w:tab w:leader="none" w:pos="14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the exercise or settlement on a cash basis of options or restricted stock units granted under a stock incentive plan or other equity award plan, which plan is described in the Prospectus, provided that any Shares or Related Securities received as a result of such exercise, vesting or settlement shall remain subject to the terms of this letter agreement,</w:t>
      </w:r>
    </w:p>
    <w:p>
      <w:pPr>
        <w:spacing w:after="0" w:line="81" w:lineRule="exact"/>
        <w:rPr>
          <w:rFonts w:ascii="Times New Roman" w:cs="Times New Roman" w:eastAsia="Times New Roman" w:hAnsi="Times New Roman"/>
          <w:sz w:val="18"/>
          <w:szCs w:val="18"/>
          <w:color w:val="auto"/>
        </w:rPr>
      </w:pPr>
    </w:p>
    <w:p>
      <w:pPr>
        <w:ind w:left="1420" w:hanging="439"/>
        <w:spacing w:after="0" w:line="255" w:lineRule="auto"/>
        <w:tabs>
          <w:tab w:leader="none" w:pos="14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 in connection with the “net” or “cashless” exercise of options or other rights to purchase Shares or Related Securities from the Company (including any transfer to the Company for the payment of tax withholdings or remittance payments due as a result of such exercise) and (B) in connection with the vesting or settlement of restricted stock units, for the payment of tax withholdings or remittance payments due as a result of the vesting or settlement of such restricted stock units, in all such cases, pursuant to equity awards granted under a stock incentive plan or other equity award plan, which plan is described in the Prospectus, provided that any Shares or Related Securities received as a result of such exercise, vesting or settlement shall remain subject to the terms of this letter agreement, and</w:t>
      </w:r>
    </w:p>
    <w:p>
      <w:pPr>
        <w:spacing w:after="0" w:line="94" w:lineRule="exact"/>
        <w:rPr>
          <w:rFonts w:ascii="Times New Roman" w:cs="Times New Roman" w:eastAsia="Times New Roman" w:hAnsi="Times New Roman"/>
          <w:sz w:val="18"/>
          <w:szCs w:val="18"/>
          <w:color w:val="auto"/>
        </w:rPr>
      </w:pPr>
    </w:p>
    <w:p>
      <w:pPr>
        <w:ind w:left="1420" w:right="200" w:hanging="439"/>
        <w:spacing w:after="0" w:line="261" w:lineRule="auto"/>
        <w:tabs>
          <w:tab w:leader="none" w:pos="142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third-party tender offer, merger, consolidation or other similar transaction that is approved by the Board of Directors of the Company and made to all holders of the Company’s capital stock involving a Change of Control of the Company, provided that in the event that such tender offer, merger, consolidation or other similar transaction is not completed, the undersigned’s Shares and Related Securities shall remain subject to the provisions of this letter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it shall be a condition to such transfer that:</w:t>
      </w:r>
    </w:p>
    <w:p>
      <w:pPr>
        <w:spacing w:after="0" w:line="133" w:lineRule="exact"/>
        <w:rPr>
          <w:sz w:val="20"/>
          <w:szCs w:val="20"/>
          <w:color w:val="auto"/>
        </w:rPr>
      </w:pPr>
    </w:p>
    <w:p>
      <w:pPr>
        <w:ind w:left="2080" w:right="160" w:hanging="545"/>
        <w:spacing w:after="0" w:line="282" w:lineRule="auto"/>
        <w:tabs>
          <w:tab w:leader="none" w:pos="2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pursuant to clauses (i) through (vii) and (ix) above, each transferee executes and delivers to the Representatives a lock-up letter in the form of this letter agreement,</w:t>
      </w:r>
    </w:p>
    <w:p>
      <w:pPr>
        <w:spacing w:after="0" w:line="67" w:lineRule="exact"/>
        <w:rPr>
          <w:rFonts w:ascii="Times New Roman" w:cs="Times New Roman" w:eastAsia="Times New Roman" w:hAnsi="Times New Roman"/>
          <w:sz w:val="18"/>
          <w:szCs w:val="18"/>
          <w:color w:val="auto"/>
        </w:rPr>
      </w:pPr>
    </w:p>
    <w:p>
      <w:pPr>
        <w:ind w:left="2080" w:right="160" w:hanging="545"/>
        <w:spacing w:after="0" w:line="266" w:lineRule="auto"/>
        <w:tabs>
          <w:tab w:leader="none" w:pos="2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pursuant to clauses (i) through (vii) and (viii) above, no public disclosure or filing shall be required, or made voluntarily, during the Lock-up Period reporting a change in beneficial ownership of Shares or Related Securities in connection with such transfer,</w:t>
      </w:r>
    </w:p>
    <w:p>
      <w:pPr>
        <w:spacing w:after="0" w:line="81" w:lineRule="exact"/>
        <w:rPr>
          <w:rFonts w:ascii="Times New Roman" w:cs="Times New Roman" w:eastAsia="Times New Roman" w:hAnsi="Times New Roman"/>
          <w:sz w:val="18"/>
          <w:szCs w:val="18"/>
          <w:color w:val="auto"/>
        </w:rPr>
      </w:pPr>
    </w:p>
    <w:p>
      <w:pPr>
        <w:ind w:left="2080" w:right="40" w:hanging="545"/>
        <w:spacing w:after="0" w:line="258" w:lineRule="auto"/>
        <w:tabs>
          <w:tab w:leader="none" w:pos="2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pursuant to clauses (ix), (x) and (xi) above, no public disclosure or filing reporting a change in beneficial ownership of Shares or Related Securities shall be made voluntarily during the Lock-up Period, and if the undersigned is required to file a report under Section 16 of the Exchange Act reporting a change in beneficial ownership of Shares or Related Securities during the Lock-up Period, the undersigned shall include a statement in such report to the effect that such transfer relates to the circumstances described in clause (ix), (x) or (xi), as applicable, and</w:t>
      </w:r>
    </w:p>
    <w:p>
      <w:pPr>
        <w:spacing w:after="0" w:line="88"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pursuant to clauses (i) through (vii) above, such transfer shall not involve a disposition for value.</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Furthermore, notwithstanding the restrictions imposed by this letter agreement, the undersigned may establish a trading plan pursuant to Rule 10b5-1 under the Exchange Act for the transfer of Shares or Related Securities, provided that such plan does not provide for any transfers of Shares or Related Securities during the Lock-up Period and the entry into such plan is not publicly disclosed, including in any filing under the Exchange Act, during the Lock-up Period.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0960"/>
          </w:cols>
          <w:pgMar w:left="440" w:top="270" w:right="499" w:bottom="1440" w:gutter="0" w:footer="0" w:header="0"/>
        </w:sectPr>
      </w:pPr>
    </w:p>
    <w:bookmarkStart w:id="286" w:name="page287"/>
    <w:bookmarkEnd w:id="286"/>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undersigned also agrees and consents to the entry of stop transfer instructions with the Company’s transfer agent and registrar against the transfer of Shares or Related Securities held by the undersigned and, if the undersigned is a natural person, the undersigned’s Family Members, if any, except in compliance with the foregoing restrictions.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7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the event that, during the Lock-up Period, Jefferies, Credit Suisse and Piper release or waive any prohibition set forth in this letter agreement on the transfer of Shares or Related Securities held by any director, officer or Significant Holder (as defined below), the same percentage of the total number of outstanding Shares or Related Securities held by the undersigned on the date of such release or waiver as the percentage of the total number of outstanding Shares or Related Securities held by such director, officer or such Significant Holder on the date of such release or waiver that are the subject of such waiver shall be immediately and fully released on the same terms from the applicable prohibitions set forth herein. For the purposes of the foregoing, a “</w:t>
      </w:r>
      <w:r>
        <w:rPr>
          <w:rFonts w:ascii="Times New Roman" w:cs="Times New Roman" w:eastAsia="Times New Roman" w:hAnsi="Times New Roman"/>
          <w:sz w:val="18"/>
          <w:szCs w:val="18"/>
          <w:b w:val="1"/>
          <w:bCs w:val="1"/>
          <w:color w:val="auto"/>
        </w:rPr>
        <w:t>Significant Holder</w:t>
      </w:r>
      <w:r>
        <w:rPr>
          <w:rFonts w:ascii="Times New Roman" w:cs="Times New Roman" w:eastAsia="Times New Roman" w:hAnsi="Times New Roman"/>
          <w:sz w:val="18"/>
          <w:szCs w:val="18"/>
          <w:color w:val="auto"/>
        </w:rPr>
        <w:t>” shall mean any person or entity that (together with any investment funds affiliated with such person or entity) beneficially owns 1% or more of the total outstanding Shares. Notwithstanding the foregoing, the provisions of this paragraph shall not apply (1) if the release or waiver is effected solely to permit a transfer not involving a disposition for value, (2) if the transferee agrees in writing to be bound by the same terms described in this letter agreement to the extent and for the duration that such terms remain in effect at the time of transfer, (3) in the case of any secondary underwritten public offering of Shares or Related Securities (including a secondary underwritten public offering with a primary component), (4) if the releases or waivers granted by Jefferies, Credit Suisse and Piper in an amount of Shares or Related Securities, individually or in the aggregate, are less than or equal to $5,000,000 in the aggregate, or (5) if the release or waiver is granted due to circumstances of an emergency or hardship as determined by Jefferies, Credit Suisse and Piper in their sole judgment. Jefferies, Credit Suisse and Piper shall use commercially reasonable efforts to promptly notify the Company of each such release (provided that the failure to provide such notice shall not give rise to any claim or liability against Jefferies, Credit Suisse and Piper or the underwriters). The undersigned further acknowledges that Jefferies, Credit Suisse and Piper are under no obligation to inquire into whether, or to ensure that, the Company notifies the undersigned of the delivery by Jefferies, Credit Suisse and Piper of any such notice, which is a matter between the undersigned and the Company.]</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Offering of the shares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letter agreement and nothing set forth in such disclosures is intended to suggest that the Representatives or any underwriter is making such a recommendation.</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 Notwithstanding anything to the contrary contained herein, this letter agreement will automatically terminate and the undersigned shall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020"/>
          </w:cols>
          <w:pgMar w:left="440" w:top="270" w:right="439" w:bottom="1440" w:gutter="0" w:footer="0" w:header="0"/>
        </w:sectPr>
      </w:pPr>
    </w:p>
    <w:bookmarkStart w:id="287" w:name="page288"/>
    <w:bookmarkEnd w:id="287"/>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released from all obligations under this letter agreement upon the earliest to occur, if any, of (i) the Company advising the Representatives in writing that it has determined not to proceed with the Offering, (ii) the Company filing an application with the Securities and Exchange Commission to withdraw the registration statement related to the Offering, (iii) the Underwriting Agreement being terminated following execution of the Underwriting Agreement (other than the provisions thereof which survive termination) prior to payment for and delivery of the Shares to be sold thereunder or (iv) January 31, 2021 if the Underwriting Agreement has not been executed by such date.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 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agreement shall be governed by, and construed in accordance with, the laws of the State of New York.</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000"/>
          </w:cols>
          <w:pgMar w:left="440" w:top="270" w:right="459" w:bottom="1440" w:gutter="0" w:footer="0" w:header="0"/>
        </w:sectPr>
      </w:pPr>
    </w:p>
    <w:bookmarkStart w:id="288" w:name="page289"/>
    <w:bookmarkEnd w:id="28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Name of Security Holder </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291465</wp:posOffset>
            </wp:positionV>
            <wp:extent cx="27946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Name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292735</wp:posOffset>
            </wp:positionV>
            <wp:extent cx="279463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Title of Authorized Signatory </w:t>
      </w:r>
      <w:r>
        <w:rPr>
          <w:rFonts w:ascii="Times New Roman" w:cs="Times New Roman" w:eastAsia="Times New Roman" w:hAnsi="Times New Roman"/>
          <w:sz w:val="18"/>
          <w:szCs w:val="18"/>
          <w:i w:val="1"/>
          <w:iCs w:val="1"/>
          <w:color w:val="auto"/>
        </w:rPr>
        <w:t>(Print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(indicate capacity of person signing if signing as custodian,</w:t>
      </w:r>
    </w:p>
    <w:p>
      <w:pPr>
        <w:spacing w:after="0" w:line="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trustee, or on behalf of an entity)</w:t>
      </w:r>
    </w:p>
    <w:p>
      <w:pPr>
        <w:spacing w:after="0" w:line="1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9920"/>
          </w:cols>
          <w:pgMar w:left="1440" w:top="270" w:right="539" w:bottom="1440" w:gutter="0" w:footer="0" w:header="0"/>
        </w:sectPr>
      </w:pPr>
    </w:p>
    <w:bookmarkStart w:id="289" w:name="page290"/>
    <w:bookmarkEnd w:id="28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Defined Terms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Used in Lock-up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letter agreement to which this Annex A is attached and of which it is made a part:</w:t>
      </w:r>
    </w:p>
    <w:p>
      <w:pPr>
        <w:spacing w:after="0" w:line="127" w:lineRule="exact"/>
        <w:rPr>
          <w:sz w:val="20"/>
          <w:szCs w:val="20"/>
          <w:color w:val="auto"/>
        </w:rPr>
      </w:pPr>
    </w:p>
    <w:p>
      <w:pPr>
        <w:ind w:left="960" w:hanging="424"/>
        <w:spacing w:after="0"/>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Call Equivalent Position</w:t>
      </w:r>
      <w:r>
        <w:rPr>
          <w:rFonts w:ascii="Times New Roman" w:cs="Times New Roman" w:eastAsia="Times New Roman" w:hAnsi="Times New Roman"/>
          <w:sz w:val="18"/>
          <w:szCs w:val="18"/>
          <w:color w:val="auto"/>
        </w:rPr>
        <w:t>” shall have the meaning set forth in Rule 16a-1(b) under the Exchange Act.</w:t>
      </w:r>
    </w:p>
    <w:p>
      <w:pPr>
        <w:spacing w:after="0" w:line="130" w:lineRule="exact"/>
        <w:rPr>
          <w:rFonts w:ascii="Times New Roman" w:cs="Times New Roman" w:eastAsia="Times New Roman" w:hAnsi="Times New Roman"/>
          <w:sz w:val="18"/>
          <w:szCs w:val="18"/>
          <w:color w:val="auto"/>
        </w:rPr>
      </w:pPr>
    </w:p>
    <w:p>
      <w:pPr>
        <w:ind w:left="960" w:right="20" w:hanging="424"/>
        <w:spacing w:after="0" w:line="259" w:lineRule="auto"/>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consummation of any bona fide third party tender offer, merger, consolidation or other similar transaction following the completion of the Offering and approved by the Board of Directors of the Company, the result of which is that any “person” (as defined in Section 13(d)(3) of the Exchange Act), or group of persons, other than the Company or its subsidiaries, becomes the beneficial owner (as defined in Rules 13d-3 and 13d-5 of the Exchange Act) of more than 50% of the total voting power of the voting stock of the Company.</w:t>
      </w:r>
    </w:p>
    <w:p>
      <w:pPr>
        <w:spacing w:after="0" w:line="8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130" w:lineRule="exact"/>
        <w:rPr>
          <w:rFonts w:ascii="Times New Roman" w:cs="Times New Roman" w:eastAsia="Times New Roman" w:hAnsi="Times New Roman"/>
          <w:sz w:val="18"/>
          <w:szCs w:val="18"/>
          <w:color w:val="auto"/>
        </w:rPr>
      </w:pPr>
    </w:p>
    <w:p>
      <w:pPr>
        <w:ind w:left="960" w:right="100" w:hanging="424"/>
        <w:spacing w:after="0" w:line="259" w:lineRule="auto"/>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as used above shall have the meaning set forth in Rule 16a-1(e) under the Exchange Act.</w:t>
      </w:r>
    </w:p>
    <w:p>
      <w:pPr>
        <w:spacing w:after="0" w:line="84" w:lineRule="exact"/>
        <w:rPr>
          <w:rFonts w:ascii="Times New Roman" w:cs="Times New Roman" w:eastAsia="Times New Roman" w:hAnsi="Times New Roman"/>
          <w:sz w:val="18"/>
          <w:szCs w:val="18"/>
          <w:color w:val="auto"/>
        </w:rPr>
      </w:pPr>
    </w:p>
    <w:p>
      <w:pPr>
        <w:ind w:left="960" w:right="260" w:hanging="424"/>
        <w:spacing w:after="0" w:line="286" w:lineRule="auto"/>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shall mean the period beginning on the date hereof and continuing through the close of trading on the date that is 90 days after the date of the Prospectus (as defined in the Underwriting Agreement).</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Put Equivalent Position</w:t>
      </w:r>
      <w:r>
        <w:rPr>
          <w:rFonts w:ascii="Times New Roman" w:cs="Times New Roman" w:eastAsia="Times New Roman" w:hAnsi="Times New Roman"/>
          <w:sz w:val="18"/>
          <w:szCs w:val="18"/>
          <w:color w:val="auto"/>
        </w:rPr>
        <w:t>” shall have the meaning set forth in Rule 16a-1(h) under the Exchange Act.</w:t>
      </w:r>
    </w:p>
    <w:p>
      <w:pPr>
        <w:spacing w:after="0" w:line="130" w:lineRule="exact"/>
        <w:rPr>
          <w:rFonts w:ascii="Times New Roman" w:cs="Times New Roman" w:eastAsia="Times New Roman" w:hAnsi="Times New Roman"/>
          <w:sz w:val="18"/>
          <w:szCs w:val="18"/>
          <w:color w:val="auto"/>
        </w:rPr>
      </w:pPr>
    </w:p>
    <w:p>
      <w:pPr>
        <w:ind w:left="960" w:hanging="424"/>
        <w:spacing w:after="0" w:line="286" w:lineRule="auto"/>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Securities</w:t>
      </w:r>
      <w:r>
        <w:rPr>
          <w:rFonts w:ascii="Times New Roman" w:cs="Times New Roman" w:eastAsia="Times New Roman" w:hAnsi="Times New Roman"/>
          <w:sz w:val="18"/>
          <w:szCs w:val="18"/>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6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 or Offer to Sell</w:t>
      </w:r>
      <w:r>
        <w:rPr>
          <w:rFonts w:ascii="Times New Roman" w:cs="Times New Roman" w:eastAsia="Times New Roman" w:hAnsi="Times New Roman"/>
          <w:sz w:val="18"/>
          <w:szCs w:val="18"/>
          <w:color w:val="auto"/>
        </w:rPr>
        <w:t>” shall mean to:</w:t>
      </w:r>
    </w:p>
    <w:p>
      <w:pPr>
        <w:spacing w:after="0" w:line="134"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to sell, contract to sell or lend,</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short sale or establish or increase a Put Equivalent Position or liquidate or decrease any Call Equivalent Position</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hypothecate or grant any security interest in, or</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way transfer or dispose of,</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each case whether effected directly or indirectly.</w:t>
      </w:r>
    </w:p>
    <w:p>
      <w:pPr>
        <w:spacing w:after="0" w:line="127" w:lineRule="exact"/>
        <w:rPr>
          <w:sz w:val="20"/>
          <w:szCs w:val="20"/>
          <w:color w:val="auto"/>
        </w:rPr>
      </w:pPr>
    </w:p>
    <w:p>
      <w:pPr>
        <w:ind w:left="960" w:right="280" w:hanging="424"/>
        <w:spacing w:after="0" w:line="286" w:lineRule="auto"/>
        <w:tabs>
          <w:tab w:leader="none" w:pos="9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w:t>
      </w:r>
      <w:r>
        <w:rPr>
          <w:rFonts w:ascii="Times New Roman" w:cs="Times New Roman" w:eastAsia="Times New Roman" w:hAnsi="Times New Roman"/>
          <w:sz w:val="18"/>
          <w:szCs w:val="18"/>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defined in this Annex A shall have the meanings given to them in the body of this letter agreement.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0980"/>
          </w:cols>
          <w:pgMar w:left="440" w:top="266" w:right="479" w:bottom="1440" w:gutter="0" w:footer="0" w:header="0"/>
        </w:sectPr>
      </w:pPr>
    </w:p>
    <w:bookmarkStart w:id="290" w:name="page291"/>
    <w:bookmarkEnd w:id="290"/>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91260" cy="45402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4">
                      <a:extLst>
                        <a:ext uri="{28A0092B-C50C-407E-A947-70E740481C1C}"/>
                      </a:extLst>
                    </a:blip>
                    <a:srcRect/>
                    <a:stretch>
                      <a:fillRect/>
                    </a:stretch>
                  </pic:blipFill>
                  <pic:spPr bwMode="auto">
                    <a:xfrm>
                      <a:off x="0" y="0"/>
                      <a:ext cx="1191260" cy="454025"/>
                    </a:xfrm>
                    <a:prstGeom prst="rect">
                      <a:avLst/>
                    </a:prstGeom>
                    <a:noFill/>
                  </pic:spPr>
                </pic:pic>
              </a:graphicData>
            </a:graphic>
          </wp:anchor>
        </w:drawing>
      </w:r>
    </w:p>
    <w:p>
      <w:pPr>
        <w:spacing w:after="0" w:line="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O: 650.493.9300</w:t>
      </w:r>
    </w:p>
    <w:p>
      <w:pPr>
        <w:spacing w:after="0" w:line="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F: 650.493.6811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7,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Malcolm Road,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Burlingame, California 94010</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u w:val="single" w:color="auto"/>
          <w:color w:val="auto"/>
        </w:rPr>
        <w:t>Registration Statement on Form S-1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This opinion is furnished to you in connection with the Registration Statement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ALX Oncology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December 7, 2020 with the Securities and Exchange Commission in connection with the registration under the Securities Act of 1933, as amended, of up to 2,300,000 shares (including up to 300,000 shares issuable upon exercise of an option granted to the underwriters by the Company) of the Company’s common stock, $0.001 par value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to be issued and sold by the Company. We understand that the Shares are to be sold to the underwriters for resale to the public as described in the Registration Statement and pursuant to an underwriting agreement, substantially in the form filed as an exhibit to the Registration Statement, to be entered into by and among the Company and the underwriters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are acting as counsel for the Company in connection with the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8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General Corporation Law of the State of Delaware</w:t>
      </w:r>
    </w:p>
    <w:p>
      <w:pPr>
        <w:spacing w:after="0" w:line="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(including the statutory provisions and all applicable judicial decisions interpreting those laws) and the federal laws of the United States of America.</w:t>
      </w:r>
    </w:p>
    <w:p>
      <w:pPr>
        <w:spacing w:after="0" w:line="110" w:lineRule="exact"/>
        <w:rPr>
          <w:sz w:val="20"/>
          <w:szCs w:val="20"/>
          <w:color w:val="auto"/>
        </w:rPr>
      </w:pPr>
    </w:p>
    <w:p>
      <w:pPr>
        <w:jc w:val="both"/>
        <w:ind w:right="260" w:firstLine="440"/>
        <w:spacing w:after="0" w:line="312" w:lineRule="auto"/>
        <w:rPr>
          <w:sz w:val="20"/>
          <w:szCs w:val="20"/>
          <w:color w:val="auto"/>
        </w:rPr>
      </w:pPr>
      <w:r>
        <w:rPr>
          <w:rFonts w:ascii="Times New Roman" w:cs="Times New Roman" w:eastAsia="Times New Roman" w:hAnsi="Times New Roman"/>
          <w:sz w:val="17"/>
          <w:szCs w:val="17"/>
          <w:color w:val="auto"/>
        </w:rPr>
        <w:t>On the basis of the foregoing, we are of the opinion that the Shares to be issued and sold by the Company have been duly authorized and, when such Shares are issued and paid for in accordance with the terms of the Underwriting Agreement, will be validly issued, fully paid and nonassessable.</w:t>
      </w:r>
    </w:p>
    <w:p>
      <w:pPr>
        <w:sectPr>
          <w:pgSz w:w="11900" w:h="16838" w:orient="portrait"/>
          <w:cols w:equalWidth="0" w:num="1">
            <w:col w:w="11020"/>
          </w:cols>
          <w:pgMar w:left="440" w:top="117" w:right="439" w:bottom="1440" w:gutter="0" w:footer="0" w:header="0"/>
        </w:sectPr>
      </w:pP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AUSTIN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BEIJING</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BOSTON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BRUSSELS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HONG KONG</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LONDON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LOS ANGELES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NEW YORK</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PALO ALTO</w:t>
      </w:r>
    </w:p>
    <w:p>
      <w:pPr>
        <w:spacing w:after="0" w:line="132" w:lineRule="exact"/>
        <w:rPr>
          <w:sz w:val="20"/>
          <w:szCs w:val="20"/>
          <w:color w:val="auto"/>
        </w:rPr>
      </w:pPr>
    </w:p>
    <w:p>
      <w:pPr>
        <w:sectPr>
          <w:pgSz w:w="11900" w:h="16838" w:orient="portrait"/>
          <w:cols w:equalWidth="0" w:num="9">
            <w:col w:w="1300" w:space="360"/>
            <w:col w:w="560" w:space="360"/>
            <w:col w:w="600" w:space="360"/>
            <w:col w:w="740" w:space="360"/>
            <w:col w:w="920" w:space="360"/>
            <w:col w:w="620" w:space="360"/>
            <w:col w:w="1020" w:space="360"/>
            <w:col w:w="820" w:space="360"/>
            <w:col w:w="1560"/>
          </w:cols>
          <w:pgMar w:left="440" w:top="117" w:right="439" w:bottom="1440" w:gutter="0" w:footer="0" w:header="0"/>
          <w:type w:val="continuous"/>
        </w:sectPr>
      </w:pP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color w:val="auto"/>
        </w:rPr>
        <w:t>SAN DIEGO</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SAN FRANCISCO</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SEATTLE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SHANGHAI</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color w:val="auto"/>
        </w:rPr>
        <w:t>WASHINGTON</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DC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WILMINGTON</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 xml:space="preserve"> DE</w:t>
      </w:r>
    </w:p>
    <w:p>
      <w:pPr>
        <w:sectPr>
          <w:pgSz w:w="11900" w:h="16838" w:orient="portrait"/>
          <w:cols w:equalWidth="0" w:num="6">
            <w:col w:w="2420" w:space="360"/>
            <w:col w:w="1180" w:space="360"/>
            <w:col w:w="640" w:space="360"/>
            <w:col w:w="780" w:space="360"/>
            <w:col w:w="1300" w:space="360"/>
            <w:col w:w="2900"/>
          </w:cols>
          <w:pgMar w:left="440" w:top="117" w:right="439" w:bottom="1440" w:gutter="0" w:footer="0" w:header="0"/>
          <w:type w:val="continuous"/>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91260" cy="4546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6">
                      <a:clrChange>
                        <a:clrFrom>
                          <a:srgbClr val="FFFFFF"/>
                        </a:clrFrom>
                        <a:clrTo>
                          <a:srgbClr val="FFFFFF">
                            <a:alpha val="0"/>
                          </a:srgbClr>
                        </a:clrTo>
                      </a:clrChange>
                      <a:extLst>
                        <a:ext uri="{28A0092B-C50C-407E-A947-70E740481C1C}"/>
                      </a:extLst>
                    </a:blip>
                    <a:srcRect/>
                    <a:stretch>
                      <a:fillRect/>
                    </a:stretch>
                  </pic:blipFill>
                  <pic:spPr bwMode="auto">
                    <a:xfrm>
                      <a:off x="0" y="0"/>
                      <a:ext cx="1191260" cy="454660"/>
                    </a:xfrm>
                    <a:prstGeom prst="rect">
                      <a:avLst/>
                    </a:prstGeom>
                    <a:noFill/>
                  </pic:spPr>
                </pic:pic>
              </a:graphicData>
            </a:graphic>
          </wp:anchor>
        </w:drawing>
        <w:t>December 7,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0760"/>
          </w:cols>
          <w:pgMar w:left="440" w:top="1093" w:right="69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ALX Oncology Holdings Inc.:</w:t>
      </w:r>
    </w:p>
    <w:p>
      <w:pPr>
        <w:spacing w:after="0" w:line="20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 dated June 12, 2020, except for the retroactive effect of the reverse stock split as described under the heading ‘Reverse Stock Split’ in Note 4, which is as of July 13, 2020, with respect to the balance sheet of ALX Oncology Holdings Inc. as of April 1, 2020 (inception), and the related notes, included herein and to the reference to our firm under the heading “Experts” in the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7, 2020</w:t>
      </w:r>
    </w:p>
    <w:p>
      <w:pPr>
        <w:sectPr>
          <w:pgSz w:w="11900" w:h="16838" w:orient="portrait"/>
          <w:cols w:equalWidth="0" w:num="1">
            <w:col w:w="11020"/>
          </w:cols>
          <w:pgMar w:left="440" w:top="117" w:right="43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ALX Oncology Limited:</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consent to the use of our report dated May 5, 2020, except for the retroactive effect of the reverse stock split as described under the heading ‘Reverse Stock Split’ in Note 13, which is as of July 13, 2020, with respect to the consolidated balance sheets of ALX Oncology Limited and subsidiaries as of December 31, 2018 and 2019, the related consolidated statements of operations and comprehensive loss, convertible preferred shares and shareholders’ deficit, and cash flows for each of the years in the two-year period ended December 31, 2019, and the related notes, included herein and to the reference to our firm under the heading “Experts” in the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7,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370B"/>
    <w:multiLevelType w:val="hybridMultilevel"/>
    <w:lvl w:ilvl="0">
      <w:lvlJc w:val="left"/>
      <w:lvlText w:val="(%1)"/>
      <w:numFmt w:val="decimal"/>
      <w:start w:val="1"/>
    </w:lvl>
  </w:abstractNum>
  <w:abstractNum w:abstractNumId="1">
    <w:nsid w:val="50801EE1"/>
    <w:multiLevelType w:val="hybridMultilevel"/>
    <w:lvl w:ilvl="0">
      <w:lvlJc w:val="left"/>
      <w:lvlText w:val="(%1)"/>
      <w:numFmt w:val="decimal"/>
      <w:start w:val="1"/>
    </w:lvl>
  </w:abstractNum>
  <w:abstractNum w:abstractNumId="2">
    <w:nsid w:val="488AC1A"/>
    <w:multiLevelType w:val="hybridMultilevel"/>
    <w:lvl w:ilvl="0">
      <w:lvlJc w:val="left"/>
      <w:lvlText w:val="∎"/>
      <w:numFmt w:val="bullet"/>
      <w:start w:val="1"/>
    </w:lvl>
  </w:abstractNum>
  <w:abstractNum w:abstractNumId="3">
    <w:nsid w:val="5FB8011C"/>
    <w:multiLevelType w:val="hybridMultilevel"/>
    <w:lvl w:ilvl="0">
      <w:lvlJc w:val="left"/>
      <w:lvlText w:val="∎"/>
      <w:numFmt w:val="bullet"/>
      <w:start w:val="1"/>
    </w:lvl>
  </w:abstractNum>
  <w:abstractNum w:abstractNumId="4">
    <w:nsid w:val="6AA78F7F"/>
    <w:multiLevelType w:val="hybridMultilevel"/>
    <w:lvl w:ilvl="0">
      <w:lvlJc w:val="left"/>
      <w:lvlText w:val="∎"/>
      <w:numFmt w:val="bullet"/>
      <w:start w:val="1"/>
    </w:lvl>
  </w:abstractNum>
  <w:abstractNum w:abstractNumId="5">
    <w:nsid w:val="7672BD23"/>
    <w:multiLevelType w:val="hybridMultilevel"/>
    <w:lvl w:ilvl="0">
      <w:lvlJc w:val="left"/>
      <w:lvlText w:val="∎"/>
      <w:numFmt w:val="bullet"/>
      <w:start w:val="1"/>
    </w:lvl>
  </w:abstractNum>
  <w:abstractNum w:abstractNumId="6">
    <w:nsid w:val="6FC75AF8"/>
    <w:multiLevelType w:val="hybridMultilevel"/>
    <w:lvl w:ilvl="0">
      <w:lvlJc w:val="left"/>
      <w:lvlText w:val="∎"/>
      <w:numFmt w:val="bullet"/>
      <w:start w:val="1"/>
    </w:lvl>
  </w:abstractNum>
  <w:abstractNum w:abstractNumId="7">
    <w:nsid w:val="6A5F7029"/>
    <w:multiLevelType w:val="hybridMultilevel"/>
    <w:lvl w:ilvl="0">
      <w:lvlJc w:val="left"/>
      <w:lvlText w:val="∎"/>
      <w:numFmt w:val="bullet"/>
      <w:start w:val="1"/>
    </w:lvl>
  </w:abstractNum>
  <w:abstractNum w:abstractNumId="8">
    <w:nsid w:val="7D5E18F8"/>
    <w:multiLevelType w:val="hybridMultilevel"/>
    <w:lvl w:ilvl="0">
      <w:lvlJc w:val="left"/>
      <w:lvlText w:val="(%1)"/>
      <w:numFmt w:val="decimal"/>
      <w:start w:val="1"/>
    </w:lvl>
  </w:abstractNum>
  <w:abstractNum w:abstractNumId="9">
    <w:nsid w:val="5F3534A4"/>
    <w:multiLevelType w:val="hybridMultilevel"/>
    <w:lvl w:ilvl="0">
      <w:lvlJc w:val="left"/>
      <w:lvlText w:val="(%1)"/>
      <w:numFmt w:val="decimal"/>
      <w:start w:val="1"/>
    </w:lvl>
  </w:abstractNum>
  <w:abstractNum w:abstractNumId="10">
    <w:nsid w:val="73A1821B"/>
    <w:multiLevelType w:val="hybridMultilevel"/>
    <w:lvl w:ilvl="0">
      <w:lvlJc w:val="left"/>
      <w:lvlText w:val="∎"/>
      <w:numFmt w:val="bullet"/>
      <w:start w:val="1"/>
    </w:lvl>
  </w:abstractNum>
  <w:abstractNum w:abstractNumId="11">
    <w:nsid w:val="7DE67713"/>
    <w:multiLevelType w:val="hybridMultilevel"/>
    <w:lvl w:ilvl="0">
      <w:lvlJc w:val="left"/>
      <w:lvlText w:val="∎"/>
      <w:numFmt w:val="bullet"/>
      <w:start w:val="1"/>
    </w:lvl>
  </w:abstractNum>
  <w:abstractNum w:abstractNumId="12">
    <w:nsid w:val="555C55B5"/>
    <w:multiLevelType w:val="hybridMultilevel"/>
    <w:lvl w:ilvl="0">
      <w:lvlJc w:val="left"/>
      <w:lvlText w:val="∎"/>
      <w:numFmt w:val="bullet"/>
      <w:start w:val="1"/>
    </w:lvl>
  </w:abstractNum>
  <w:abstractNum w:abstractNumId="13">
    <w:nsid w:val="3FA62ACA"/>
    <w:multiLevelType w:val="hybridMultilevel"/>
    <w:lvl w:ilvl="0">
      <w:lvlJc w:val="left"/>
      <w:lvlText w:val="∎"/>
      <w:numFmt w:val="bullet"/>
      <w:start w:val="1"/>
    </w:lvl>
  </w:abstractNum>
  <w:abstractNum w:abstractNumId="14">
    <w:nsid w:val="14FCE74E"/>
    <w:multiLevelType w:val="hybridMultilevel"/>
    <w:lvl w:ilvl="0">
      <w:lvlJc w:val="left"/>
      <w:lvlText w:val="∎"/>
      <w:numFmt w:val="bullet"/>
      <w:start w:val="1"/>
    </w:lvl>
  </w:abstractNum>
  <w:abstractNum w:abstractNumId="15">
    <w:nsid w:val="6A3DD3E8"/>
    <w:multiLevelType w:val="hybridMultilevel"/>
    <w:lvl w:ilvl="0">
      <w:lvlJc w:val="left"/>
      <w:lvlText w:val="∎"/>
      <w:numFmt w:val="bullet"/>
      <w:start w:val="1"/>
    </w:lvl>
  </w:abstractNum>
  <w:abstractNum w:abstractNumId="16">
    <w:nsid w:val="71C91298"/>
    <w:multiLevelType w:val="hybridMultilevel"/>
    <w:lvl w:ilvl="0">
      <w:lvlJc w:val="left"/>
      <w:lvlText w:val="∎"/>
      <w:numFmt w:val="bullet"/>
      <w:start w:val="1"/>
    </w:lvl>
  </w:abstractNum>
  <w:abstractNum w:abstractNumId="17">
    <w:nsid w:val="9DAF632"/>
    <w:multiLevelType w:val="hybridMultilevel"/>
    <w:lvl w:ilvl="0">
      <w:lvlJc w:val="left"/>
      <w:lvlText w:val="∎"/>
      <w:numFmt w:val="bullet"/>
      <w:start w:val="1"/>
    </w:lvl>
  </w:abstractNum>
  <w:abstractNum w:abstractNumId="18">
    <w:nsid w:val="53299938"/>
    <w:multiLevelType w:val="hybridMultilevel"/>
    <w:lvl w:ilvl="0">
      <w:lvlJc w:val="left"/>
      <w:lvlText w:val="∎"/>
      <w:numFmt w:val="bullet"/>
      <w:start w:val="1"/>
    </w:lvl>
  </w:abstractNum>
  <w:abstractNum w:abstractNumId="19">
    <w:nsid w:val="1FBFE8E0"/>
    <w:multiLevelType w:val="hybridMultilevel"/>
    <w:lvl w:ilvl="0">
      <w:lvlJc w:val="left"/>
      <w:lvlText w:val="∎"/>
      <w:numFmt w:val="bullet"/>
      <w:start w:val="1"/>
    </w:lvl>
  </w:abstractNum>
  <w:abstractNum w:abstractNumId="20">
    <w:nsid w:val="5092CA79"/>
    <w:multiLevelType w:val="hybridMultilevel"/>
    <w:lvl w:ilvl="0">
      <w:lvlJc w:val="left"/>
      <w:lvlText w:val="∎"/>
      <w:numFmt w:val="bullet"/>
      <w:start w:val="1"/>
    </w:lvl>
  </w:abstractNum>
  <w:abstractNum w:abstractNumId="21">
    <w:nsid w:val="1D545C4D"/>
    <w:multiLevelType w:val="hybridMultilevel"/>
    <w:lvl w:ilvl="0">
      <w:lvlJc w:val="left"/>
      <w:lvlText w:val="∎"/>
      <w:numFmt w:val="bullet"/>
      <w:start w:val="1"/>
    </w:lvl>
  </w:abstractNum>
  <w:abstractNum w:abstractNumId="22">
    <w:nsid w:val="59ADEA3D"/>
    <w:multiLevelType w:val="hybridMultilevel"/>
    <w:lvl w:ilvl="0">
      <w:lvlJc w:val="left"/>
      <w:lvlText w:val="∎"/>
      <w:numFmt w:val="bullet"/>
      <w:start w:val="1"/>
    </w:lvl>
  </w:abstractNum>
  <w:abstractNum w:abstractNumId="23">
    <w:nsid w:val="288F1A34"/>
    <w:multiLevelType w:val="hybridMultilevel"/>
    <w:lvl w:ilvl="0">
      <w:lvlJc w:val="left"/>
      <w:lvlText w:val="∎"/>
      <w:numFmt w:val="bullet"/>
      <w:start w:val="1"/>
    </w:lvl>
  </w:abstractNum>
  <w:abstractNum w:abstractNumId="24">
    <w:nsid w:val="2A155DBC"/>
    <w:multiLevelType w:val="hybridMultilevel"/>
    <w:lvl w:ilvl="0">
      <w:lvlJc w:val="left"/>
      <w:lvlText w:val="∎"/>
      <w:numFmt w:val="bullet"/>
      <w:start w:val="1"/>
    </w:lvl>
  </w:abstractNum>
  <w:abstractNum w:abstractNumId="25">
    <w:nsid w:val="1D9F6E5F"/>
    <w:multiLevelType w:val="hybridMultilevel"/>
    <w:lvl w:ilvl="0">
      <w:lvlJc w:val="left"/>
      <w:lvlText w:val="∎"/>
      <w:numFmt w:val="bullet"/>
      <w:start w:val="1"/>
    </w:lvl>
  </w:abstractNum>
  <w:abstractNum w:abstractNumId="26">
    <w:nsid w:val="97E1B4E"/>
    <w:multiLevelType w:val="hybridMultilevel"/>
    <w:lvl w:ilvl="0">
      <w:lvlJc w:val="left"/>
      <w:lvlText w:val="∎"/>
      <w:numFmt w:val="bullet"/>
      <w:start w:val="1"/>
    </w:lvl>
  </w:abstractNum>
  <w:abstractNum w:abstractNumId="27">
    <w:nsid w:val="51088277"/>
    <w:multiLevelType w:val="hybridMultilevel"/>
    <w:lvl w:ilvl="0">
      <w:lvlJc w:val="left"/>
      <w:lvlText w:val="∎"/>
      <w:numFmt w:val="bullet"/>
      <w:start w:val="1"/>
    </w:lvl>
  </w:abstractNum>
  <w:abstractNum w:abstractNumId="28">
    <w:nsid w:val="1CA0C5FA"/>
    <w:multiLevelType w:val="hybridMultilevel"/>
    <w:lvl w:ilvl="0">
      <w:lvlJc w:val="left"/>
      <w:lvlText w:val="∎"/>
      <w:numFmt w:val="bullet"/>
      <w:start w:val="1"/>
    </w:lvl>
  </w:abstractNum>
  <w:abstractNum w:abstractNumId="29">
    <w:nsid w:val="53584BCB"/>
    <w:multiLevelType w:val="hybridMultilevel"/>
    <w:lvl w:ilvl="0">
      <w:lvlJc w:val="left"/>
      <w:lvlText w:val="∎"/>
      <w:numFmt w:val="bullet"/>
      <w:start w:val="1"/>
    </w:lvl>
  </w:abstractNum>
  <w:abstractNum w:abstractNumId="30">
    <w:nsid w:val="415E286C"/>
    <w:multiLevelType w:val="hybridMultilevel"/>
    <w:lvl w:ilvl="0">
      <w:lvlJc w:val="left"/>
      <w:lvlText w:val="∎"/>
      <w:numFmt w:val="bullet"/>
      <w:start w:val="1"/>
    </w:lvl>
  </w:abstractNum>
  <w:abstractNum w:abstractNumId="31">
    <w:nsid w:val="7C58FD05"/>
    <w:multiLevelType w:val="hybridMultilevel"/>
    <w:lvl w:ilvl="0">
      <w:lvlJc w:val="left"/>
      <w:lvlText w:val="∎"/>
      <w:numFmt w:val="bullet"/>
      <w:start w:val="1"/>
    </w:lvl>
  </w:abstractNum>
  <w:abstractNum w:abstractNumId="32">
    <w:nsid w:val="23D86AAC"/>
    <w:multiLevelType w:val="hybridMultilevel"/>
    <w:lvl w:ilvl="0">
      <w:lvlJc w:val="left"/>
      <w:lvlText w:val="∎"/>
      <w:numFmt w:val="bullet"/>
      <w:start w:val="1"/>
    </w:lvl>
  </w:abstractNum>
  <w:abstractNum w:abstractNumId="33">
    <w:nsid w:val="45E6D486"/>
    <w:multiLevelType w:val="hybridMultilevel"/>
    <w:lvl w:ilvl="0">
      <w:lvlJc w:val="left"/>
      <w:lvlText w:val="∎"/>
      <w:numFmt w:val="bullet"/>
      <w:start w:val="1"/>
    </w:lvl>
  </w:abstractNum>
  <w:abstractNum w:abstractNumId="34">
    <w:nsid w:val="5C10FE21"/>
    <w:multiLevelType w:val="hybridMultilevel"/>
    <w:lvl w:ilvl="0">
      <w:lvlJc w:val="left"/>
      <w:lvlText w:val="∎"/>
      <w:numFmt w:val="bullet"/>
      <w:start w:val="1"/>
    </w:lvl>
  </w:abstractNum>
  <w:abstractNum w:abstractNumId="35">
    <w:nsid w:val="E7FFA2B"/>
    <w:multiLevelType w:val="hybridMultilevel"/>
    <w:lvl w:ilvl="0">
      <w:lvlJc w:val="left"/>
      <w:lvlText w:val="∎"/>
      <w:numFmt w:val="bullet"/>
      <w:start w:val="1"/>
    </w:lvl>
  </w:abstractNum>
  <w:abstractNum w:abstractNumId="36">
    <w:nsid w:val="3C5991AA"/>
    <w:multiLevelType w:val="hybridMultilevel"/>
    <w:lvl w:ilvl="0">
      <w:lvlJc w:val="left"/>
      <w:lvlText w:val="∎"/>
      <w:numFmt w:val="bullet"/>
      <w:start w:val="1"/>
    </w:lvl>
  </w:abstractNum>
  <w:abstractNum w:abstractNumId="37">
    <w:nsid w:val="4BD8591A"/>
    <w:multiLevelType w:val="hybridMultilevel"/>
    <w:lvl w:ilvl="0">
      <w:lvlJc w:val="left"/>
      <w:lvlText w:val="∎"/>
      <w:numFmt w:val="bullet"/>
      <w:start w:val="1"/>
    </w:lvl>
  </w:abstractNum>
  <w:abstractNum w:abstractNumId="38">
    <w:nsid w:val="78DF6A55"/>
    <w:multiLevelType w:val="hybridMultilevel"/>
    <w:lvl w:ilvl="0">
      <w:lvlJc w:val="left"/>
      <w:lvlText w:val="∎"/>
      <w:numFmt w:val="bullet"/>
      <w:start w:val="1"/>
    </w:lvl>
  </w:abstractNum>
  <w:abstractNum w:abstractNumId="39">
    <w:nsid w:val="39B7AAA2"/>
    <w:multiLevelType w:val="hybridMultilevel"/>
    <w:lvl w:ilvl="0">
      <w:lvlJc w:val="left"/>
      <w:lvlText w:val="∎"/>
      <w:numFmt w:val="bullet"/>
      <w:start w:val="1"/>
    </w:lvl>
  </w:abstractNum>
  <w:abstractNum w:abstractNumId="40">
    <w:nsid w:val="2B0D8DBE"/>
    <w:multiLevelType w:val="hybridMultilevel"/>
    <w:lvl w:ilvl="0">
      <w:lvlJc w:val="left"/>
      <w:lvlText w:val="∎"/>
      <w:numFmt w:val="bullet"/>
      <w:start w:val="1"/>
    </w:lvl>
  </w:abstractNum>
  <w:abstractNum w:abstractNumId="41">
    <w:nsid w:val="6C80EC70"/>
    <w:multiLevelType w:val="hybridMultilevel"/>
    <w:lvl w:ilvl="0">
      <w:lvlJc w:val="left"/>
      <w:lvlText w:val="∎"/>
      <w:numFmt w:val="bullet"/>
      <w:start w:val="1"/>
    </w:lvl>
  </w:abstractNum>
  <w:abstractNum w:abstractNumId="42">
    <w:nsid w:val="379E21B5"/>
    <w:multiLevelType w:val="hybridMultilevel"/>
    <w:lvl w:ilvl="0">
      <w:lvlJc w:val="left"/>
      <w:lvlText w:val="∎"/>
      <w:numFmt w:val="bullet"/>
      <w:start w:val="1"/>
    </w:lvl>
  </w:abstractNum>
  <w:abstractNum w:abstractNumId="43">
    <w:nsid w:val="69E373"/>
    <w:multiLevelType w:val="hybridMultilevel"/>
    <w:lvl w:ilvl="0">
      <w:lvlJc w:val="left"/>
      <w:lvlText w:val="∎"/>
      <w:numFmt w:val="bullet"/>
      <w:start w:val="1"/>
    </w:lvl>
  </w:abstractNum>
  <w:abstractNum w:abstractNumId="44">
    <w:nsid w:val="2C27173B"/>
    <w:multiLevelType w:val="hybridMultilevel"/>
    <w:lvl w:ilvl="0">
      <w:lvlJc w:val="left"/>
      <w:lvlText w:val="∎"/>
      <w:numFmt w:val="bullet"/>
      <w:start w:val="1"/>
    </w:lvl>
  </w:abstractNum>
  <w:abstractNum w:abstractNumId="45">
    <w:nsid w:val="4C9B0904"/>
    <w:multiLevelType w:val="hybridMultilevel"/>
    <w:lvl w:ilvl="0">
      <w:lvlJc w:val="left"/>
      <w:lvlText w:val="∎"/>
      <w:numFmt w:val="bullet"/>
      <w:start w:val="1"/>
    </w:lvl>
  </w:abstractNum>
  <w:abstractNum w:abstractNumId="46">
    <w:nsid w:val="6AA7B75C"/>
    <w:multiLevelType w:val="hybridMultilevel"/>
    <w:lvl w:ilvl="0">
      <w:lvlJc w:val="left"/>
      <w:lvlText w:val="(%1)"/>
      <w:numFmt w:val="decimal"/>
      <w:start w:val="1"/>
    </w:lvl>
  </w:abstractNum>
  <w:abstractNum w:abstractNumId="47">
    <w:nsid w:val="1DF029D3"/>
    <w:multiLevelType w:val="hybridMultilevel"/>
    <w:lvl w:ilvl="0">
      <w:lvlJc w:val="left"/>
      <w:lvlText w:val="∎"/>
      <w:numFmt w:val="bullet"/>
      <w:start w:val="1"/>
    </w:lvl>
  </w:abstractNum>
  <w:abstractNum w:abstractNumId="48">
    <w:nsid w:val="5675FF36"/>
    <w:multiLevelType w:val="hybridMultilevel"/>
    <w:lvl w:ilvl="0">
      <w:lvlJc w:val="left"/>
      <w:lvlText w:val="∎"/>
      <w:numFmt w:val="bullet"/>
      <w:start w:val="1"/>
    </w:lvl>
  </w:abstractNum>
  <w:abstractNum w:abstractNumId="49">
    <w:nsid w:val="3DD15094"/>
    <w:multiLevelType w:val="hybridMultilevel"/>
    <w:lvl w:ilvl="0">
      <w:lvlJc w:val="left"/>
      <w:lvlText w:val="∎"/>
      <w:numFmt w:val="bullet"/>
      <w:start w:val="1"/>
    </w:lvl>
  </w:abstractNum>
  <w:abstractNum w:abstractNumId="50">
    <w:nsid w:val="3DB012B3"/>
    <w:multiLevelType w:val="hybridMultilevel"/>
    <w:lvl w:ilvl="0">
      <w:lvlJc w:val="left"/>
      <w:lvlText w:val="(%1)"/>
      <w:numFmt w:val="decimal"/>
      <w:start w:val="1"/>
    </w:lvl>
  </w:abstractNum>
  <w:abstractNum w:abstractNumId="51">
    <w:nsid w:val="2708C9AF"/>
    <w:multiLevelType w:val="hybridMultilevel"/>
    <w:lvl w:ilvl="0">
      <w:lvlJc w:val="left"/>
      <w:lvlText w:val="(%1)"/>
      <w:numFmt w:val="decimal"/>
      <w:start w:val="1"/>
    </w:lvl>
  </w:abstractNum>
  <w:abstractNum w:abstractNumId="52">
    <w:nsid w:val="5B25ACE2"/>
    <w:multiLevelType w:val="hybridMultilevel"/>
    <w:lvl w:ilvl="0">
      <w:lvlJc w:val="left"/>
      <w:lvlText w:val="∎"/>
      <w:numFmt w:val="bullet"/>
      <w:start w:val="1"/>
    </w:lvl>
  </w:abstractNum>
  <w:abstractNum w:abstractNumId="53">
    <w:nsid w:val="175DFCF0"/>
    <w:multiLevelType w:val="hybridMultilevel"/>
    <w:lvl w:ilvl="0">
      <w:lvlJc w:val="left"/>
      <w:lvlText w:val="∎"/>
      <w:numFmt w:val="bullet"/>
      <w:start w:val="1"/>
    </w:lvl>
  </w:abstractNum>
  <w:abstractNum w:abstractNumId="54">
    <w:nsid w:val="4F97E3E4"/>
    <w:multiLevelType w:val="hybridMultilevel"/>
    <w:lvl w:ilvl="0">
      <w:lvlJc w:val="left"/>
      <w:lvlText w:val="∎"/>
      <w:numFmt w:val="bullet"/>
      <w:start w:val="1"/>
    </w:lvl>
  </w:abstractNum>
  <w:abstractNum w:abstractNumId="55">
    <w:nsid w:val="53B0A9E"/>
    <w:multiLevelType w:val="hybridMultilevel"/>
    <w:lvl w:ilvl="0">
      <w:lvlJc w:val="left"/>
      <w:lvlText w:val="∎"/>
      <w:numFmt w:val="bullet"/>
      <w:start w:val="1"/>
    </w:lvl>
  </w:abstractNum>
  <w:abstractNum w:abstractNumId="56">
    <w:nsid w:val="34FD6B4F"/>
    <w:multiLevelType w:val="hybridMultilevel"/>
    <w:lvl w:ilvl="0">
      <w:lvlJc w:val="left"/>
      <w:lvlText w:val="(%1)"/>
      <w:numFmt w:val="decimal"/>
      <w:start w:val="1"/>
    </w:lvl>
  </w:abstractNum>
  <w:abstractNum w:abstractNumId="57">
    <w:nsid w:val="5915FF32"/>
    <w:multiLevelType w:val="hybridMultilevel"/>
    <w:lvl w:ilvl="0">
      <w:lvlJc w:val="left"/>
      <w:lvlText w:val="(%1)"/>
      <w:numFmt w:val="lowerRoman"/>
      <w:start w:val="2"/>
    </w:lvl>
  </w:abstractNum>
  <w:abstractNum w:abstractNumId="58">
    <w:nsid w:val="56438D15"/>
    <w:multiLevelType w:val="hybridMultilevel"/>
    <w:lvl w:ilvl="0">
      <w:lvlJc w:val="left"/>
      <w:lvlText w:val="∎"/>
      <w:numFmt w:val="bullet"/>
      <w:start w:val="1"/>
    </w:lvl>
  </w:abstractNum>
  <w:abstractNum w:abstractNumId="59">
    <w:nsid w:val="519E3149"/>
    <w:multiLevelType w:val="hybridMultilevel"/>
    <w:lvl w:ilvl="0">
      <w:lvlJc w:val="left"/>
      <w:lvlText w:val="∎"/>
      <w:numFmt w:val="bullet"/>
      <w:start w:val="1"/>
    </w:lvl>
  </w:abstractNum>
  <w:abstractNum w:abstractNumId="60">
    <w:nsid w:val="2C6E4AFD"/>
    <w:multiLevelType w:val="hybridMultilevel"/>
    <w:lvl w:ilvl="0">
      <w:lvlJc w:val="left"/>
      <w:lvlText w:val="∎"/>
      <w:numFmt w:val="bullet"/>
      <w:start w:val="1"/>
    </w:lvl>
  </w:abstractNum>
  <w:abstractNum w:abstractNumId="61">
    <w:nsid w:val="17A1B582"/>
    <w:multiLevelType w:val="hybridMultilevel"/>
    <w:lvl w:ilvl="0">
      <w:lvlJc w:val="left"/>
      <w:lvlText w:val="∎"/>
      <w:numFmt w:val="bullet"/>
      <w:start w:val="1"/>
    </w:lvl>
  </w:abstractNum>
  <w:abstractNum w:abstractNumId="62">
    <w:nsid w:val="4DF72E4E"/>
    <w:multiLevelType w:val="hybridMultilevel"/>
    <w:lvl w:ilvl="0">
      <w:lvlJc w:val="left"/>
      <w:lvlText w:val="∎"/>
      <w:numFmt w:val="bullet"/>
      <w:start w:val="1"/>
    </w:lvl>
  </w:abstractNum>
  <w:abstractNum w:abstractNumId="63">
    <w:nsid w:val="5046B5A9"/>
    <w:multiLevelType w:val="hybridMultilevel"/>
    <w:lvl w:ilvl="0">
      <w:lvlJc w:val="left"/>
      <w:lvlText w:val="∎"/>
      <w:numFmt w:val="bullet"/>
      <w:start w:val="1"/>
    </w:lvl>
    <w:lvl w:ilvl="1">
      <w:lvlJc w:val="left"/>
      <w:lvlText w:val="∎"/>
      <w:numFmt w:val="bullet"/>
      <w:start w:val="1"/>
    </w:lvl>
  </w:abstractNum>
  <w:abstractNum w:abstractNumId="64">
    <w:nsid w:val="5D888A08"/>
    <w:multiLevelType w:val="hybridMultilevel"/>
    <w:lvl w:ilvl="0">
      <w:lvlJc w:val="left"/>
      <w:lvlText w:val="∎"/>
      <w:numFmt w:val="bullet"/>
      <w:start w:val="1"/>
    </w:lvl>
  </w:abstractNum>
  <w:abstractNum w:abstractNumId="65">
    <w:nsid w:val="2A082C70"/>
    <w:multiLevelType w:val="hybridMultilevel"/>
    <w:lvl w:ilvl="0">
      <w:lvlJc w:val="left"/>
      <w:lvlText w:val="***"/>
      <w:numFmt w:val="bullet"/>
      <w:start w:val="1"/>
    </w:lvl>
  </w:abstractNum>
  <w:abstractNum w:abstractNumId="66">
    <w:nsid w:val="5EC6AFD4"/>
    <w:multiLevelType w:val="hybridMultilevel"/>
    <w:lvl w:ilvl="0">
      <w:lvlJc w:val="left"/>
      <w:lvlText w:val="****"/>
      <w:numFmt w:val="bullet"/>
      <w:start w:val="1"/>
    </w:lvl>
  </w:abstractNum>
  <w:abstractNum w:abstractNumId="67">
    <w:nsid w:val="19E21BB2"/>
    <w:multiLevelType w:val="hybridMultilevel"/>
    <w:lvl w:ilvl="0">
      <w:lvlJc w:val="left"/>
      <w:lvlText w:val="%1)"/>
      <w:numFmt w:val="decimal"/>
      <w:start w:val="304"/>
    </w:lvl>
  </w:abstractNum>
  <w:abstractNum w:abstractNumId="68">
    <w:nsid w:val="75E0858A"/>
    <w:multiLevelType w:val="hybridMultilevel"/>
    <w:lvl w:ilvl="0">
      <w:lvlJc w:val="left"/>
      <w:lvlText w:val="∎"/>
      <w:numFmt w:val="bullet"/>
      <w:start w:val="1"/>
    </w:lvl>
  </w:abstractNum>
  <w:abstractNum w:abstractNumId="69">
    <w:nsid w:val="57A61A29"/>
    <w:multiLevelType w:val="hybridMultilevel"/>
    <w:lvl w:ilvl="0">
      <w:lvlJc w:val="left"/>
      <w:lvlText w:val="∎"/>
      <w:numFmt w:val="bullet"/>
      <w:start w:val="1"/>
    </w:lvl>
  </w:abstractNum>
  <w:abstractNum w:abstractNumId="70">
    <w:nsid w:val="5399C654"/>
    <w:multiLevelType w:val="hybridMultilevel"/>
    <w:lvl w:ilvl="0">
      <w:lvlJc w:val="left"/>
      <w:lvlText w:val="∎"/>
      <w:numFmt w:val="bullet"/>
      <w:start w:val="1"/>
    </w:lvl>
  </w:abstractNum>
  <w:abstractNum w:abstractNumId="71">
    <w:nsid w:val="20EE1348"/>
    <w:multiLevelType w:val="hybridMultilevel"/>
    <w:lvl w:ilvl="0">
      <w:lvlJc w:val="left"/>
      <w:lvlText w:val="∎"/>
      <w:numFmt w:val="bullet"/>
      <w:start w:val="1"/>
    </w:lvl>
  </w:abstractNum>
  <w:abstractNum w:abstractNumId="72">
    <w:nsid w:val="4427069A"/>
    <w:multiLevelType w:val="hybridMultilevel"/>
    <w:lvl w:ilvl="0">
      <w:lvlJc w:val="left"/>
      <w:lvlText w:val="∎"/>
      <w:numFmt w:val="bullet"/>
      <w:start w:val="1"/>
    </w:lvl>
  </w:abstractNum>
  <w:abstractNum w:abstractNumId="73">
    <w:nsid w:val="B37E80A"/>
    <w:multiLevelType w:val="hybridMultilevel"/>
    <w:lvl w:ilvl="0">
      <w:lvlJc w:val="left"/>
      <w:lvlText w:val="∎"/>
      <w:numFmt w:val="bullet"/>
      <w:start w:val="1"/>
    </w:lvl>
  </w:abstractNum>
  <w:abstractNum w:abstractNumId="74">
    <w:nsid w:val="2157F6BC"/>
    <w:multiLevelType w:val="hybridMultilevel"/>
    <w:lvl w:ilvl="0">
      <w:lvlJc w:val="left"/>
      <w:lvlText w:val="(%1)"/>
      <w:numFmt w:val="decimal"/>
      <w:start w:val="1"/>
    </w:lvl>
  </w:abstractNum>
  <w:abstractNum w:abstractNumId="75">
    <w:nsid w:val="704E1DD5"/>
    <w:multiLevelType w:val="hybridMultilevel"/>
    <w:lvl w:ilvl="0">
      <w:lvlJc w:val="left"/>
      <w:lvlText w:val="∎"/>
      <w:numFmt w:val="bullet"/>
      <w:start w:val="1"/>
    </w:lvl>
  </w:abstractNum>
  <w:abstractNum w:abstractNumId="76">
    <w:nsid w:val="57D2F10E"/>
    <w:multiLevelType w:val="hybridMultilevel"/>
    <w:lvl w:ilvl="0">
      <w:lvlJc w:val="left"/>
      <w:lvlText w:val="∎"/>
      <w:numFmt w:val="bullet"/>
      <w:start w:val="1"/>
    </w:lvl>
  </w:abstractNum>
  <w:abstractNum w:abstractNumId="77">
    <w:nsid w:val="BFFAE18"/>
    <w:multiLevelType w:val="hybridMultilevel"/>
    <w:lvl w:ilvl="0">
      <w:lvlJc w:val="left"/>
      <w:lvlText w:val="∎"/>
      <w:numFmt w:val="bullet"/>
      <w:start w:val="1"/>
    </w:lvl>
  </w:abstractNum>
  <w:abstractNum w:abstractNumId="78">
    <w:nsid w:val="E3E47A8"/>
    <w:multiLevelType w:val="hybridMultilevel"/>
    <w:lvl w:ilvl="0">
      <w:lvlJc w:val="left"/>
      <w:lvlText w:val="∎"/>
      <w:numFmt w:val="bullet"/>
      <w:start w:val="1"/>
    </w:lvl>
  </w:abstractNum>
  <w:abstractNum w:abstractNumId="79">
    <w:nsid w:val="2E48F044"/>
    <w:multiLevelType w:val="hybridMultilevel"/>
    <w:lvl w:ilvl="0">
      <w:lvlJc w:val="left"/>
      <w:lvlText w:val="∎"/>
      <w:numFmt w:val="bullet"/>
      <w:start w:val="1"/>
    </w:lvl>
  </w:abstractNum>
  <w:abstractNum w:abstractNumId="80">
    <w:nsid w:val="49D0FEAC"/>
    <w:multiLevelType w:val="hybridMultilevel"/>
    <w:lvl w:ilvl="0">
      <w:lvlJc w:val="left"/>
      <w:lvlText w:val="∎"/>
      <w:numFmt w:val="bullet"/>
      <w:start w:val="1"/>
    </w:lvl>
  </w:abstractNum>
  <w:abstractNum w:abstractNumId="81">
    <w:nsid w:val="4BEE5A5B"/>
    <w:multiLevelType w:val="hybridMultilevel"/>
    <w:lvl w:ilvl="0">
      <w:lvlJc w:val="left"/>
      <w:lvlText w:val="∎"/>
      <w:numFmt w:val="bullet"/>
      <w:start w:val="1"/>
    </w:lvl>
  </w:abstractNum>
  <w:abstractNum w:abstractNumId="82">
    <w:nsid w:val="5551B9F3"/>
    <w:multiLevelType w:val="hybridMultilevel"/>
    <w:lvl w:ilvl="0">
      <w:lvlJc w:val="left"/>
      <w:lvlText w:val="(%1)"/>
      <w:numFmt w:val="decimal"/>
      <w:start w:val="1"/>
    </w:lvl>
  </w:abstractNum>
  <w:abstractNum w:abstractNumId="83">
    <w:nsid w:val="24F6AB8E"/>
    <w:multiLevelType w:val="hybridMultilevel"/>
    <w:lvl w:ilvl="0">
      <w:lvlJc w:val="left"/>
      <w:lvlText w:val="(%1)"/>
      <w:numFmt w:val="decimal"/>
      <w:start w:val="1"/>
    </w:lvl>
  </w:abstractNum>
  <w:abstractNum w:abstractNumId="84">
    <w:nsid w:val="634C574C"/>
    <w:multiLevelType w:val="hybridMultilevel"/>
    <w:lvl w:ilvl="0">
      <w:lvlJc w:val="left"/>
      <w:lvlText w:val="∎"/>
      <w:numFmt w:val="bullet"/>
      <w:start w:val="1"/>
    </w:lvl>
  </w:abstractNum>
  <w:abstractNum w:abstractNumId="85">
    <w:nsid w:val="24E99DD7"/>
    <w:multiLevelType w:val="hybridMultilevel"/>
    <w:lvl w:ilvl="0">
      <w:lvlJc w:val="left"/>
      <w:lvlText w:val="∎"/>
      <w:numFmt w:val="bullet"/>
      <w:start w:val="1"/>
    </w:lvl>
  </w:abstractNum>
  <w:abstractNum w:abstractNumId="86">
    <w:nsid w:val="2A31B62D"/>
    <w:multiLevelType w:val="hybridMultilevel"/>
    <w:lvl w:ilvl="0">
      <w:lvlJc w:val="left"/>
      <w:lvlText w:val="∎"/>
      <w:numFmt w:val="bullet"/>
      <w:start w:val="1"/>
    </w:lvl>
  </w:abstractNum>
  <w:abstractNum w:abstractNumId="87">
    <w:nsid w:val="1849C29B"/>
    <w:multiLevelType w:val="hybridMultilevel"/>
    <w:lvl w:ilvl="0">
      <w:lvlJc w:val="left"/>
      <w:lvlText w:val="∎"/>
      <w:numFmt w:val="bullet"/>
      <w:start w:val="1"/>
    </w:lvl>
  </w:abstractNum>
  <w:abstractNum w:abstractNumId="88">
    <w:nsid w:val="7DFF9D09"/>
    <w:multiLevelType w:val="hybridMultilevel"/>
    <w:lvl w:ilvl="0">
      <w:lvlJc w:val="left"/>
      <w:lvlText w:val="(%1)"/>
      <w:numFmt w:val="decimal"/>
      <w:start w:val="1"/>
    </w:lvl>
  </w:abstractNum>
  <w:abstractNum w:abstractNumId="89">
    <w:nsid w:val="754342"/>
    <w:multiLevelType w:val="hybridMultilevel"/>
    <w:lvl w:ilvl="0">
      <w:lvlJc w:val="left"/>
      <w:lvlText w:val="(%1)"/>
      <w:numFmt w:val="decimal"/>
      <w:start w:val="3"/>
    </w:lvl>
  </w:abstractNum>
  <w:abstractNum w:abstractNumId="90">
    <w:nsid w:val="69E7F3E5"/>
    <w:multiLevelType w:val="hybridMultilevel"/>
    <w:lvl w:ilvl="0">
      <w:lvlJc w:val="left"/>
      <w:lvlText w:val="(%1)"/>
      <w:numFmt w:val="decimal"/>
      <w:start w:val="1"/>
    </w:lvl>
  </w:abstractNum>
  <w:abstractNum w:abstractNumId="91">
    <w:nsid w:val="2A6DE806"/>
    <w:multiLevelType w:val="hybridMultilevel"/>
    <w:lvl w:ilvl="0">
      <w:lvlJc w:val="left"/>
      <w:lvlText w:val="(%1)"/>
      <w:numFmt w:val="decimal"/>
      <w:start w:val="1"/>
    </w:lvl>
  </w:abstractNum>
  <w:abstractNum w:abstractNumId="92">
    <w:nsid w:val="1816F8C4"/>
    <w:multiLevelType w:val="hybridMultilevel"/>
    <w:lvl w:ilvl="0">
      <w:lvlJc w:val="left"/>
      <w:lvlText w:val="(%1)"/>
      <w:numFmt w:val="decimal"/>
      <w:start w:val="1"/>
    </w:lvl>
  </w:abstractNum>
  <w:abstractNum w:abstractNumId="93">
    <w:nsid w:val="37DF2233"/>
    <w:multiLevelType w:val="hybridMultilevel"/>
    <w:lvl w:ilvl="0">
      <w:lvlJc w:val="left"/>
      <w:lvlText w:val="(%1)"/>
      <w:numFmt w:val="decimal"/>
      <w:start w:val="1"/>
    </w:lvl>
  </w:abstractNum>
  <w:abstractNum w:abstractNumId="94">
    <w:nsid w:val="7AB49DAF"/>
    <w:multiLevelType w:val="hybridMultilevel"/>
    <w:lvl w:ilvl="0">
      <w:lvlJc w:val="left"/>
      <w:lvlText w:val="(%1)"/>
      <w:numFmt w:val="decimal"/>
      <w:start w:val="1"/>
    </w:lvl>
  </w:abstractNum>
  <w:abstractNum w:abstractNumId="95">
    <w:nsid w:val="759F82CD"/>
    <w:multiLevelType w:val="hybridMultilevel"/>
    <w:lvl w:ilvl="0">
      <w:lvlJc w:val="left"/>
      <w:lvlText w:val="∎"/>
      <w:numFmt w:val="bullet"/>
      <w:start w:val="1"/>
    </w:lvl>
  </w:abstractNum>
  <w:abstractNum w:abstractNumId="96">
    <w:nsid w:val="61E74EA3"/>
    <w:multiLevelType w:val="hybridMultilevel"/>
    <w:lvl w:ilvl="0">
      <w:lvlJc w:val="left"/>
      <w:lvlText w:val="∎"/>
      <w:numFmt w:val="bullet"/>
      <w:start w:val="1"/>
    </w:lvl>
  </w:abstractNum>
  <w:abstractNum w:abstractNumId="97">
    <w:nsid w:val="597B4D84"/>
    <w:multiLevelType w:val="hybridMultilevel"/>
    <w:lvl w:ilvl="0">
      <w:lvlJc w:val="left"/>
      <w:lvlText w:val="(%1)"/>
      <w:numFmt w:val="decimal"/>
      <w:start w:val="1"/>
    </w:lvl>
  </w:abstractNum>
  <w:abstractNum w:abstractNumId="98">
    <w:nsid w:val="F819E7F"/>
    <w:multiLevelType w:val="hybridMultilevel"/>
    <w:lvl w:ilvl="0">
      <w:lvlJc w:val="left"/>
      <w:lvlText w:val="(%1)"/>
      <w:numFmt w:val="decimal"/>
      <w:start w:val="7"/>
    </w:lvl>
  </w:abstractNum>
  <w:abstractNum w:abstractNumId="99">
    <w:nsid w:val="57C7D42D"/>
    <w:multiLevelType w:val="hybridMultilevel"/>
    <w:lvl w:ilvl="0">
      <w:lvlJc w:val="left"/>
      <w:lvlText w:val="∎"/>
      <w:numFmt w:val="bullet"/>
      <w:start w:val="1"/>
    </w:lvl>
  </w:abstractNum>
  <w:abstractNum w:abstractNumId="100">
    <w:nsid w:val="312167AD"/>
    <w:multiLevelType w:val="hybridMultilevel"/>
    <w:lvl w:ilvl="0">
      <w:lvlJc w:val="left"/>
      <w:lvlText w:val="∎"/>
      <w:numFmt w:val="bullet"/>
      <w:start w:val="1"/>
    </w:lvl>
  </w:abstractNum>
  <w:abstractNum w:abstractNumId="101">
    <w:nsid w:val="631B64D4"/>
    <w:multiLevelType w:val="hybridMultilevel"/>
    <w:lvl w:ilvl="0">
      <w:lvlJc w:val="left"/>
      <w:lvlText w:val="∎"/>
      <w:numFmt w:val="bullet"/>
      <w:start w:val="1"/>
    </w:lvl>
  </w:abstractNum>
  <w:abstractNum w:abstractNumId="102">
    <w:nsid w:val="78B5E776"/>
    <w:multiLevelType w:val="hybridMultilevel"/>
    <w:lvl w:ilvl="0">
      <w:lvlJc w:val="left"/>
      <w:lvlText w:val="∎"/>
      <w:numFmt w:val="bullet"/>
      <w:start w:val="1"/>
    </w:lvl>
  </w:abstractNum>
  <w:abstractNum w:abstractNumId="103">
    <w:nsid w:val="75486E47"/>
    <w:multiLevelType w:val="hybridMultilevel"/>
    <w:lvl w:ilvl="0">
      <w:lvlJc w:val="left"/>
      <w:lvlText w:val="∎"/>
      <w:numFmt w:val="bullet"/>
      <w:start w:val="1"/>
    </w:lvl>
  </w:abstractNum>
  <w:abstractNum w:abstractNumId="104">
    <w:nsid w:val="6E534CDE"/>
    <w:multiLevelType w:val="hybridMultilevel"/>
    <w:lvl w:ilvl="0">
      <w:lvlJc w:val="left"/>
      <w:lvlText w:val="∎"/>
      <w:numFmt w:val="bullet"/>
      <w:start w:val="1"/>
    </w:lvl>
  </w:abstractNum>
  <w:abstractNum w:abstractNumId="105">
    <w:nsid w:val="1A0DDE32"/>
    <w:multiLevelType w:val="hybridMultilevel"/>
    <w:lvl w:ilvl="0">
      <w:lvlJc w:val="left"/>
      <w:lvlText w:val="∎"/>
      <w:numFmt w:val="bullet"/>
      <w:start w:val="1"/>
    </w:lvl>
  </w:abstractNum>
  <w:abstractNum w:abstractNumId="106">
    <w:nsid w:val="65968C1C"/>
    <w:multiLevelType w:val="hybridMultilevel"/>
    <w:lvl w:ilvl="0">
      <w:lvlJc w:val="left"/>
      <w:lvlText w:val="(%1)"/>
      <w:numFmt w:val="upperLetter"/>
      <w:start w:val="1"/>
    </w:lvl>
  </w:abstractNum>
  <w:abstractNum w:abstractNumId="107">
    <w:nsid w:val="46263DEC"/>
    <w:multiLevelType w:val="hybridMultilevel"/>
    <w:lvl w:ilvl="0">
      <w:lvlJc w:val="left"/>
      <w:lvlText w:val="(%1)"/>
      <w:numFmt w:val="upperLetter"/>
      <w:start w:val="2"/>
    </w:lvl>
  </w:abstractNum>
  <w:abstractNum w:abstractNumId="108">
    <w:nsid w:val="260D8C4A"/>
    <w:multiLevelType w:val="hybridMultilevel"/>
    <w:lvl w:ilvl="0">
      <w:lvlJc w:val="left"/>
      <w:lvlText w:val="(%1)"/>
      <w:numFmt w:val="upperLetter"/>
      <w:start w:val="2"/>
    </w:lvl>
    <w:lvl w:ilvl="1">
      <w:lvlJc w:val="left"/>
      <w:lvlText w:val="∎"/>
      <w:numFmt w:val="bullet"/>
      <w:start w:val="1"/>
    </w:lvl>
  </w:abstractNum>
  <w:abstractNum w:abstractNumId="109">
    <w:nsid w:val="73D4D3C4"/>
    <w:multiLevelType w:val="hybridMultilevel"/>
    <w:lvl w:ilvl="0">
      <w:lvlJc w:val="left"/>
      <w:lvlText w:val="(%1)"/>
      <w:numFmt w:val="upperLetter"/>
      <w:start w:val="4"/>
    </w:lvl>
  </w:abstractNum>
  <w:abstractNum w:abstractNumId="110">
    <w:nsid w:val="746F2E30"/>
    <w:multiLevelType w:val="hybridMultilevel"/>
    <w:lvl w:ilvl="0">
      <w:lvlJc w:val="left"/>
      <w:lvlText w:val="(%1)"/>
      <w:numFmt w:val="upperLetter"/>
      <w:start w:val="5"/>
    </w:lvl>
  </w:abstractNum>
  <w:abstractNum w:abstractNumId="111">
    <w:nsid w:val="6FDE8AF6"/>
    <w:multiLevelType w:val="hybridMultilevel"/>
    <w:lvl w:ilvl="0">
      <w:lvlJc w:val="left"/>
      <w:lvlText w:val="(%1)"/>
      <w:numFmt w:val="upperLetter"/>
      <w:start w:val="6"/>
    </w:lvl>
  </w:abstractNum>
  <w:abstractNum w:abstractNumId="112">
    <w:nsid w:val="3FC32E20"/>
    <w:multiLevelType w:val="hybridMultilevel"/>
    <w:lvl w:ilvl="0">
      <w:lvlJc w:val="left"/>
      <w:lvlText w:val="∎"/>
      <w:numFmt w:val="bullet"/>
      <w:start w:val="1"/>
    </w:lvl>
  </w:abstractNum>
  <w:abstractNum w:abstractNumId="113">
    <w:nsid w:val="49C0E823"/>
    <w:multiLevelType w:val="hybridMultilevel"/>
    <w:lvl w:ilvl="0">
      <w:lvlJc w:val="left"/>
      <w:lvlText w:val="∎"/>
      <w:numFmt w:val="bullet"/>
      <w:start w:val="1"/>
    </w:lvl>
  </w:abstractNum>
  <w:abstractNum w:abstractNumId="114">
    <w:nsid w:val="14D53685"/>
    <w:multiLevelType w:val="hybridMultilevel"/>
    <w:lvl w:ilvl="0">
      <w:lvlJc w:val="left"/>
      <w:lvlText w:val="%1."/>
      <w:numFmt w:val="decimal"/>
      <w:start w:val="2"/>
    </w:lvl>
  </w:abstractNum>
  <w:abstractNum w:abstractNumId="115">
    <w:nsid w:val="230F856C"/>
    <w:multiLevelType w:val="hybridMultilevel"/>
    <w:lvl w:ilvl="0">
      <w:lvlJc w:val="left"/>
      <w:lvlText w:val="%1."/>
      <w:numFmt w:val="decimal"/>
      <w:start w:val="4"/>
    </w:lvl>
  </w:abstractNum>
  <w:abstractNum w:abstractNumId="116">
    <w:nsid w:val="6EAA85FB"/>
    <w:multiLevelType w:val="hybridMultilevel"/>
    <w:lvl w:ilvl="0">
      <w:lvlJc w:val="left"/>
      <w:lvlText w:val="(%1)"/>
      <w:numFmt w:val="decimal"/>
      <w:start w:val="1"/>
    </w:lvl>
  </w:abstractNum>
  <w:abstractNum w:abstractNumId="117">
    <w:nsid w:val="3F06ECB2"/>
    <w:multiLevelType w:val="hybridMultilevel"/>
    <w:lvl w:ilvl="0">
      <w:lvlJc w:val="left"/>
      <w:lvlText w:val="(%1)"/>
      <w:numFmt w:val="decimal"/>
      <w:start w:val="2"/>
    </w:lvl>
  </w:abstractNum>
  <w:abstractNum w:abstractNumId="118">
    <w:nsid w:val="3B594807"/>
    <w:multiLevelType w:val="hybridMultilevel"/>
    <w:lvl w:ilvl="0">
      <w:lvlJc w:val="left"/>
      <w:lvlText w:val="(%1)"/>
      <w:numFmt w:val="decimal"/>
      <w:start w:val="3"/>
    </w:lvl>
  </w:abstractNum>
  <w:abstractNum w:abstractNumId="119">
    <w:nsid w:val="6CAA2304"/>
    <w:multiLevelType w:val="hybridMultilevel"/>
    <w:lvl w:ilvl="0">
      <w:lvlJc w:val="left"/>
      <w:lvlText w:val="(%1)"/>
      <w:numFmt w:val="decimal"/>
      <w:start w:val="4"/>
    </w:lvl>
  </w:abstractNum>
  <w:abstractNum w:abstractNumId="120">
    <w:nsid w:val="3F7C2FF4"/>
    <w:multiLevelType w:val="hybridMultilevel"/>
    <w:lvl w:ilvl="0">
      <w:lvlJc w:val="left"/>
      <w:lvlText w:val="(%1)"/>
      <w:numFmt w:val="decimal"/>
      <w:start w:val="5"/>
    </w:lvl>
  </w:abstractNum>
  <w:abstractNum w:abstractNumId="121">
    <w:nsid w:val="25413BEC"/>
    <w:multiLevelType w:val="hybridMultilevel"/>
    <w:lvl w:ilvl="0">
      <w:lvlJc w:val="left"/>
      <w:lvlText w:val="(%1)"/>
      <w:numFmt w:val="decimal"/>
      <w:start w:val="1"/>
    </w:lvl>
  </w:abstractNum>
  <w:abstractNum w:abstractNumId="122">
    <w:nsid w:val="17180B0B"/>
    <w:multiLevelType w:val="hybridMultilevel"/>
    <w:lvl w:ilvl="0">
      <w:lvlJc w:val="left"/>
      <w:lvlText w:val="(%1)"/>
      <w:numFmt w:val="decimal"/>
      <w:start w:val="6"/>
    </w:lvl>
  </w:abstractNum>
  <w:abstractNum w:abstractNumId="123">
    <w:nsid w:val="579328B9"/>
    <w:multiLevelType w:val="hybridMultilevel"/>
    <w:lvl w:ilvl="0">
      <w:lvlJc w:val="left"/>
      <w:lvlText w:val="(%1)"/>
      <w:numFmt w:val="decimal"/>
      <w:start w:val="7"/>
    </w:lvl>
  </w:abstractNum>
  <w:abstractNum w:abstractNumId="124">
    <w:nsid w:val="5D205E20"/>
    <w:multiLevelType w:val="hybridMultilevel"/>
    <w:lvl w:ilvl="0">
      <w:lvlJc w:val="left"/>
      <w:lvlText w:val="(%1)"/>
      <w:numFmt w:val="decimal"/>
      <w:start w:val="8"/>
    </w:lvl>
  </w:abstractNum>
  <w:abstractNum w:abstractNumId="125">
    <w:nsid w:val="11CCA8BA"/>
    <w:multiLevelType w:val="hybridMultilevel"/>
    <w:lvl w:ilvl="0">
      <w:lvlJc w:val="left"/>
      <w:lvlText w:val="(%1)"/>
      <w:numFmt w:val="decimal"/>
      <w:start w:val="1"/>
    </w:lvl>
  </w:abstractNum>
  <w:abstractNum w:abstractNumId="126">
    <w:nsid w:val="4D32AB86"/>
    <w:multiLevelType w:val="hybridMultilevel"/>
    <w:lvl w:ilvl="0">
      <w:lvlJc w:val="left"/>
      <w:lvlText w:val="(%1)"/>
      <w:numFmt w:val="decimal"/>
      <w:start w:val="9"/>
    </w:lvl>
  </w:abstractNum>
  <w:abstractNum w:abstractNumId="127">
    <w:nsid w:val="3F07ACC3"/>
    <w:multiLevelType w:val="hybridMultilevel"/>
    <w:lvl w:ilvl="0">
      <w:lvlJc w:val="left"/>
      <w:lvlText w:val="(%1)"/>
      <w:numFmt w:val="decimal"/>
      <w:start w:val="10"/>
    </w:lvl>
  </w:abstractNum>
  <w:abstractNum w:abstractNumId="128">
    <w:nsid w:val="6B47F63E"/>
    <w:multiLevelType w:val="hybridMultilevel"/>
    <w:lvl w:ilvl="0">
      <w:lvlJc w:val="left"/>
      <w:lvlText w:val="(%1)"/>
      <w:numFmt w:val="decimal"/>
      <w:start w:val="12"/>
    </w:lvl>
  </w:abstractNum>
  <w:abstractNum w:abstractNumId="129">
    <w:nsid w:val="5CB44A05"/>
    <w:multiLevelType w:val="hybridMultilevel"/>
    <w:lvl w:ilvl="0">
      <w:lvlJc w:val="left"/>
      <w:lvlText w:val="$"/>
      <w:numFmt w:val="bullet"/>
      <w:start w:val="1"/>
    </w:lvl>
  </w:abstractNum>
  <w:abstractNum w:abstractNumId="130">
    <w:nsid w:val="16CF80F1"/>
    <w:multiLevelType w:val="hybridMultilevel"/>
    <w:lvl w:ilvl="0">
      <w:lvlJc w:val="left"/>
      <w:lvlText w:val="$"/>
      <w:numFmt w:val="bullet"/>
      <w:start w:val="1"/>
    </w:lvl>
  </w:abstractNum>
  <w:abstractNum w:abstractNumId="131">
    <w:nsid w:val="1C695DEC"/>
    <w:multiLevelType w:val="hybridMultilevel"/>
    <w:lvl w:ilvl="0">
      <w:lvlJc w:val="left"/>
      <w:lvlText w:val="(%1)"/>
      <w:numFmt w:val="decimal"/>
      <w:start w:val="13"/>
    </w:lvl>
  </w:abstractNum>
  <w:abstractNum w:abstractNumId="132">
    <w:nsid w:val="3FCFAED9"/>
    <w:multiLevelType w:val="hybridMultilevel"/>
    <w:lvl w:ilvl="0">
      <w:lvlJc w:val="left"/>
      <w:lvlText w:val="(%1)"/>
      <w:numFmt w:val="decimal"/>
      <w:start w:val="1"/>
    </w:lvl>
  </w:abstractNum>
  <w:abstractNum w:abstractNumId="133">
    <w:nsid w:val="F856867"/>
    <w:multiLevelType w:val="hybridMultilevel"/>
    <w:lvl w:ilvl="0">
      <w:lvlJc w:val="left"/>
      <w:lvlText w:val="(%1)"/>
      <w:numFmt w:val="decimal"/>
      <w:start w:val="2"/>
    </w:lvl>
  </w:abstractNum>
  <w:abstractNum w:abstractNumId="134">
    <w:nsid w:val="11B1CC33"/>
    <w:multiLevelType w:val="hybridMultilevel"/>
    <w:lvl w:ilvl="0">
      <w:lvlJc w:val="left"/>
      <w:lvlText w:val="(%1)"/>
      <w:numFmt w:val="decimal"/>
      <w:start w:val="1"/>
    </w:lvl>
  </w:abstractNum>
  <w:abstractNum w:abstractNumId="135">
    <w:nsid w:val="2E22FBB7"/>
    <w:multiLevelType w:val="hybridMultilevel"/>
    <w:lvl w:ilvl="0">
      <w:lvlJc w:val="left"/>
      <w:lvlText w:val="(%1)"/>
      <w:numFmt w:val="decimal"/>
      <w:start w:val="9"/>
    </w:lvl>
  </w:abstractNum>
  <w:abstractNum w:abstractNumId="136">
    <w:nsid w:val="29934699"/>
    <w:multiLevelType w:val="hybridMultilevel"/>
    <w:lvl w:ilvl="0">
      <w:lvlJc w:val="left"/>
      <w:lvlText w:val="(%1)"/>
      <w:numFmt w:val="decimal"/>
      <w:start w:val="11"/>
    </w:lvl>
  </w:abstractNum>
  <w:abstractNum w:abstractNumId="137">
    <w:nsid w:val="77485850"/>
    <w:multiLevelType w:val="hybridMultilevel"/>
    <w:lvl w:ilvl="0">
      <w:lvlJc w:val="left"/>
      <w:lvlText w:val="(%1)"/>
      <w:numFmt w:val="decimal"/>
      <w:start w:val="1"/>
    </w:lvl>
  </w:abstractNum>
  <w:abstractNum w:abstractNumId="138">
    <w:nsid w:val="744939A3"/>
    <w:multiLevelType w:val="hybridMultilevel"/>
    <w:lvl w:ilvl="0">
      <w:lvlJc w:val="left"/>
      <w:lvlText w:val="(%1)"/>
      <w:numFmt w:val="decimal"/>
      <w:start w:val="1"/>
    </w:lvl>
  </w:abstractNum>
  <w:abstractNum w:abstractNumId="139">
    <w:nsid w:val="4FA0D2E3"/>
    <w:multiLevelType w:val="hybridMultilevel"/>
    <w:lvl w:ilvl="0">
      <w:lvlJc w:val="left"/>
      <w:lvlText w:val="%1."/>
      <w:numFmt w:val="decimal"/>
      <w:start w:val="701"/>
    </w:lvl>
  </w:abstractNum>
  <w:abstractNum w:abstractNumId="140">
    <w:nsid w:val="6B1D2C14"/>
    <w:multiLevelType w:val="hybridMultilevel"/>
    <w:lvl w:ilvl="0">
      <w:lvlJc w:val="left"/>
      <w:lvlText w:val="(%1)"/>
      <w:numFmt w:val="decimal"/>
      <w:start w:val="1"/>
    </w:lvl>
  </w:abstractNum>
  <w:abstractNum w:abstractNumId="141">
    <w:nsid w:val="68B867D3"/>
    <w:multiLevelType w:val="hybridMultilevel"/>
    <w:lvl w:ilvl="0">
      <w:lvlJc w:val="left"/>
      <w:lvlText w:val="∎"/>
      <w:numFmt w:val="bullet"/>
      <w:start w:val="1"/>
    </w:lvl>
  </w:abstractNum>
  <w:abstractNum w:abstractNumId="142">
    <w:nsid w:val="3F7F5DD9"/>
    <w:multiLevelType w:val="hybridMultilevel"/>
    <w:lvl w:ilvl="0">
      <w:lvlJc w:val="left"/>
      <w:lvlText w:val="#"/>
      <w:numFmt w:val="bullet"/>
      <w:start w:val="1"/>
    </w:lvl>
  </w:abstractNum>
  <w:abstractNum w:abstractNumId="143">
    <w:nsid w:val="2AE05A34"/>
    <w:multiLevelType w:val="hybridMultilevel"/>
    <w:lvl w:ilvl="0">
      <w:lvlJc w:val="left"/>
      <w:lvlText w:val="[●]"/>
      <w:numFmt w:val="bullet"/>
      <w:start w:val="1"/>
    </w:lvl>
  </w:abstractNum>
  <w:abstractNum w:abstractNumId="144">
    <w:nsid w:val="32794FF7"/>
    <w:multiLevelType w:val="hybridMultilevel"/>
    <w:lvl w:ilvl="0">
      <w:lvlJc w:val="left"/>
      <w:lvlText w:val="(%1)"/>
      <w:numFmt w:val="lowerLetter"/>
      <w:start w:val="1"/>
    </w:lvl>
  </w:abstractNum>
  <w:abstractNum w:abstractNumId="145">
    <w:nsid w:val="5454945E"/>
    <w:multiLevelType w:val="hybridMultilevel"/>
    <w:lvl w:ilvl="0">
      <w:lvlJc w:val="left"/>
      <w:lvlText w:val="(%1)"/>
      <w:numFmt w:val="lowerLetter"/>
      <w:start w:val="4"/>
    </w:lvl>
  </w:abstractNum>
  <w:abstractNum w:abstractNumId="146">
    <w:nsid w:val="4DEFDFA0"/>
    <w:multiLevelType w:val="hybridMultilevel"/>
    <w:lvl w:ilvl="0">
      <w:lvlJc w:val="left"/>
      <w:lvlText w:val="%1"/>
      <w:numFmt w:val="lowerLetter"/>
      <w:start w:val="1"/>
    </w:lvl>
    <w:lvl w:ilvl="1">
      <w:lvlJc w:val="left"/>
      <w:lvlText w:val="(%2)"/>
      <w:numFmt w:val="lowerLetter"/>
      <w:start w:val="9"/>
    </w:lvl>
  </w:abstractNum>
  <w:abstractNum w:abstractNumId="147">
    <w:nsid w:val="2123D5F2"/>
    <w:multiLevelType w:val="hybridMultilevel"/>
    <w:lvl w:ilvl="0">
      <w:lvlJc w:val="left"/>
      <w:lvlText w:val="(%1)"/>
      <w:numFmt w:val="lowerLetter"/>
      <w:start w:val="35"/>
    </w:lvl>
    <w:lvl w:ilvl="1">
      <w:lvlJc w:val="left"/>
      <w:lvlText w:val="%2"/>
      <w:numFmt w:val="lowerLetter"/>
      <w:start w:val="1"/>
    </w:lvl>
  </w:abstractNum>
  <w:abstractNum w:abstractNumId="148">
    <w:nsid w:val="135B8110"/>
    <w:multiLevelType w:val="hybridMultilevel"/>
    <w:lvl w:ilvl="0">
      <w:lvlJc w:val="left"/>
      <w:lvlText w:val="(%1)"/>
      <w:numFmt w:val="lowerLetter"/>
      <w:start w:val="12"/>
    </w:lvl>
  </w:abstractNum>
  <w:abstractNum w:abstractNumId="149">
    <w:nsid w:val="94927A8"/>
    <w:multiLevelType w:val="hybridMultilevel"/>
    <w:lvl w:ilvl="0">
      <w:lvlJc w:val="left"/>
      <w:lvlText w:val="(%1)"/>
      <w:numFmt w:val="lowerLetter"/>
      <w:start w:val="15"/>
    </w:lvl>
  </w:abstractNum>
  <w:abstractNum w:abstractNumId="150">
    <w:nsid w:val="DCDF8F6"/>
    <w:multiLevelType w:val="hybridMultilevel"/>
    <w:lvl w:ilvl="0">
      <w:lvlJc w:val="left"/>
      <w:lvlText w:val="(%1)"/>
      <w:numFmt w:val="lowerLetter"/>
      <w:start w:val="35"/>
    </w:lvl>
    <w:lvl w:ilvl="1">
      <w:lvlJc w:val="left"/>
      <w:lvlText w:val="(%2)"/>
      <w:numFmt w:val="lowerLetter"/>
      <w:start w:val="18"/>
    </w:lvl>
  </w:abstractNum>
  <w:abstractNum w:abstractNumId="151">
    <w:nsid w:val="52D7B105"/>
    <w:multiLevelType w:val="hybridMultilevel"/>
    <w:lvl w:ilvl="0">
      <w:lvlJc w:val="left"/>
      <w:lvlText w:val="(%1)"/>
      <w:numFmt w:val="lowerLetter"/>
      <w:start w:val="35"/>
    </w:lvl>
    <w:lvl w:ilvl="1">
      <w:lvlJc w:val="left"/>
      <w:lvlText w:val="(%2)"/>
      <w:numFmt w:val="lowerLetter"/>
      <w:start w:val="20"/>
    </w:lvl>
  </w:abstractNum>
  <w:abstractNum w:abstractNumId="152">
    <w:nsid w:val="2E8A6394"/>
    <w:multiLevelType w:val="hybridMultilevel"/>
    <w:lvl w:ilvl="0">
      <w:lvlJc w:val="left"/>
      <w:lvlText w:val="(%1)"/>
      <w:numFmt w:val="upperLetter"/>
      <w:start w:val="1"/>
    </w:lvl>
    <w:lvl w:ilvl="1">
      <w:lvlJc w:val="left"/>
      <w:lvlText w:val="(%2)"/>
      <w:numFmt w:val="lowerLetter"/>
      <w:start w:val="21"/>
    </w:lvl>
  </w:abstractNum>
  <w:abstractNum w:abstractNumId="153">
    <w:nsid w:val="24E60401"/>
    <w:multiLevelType w:val="hybridMultilevel"/>
    <w:lvl w:ilvl="0">
      <w:lvlJc w:val="left"/>
      <w:lvlText w:val="(%1)"/>
      <w:numFmt w:val="lowerLetter"/>
      <w:start w:val="22"/>
    </w:lvl>
  </w:abstractNum>
  <w:abstractNum w:abstractNumId="154">
    <w:nsid w:val="2A6AD9BE"/>
    <w:multiLevelType w:val="hybridMultilevel"/>
    <w:lvl w:ilvl="0">
      <w:lvlJc w:val="left"/>
      <w:lvlText w:val="(%1)"/>
      <w:numFmt w:val="lowerRoman"/>
      <w:start w:val="4"/>
    </w:lvl>
    <w:lvl w:ilvl="1">
      <w:lvlJc w:val="left"/>
      <w:lvlText w:val="(%2)"/>
      <w:numFmt w:val="lowerLetter"/>
      <w:start w:val="26"/>
    </w:lvl>
  </w:abstractNum>
  <w:abstractNum w:abstractNumId="155">
    <w:nsid w:val="BAAC1B4"/>
    <w:multiLevelType w:val="hybridMultilevel"/>
    <w:lvl w:ilvl="0">
      <w:lvlJc w:val="left"/>
      <w:lvlText w:val="%1"/>
      <w:numFmt w:val="lowerLetter"/>
      <w:start w:val="1"/>
    </w:lvl>
    <w:lvl w:ilvl="1">
      <w:lvlJc w:val="left"/>
      <w:lvlText w:val="(%2)"/>
      <w:numFmt w:val="lowerLetter"/>
      <w:start w:val="27"/>
    </w:lvl>
  </w:abstractNum>
  <w:abstractNum w:abstractNumId="156">
    <w:nsid w:val="36B2ACBC"/>
    <w:multiLevelType w:val="hybridMultilevel"/>
    <w:lvl w:ilvl="0">
      <w:lvlJc w:val="left"/>
      <w:lvlText w:val="(%1)"/>
      <w:numFmt w:val="lowerLetter"/>
      <w:start w:val="35"/>
    </w:lvl>
    <w:lvl w:ilvl="1">
      <w:lvlJc w:val="left"/>
      <w:lvlText w:val="(%2)"/>
      <w:numFmt w:val="lowerLetter"/>
      <w:start w:val="28"/>
    </w:lvl>
  </w:abstractNum>
  <w:abstractNum w:abstractNumId="157">
    <w:nsid w:val="779D8544"/>
    <w:multiLevelType w:val="hybridMultilevel"/>
    <w:lvl w:ilvl="0">
      <w:lvlJc w:val="left"/>
      <w:lvlText w:val="%1"/>
      <w:numFmt w:val="lowerLetter"/>
      <w:start w:val="1"/>
    </w:lvl>
    <w:lvl w:ilvl="1">
      <w:lvlJc w:val="left"/>
      <w:lvlText w:val="(%2)"/>
      <w:numFmt w:val="lowerLetter"/>
      <w:start w:val="30"/>
    </w:lvl>
  </w:abstractNum>
  <w:abstractNum w:abstractNumId="158">
    <w:nsid w:val="4AB26E78"/>
    <w:multiLevelType w:val="hybridMultilevel"/>
    <w:lvl w:ilvl="0">
      <w:lvlJc w:val="left"/>
      <w:lvlText w:val="(%1)"/>
      <w:numFmt w:val="lowerLetter"/>
      <w:start w:val="61"/>
    </w:lvl>
    <w:lvl w:ilvl="1">
      <w:lvlJc w:val="left"/>
      <w:lvlText w:val="%2"/>
      <w:numFmt w:val="lowerLetter"/>
      <w:start w:val="1"/>
    </w:lvl>
  </w:abstractNum>
  <w:abstractNum w:abstractNumId="159">
    <w:nsid w:val="21FAA2FA"/>
    <w:multiLevelType w:val="hybridMultilevel"/>
    <w:lvl w:ilvl="0">
      <w:lvlJc w:val="left"/>
      <w:lvlText w:val="(%1)"/>
      <w:numFmt w:val="lowerLetter"/>
      <w:start w:val="37"/>
    </w:lvl>
  </w:abstractNum>
  <w:abstractNum w:abstractNumId="160">
    <w:nsid w:val="5451CF49"/>
    <w:multiLevelType w:val="hybridMultilevel"/>
    <w:lvl w:ilvl="0">
      <w:lvlJc w:val="left"/>
      <w:lvlText w:val="%1"/>
      <w:numFmt w:val="lowerRoman"/>
      <w:start w:val="1"/>
    </w:lvl>
    <w:lvl w:ilvl="1">
      <w:lvlJc w:val="left"/>
      <w:lvlText w:val="(%2)"/>
      <w:numFmt w:val="lowerLetter"/>
      <w:start w:val="41"/>
    </w:lvl>
  </w:abstractNum>
  <w:abstractNum w:abstractNumId="161">
    <w:nsid w:val="6181EF69"/>
    <w:multiLevelType w:val="hybridMultilevel"/>
    <w:lvl w:ilvl="0">
      <w:lvlJc w:val="left"/>
      <w:lvlText w:val="(%1)"/>
      <w:numFmt w:val="lowerRoman"/>
      <w:start w:val="4"/>
    </w:lvl>
    <w:lvl w:ilvl="1">
      <w:lvlJc w:val="left"/>
      <w:lvlText w:val="(%2)"/>
      <w:numFmt w:val="lowerLetter"/>
      <w:start w:val="43"/>
    </w:lvl>
  </w:abstractNum>
  <w:abstractNum w:abstractNumId="162">
    <w:nsid w:val="3E6400E6"/>
    <w:multiLevelType w:val="hybridMultilevel"/>
    <w:lvl w:ilvl="0">
      <w:lvlJc w:val="left"/>
      <w:lvlText w:val="(%1)"/>
      <w:numFmt w:val="lowerLetter"/>
      <w:start w:val="44"/>
    </w:lvl>
  </w:abstractNum>
  <w:abstractNum w:abstractNumId="163">
    <w:nsid w:val="14217E23"/>
    <w:multiLevelType w:val="hybridMultilevel"/>
    <w:lvl w:ilvl="0">
      <w:lvlJc w:val="left"/>
      <w:lvlText w:val="(%1)"/>
      <w:numFmt w:val="lowerLetter"/>
      <w:start w:val="47"/>
    </w:lvl>
  </w:abstractNum>
  <w:abstractNum w:abstractNumId="164">
    <w:nsid w:val="710757D0"/>
    <w:multiLevelType w:val="hybridMultilevel"/>
    <w:lvl w:ilvl="0">
      <w:lvlJc w:val="left"/>
      <w:lvlText w:val="(%1)"/>
      <w:numFmt w:val="lowerLetter"/>
      <w:start w:val="1"/>
    </w:lvl>
  </w:abstractNum>
  <w:abstractNum w:abstractNumId="165">
    <w:nsid w:val="5015CD1A"/>
    <w:multiLevelType w:val="hybridMultilevel"/>
    <w:lvl w:ilvl="0">
      <w:lvlJc w:val="left"/>
      <w:lvlText w:val="(%1)"/>
      <w:numFmt w:val="lowerLetter"/>
      <w:start w:val="4"/>
    </w:lvl>
    <w:lvl w:ilvl="1">
      <w:lvlJc w:val="left"/>
      <w:lvlText w:val="(%2)"/>
      <w:numFmt w:val="lowerLetter"/>
      <w:start w:val="35"/>
    </w:lvl>
  </w:abstractNum>
  <w:abstractNum w:abstractNumId="166">
    <w:nsid w:val="424479DA"/>
    <w:multiLevelType w:val="hybridMultilevel"/>
    <w:lvl w:ilvl="0">
      <w:lvlJc w:val="left"/>
      <w:lvlText w:val="(%1)"/>
      <w:numFmt w:val="lowerLetter"/>
      <w:start w:val="1"/>
    </w:lvl>
  </w:abstractNum>
  <w:abstractNum w:abstractNumId="167">
    <w:nsid w:val="1A9A9E69"/>
    <w:multiLevelType w:val="hybridMultilevel"/>
    <w:lvl w:ilvl="0">
      <w:lvlJc w:val="left"/>
      <w:lvlText w:val="(%1)"/>
      <w:numFmt w:val="lowerLetter"/>
      <w:start w:val="2"/>
    </w:lvl>
  </w:abstractNum>
  <w:abstractNum w:abstractNumId="168">
    <w:nsid w:val="475E256A"/>
    <w:multiLevelType w:val="hybridMultilevel"/>
    <w:lvl w:ilvl="0">
      <w:lvlJc w:val="left"/>
      <w:lvlText w:val="(%1)"/>
      <w:numFmt w:val="lowerLetter"/>
      <w:start w:val="5"/>
    </w:lvl>
  </w:abstractNum>
  <w:abstractNum w:abstractNumId="169">
    <w:nsid w:val="368DB37E"/>
    <w:multiLevelType w:val="hybridMultilevel"/>
    <w:lvl w:ilvl="0">
      <w:lvlJc w:val="left"/>
      <w:lvlText w:val="(%1)"/>
      <w:numFmt w:val="lowerLetter"/>
      <w:start w:val="8"/>
    </w:lvl>
  </w:abstractNum>
  <w:abstractNum w:abstractNumId="170">
    <w:nsid w:val="6A3B714C"/>
    <w:multiLevelType w:val="hybridMultilevel"/>
    <w:lvl w:ilvl="0">
      <w:lvlJc w:val="left"/>
      <w:lvlText w:val="%1"/>
      <w:numFmt w:val="lowerLetter"/>
      <w:start w:val="1"/>
    </w:lvl>
    <w:lvl w:ilvl="1">
      <w:lvlJc w:val="left"/>
      <w:lvlText w:val="(%2)"/>
      <w:numFmt w:val="lowerLetter"/>
      <w:start w:val="14"/>
    </w:lvl>
  </w:abstractNum>
  <w:abstractNum w:abstractNumId="171">
    <w:nsid w:val="327B517E"/>
    <w:multiLevelType w:val="hybridMultilevel"/>
    <w:lvl w:ilvl="0">
      <w:lvlJc w:val="left"/>
      <w:lvlText w:val="(%1)"/>
      <w:numFmt w:val="lowerLetter"/>
      <w:start w:val="61"/>
    </w:lvl>
    <w:lvl w:ilvl="1">
      <w:lvlJc w:val="left"/>
      <w:lvlText w:val="(%2)"/>
      <w:numFmt w:val="lowerLetter"/>
      <w:start w:val="15"/>
    </w:lvl>
  </w:abstractNum>
  <w:abstractNum w:abstractNumId="172">
    <w:nsid w:val="1F461B51"/>
    <w:multiLevelType w:val="hybridMultilevel"/>
    <w:lvl w:ilvl="0">
      <w:lvlJc w:val="left"/>
      <w:lvlText w:val="(%1)"/>
      <w:numFmt w:val="lowerLetter"/>
      <w:start w:val="16"/>
    </w:lvl>
  </w:abstractNum>
  <w:abstractNum w:abstractNumId="173">
    <w:nsid w:val="29BACF25"/>
    <w:multiLevelType w:val="hybridMultilevel"/>
    <w:lvl w:ilvl="0">
      <w:lvlJc w:val="left"/>
      <w:lvlText w:val="(%1)"/>
      <w:numFmt w:val="lowerLetter"/>
      <w:start w:val="20"/>
    </w:lvl>
  </w:abstractNum>
  <w:abstractNum w:abstractNumId="174">
    <w:nsid w:val="5D5BABB3"/>
    <w:multiLevelType w:val="hybridMultilevel"/>
    <w:lvl w:ilvl="0">
      <w:lvlJc w:val="left"/>
      <w:lvlText w:val="(%1)"/>
      <w:numFmt w:val="lowerRoman"/>
      <w:start w:val="5"/>
    </w:lvl>
  </w:abstractNum>
  <w:abstractNum w:abstractNumId="175">
    <w:nsid w:val="51BF6B48"/>
    <w:multiLevelType w:val="hybridMultilevel"/>
    <w:lvl w:ilvl="0">
      <w:lvlJc w:val="left"/>
      <w:lvlText w:val="(%1)"/>
      <w:numFmt w:val="lowerRoman"/>
      <w:start w:val="4"/>
    </w:lvl>
  </w:abstractNum>
  <w:abstractNum w:abstractNumId="176">
    <w:nsid w:val="7E0F6384"/>
    <w:multiLevelType w:val="hybridMultilevel"/>
    <w:lvl w:ilvl="0">
      <w:lvlJc w:val="left"/>
      <w:lvlText w:val="(%1)"/>
      <w:numFmt w:val="lowerLetter"/>
      <w:start w:val="1"/>
    </w:lvl>
    <w:lvl w:ilvl="1">
      <w:lvlJc w:val="left"/>
      <w:lvlText w:val="(%2)"/>
      <w:numFmt w:val="lowerLetter"/>
      <w:start w:val="9"/>
    </w:lvl>
  </w:abstractNum>
  <w:abstractNum w:abstractNumId="177">
    <w:nsid w:val="2B4B8B53"/>
    <w:multiLevelType w:val="hybridMultilevel"/>
    <w:lvl w:ilvl="0">
      <w:lvlJc w:val="left"/>
      <w:lvlText w:val="%1"/>
      <w:numFmt w:val="lowerLetter"/>
      <w:start w:val="1"/>
    </w:lvl>
    <w:lvl w:ilvl="1">
      <w:lvlJc w:val="left"/>
      <w:lvlText w:val="(%2)"/>
      <w:numFmt w:val="lowerRoman"/>
      <w:start w:val="2"/>
    </w:lvl>
  </w:abstractNum>
  <w:abstractNum w:abstractNumId="178">
    <w:nsid w:val="72E3413A"/>
    <w:multiLevelType w:val="hybridMultilevel"/>
    <w:lvl w:ilvl="0">
      <w:lvlJc w:val="left"/>
      <w:lvlText w:val="(%1)"/>
      <w:numFmt w:val="lowerLetter"/>
      <w:start w:val="3"/>
    </w:lvl>
    <w:lvl w:ilvl="1">
      <w:lvlJc w:val="left"/>
      <w:lvlText w:val="(%2)"/>
      <w:numFmt w:val="lowerRoman"/>
      <w:start w:val="1"/>
    </w:lvl>
  </w:abstractNum>
  <w:abstractNum w:abstractNumId="179">
    <w:nsid w:val="116AE494"/>
    <w:multiLevelType w:val="hybridMultilevel"/>
    <w:lvl w:ilvl="0">
      <w:lvlJc w:val="left"/>
      <w:lvlText w:val="(%1)"/>
      <w:numFmt w:val="lowerLetter"/>
      <w:start w:val="9"/>
    </w:lvl>
  </w:abstractNum>
  <w:abstractNum w:abstractNumId="180">
    <w:nsid w:val="3494B2FB"/>
    <w:multiLevelType w:val="hybridMultilevel"/>
    <w:lvl w:ilvl="0">
      <w:lvlJc w:val="left"/>
      <w:lvlText w:val="(%1)"/>
      <w:numFmt w:val="lowerLetter"/>
      <w:start w:val="1"/>
    </w:lvl>
  </w:abstractNum>
  <w:abstractNum w:abstractNumId="181">
    <w:nsid w:val="B13A31"/>
    <w:multiLevelType w:val="hybridMultilevel"/>
    <w:lvl w:ilvl="0">
      <w:lvlJc w:val="left"/>
      <w:lvlText w:val="(%1)"/>
      <w:numFmt w:val="lowerLetter"/>
      <w:start w:val="3"/>
    </w:lvl>
  </w:abstractNum>
  <w:abstractNum w:abstractNumId="182">
    <w:nsid w:val="64429599"/>
    <w:multiLevelType w:val="hybridMultilevel"/>
    <w:lvl w:ilvl="0">
      <w:lvlJc w:val="left"/>
      <w:lvlText w:val="%1"/>
      <w:numFmt w:val="lowerRoman"/>
      <w:start w:val="1"/>
    </w:lvl>
    <w:lvl w:ilvl="1">
      <w:lvlJc w:val="left"/>
      <w:lvlText w:val="(%2)"/>
      <w:numFmt w:val="lowerLetter"/>
      <w:start w:val="4"/>
    </w:lvl>
  </w:abstractNum>
  <w:abstractNum w:abstractNumId="183">
    <w:nsid w:val="631F1690"/>
    <w:multiLevelType w:val="hybridMultilevel"/>
    <w:lvl w:ilvl="0">
      <w:lvlJc w:val="left"/>
      <w:lvlText w:val="(%1)"/>
      <w:numFmt w:val="lowerRoman"/>
      <w:start w:val="2"/>
    </w:lvl>
    <w:lvl w:ilvl="1">
      <w:lvlJc w:val="left"/>
      <w:lvlText w:val="%2"/>
      <w:numFmt w:val="lowerLetter"/>
      <w:start w:val="1"/>
    </w:lvl>
  </w:abstractNum>
  <w:abstractNum w:abstractNumId="184">
    <w:nsid w:val="25973E32"/>
    <w:multiLevelType w:val="hybridMultilevel"/>
    <w:lvl w:ilvl="0">
      <w:lvlJc w:val="left"/>
      <w:lvlText w:val="(%1)"/>
      <w:numFmt w:val="lowerLetter"/>
      <w:start w:val="1"/>
    </w:lvl>
  </w:abstractNum>
  <w:abstractNum w:abstractNumId="185">
    <w:nsid w:val="EAD6F57"/>
    <w:multiLevelType w:val="hybridMultilevel"/>
    <w:lvl w:ilvl="0">
      <w:lvlJc w:val="left"/>
      <w:lvlText w:val="•"/>
      <w:numFmt w:val="bullet"/>
      <w:start w:val="1"/>
    </w:lvl>
  </w:abstractNum>
  <w:abstractNum w:abstractNumId="186">
    <w:nsid w:val="6EC9D844"/>
    <w:multiLevelType w:val="hybridMultilevel"/>
    <w:lvl w:ilvl="0">
      <w:lvlJc w:val="left"/>
      <w:lvlText w:val="•"/>
      <w:numFmt w:val="bullet"/>
      <w:start w:val="1"/>
    </w:lvl>
  </w:abstractNum>
  <w:abstractNum w:abstractNumId="187">
    <w:nsid w:val="5C49EAEE"/>
    <w:multiLevelType w:val="hybridMultilevel"/>
    <w:lvl w:ilvl="0">
      <w:lvlJc w:val="left"/>
      <w:lvlText w:val="%1."/>
      <w:numFmt w:val="lowerRoman"/>
      <w:start w:val="1"/>
    </w:lvl>
  </w:abstractNum>
  <w:abstractNum w:abstractNumId="188">
    <w:nsid w:val="64AF49B"/>
    <w:multiLevelType w:val="hybridMultilevel"/>
    <w:lvl w:ilvl="0">
      <w:lvlJc w:val="left"/>
      <w:lvlText w:val="%1."/>
      <w:numFmt w:val="lowerRoman"/>
      <w:start w:val="10"/>
    </w:lvl>
  </w:abstractNum>
  <w:abstractNum w:abstractNumId="189">
    <w:nsid w:val="397C46BC"/>
    <w:multiLevelType w:val="hybridMultilevel"/>
    <w:lvl w:ilvl="0">
      <w:lvlJc w:val="left"/>
      <w:lvlText w:val="•"/>
      <w:numFmt w:val="bullet"/>
      <w:start w:val="1"/>
    </w:lvl>
  </w:abstractNum>
  <w:abstractNum w:abstractNumId="190">
    <w:nsid w:val="7E448DE9"/>
    <w:multiLevelType w:val="hybridMultilevel"/>
    <w:lvl w:ilvl="0">
      <w:lvlJc w:val="left"/>
      <w:lvlText w:val="•"/>
      <w:numFmt w:val="bullet"/>
      <w:start w:val="1"/>
    </w:lvl>
    <w:lvl w:ilvl="1">
      <w:lvlJc w:val="left"/>
      <w:lvlText w:val="•"/>
      <w:numFmt w:val="bullet"/>
      <w:start w:val="1"/>
    </w:lvl>
  </w:abstractNum>
  <w:abstractNum w:abstractNumId="191">
    <w:nsid w:val="5A9CC3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29" Type="http://schemas.openxmlformats.org/officeDocument/2006/relationships/image" Target="media/image407.png"/><Relationship Id="rId434" Type="http://schemas.openxmlformats.org/officeDocument/2006/relationships/image" Target="media/image408.png"/><Relationship Id="rId435" Type="http://schemas.openxmlformats.org/officeDocument/2006/relationships/image" Target="media/image409.png"/><Relationship Id="rId436" Type="http://schemas.openxmlformats.org/officeDocument/2006/relationships/image" Target="media/image410.png"/><Relationship Id="rId437" Type="http://schemas.openxmlformats.org/officeDocument/2006/relationships/image" Target="media/image411.png"/><Relationship Id="rId438" Type="http://schemas.openxmlformats.org/officeDocument/2006/relationships/image" Target="media/image412.png"/><Relationship Id="rId439" Type="http://schemas.openxmlformats.org/officeDocument/2006/relationships/image" Target="media/image413.png"/><Relationship Id="rId440" Type="http://schemas.openxmlformats.org/officeDocument/2006/relationships/image" Target="media/image414.png"/><Relationship Id="rId441" Type="http://schemas.openxmlformats.org/officeDocument/2006/relationships/image" Target="media/image415.png"/><Relationship Id="rId442" Type="http://schemas.openxmlformats.org/officeDocument/2006/relationships/image" Target="media/image416.png"/><Relationship Id="rId443" Type="http://schemas.openxmlformats.org/officeDocument/2006/relationships/image" Target="media/image417.png"/><Relationship Id="rId444" Type="http://schemas.openxmlformats.org/officeDocument/2006/relationships/image" Target="media/image418.png"/><Relationship Id="rId445" Type="http://schemas.openxmlformats.org/officeDocument/2006/relationships/image" Target="media/image419.png"/><Relationship Id="rId446" Type="http://schemas.openxmlformats.org/officeDocument/2006/relationships/image" Target="media/image420.png"/><Relationship Id="rId447" Type="http://schemas.openxmlformats.org/officeDocument/2006/relationships/image" Target="media/image421.png"/><Relationship Id="rId448" Type="http://schemas.openxmlformats.org/officeDocument/2006/relationships/image" Target="media/image422.png"/><Relationship Id="rId449" Type="http://schemas.openxmlformats.org/officeDocument/2006/relationships/image" Target="media/image423.png"/><Relationship Id="rId450" Type="http://schemas.openxmlformats.org/officeDocument/2006/relationships/image" Target="media/image424.png"/><Relationship Id="rId451" Type="http://schemas.openxmlformats.org/officeDocument/2006/relationships/image" Target="media/image425.png"/><Relationship Id="rId452" Type="http://schemas.openxmlformats.org/officeDocument/2006/relationships/image" Target="media/image426.png"/><Relationship Id="rId453" Type="http://schemas.openxmlformats.org/officeDocument/2006/relationships/image" Target="media/image427.png"/><Relationship Id="rId454"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57" Type="http://schemas.openxmlformats.org/officeDocument/2006/relationships/image" Target="media/image431.png"/><Relationship Id="rId458" Type="http://schemas.openxmlformats.org/officeDocument/2006/relationships/image" Target="media/image432.png"/><Relationship Id="rId459" Type="http://schemas.openxmlformats.org/officeDocument/2006/relationships/image" Target="media/image433.png"/><Relationship Id="rId460" Type="http://schemas.openxmlformats.org/officeDocument/2006/relationships/image" Target="media/image434.png"/><Relationship Id="rId461" Type="http://schemas.openxmlformats.org/officeDocument/2006/relationships/image" Target="media/image435.png"/><Relationship Id="rId462" Type="http://schemas.openxmlformats.org/officeDocument/2006/relationships/image" Target="media/image436.png"/><Relationship Id="rId463" Type="http://schemas.openxmlformats.org/officeDocument/2006/relationships/image" Target="media/image437.png"/><Relationship Id="rId464" Type="http://schemas.openxmlformats.org/officeDocument/2006/relationships/image" Target="media/image438.png"/><Relationship Id="rId465" Type="http://schemas.openxmlformats.org/officeDocument/2006/relationships/image" Target="media/image439.png"/><Relationship Id="rId466" Type="http://schemas.openxmlformats.org/officeDocument/2006/relationships/image" Target="media/image440.png"/><Relationship Id="rId467" Type="http://schemas.openxmlformats.org/officeDocument/2006/relationships/image" Target="media/image441.png"/><Relationship Id="rId468" Type="http://schemas.openxmlformats.org/officeDocument/2006/relationships/image" Target="media/image442.png"/><Relationship Id="rId469" Type="http://schemas.openxmlformats.org/officeDocument/2006/relationships/image" Target="media/image443.png"/><Relationship Id="rId470" Type="http://schemas.openxmlformats.org/officeDocument/2006/relationships/image" Target="media/image444.png"/><Relationship Id="rId471" Type="http://schemas.openxmlformats.org/officeDocument/2006/relationships/image" Target="media/image445.png"/><Relationship Id="rId472" Type="http://schemas.openxmlformats.org/officeDocument/2006/relationships/image" Target="media/image446.png"/><Relationship Id="rId473" Type="http://schemas.openxmlformats.org/officeDocument/2006/relationships/image" Target="media/image447.png"/><Relationship Id="rId474" Type="http://schemas.openxmlformats.org/officeDocument/2006/relationships/image" Target="media/image448.png"/><Relationship Id="rId475" Type="http://schemas.openxmlformats.org/officeDocument/2006/relationships/image" Target="media/image449.png"/><Relationship Id="rId476" Type="http://schemas.openxmlformats.org/officeDocument/2006/relationships/image" Target="media/image450.png"/><Relationship Id="rId477" Type="http://schemas.openxmlformats.org/officeDocument/2006/relationships/image" Target="media/image451.png"/><Relationship Id="rId478" Type="http://schemas.openxmlformats.org/officeDocument/2006/relationships/image" Target="media/image452.png"/><Relationship Id="rId479" Type="http://schemas.openxmlformats.org/officeDocument/2006/relationships/image" Target="media/image453.png"/><Relationship Id="rId480" Type="http://schemas.openxmlformats.org/officeDocument/2006/relationships/image" Target="media/image454.png"/><Relationship Id="rId481" Type="http://schemas.openxmlformats.org/officeDocument/2006/relationships/image" Target="media/image455.png"/><Relationship Id="rId482" Type="http://schemas.openxmlformats.org/officeDocument/2006/relationships/image" Target="media/image456.png"/><Relationship Id="rId483" Type="http://schemas.openxmlformats.org/officeDocument/2006/relationships/image" Target="media/image457.png"/><Relationship Id="rId484" Type="http://schemas.openxmlformats.org/officeDocument/2006/relationships/image" Target="media/image458.png"/><Relationship Id="rId485" Type="http://schemas.openxmlformats.org/officeDocument/2006/relationships/image" Target="media/image459.png"/><Relationship Id="rId486" Type="http://schemas.openxmlformats.org/officeDocument/2006/relationships/image" Target="media/image460.png"/><Relationship Id="rId487" Type="http://schemas.openxmlformats.org/officeDocument/2006/relationships/image" Target="media/image461.png"/><Relationship Id="rId488" Type="http://schemas.openxmlformats.org/officeDocument/2006/relationships/image" Target="media/image462.png"/><Relationship Id="rId489" Type="http://schemas.openxmlformats.org/officeDocument/2006/relationships/image" Target="media/image463.png"/><Relationship Id="rId490" Type="http://schemas.openxmlformats.org/officeDocument/2006/relationships/image" Target="media/image464.png"/><Relationship Id="rId491" Type="http://schemas.openxmlformats.org/officeDocument/2006/relationships/image" Target="media/image465.png"/><Relationship Id="rId492" Type="http://schemas.openxmlformats.org/officeDocument/2006/relationships/image" Target="media/image466.png"/><Relationship Id="rId493" Type="http://schemas.openxmlformats.org/officeDocument/2006/relationships/image" Target="media/image467.png"/><Relationship Id="rId494" Type="http://schemas.openxmlformats.org/officeDocument/2006/relationships/image" Target="media/image468.jpeg"/><Relationship Id="rId495" Type="http://schemas.openxmlformats.org/officeDocument/2006/relationships/image" Target="media/image469.png"/><Relationship Id="rId496" Type="http://schemas.openxmlformats.org/officeDocument/2006/relationships/image" Target="media/image470.jpeg"/><Relationship Id="rId414" Type="http://schemas.openxmlformats.org/officeDocument/2006/relationships/hyperlink" Target="http://www.sec.gov/Archives/edgar/data/1810182/000119312520196288/d47591dex31.htm" TargetMode="External"/><Relationship Id="rId415" Type="http://schemas.openxmlformats.org/officeDocument/2006/relationships/hyperlink" Target="http://www.sec.gov/Archives/edgar/data/1810182/000119312520196288/d47591dex32.htm" TargetMode="External"/><Relationship Id="rId416" Type="http://schemas.openxmlformats.org/officeDocument/2006/relationships/hyperlink" Target="http://www.sec.gov/Archives/edgar/data/1810182/000119312520181021/d913838dex41.htm" TargetMode="External"/><Relationship Id="rId417" Type="http://schemas.openxmlformats.org/officeDocument/2006/relationships/hyperlink" Target="http://www.sec.gov/Archives/edgar/data/1810182/000119312520181021/d913838dex42.htm" TargetMode="External"/><Relationship Id="rId418" Type="http://schemas.openxmlformats.org/officeDocument/2006/relationships/hyperlink" Target="http://www.sec.gov/Archives/edgar/data/1810182/000119312520181021/d913838dex101.htm" TargetMode="External"/><Relationship Id="rId419" Type="http://schemas.openxmlformats.org/officeDocument/2006/relationships/hyperlink" Target="http://www.sec.gov/Archives/edgar/data/1810182/000119312520191500/d913838dex102.htm" TargetMode="External"/><Relationship Id="rId420" Type="http://schemas.openxmlformats.org/officeDocument/2006/relationships/hyperlink" Target="http://www.sec.gov/Archives/edgar/data/1810182/000119312520191500/d913838dex103.htm" TargetMode="External"/><Relationship Id="rId421" Type="http://schemas.openxmlformats.org/officeDocument/2006/relationships/hyperlink" Target="http://www.sec.gov/Archives/edgar/data/1810182/000119312520191500/d913838dex104.htm" TargetMode="External"/><Relationship Id="rId422" Type="http://schemas.openxmlformats.org/officeDocument/2006/relationships/hyperlink" Target="http://www.sec.gov/Archives/edgar/data/1810182/000119312520191500/d913838dex106.htm" TargetMode="External"/><Relationship Id="rId423" Type="http://schemas.openxmlformats.org/officeDocument/2006/relationships/hyperlink" Target="http://www.sec.gov/Archives/edgar/data/1810182/000119312520191500/d913838dex107.htm" TargetMode="External"/><Relationship Id="rId424" Type="http://schemas.openxmlformats.org/officeDocument/2006/relationships/hyperlink" Target="http://www.sec.gov/Archives/edgar/data/1810182/000119312520191500/d913838dex108.htm" TargetMode="External"/><Relationship Id="rId425" Type="http://schemas.openxmlformats.org/officeDocument/2006/relationships/hyperlink" Target="http://www.sec.gov/Archives/edgar/data/1810182/000119312520191500/d913838dex109.htm" TargetMode="External"/><Relationship Id="rId426" Type="http://schemas.openxmlformats.org/officeDocument/2006/relationships/hyperlink" Target="http://www.sec.gov/Archives/edgar/data/1810182/000119312520191500/d913838dex1010.htm" TargetMode="External"/><Relationship Id="rId427" Type="http://schemas.openxmlformats.org/officeDocument/2006/relationships/hyperlink" Target="http://www.sec.gov/Archives/edgar/data/1810182/000119312520191500/d913838dex1011.htm" TargetMode="External"/><Relationship Id="rId428" Type="http://schemas.openxmlformats.org/officeDocument/2006/relationships/hyperlink" Target="http://www.sec.gov/Archives/edgar/data/1810182/000119312520181021/d913838dex1012.htm" TargetMode="External"/><Relationship Id="rId430" Type="http://schemas.openxmlformats.org/officeDocument/2006/relationships/hyperlink" Target="http://www.sec.gov/Archives/edgar/data/1810182/000119312520181021/d913838dex1013.htm" TargetMode="External"/><Relationship Id="rId431" Type="http://schemas.openxmlformats.org/officeDocument/2006/relationships/hyperlink" Target="http://www.sec.gov/Archives/edgar/data/1810182/000119312520181021/d913838dex1014.htm" TargetMode="External"/><Relationship Id="rId432" Type="http://schemas.openxmlformats.org/officeDocument/2006/relationships/hyperlink" Target="http://www.sec.gov/Archives/edgar/data/1810182/000119312520181021/d913838dex1015.htm" TargetMode="External"/><Relationship Id="rId433" Type="http://schemas.openxmlformats.org/officeDocument/2006/relationships/hyperlink" Target="http://www.sec.gov/Archives/edgar/data/1810182/000119312520181021/d91383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2020-12-07T15:07:17Z</dcterms:created>
  <dcterms:modified xsi:type="dcterms:W3CDTF">2020-12-07T15:07:17Z</dcterms:modified>
</cp:coreProperties>
</file>