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Hemrajani Rekha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620"/>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866 MALCOLM ROAD, SUITE 100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ALX ONCOLOGY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ALXO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04/29/2030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87,378</w:t>
            </w:r>
          </w:p>
        </w:tc>
        <w:tc>
          <w:tcPr>
            <w:tcW w:w="980" w:type="dxa"/>
            <w:vAlign w:val="bottom"/>
          </w:tcPr>
          <w:p>
            <w:pPr>
              <w:ind w:left="320"/>
              <w:spacing w:after="0"/>
              <w:rPr>
                <w:sz w:val="20"/>
                <w:szCs w:val="20"/>
                <w:color w:val="auto"/>
              </w:rPr>
            </w:pPr>
            <w:r>
              <w:rPr>
                <w:rFonts w:ascii="Arial" w:cs="Arial" w:eastAsia="Arial" w:hAnsi="Arial"/>
                <w:sz w:val="20"/>
                <w:szCs w:val="20"/>
                <w:color w:val="0000FF"/>
              </w:rPr>
              <w:t>4.81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One-fourth of the shares subject to the option vest on April 27, 2021 and 1/36th of the remaining shares vest monthly thereafter.</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Peter Garcia,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Rekha Hemrajani</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Rekha Hemrajani</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71213"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2020-07-16T17:39:11Z</dcterms:created>
  <dcterms:modified xsi:type="dcterms:W3CDTF">2020-07-16T17:39:11Z</dcterms:modified>
</cp:coreProperties>
</file>