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May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332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63"/>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5"/>
              </w:rPr>
              <w:t>(State or Other Jurisdiction</w:t>
            </w:r>
          </w:p>
        </w:tc>
        <w:tc>
          <w:tcPr>
            <w:tcW w:w="3620" w:type="dxa"/>
            <w:vAlign w:val="bottom"/>
          </w:tcPr>
          <w:p>
            <w:pPr>
              <w:spacing w:after="0"/>
              <w:rPr>
                <w:sz w:val="14"/>
                <w:szCs w:val="14"/>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88"/>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6"/>
              </w:rPr>
              <w:t>of Incorporation)</w:t>
            </w:r>
          </w:p>
        </w:tc>
        <w:tc>
          <w:tcPr>
            <w:tcW w:w="3620" w:type="dxa"/>
            <w:vAlign w:val="bottom"/>
          </w:tcPr>
          <w:p>
            <w:pPr>
              <w:jc w:val="center"/>
              <w:ind w:right="261"/>
              <w:spacing w:after="0"/>
              <w:rPr>
                <w:sz w:val="20"/>
                <w:szCs w:val="20"/>
                <w:color w:val="auto"/>
              </w:rPr>
            </w:pPr>
            <w:r>
              <w:rPr>
                <w:rFonts w:ascii="Arial" w:cs="Arial" w:eastAsia="Arial" w:hAnsi="Arial"/>
                <w:sz w:val="13"/>
                <w:szCs w:val="13"/>
                <w:b w:val="1"/>
                <w:bCs w:val="1"/>
                <w:color w:val="auto"/>
                <w:w w:val="94"/>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74"/>
        </w:trPr>
        <w:tc>
          <w:tcPr>
            <w:tcW w:w="3320" w:type="dxa"/>
            <w:vAlign w:val="bottom"/>
          </w:tcPr>
          <w:p>
            <w:pPr>
              <w:ind w:left="300"/>
              <w:spacing w:after="0"/>
              <w:rPr>
                <w:sz w:val="20"/>
                <w:szCs w:val="20"/>
                <w:color w:val="auto"/>
              </w:rPr>
            </w:pPr>
            <w:r>
              <w:rPr>
                <w:rFonts w:ascii="Arial" w:cs="Arial" w:eastAsia="Arial" w:hAnsi="Arial"/>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8"/>
        </w:trPr>
        <w:tc>
          <w:tcPr>
            <w:tcW w:w="3320" w:type="dxa"/>
            <w:vAlign w:val="bottom"/>
          </w:tcPr>
          <w:p>
            <w:pPr>
              <w:jc w:val="center"/>
              <w:ind w:right="781"/>
              <w:spacing w:after="0"/>
              <w:rPr>
                <w:sz w:val="20"/>
                <w:szCs w:val="20"/>
                <w:color w:val="auto"/>
              </w:rPr>
            </w:pPr>
            <w:r>
              <w:rPr>
                <w:rFonts w:ascii="Arial" w:cs="Arial" w:eastAsia="Arial" w:hAnsi="Arial"/>
                <w:sz w:val="18"/>
                <w:szCs w:val="18"/>
                <w:b w:val="1"/>
                <w:bCs w:val="1"/>
                <w:color w:val="auto"/>
                <w:w w:val="90"/>
              </w:rPr>
              <w:t>South San Francisco, California</w:t>
            </w:r>
          </w:p>
        </w:tc>
        <w:tc>
          <w:tcPr>
            <w:tcW w:w="3620" w:type="dxa"/>
            <w:vAlign w:val="bottom"/>
          </w:tcPr>
          <w:p>
            <w:pPr>
              <w:spacing w:after="0"/>
              <w:rPr>
                <w:sz w:val="21"/>
                <w:szCs w:val="21"/>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94080</w:t>
            </w:r>
          </w:p>
        </w:tc>
      </w:tr>
      <w:tr>
        <w:trPr>
          <w:trHeight w:val="188"/>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20" w:type="dxa"/>
            <w:vAlign w:val="bottom"/>
          </w:tcPr>
          <w:p>
            <w:pPr>
              <w:spacing w:after="0"/>
              <w:rPr>
                <w:sz w:val="16"/>
                <w:szCs w:val="16"/>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10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17" w:lineRule="auto"/>
        <w:tabs>
          <w:tab w:leader="none" w:pos="4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3"/>
                <w:szCs w:val="13"/>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ALXO</w:t>
            </w:r>
          </w:p>
        </w:tc>
        <w:tc>
          <w:tcPr>
            <w:tcW w:w="14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0"/>
              </w:rPr>
              <w:t xml:space="preserve">The Nasdaq </w:t>
            </w:r>
            <w:r>
              <w:rPr>
                <w:rFonts w:ascii="Arial" w:cs="Arial" w:eastAsia="Arial" w:hAnsi="Arial"/>
                <w:sz w:val="18"/>
                <w:szCs w:val="18"/>
                <w:color w:val="212529"/>
                <w:w w:val="90"/>
              </w:rPr>
              <w:t>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501015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On May 11, 2023, ALX Oncology Holdings Inc. (the "Company"), issued a press release announcing its financial results for the first quarter ended March 31, 2023. A copy of this press release is furnished as Exhibit 99.1 to this Current Report on Form 8-K and is incorporated herein by reference.</w:t>
      </w:r>
    </w:p>
    <w:p>
      <w:pPr>
        <w:spacing w:after="0" w:line="1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780" w:type="dxa"/>
            <w:vAlign w:val="bottom"/>
            <w:vMerge w:val="restart"/>
          </w:tcPr>
          <w:p>
            <w:pPr>
              <w:jc w:val="right"/>
              <w:ind w:right="470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7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20" w:type="dxa"/>
            <w:vAlign w:val="bottom"/>
          </w:tcPr>
          <w:p>
            <w:pPr>
              <w:ind w:left="2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24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6"/>
              </w:rPr>
              <w:t>Press Release dated May 11, 2023</w:t>
            </w:r>
          </w:p>
        </w:tc>
        <w:tc>
          <w:tcPr>
            <w:tcW w:w="7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61"/>
        </w:trPr>
        <w:tc>
          <w:tcPr>
            <w:tcW w:w="820" w:type="dxa"/>
            <w:vAlign w:val="bottom"/>
          </w:tcPr>
          <w:p>
            <w:pPr>
              <w:spacing w:after="0"/>
              <w:rPr>
                <w:sz w:val="24"/>
                <w:szCs w:val="24"/>
                <w:color w:val="auto"/>
              </w:rPr>
            </w:pPr>
          </w:p>
        </w:tc>
        <w:tc>
          <w:tcPr>
            <w:tcW w:w="10420" w:type="dxa"/>
            <w:vAlign w:val="bottom"/>
            <w:gridSpan w:val="4"/>
          </w:tcPr>
          <w:p>
            <w:pPr>
              <w:jc w:val="right"/>
              <w:ind w:right="550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7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ALX ONCOLOGY HOLDINGS INC.</w:t>
      </w:r>
    </w:p>
    <w:p>
      <w:pPr>
        <w:spacing w:after="0" w:line="283"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50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2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Peter Garcia</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5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-130810</wp:posOffset>
            </wp:positionV>
            <wp:extent cx="1817370"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line="282" w:lineRule="auto"/>
        <w:rPr>
          <w:sz w:val="20"/>
          <w:szCs w:val="20"/>
          <w:color w:val="auto"/>
        </w:rPr>
      </w:pPr>
      <w:r>
        <w:rPr>
          <w:rFonts w:ascii="Arial" w:cs="Arial" w:eastAsia="Arial" w:hAnsi="Arial"/>
          <w:sz w:val="25"/>
          <w:szCs w:val="25"/>
          <w:b w:val="1"/>
          <w:bCs w:val="1"/>
          <w:color w:val="auto"/>
        </w:rPr>
        <w:t>ALX Oncology Reports First Quarter 2023 Financial Results and Provides Clinical Development and Operational Highlights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SOUTH SAN FRANCISCO, Calif., May 11, 2023 (GLOBE NEWSWIRE) -- </w:t>
      </w:r>
      <w:r>
        <w:rPr>
          <w:rFonts w:ascii="Arial" w:cs="Arial" w:eastAsia="Arial" w:hAnsi="Arial"/>
          <w:sz w:val="19"/>
          <w:szCs w:val="19"/>
          <w:color w:val="auto"/>
        </w:rPr>
        <w:t>ALX Oncology Holdings Inc., (“ALX Oncology”) (Nasdaq:</w:t>
      </w:r>
      <w:r>
        <w:rPr>
          <w:rFonts w:ascii="Arial" w:cs="Arial" w:eastAsia="Arial" w:hAnsi="Arial"/>
          <w:sz w:val="19"/>
          <w:szCs w:val="19"/>
          <w:b w:val="1"/>
          <w:bCs w:val="1"/>
          <w:color w:val="auto"/>
        </w:rPr>
        <w:t xml:space="preserve"> </w:t>
      </w:r>
      <w:r>
        <w:rPr>
          <w:rFonts w:ascii="Arial" w:cs="Arial" w:eastAsia="Arial" w:hAnsi="Arial"/>
          <w:sz w:val="19"/>
          <w:szCs w:val="19"/>
          <w:color w:val="auto"/>
        </w:rPr>
        <w:t>ALXO), a clinical-stage immuno-oncology company developing therapies that block the CD47 checkpoint pathway, today reported financial results for the first quarter ended March 31, 2023 and provided clinical development and operational highlights.</w:t>
      </w:r>
    </w:p>
    <w:p>
      <w:pPr>
        <w:spacing w:after="0" w:line="16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the first quarter of 2023, we continued to make significant progress in advancing our lead program, evorpacept, through new collaborations and clinical trial starts,” said Dr. Jaume Pons, Founder, President and Chief Executive Officer of ALX Oncology. “This</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included our recently announced clinical trial collaboration with Sanofi to evaluate evorpacept in combination with SARCLISA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patients with multiple myeloma, and the initiation of three new clinical studies. These studies encompass our initiation of a Phase 1 trial in urothelial</w:t>
      </w:r>
    </w:p>
    <w:p>
      <w:pPr>
        <w:spacing w:after="0" w:line="215" w:lineRule="auto"/>
        <w:rPr>
          <w:sz w:val="20"/>
          <w:szCs w:val="20"/>
          <w:color w:val="auto"/>
        </w:rPr>
      </w:pPr>
      <w:r>
        <w:rPr>
          <w:rFonts w:ascii="Arial" w:cs="Arial" w:eastAsia="Arial" w:hAnsi="Arial"/>
          <w:sz w:val="19"/>
          <w:szCs w:val="19"/>
          <w:color w:val="auto"/>
        </w:rPr>
        <w:t>cancer in combination with PADCEV</w:t>
      </w:r>
      <w:r>
        <w:rPr>
          <w:rFonts w:ascii="Arial" w:cs="Arial" w:eastAsia="Arial" w:hAnsi="Arial"/>
          <w:sz w:val="25"/>
          <w:szCs w:val="25"/>
          <w:color w:val="auto"/>
          <w:vertAlign w:val="superscript"/>
        </w:rPr>
        <w:t>®</w:t>
      </w:r>
      <w:r>
        <w:rPr>
          <w:rFonts w:ascii="Arial" w:cs="Arial" w:eastAsia="Arial" w:hAnsi="Arial"/>
          <w:sz w:val="19"/>
          <w:szCs w:val="19"/>
          <w:color w:val="auto"/>
        </w:rPr>
        <w:t>, the initiation of a Phase 1 I-SPY-PI TRIAL for the treatment of patients with unresectable or</w:t>
      </w:r>
    </w:p>
    <w:p>
      <w:pPr>
        <w:spacing w:after="0" w:line="1" w:lineRule="exact"/>
        <w:rPr>
          <w:sz w:val="20"/>
          <w:szCs w:val="20"/>
          <w:color w:val="auto"/>
        </w:rPr>
      </w:pPr>
    </w:p>
    <w:p>
      <w:pPr>
        <w:ind w:right="560"/>
        <w:spacing w:after="0" w:line="234" w:lineRule="auto"/>
        <w:rPr>
          <w:sz w:val="20"/>
          <w:szCs w:val="20"/>
          <w:color w:val="auto"/>
        </w:rPr>
      </w:pPr>
      <w:r>
        <w:rPr>
          <w:rFonts w:ascii="Arial" w:cs="Arial" w:eastAsia="Arial" w:hAnsi="Arial"/>
          <w:sz w:val="18"/>
          <w:szCs w:val="18"/>
          <w:color w:val="auto"/>
        </w:rPr>
        <w:t>metastatic HER-positive and HER2-low breast cancer in combination with ENHERTU</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partnership with Quantum Leap Healthcare Collaborative (“Quantum Leap”), and the recently announced initiation of a Phase 2 investigator-sponsored trial of evorpacept,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combination with liposomal doxorubicin and KEYTRUDA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in patients with recurrent platinum-resistant ovarian cancer.”</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Dr. Pons added, “We look forward to important readouts in the second half of 2023 from ASPEN-06, a randomized Phase 2 trial of</w:t>
      </w:r>
    </w:p>
    <w:p>
      <w:pPr>
        <w:spacing w:after="0" w:line="31" w:lineRule="exact"/>
        <w:rPr>
          <w:sz w:val="20"/>
          <w:szCs w:val="20"/>
          <w:color w:val="auto"/>
        </w:rPr>
      </w:pPr>
    </w:p>
    <w:p>
      <w:pPr>
        <w:ind w:right="160"/>
        <w:spacing w:after="0" w:line="228" w:lineRule="auto"/>
        <w:rPr>
          <w:sz w:val="20"/>
          <w:szCs w:val="20"/>
          <w:color w:val="auto"/>
        </w:rPr>
      </w:pPr>
      <w:r>
        <w:rPr>
          <w:rFonts w:ascii="Arial" w:cs="Arial" w:eastAsia="Arial" w:hAnsi="Arial"/>
          <w:sz w:val="20"/>
          <w:szCs w:val="20"/>
          <w:color w:val="auto"/>
        </w:rPr>
        <w:t>evorpacept in combination with trastuzumab, paclitaxel and CYRAMZA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(ramucirumab) for the treatment of patients with HER2-positive gastric/gastroesophageal junction cancer, and from ASPEN-02, a Phase 1b clinical trial of evorpacept in combination with azacitidine in patients with myelodysplastic syndromes. Additionally, in collaboration with Tallac Therapeutics, we remain on track to file an Investigational New Drug application in the first half of this year for ALTA-002, a SIRPa Toll-like receptor agonist antibody conjugate, that will broaden our immuno-oncology pipeline beyond evorpacept.”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Clinical Developments for Evorpacept</w:t>
      </w:r>
    </w:p>
    <w:p>
      <w:pPr>
        <w:spacing w:after="0" w:line="108" w:lineRule="exact"/>
        <w:rPr>
          <w:sz w:val="20"/>
          <w:szCs w:val="20"/>
          <w:color w:val="auto"/>
        </w:rPr>
      </w:pPr>
    </w:p>
    <w:p>
      <w:pPr>
        <w:ind w:left="1020" w:right="280" w:hanging="503"/>
        <w:spacing w:after="0" w:line="267"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First patient dosed in Phase 2 investigator-sponsored trial of evorpacept in combination with KEYTRUDA in patients with ovarian cancer.</w:t>
      </w:r>
    </w:p>
    <w:p>
      <w:pPr>
        <w:spacing w:after="0" w:line="61" w:lineRule="exact"/>
        <w:rPr>
          <w:rFonts w:ascii="Arial" w:cs="Arial" w:eastAsia="Arial" w:hAnsi="Arial"/>
          <w:sz w:val="20"/>
          <w:szCs w:val="20"/>
          <w:color w:val="auto"/>
        </w:rPr>
      </w:pPr>
    </w:p>
    <w:p>
      <w:pPr>
        <w:ind w:left="1540" w:right="40" w:hanging="509"/>
        <w:spacing w:after="0" w:line="260" w:lineRule="auto"/>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9"/>
          <w:szCs w:val="19"/>
          <w:color w:val="auto"/>
        </w:rPr>
        <w:t>In May 2023, we announced the initiation of a Phase 2 investigator-sponsored trial of evorpacept in combination with liposomal doxorubicin and KEYTRUDA (pembrolizumab) in patients with recurrent platinum-resistant ovarian cancer at the UPMC Hillman Cancer Center. This is an open-label, single-arm Phase 2 clinical trial. The study is being led by Haider Mahdi, M.D., M.P.H., Assistant Professor, Department of Obstetrics, Gynecology and Reproductive Sciences, The University of Pittsburgh and UPMC Magee-Womens Research Institute.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5" w:name="page6"/>
    <w:bookmarkEnd w:id="5"/>
    <w:p>
      <w:pPr>
        <w:ind w:left="1020" w:right="300" w:hanging="503"/>
        <w:spacing w:after="0" w:line="267"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Announced clinical trial collaboration with Sanofi to evaluate evorpacept in combination with SARCLISA in patients with multiple myeloma.</w:t>
      </w:r>
    </w:p>
    <w:p>
      <w:pPr>
        <w:spacing w:after="0" w:line="61" w:lineRule="exact"/>
        <w:rPr>
          <w:rFonts w:ascii="Arial" w:cs="Arial" w:eastAsia="Arial" w:hAnsi="Arial"/>
          <w:sz w:val="20"/>
          <w:szCs w:val="20"/>
          <w:color w:val="auto"/>
        </w:rPr>
      </w:pPr>
    </w:p>
    <w:p>
      <w:pPr>
        <w:ind w:left="1540" w:hanging="509"/>
        <w:spacing w:after="0" w:line="278" w:lineRule="auto"/>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In April 2023, we entered into a clinical trial collaboration and supply agreement with Sanofi to evaluate evorpacept and SARCLISA (isatuximab-irfc), Sanofi’s monoclonal antibody that targets a specific epitope on the CD38 receptor on multiple myeloma cells, for the treatment of patients with relapsed or refractory multiple myeloma (“RRMM”). Under the terms of the agreement, Sanofi will conduct a Phase 1/2 study to evaluate the safety, efficacy, pharmacokinetics and biomarker data of evorpacept in combination with SARCLISA and dexamethasone in patients with RRMM.</w:t>
      </w:r>
    </w:p>
    <w:p>
      <w:pPr>
        <w:spacing w:after="0" w:line="50" w:lineRule="exact"/>
        <w:rPr>
          <w:rFonts w:ascii="Arial" w:cs="Arial" w:eastAsia="Arial" w:hAnsi="Arial"/>
          <w:sz w:val="20"/>
          <w:szCs w:val="20"/>
          <w:color w:val="auto"/>
        </w:rPr>
      </w:pPr>
    </w:p>
    <w:p>
      <w:pPr>
        <w:ind w:left="1020" w:right="720" w:hanging="503"/>
        <w:spacing w:after="0" w:line="267"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First patient dosed in I-SPY-PI TRIAL evaluating evorpacept in combination with ENHERTU, a HER2 directed antibody-drug conjugate (“ADC”), in breast cancer.</w:t>
      </w:r>
    </w:p>
    <w:p>
      <w:pPr>
        <w:spacing w:after="0" w:line="61" w:lineRule="exact"/>
        <w:rPr>
          <w:rFonts w:ascii="Arial" w:cs="Arial" w:eastAsia="Arial" w:hAnsi="Arial"/>
          <w:sz w:val="20"/>
          <w:szCs w:val="20"/>
          <w:color w:val="auto"/>
        </w:rPr>
      </w:pPr>
    </w:p>
    <w:p>
      <w:pPr>
        <w:ind w:left="1540" w:right="100" w:hanging="509"/>
        <w:spacing w:after="0" w:line="328" w:lineRule="auto"/>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6"/>
          <w:szCs w:val="16"/>
          <w:color w:val="auto"/>
        </w:rPr>
        <w:t>In March 2023, we announced the dosing of the first patient in the I-SPY-PI TRIAL for the treatment of patients with breast cancer. Sponsored by Quantum Leap, this Phase 1 (open label), multi-center study arm is investigating evorpacept in combination with ENHERTU (fam-trastuzumab deruxtecan-nxki) to determine the safety, tolerability and efficacy of this drug combination in patients with unresectable or metastatic HER2-positive and HER2-low breast cancer.</w:t>
      </w:r>
    </w:p>
    <w:p>
      <w:pPr>
        <w:spacing w:after="0" w:line="14" w:lineRule="exact"/>
        <w:rPr>
          <w:rFonts w:ascii="Arial" w:cs="Arial" w:eastAsia="Arial" w:hAnsi="Arial"/>
          <w:sz w:val="20"/>
          <w:szCs w:val="20"/>
          <w:color w:val="auto"/>
        </w:rPr>
      </w:pPr>
    </w:p>
    <w:p>
      <w:pPr>
        <w:ind w:left="1020" w:right="240" w:hanging="503"/>
        <w:spacing w:after="0" w:line="267"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First patient dosed in ASPEN-07 study evaluating evorpacept in combination with PADCEV, an ADC, in patients with urothelial cancer (“UC”).</w:t>
      </w:r>
    </w:p>
    <w:p>
      <w:pPr>
        <w:spacing w:after="0" w:line="61" w:lineRule="exact"/>
        <w:rPr>
          <w:rFonts w:ascii="Arial" w:cs="Arial" w:eastAsia="Arial" w:hAnsi="Arial"/>
          <w:sz w:val="20"/>
          <w:szCs w:val="20"/>
          <w:color w:val="auto"/>
        </w:rPr>
      </w:pPr>
    </w:p>
    <w:p>
      <w:pPr>
        <w:ind w:left="1540" w:right="20" w:hanging="509"/>
        <w:spacing w:after="0" w:line="282" w:lineRule="auto"/>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In February 2023, we announced the first patient was dosed in the Phase 1 ASPEN-07 study evaluating evorpacept in combination with PADCEV (enfortumab vedotin-ejfv), an ADC, in patients with UC. ASPEN-07 is a Phase 1, open-label, multi-center study to evaluate the safety, tolerability, pharmacokinetics and pharmacodynamics of evorpacept in combination with PADCEV in subjects with unresectable locally advanced or metastatic UC.</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2023 Financial Results:</w:t>
      </w:r>
    </w:p>
    <w:p>
      <w:pPr>
        <w:spacing w:after="0" w:line="108" w:lineRule="exact"/>
        <w:rPr>
          <w:sz w:val="20"/>
          <w:szCs w:val="20"/>
          <w:color w:val="auto"/>
        </w:rPr>
      </w:pPr>
    </w:p>
    <w:p>
      <w:pPr>
        <w:jc w:val="both"/>
        <w:ind w:left="1020" w:right="20" w:hanging="503"/>
        <w:spacing w:after="0" w:line="253"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Cash, Cash Equivalents and Investments: </w:t>
      </w:r>
      <w:r>
        <w:rPr>
          <w:rFonts w:ascii="Arial" w:cs="Arial" w:eastAsia="Arial" w:hAnsi="Arial"/>
          <w:sz w:val="20"/>
          <w:szCs w:val="20"/>
          <w:color w:val="auto"/>
        </w:rPr>
        <w:t>Cash, cash equivalents and investments as of March 31, 2023 were $256.2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ALX Oncology believes its cash, cash equivalents, investments along with the ability to draw down an additional $40 million of its term loan are sufficient to fund planned operations through mid-2025.</w:t>
      </w:r>
    </w:p>
    <w:p>
      <w:pPr>
        <w:spacing w:after="0" w:line="69" w:lineRule="exact"/>
        <w:rPr>
          <w:rFonts w:ascii="Arial" w:cs="Arial" w:eastAsia="Arial" w:hAnsi="Arial"/>
          <w:sz w:val="20"/>
          <w:szCs w:val="20"/>
          <w:color w:val="auto"/>
        </w:rPr>
      </w:pPr>
    </w:p>
    <w:p>
      <w:pPr>
        <w:ind w:left="1020" w:right="80" w:hanging="503"/>
        <w:spacing w:after="0" w:line="27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consist primarily of pre-clinical, clinical and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related to the development of the Company’s current lead product candidate, evorpacept, and R&amp;D employee-related expenses. These expenses for the three months ended March 31, 2023 were $24.8 million, compared to $17.1 million for the prior-year period. The increase was primarily due to an increase of $5.3 million in clinical costs from an increase in the number of active trials and patient enrollment as well as manufacturing of clinical trial materials to support a higher number of active clinical trials and future expected patient enrollment related to the advancement of evorpacept, an increase of $1.5 million in personnel and related costs primarily driven by headcount growth, and an increase of $1.1 million in stock-based compensation expense due to additional awards granted since March 31, 2022 offset by a decrease of $0.6 million related to the Tallac Collaboration for costs related to the IND filing planned for 2023 in which the primary work was completed in 2022.</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6" w:name="page7"/>
    <w:bookmarkEnd w:id="6"/>
    <w:p>
      <w:pPr>
        <w:ind w:left="1020" w:right="280" w:hanging="503"/>
        <w:spacing w:after="0" w:line="32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General and Administrative (“G&amp;A”) Expenses: </w:t>
      </w:r>
      <w:r>
        <w:rPr>
          <w:rFonts w:ascii="Arial" w:cs="Arial" w:eastAsia="Arial" w:hAnsi="Arial"/>
          <w:sz w:val="16"/>
          <w:szCs w:val="16"/>
          <w:color w:val="auto"/>
        </w:rPr>
        <w:t>G&amp;A expenses consist primarily of administrative employee-related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legal and other professional fees, patent filing and maintenance fees, and insurance. These expenses for the three months ended March 31, 2023 were $7.4 million, compared to $7.7 million for the prior-year period. The small decrease year over year was primarily attributable to reduced stock-based compensation expense primarily due to forfeited stock options during the quarter and a decrease in other general and administrative costs due primarily to corporate legal and patent costs.</w:t>
      </w:r>
    </w:p>
    <w:p>
      <w:pPr>
        <w:spacing w:after="0" w:line="21" w:lineRule="exact"/>
        <w:rPr>
          <w:rFonts w:ascii="Arial" w:cs="Arial" w:eastAsia="Arial" w:hAnsi="Arial"/>
          <w:sz w:val="16"/>
          <w:szCs w:val="16"/>
          <w:color w:val="auto"/>
        </w:rPr>
      </w:pPr>
    </w:p>
    <w:p>
      <w:pPr>
        <w:ind w:left="1020" w:right="40" w:hanging="503"/>
        <w:spacing w:after="0" w:line="246"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GAAP net loss was $30.2 million for the first quarter ended March 31, 2023, or $0.74 per basic and diluted share, as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GAAP net loss of $24.5 million for the first quarter ended March 31, 2022, or $0.60 per basic and diluted share. Non-GAAP net loss was $23.8 million for the first quarter ended March 31, 2023, as compared to a non-GAAP net loss of $19.0 million for the first quarter ended March 31, 2022. A reconciliation of GAAP to non-GAAP financial results can be found at the end of this press release.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ALX Oncology</w:t>
      </w:r>
    </w:p>
    <w:p>
      <w:pPr>
        <w:spacing w:after="0" w:line="114"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agents. ALX Oncology intends to continue clinical development of evorpacept for the treatment of multiple solid tumor indications and hematologic malignancies.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ALX ONCOLOGY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Operations</w:t>
      </w:r>
    </w:p>
    <w:p>
      <w:pPr>
        <w:jc w:val="center"/>
        <w:spacing w:after="0"/>
        <w:rPr>
          <w:sz w:val="20"/>
          <w:szCs w:val="20"/>
          <w:color w:val="auto"/>
        </w:rPr>
      </w:pPr>
      <w:r>
        <w:rPr>
          <w:rFonts w:ascii="Arial" w:cs="Arial" w:eastAsia="Arial" w:hAnsi="Arial"/>
          <w:sz w:val="20"/>
          <w:szCs w:val="20"/>
          <w:color w:val="auto"/>
        </w:rPr>
        <w:t>(unaudited)</w:t>
      </w:r>
    </w:p>
    <w:p>
      <w:pPr>
        <w:jc w:val="center"/>
        <w:ind w:right="40"/>
        <w:spacing w:after="0"/>
        <w:rPr>
          <w:sz w:val="20"/>
          <w:szCs w:val="20"/>
          <w:color w:val="auto"/>
        </w:rPr>
      </w:pPr>
      <w:r>
        <w:rPr>
          <w:rFonts w:ascii="Arial" w:cs="Arial" w:eastAsia="Arial" w:hAnsi="Arial"/>
          <w:sz w:val="20"/>
          <w:szCs w:val="20"/>
          <w:color w:val="auto"/>
        </w:rPr>
        <w:t>(in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March 31,</w:t>
            </w:r>
          </w:p>
        </w:tc>
        <w:tc>
          <w:tcPr>
            <w:tcW w:w="14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24,763</w:t>
            </w:r>
          </w:p>
        </w:tc>
        <w:tc>
          <w:tcPr>
            <w:tcW w:w="40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17,073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7,440</w:t>
            </w:r>
          </w:p>
        </w:tc>
        <w:tc>
          <w:tcPr>
            <w:tcW w:w="4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7,674</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32,203</w:t>
            </w:r>
          </w:p>
        </w:tc>
        <w:tc>
          <w:tcPr>
            <w:tcW w:w="4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(32,203</w:t>
            </w:r>
          </w:p>
        </w:tc>
        <w:tc>
          <w:tcPr>
            <w:tcW w:w="400" w:type="dxa"/>
            <w:vAlign w:val="bottom"/>
            <w:shd w:val="clear" w:color="auto" w:fill="CFF0FC"/>
          </w:tcPr>
          <w:p>
            <w:pPr>
              <w:jc w:val="right"/>
              <w:ind w:right="261"/>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2,311</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1"/>
              <w:spacing w:after="0"/>
              <w:rPr>
                <w:sz w:val="20"/>
                <w:szCs w:val="20"/>
                <w:color w:val="auto"/>
              </w:rPr>
            </w:pPr>
            <w:r>
              <w:rPr>
                <w:rFonts w:ascii="Arial" w:cs="Arial" w:eastAsia="Arial" w:hAnsi="Arial"/>
                <w:sz w:val="18"/>
                <w:szCs w:val="18"/>
                <w:color w:val="auto"/>
              </w:rPr>
              <w:t>(387 )</w:t>
            </w:r>
          </w:p>
        </w:tc>
        <w:tc>
          <w:tcPr>
            <w:tcW w:w="7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6"/>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tcBorders>
              <w:top w:val="single" w:sz="8" w:color="auto"/>
              <w:bottom w:val="single" w:sz="8" w:color="auto"/>
            </w:tcBorders>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(30,184</w:t>
            </w:r>
          </w:p>
        </w:tc>
        <w:tc>
          <w:tcPr>
            <w:tcW w:w="400" w:type="dxa"/>
            <w:vAlign w:val="bottom"/>
            <w:tcBorders>
              <w:bottom w:val="single" w:sz="8" w:color="CFF0FC"/>
            </w:tcBorders>
            <w:shd w:val="clear" w:color="auto" w:fill="CFF0FC"/>
          </w:tcPr>
          <w:p>
            <w:pPr>
              <w:jc w:val="right"/>
              <w:ind w:right="2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(24,533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rPr>
              <w:t>(0.74 )</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(0.60 )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shares of common stock used to</w:t>
            </w:r>
          </w:p>
        </w:tc>
        <w:tc>
          <w:tcPr>
            <w:tcW w:w="130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40,862,513</w:t>
            </w: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40,616,302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compute net loss per shares, basic and diluted</w:t>
            </w:r>
          </w:p>
        </w:tc>
        <w:tc>
          <w:tcPr>
            <w:tcW w:w="1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-1448435</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-1448435</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-496570</wp:posOffset>
            </wp:positionV>
            <wp:extent cx="170624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06245" cy="20574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jc w:val="center"/>
        <w:spacing w:after="0"/>
        <w:rPr>
          <w:sz w:val="20"/>
          <w:szCs w:val="20"/>
          <w:color w:val="auto"/>
        </w:rPr>
      </w:pPr>
      <w:r>
        <w:rPr>
          <w:rFonts w:ascii="Arial" w:cs="Arial" w:eastAsia="Arial" w:hAnsi="Arial"/>
          <w:sz w:val="20"/>
          <w:szCs w:val="20"/>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5820" w:type="dxa"/>
            <w:vAlign w:val="bottom"/>
          </w:tcPr>
          <w:p>
            <w:pPr>
              <w:spacing w:after="0"/>
              <w:rPr>
                <w:sz w:val="21"/>
                <w:szCs w:val="21"/>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investments</w:t>
            </w:r>
          </w:p>
        </w:tc>
        <w:tc>
          <w:tcPr>
            <w:tcW w:w="1680" w:type="dxa"/>
            <w:vAlign w:val="bottom"/>
            <w:shd w:val="clear" w:color="auto" w:fill="CFF0FC"/>
          </w:tcPr>
          <w:p>
            <w:pPr>
              <w:jc w:val="right"/>
              <w:ind w:right="14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256,164</w:t>
            </w:r>
          </w:p>
        </w:tc>
        <w:tc>
          <w:tcPr>
            <w:tcW w:w="4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282,906</w:t>
            </w:r>
          </w:p>
        </w:tc>
        <w:tc>
          <w:tcPr>
            <w:tcW w:w="140" w:type="dxa"/>
            <w:vAlign w:val="bottom"/>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80" w:type="dxa"/>
            <w:vAlign w:val="bottom"/>
          </w:tcPr>
          <w:p>
            <w:pPr>
              <w:jc w:val="right"/>
              <w:ind w:right="14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278,138</w:t>
            </w:r>
          </w:p>
        </w:tc>
        <w:tc>
          <w:tcPr>
            <w:tcW w:w="4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306,489</w:t>
            </w:r>
          </w:p>
        </w:tc>
        <w:tc>
          <w:tcPr>
            <w:tcW w:w="140" w:type="dxa"/>
            <w:vAlign w:val="bottom"/>
          </w:tcPr>
          <w:p>
            <w:pPr>
              <w:spacing w:after="0"/>
              <w:rPr>
                <w:sz w:val="20"/>
                <w:szCs w:val="20"/>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680" w:type="dxa"/>
            <w:vAlign w:val="bottom"/>
            <w:shd w:val="clear" w:color="auto" w:fill="CFF0FC"/>
          </w:tcPr>
          <w:p>
            <w:pPr>
              <w:jc w:val="right"/>
              <w:ind w:right="14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37,750</w:t>
            </w:r>
          </w:p>
        </w:tc>
        <w:tc>
          <w:tcPr>
            <w:tcW w:w="4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43,025</w:t>
            </w:r>
          </w:p>
        </w:tc>
        <w:tc>
          <w:tcPr>
            <w:tcW w:w="140" w:type="dxa"/>
            <w:vAlign w:val="bottom"/>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80" w:type="dxa"/>
            <w:vAlign w:val="bottom"/>
          </w:tcPr>
          <w:p>
            <w:pPr>
              <w:jc w:val="right"/>
              <w:ind w:right="14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(355,651 )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(325,467 )</w:t>
            </w: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1680" w:type="dxa"/>
            <w:vAlign w:val="bottom"/>
            <w:shd w:val="clear" w:color="auto" w:fill="CFF0FC"/>
          </w:tcPr>
          <w:p>
            <w:pPr>
              <w:jc w:val="right"/>
              <w:ind w:right="14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240,388</w:t>
            </w:r>
          </w:p>
        </w:tc>
        <w:tc>
          <w:tcPr>
            <w:tcW w:w="4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263,464</w:t>
            </w:r>
          </w:p>
        </w:tc>
        <w:tc>
          <w:tcPr>
            <w:tcW w:w="140" w:type="dxa"/>
            <w:vAlign w:val="bottom"/>
            <w:shd w:val="clear" w:color="auto" w:fill="CFF0FC"/>
          </w:tcPr>
          <w:p>
            <w:pPr>
              <w:spacing w:after="0"/>
              <w:rPr>
                <w:sz w:val="21"/>
                <w:szCs w:val="21"/>
                <w:color w:val="auto"/>
              </w:rPr>
            </w:pPr>
          </w:p>
        </w:tc>
      </w:tr>
    </w:tbl>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GAAP to Non-GAAP Reconciliation</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(unaudited)</w:t>
      </w:r>
    </w:p>
    <w:p>
      <w:pPr>
        <w:ind w:left="5060"/>
        <w:spacing w:after="0"/>
        <w:rPr>
          <w:sz w:val="20"/>
          <w:szCs w:val="20"/>
          <w:color w:val="auto"/>
        </w:rPr>
      </w:pPr>
      <w:r>
        <w:rPr>
          <w:rFonts w:ascii="Arial" w:cs="Arial" w:eastAsia="Arial" w:hAnsi="Arial"/>
          <w:sz w:val="20"/>
          <w:szCs w:val="20"/>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March 31,</w:t>
            </w:r>
          </w:p>
        </w:tc>
        <w:tc>
          <w:tcPr>
            <w:tcW w:w="16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net loss, as reported</w:t>
            </w:r>
          </w:p>
        </w:tc>
        <w:tc>
          <w:tcPr>
            <w:tcW w:w="108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4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(30,184</w:t>
            </w:r>
          </w:p>
        </w:tc>
        <w:tc>
          <w:tcPr>
            <w:tcW w:w="4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72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1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6,351</w:t>
            </w: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Accretion of term loan discount and issuance costs</w:t>
            </w:r>
          </w:p>
        </w:tc>
        <w:tc>
          <w:tcPr>
            <w:tcW w:w="1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adjustments</w:t>
            </w:r>
          </w:p>
        </w:tc>
        <w:tc>
          <w:tcPr>
            <w:tcW w:w="108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6,412</w:t>
            </w:r>
          </w:p>
        </w:tc>
        <w:tc>
          <w:tcPr>
            <w:tcW w:w="4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5,501</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Non-GAAP net loss</w:t>
            </w:r>
          </w:p>
        </w:tc>
        <w:tc>
          <w:tcPr>
            <w:tcW w:w="2700" w:type="dxa"/>
            <w:vAlign w:val="bottom"/>
            <w:gridSpan w:val="2"/>
          </w:tcPr>
          <w:p>
            <w:pPr>
              <w:jc w:val="right"/>
              <w:ind w:right="14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90"/>
              <w:spacing w:after="0"/>
              <w:rPr>
                <w:sz w:val="20"/>
                <w:szCs w:val="20"/>
                <w:color w:val="auto"/>
              </w:rPr>
            </w:pPr>
            <w:r>
              <w:rPr>
                <w:rFonts w:ascii="Arial" w:cs="Arial" w:eastAsia="Arial" w:hAnsi="Arial"/>
                <w:sz w:val="18"/>
                <w:szCs w:val="18"/>
                <w:color w:val="auto"/>
              </w:rPr>
              <w:t>(23,772 )</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(19,032 )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80" w:type="dxa"/>
            <w:vAlign w:val="bottom"/>
            <w:vMerge w:val="restart"/>
          </w:tcPr>
          <w:p>
            <w:pPr>
              <w:jc w:val="right"/>
              <w:ind w:right="26"/>
              <w:spacing w:after="0"/>
              <w:rPr>
                <w:sz w:val="20"/>
                <w:szCs w:val="20"/>
                <w:color w:val="auto"/>
              </w:rPr>
            </w:pPr>
            <w:r>
              <w:rPr>
                <w:rFonts w:ascii="Arial" w:cs="Arial" w:eastAsia="Arial" w:hAnsi="Arial"/>
                <w:sz w:val="20"/>
                <w:szCs w:val="20"/>
                <w:color w:val="auto"/>
              </w:rPr>
              <w:t>4</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7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-624840</wp:posOffset>
            </wp:positionV>
            <wp:extent cx="9461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-624840</wp:posOffset>
            </wp:positionV>
            <wp:extent cx="8572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1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“Non-GAAP net loss” is not based on any standardized methodology prescribed by GAAP and represent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 ALX Oncology</w:t>
      </w:r>
    </w:p>
    <w:p>
      <w:pPr>
        <w:jc w:val="both"/>
        <w:ind w:right="9240" w:firstLine="8"/>
        <w:spacing w:after="0" w:line="297" w:lineRule="auto"/>
        <w:tabs>
          <w:tab w:leader="none" w:pos="478" w:val="left"/>
        </w:tabs>
        <w:numPr>
          <w:ilvl w:val="0"/>
          <w:numId w:val="6"/>
        </w:numPr>
        <w:rPr>
          <w:rFonts w:ascii="Arial" w:cs="Arial" w:eastAsia="Arial" w:hAnsi="Arial"/>
          <w:sz w:val="18"/>
          <w:szCs w:val="18"/>
          <w:color w:val="auto"/>
        </w:rPr>
      </w:pPr>
      <w:r>
        <w:rPr>
          <w:rFonts w:ascii="Arial" w:cs="Arial" w:eastAsia="Arial" w:hAnsi="Arial"/>
          <w:sz w:val="18"/>
          <w:szCs w:val="18"/>
          <w:color w:val="auto"/>
        </w:rPr>
        <w:t>466-7125 Ext. 113 peter@alxoncology.com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16" w:lineRule="exact"/>
        <w:rPr>
          <w:sz w:val="20"/>
          <w:szCs w:val="20"/>
          <w:color w:val="auto"/>
        </w:rPr>
      </w:pPr>
    </w:p>
    <w:p>
      <w:pPr>
        <w:ind w:right="8600" w:firstLine="8"/>
        <w:spacing w:after="0" w:line="297" w:lineRule="auto"/>
        <w:tabs>
          <w:tab w:leader="none" w:pos="478" w:val="left"/>
        </w:tabs>
        <w:numPr>
          <w:ilvl w:val="0"/>
          <w:numId w:val="7"/>
        </w:numPr>
        <w:rPr>
          <w:rFonts w:ascii="Arial" w:cs="Arial" w:eastAsia="Arial" w:hAnsi="Arial"/>
          <w:sz w:val="18"/>
          <w:szCs w:val="18"/>
          <w:color w:val="auto"/>
        </w:rPr>
      </w:pPr>
      <w:r>
        <w:rPr>
          <w:rFonts w:ascii="Arial" w:cs="Arial" w:eastAsia="Arial" w:hAnsi="Arial"/>
          <w:sz w:val="18"/>
          <w:szCs w:val="18"/>
          <w:color w:val="auto"/>
        </w:rPr>
        <w:t>600-1902 alxoncology@argotpartners.com</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MacDougall</w:t>
      </w:r>
    </w:p>
    <w:p>
      <w:pPr>
        <w:ind w:left="480" w:hanging="472"/>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235-3060</w:t>
      </w:r>
    </w:p>
    <w:p>
      <w:pPr>
        <w:spacing w:after="0"/>
        <w:rPr>
          <w:rFonts w:ascii="Arial" w:cs="Arial" w:eastAsia="Arial" w:hAnsi="Arial"/>
          <w:sz w:val="20"/>
          <w:szCs w:val="20"/>
          <w:color w:val="auto"/>
        </w:rPr>
      </w:pPr>
      <w:r>
        <w:rPr>
          <w:rFonts w:ascii="Arial" w:cs="Arial" w:eastAsia="Arial" w:hAnsi="Arial"/>
          <w:sz w:val="20"/>
          <w:szCs w:val="20"/>
          <w:color w:val="auto"/>
        </w:rPr>
        <w:t>alx@macbiocom.com</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650"/>
    </w:lvl>
  </w:abstractNum>
  <w:abstractNum w:abstractNumId="6">
    <w:nsid w:val="79E2A9E3"/>
    <w:multiLevelType w:val="hybridMultilevel"/>
    <w:lvl w:ilvl="0">
      <w:lvlJc w:val="left"/>
      <w:lvlText w:val="(%1)"/>
      <w:numFmt w:val="decimal"/>
      <w:start w:val="212"/>
    </w:lvl>
  </w:abstractNum>
  <w:abstractNum w:abstractNumId="7">
    <w:nsid w:val="7545E146"/>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2023-05-11T16:02:29Z</dcterms:created>
  <dcterms:modified xsi:type="dcterms:W3CDTF">2023-05-11T16:02:29Z</dcterms:modified>
</cp:coreProperties>
</file>