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Graham G. Walmsley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LOGOS GLOBAL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MANAGEMENT, LP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1 LETTERMAN DRIVE, BLDG D, SUITE D3-700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5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94129 FRANCISCO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2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60" w:type="dxa"/>
            <w:vAlign w:val="bottom"/>
          </w:tcPr>
          <w:p>
            <w:pPr>
              <w:ind w:left="80"/>
              <w:spacing w:after="0"/>
              <w:rPr>
                <w:sz w:val="20"/>
                <w:szCs w:val="20"/>
                <w:color w:val="auto"/>
              </w:rPr>
            </w:pPr>
            <w:r>
              <w:rPr>
                <w:rFonts w:ascii="Arial" w:cs="Arial" w:eastAsia="Arial" w:hAnsi="Arial"/>
                <w:sz w:val="20"/>
                <w:szCs w:val="20"/>
                <w:color w:val="0000FF"/>
              </w:rPr>
              <w:t>Series C Convertible Preferred</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ind w:left="180"/>
              <w:spacing w:after="0"/>
              <w:rPr>
                <w:sz w:val="20"/>
                <w:szCs w:val="20"/>
                <w:color w:val="auto"/>
              </w:rPr>
            </w:pPr>
            <w:r>
              <w:rPr>
                <w:rFonts w:ascii="Arial" w:cs="Arial" w:eastAsia="Arial" w:hAnsi="Arial"/>
                <w:sz w:val="20"/>
                <w:szCs w:val="20"/>
                <w:color w:val="0000FF"/>
                <w:w w:val="94"/>
              </w:rPr>
              <w:t>2,105,901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6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40" w:right="1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Logos Opportunities Fund I, L.P. (LOF I LP). As a managing member of Logos Opportunities GP, LLC, the general partner of LOF I LP, the reporting person shares voting and dispositive power with respect to the shares held of record by LOF I LP but disclaims beneficial ownership of such shares except to the extent of his individual pecuniary interest therein.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Graham Walmsley</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Graham Walmsley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77517"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2020-07-16T17:43:11Z</dcterms:created>
  <dcterms:modified xsi:type="dcterms:W3CDTF">2020-07-16T17:43:11Z</dcterms:modified>
</cp:coreProperties>
</file>