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lxo-20230331.htm"/>
      <w:bookmarkStart w:id="1" w:name="ksalxo20230331"/>
      <w:bookmarkEnd w:id="0"/>
      <w:bookmarkEnd w:id="1"/>
      <w:r>
        <w:rPr/>
        <w:t> </w:t>
      </w:r>
    </w:p>
    <w:p>
      <w:pPr>
        <w:pStyle w:val="TextBody"/>
        <w:bidi w:val="0"/>
        <w:spacing w:before="0" w:after="0"/>
        <w:jc w:val="center"/>
        <w:rPr/>
      </w:pPr>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30"/>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0"/>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7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QUARTERLY REPORT PURSUANT TO SECTION 13 OR 15(d) OF THE SECURITIES EXCHANGE ACT OF 1934</w:t>
            </w:r>
            <w:r>
              <w:rPr>
                <w:rFonts w:ascii="Times New Roman" w:hAnsi="Times New Roman"/>
                <w:sz w:val="16"/>
              </w:rPr>
              <w:t xml:space="preserve"> </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0"/>
              <w:ind w:left="0" w:right="0" w:hanging="0"/>
              <w:jc w:val="left"/>
              <w:rPr/>
            </w:pPr>
            <w:r>
              <w:rPr/>
              <w:t>☐</w:t>
            </w:r>
          </w:p>
        </w:tc>
        <w:tc>
          <w:tcPr>
            <w:tcW w:w="8716" w:type="dxa"/>
            <w:tcBorders/>
            <w:vAlign w:val="center"/>
          </w:tcPr>
          <w:p>
            <w:pPr>
              <w:pStyle w:val="TableContents"/>
              <w:bidi w:val="0"/>
              <w:spacing w:before="40" w:after="0"/>
              <w:ind w:left="0" w:right="0" w:hanging="0"/>
              <w:jc w:val="left"/>
              <w:rPr>
                <w:rFonts w:ascii="Times New Roman" w:hAnsi="Times New Roman"/>
                <w:sz w:val="16"/>
              </w:rPr>
            </w:pPr>
            <w:r>
              <w:rPr>
                <w:rFonts w:ascii="Times New Roman;serif" w:hAnsi="Times New Roman;serif"/>
                <w:b/>
                <w:sz w:val="16"/>
              </w:rPr>
              <w:t>TRANSITION REPORT PURSUANT TO SECTION 13 OR 15(d) OF THE SECURITIES EXCHANGE ACT OF 1934</w:t>
            </w:r>
            <w:r>
              <w:rPr>
                <w:rFonts w:ascii="Times New Roman" w:hAnsi="Times New Roman"/>
                <w:sz w:val="16"/>
              </w:rPr>
              <w:t xml:space="preserve"> </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40" w:after="0"/>
        <w:jc w:val="center"/>
        <w:rPr>
          <w:rFonts w:ascii="Times New Roman" w:hAnsi="Times New Roman"/>
          <w:sz w:val="20"/>
        </w:rPr>
      </w:pPr>
      <w:r>
        <w:rPr>
          <w:rFonts w:ascii="Times New Roman;serif" w:hAnsi="Times New Roman;serif"/>
          <w:b/>
          <w:sz w:val="20"/>
        </w:rPr>
        <w:t>Commission File Number 001-39386</w:t>
      </w:r>
      <w:r>
        <w:rPr>
          <w:rFonts w:ascii="Times New Roman" w:hAnsi="Times New Roman"/>
          <w:sz w:val="20"/>
        </w:rPr>
        <w:t xml:space="preserve"> </w:t>
      </w:r>
    </w:p>
    <w:p>
      <w:pPr>
        <w:pStyle w:val="TextBody"/>
        <w:bidi w:val="0"/>
        <w:spacing w:before="40" w:after="0"/>
        <w:jc w:val="center"/>
        <w:rPr>
          <w:rFonts w:ascii="Times New Roman;serif" w:hAnsi="Times New Roman;serif"/>
          <w:b/>
          <w:sz w:val="36"/>
        </w:rPr>
      </w:pPr>
      <w:r>
        <w:rPr>
          <w:rFonts w:ascii="Times New Roman;serif" w:hAnsi="Times New Roman;serif"/>
          <w:b/>
          <w:sz w:val="36"/>
        </w:rPr>
        <w:t>ALX ONCOLOGY HOLDINGS INC.</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85-0642577</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323 Allerton Avenue</w:t>
            </w:r>
          </w:p>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48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40" w:after="0"/>
        <w:jc w:val="center"/>
        <w:rPr>
          <w:rFonts w:ascii="Times New Roman;serif" w:hAnsi="Times New Roman;serif"/>
          <w:b/>
          <w:sz w:val="20"/>
        </w:rPr>
      </w:pPr>
      <w:r>
        <w:rPr>
          <w:rFonts w:ascii="Times New Roman;serif" w:hAnsi="Times New Roman;serif"/>
          <w:b/>
          <w:sz w:val="20"/>
        </w:rPr>
        <w:t>Registrant’s telephone number, including area code: 650-466-7125</w:t>
      </w:r>
    </w:p>
    <w:p>
      <w:pPr>
        <w:pStyle w:val="TextBody"/>
        <w:bidi w:val="0"/>
        <w:spacing w:before="40" w:after="0"/>
        <w:jc w:val="left"/>
        <w:rPr>
          <w:rFonts w:ascii="Times New Roman" w:hAnsi="Times New Roman"/>
          <w:sz w:val="20"/>
        </w:rPr>
      </w:pPr>
      <w:r>
        <w:rPr>
          <w:rFonts w:ascii="Times New Roman;serif" w:hAnsi="Times New Roman;serif"/>
          <w:b w:val="false"/>
          <w:sz w:val="16"/>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ALXO</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Global Select Market</w:t>
            </w:r>
          </w:p>
        </w:tc>
      </w:tr>
    </w:tbl>
    <w:p>
      <w:pPr>
        <w:pStyle w:val="TextBody"/>
        <w:bidi w:val="0"/>
        <w:spacing w:before="40" w:after="0"/>
        <w:jc w:val="left"/>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sz w:val="16"/>
        </w:rPr>
        <w:t>NO ☐</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6"/>
        </w:rPr>
        <w:t>As of May 4, 2023, the registrant had 40,869,135</w:t>
      </w:r>
      <w:r>
        <w:rPr>
          <w:rFonts w:ascii="Times New Roman" w:hAnsi="Times New Roman"/>
          <w:sz w:val="20"/>
        </w:rPr>
        <w:t xml:space="preserve"> </w:t>
      </w:r>
      <w:r>
        <w:rPr>
          <w:rFonts w:ascii="Times New Roman;serif" w:hAnsi="Times New Roman;serif"/>
          <w:b w:val="false"/>
          <w:sz w:val="16"/>
        </w:rPr>
        <w:t>shares of common stock outstanding, $0.001 par value per share.</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sufficiency of our existing cash to fund our future operating expenses and capital expenditure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accuracy of our estimates regarding expenses, future revenue, capital requirements, and needs for additional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relating to commercializing our product candidates, if approved, including the geographic areas of focus and our ability to grow a sales team;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strategic plans for our business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reliance on third parties to conduct preclinical research activities, and for the manufacture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beneficial characteristics, safety, efficacy and therapeutic effects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progress and focus of our current and future clinical trials, and the reporting of data from those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advance product candidates into and successfully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our clinical trials to demonstrate the safety and efficacy of our product candidates, and other positive results;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competing therapies that are or may become available;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relating to our competitors and our industry, including competing product candidates and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relating to the further development and manufacturing of our product candidates, including additional indications that we may pursue;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existing regulations and regulatory developments in the United States and other jurisdictions;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potential and ability to successfully manufacture and supply our product candidates for clinical trials and for commercial use,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continued reliance on third parties to conduct clinical trials of our product candidates, and for the manufacture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and ability to obtain or protect intellectual property rights, including extensions of existing patent terms where available;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are able to establish and maintain for intellectual property rights, including our technology platform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the continued service of our key personnel and to identify, hire, and then retain additional qualified personnel;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rising interest rates, bank failures or instability in the financial services sector, or geopolitical risks on our business;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for and prospects of our acquisitions and other business development activities, and our ability to successfully capitalize on these opportunities;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anticipated use of our existing cash and cash equivalents, short-term and long-term investments, and the funds available from our term loan.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oc_page"/>
      <w:bookmarkEnd w:id="2"/>
      <w:r>
        <w:rPr>
          <w:rFonts w:ascii="Times New Roman;serif" w:hAnsi="Times New Roman;serif"/>
          <w:b/>
          <w:sz w:val="20"/>
        </w:rPr>
        <w:t>Table of Contents</w:t>
      </w:r>
    </w:p>
    <w:p>
      <w:pPr>
        <w:pStyle w:val="TextBody"/>
        <w:bidi w:val="0"/>
        <w:spacing w:before="0" w:after="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1">
              <w:r>
                <w:rPr>
                  <w:rStyle w:val="InternetLink"/>
                  <w:rFonts w:ascii="Times New Roman;serif" w:hAnsi="Times New Roman;serif"/>
                  <w:b w:val="false"/>
                  <w:sz w:val="20"/>
                  <w:u w:val="single"/>
                </w:rPr>
                <w:t>FINANCIAL INFORMATION</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f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bs">
              <w:r>
                <w:rPr>
                  <w:rStyle w:val="InternetLink"/>
                  <w:rFonts w:ascii="Times New Roman;serif" w:hAnsi="Times New Roman;serif"/>
                  <w:b w:val="false"/>
                  <w:sz w:val="20"/>
                  <w:u w:val="single"/>
                </w:rPr>
                <w:t>Condensed Consolidated Balance Sheets</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is">
              <w:r>
                <w:rPr>
                  <w:rStyle w:val="InternetLink"/>
                  <w:rFonts w:ascii="Times New Roman;serif" w:hAnsi="Times New Roman;serif"/>
                  <w:b w:val="false"/>
                  <w:sz w:val="20"/>
                  <w:u w:val="single"/>
                </w:rPr>
                <w:t>Condensed Consolidated Statements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cl">
              <w:r>
                <w:rPr>
                  <w:rStyle w:val="InternetLink"/>
                  <w:rFonts w:ascii="Times New Roman;serif" w:hAnsi="Times New Roman;serif"/>
                  <w:b w:val="false"/>
                  <w:sz w:val="20"/>
                  <w:u w:val="single"/>
                </w:rPr>
                <w:t>Condensed Consolidated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se">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cf">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1_notes">
              <w:r>
                <w:rPr>
                  <w:rStyle w:val="InternetLink"/>
                  <w:rFonts w:ascii="Times New Roman;serif" w:hAnsi="Times New Roman;serif"/>
                  <w:b w:val="false"/>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2_mda">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3_risk">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27</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1_item4_controls">
              <w:r>
                <w:rPr>
                  <w:rStyle w:val="InternetLink"/>
                  <w:rFonts w:ascii="Times New Roman;serif" w:hAnsi="Times New Roman;serif"/>
                  <w:b w:val="false"/>
                  <w:sz w:val="20"/>
                  <w:u w:val="single"/>
                </w:rPr>
                <w:t>Controls and Procedures</w:t>
              </w:r>
            </w:hyperlink>
            <w:hyperlink w:anchor="part1_item4_controls">
              <w:r>
                <w:rPr>
                  <w:rStyle w:val="InternetLink"/>
                  <w:rFonts w:ascii="Times New Roman" w:hAnsi="Times New Roman"/>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2">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1_legal">
              <w:r>
                <w:rPr>
                  <w:rStyle w:val="InternetLink"/>
                  <w:rFonts w:ascii="Times New Roman;serif" w:hAnsi="Times New Roman;serif"/>
                  <w:b w:val="false"/>
                  <w:sz w:val="20"/>
                  <w:u w:val="single"/>
                </w:rPr>
                <w:t>Legal Proceedings</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1a_rf">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29</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2_unreg">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76</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3_defaults">
              <w:r>
                <w:rPr>
                  <w:rStyle w:val="InternetLink"/>
                  <w:rFonts w:ascii="Times New Roman;serif" w:hAnsi="Times New Roman;serif"/>
                  <w:b w:val="false"/>
                  <w:sz w:val="20"/>
                  <w:u w:val="single"/>
                </w:rPr>
                <w:t>Defaults Upon Senior Securities</w:t>
              </w:r>
            </w:hyperlink>
            <w:hyperlink w:anchor="part2_item3_defaults">
              <w:r>
                <w:rPr>
                  <w:rStyle w:val="InternetLink"/>
                  <w:rFonts w:ascii="Times New Roman" w:hAnsi="Times New Roman"/>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76</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4_mine">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76</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5_other">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76</w:t>
            </w:r>
          </w:p>
        </w:tc>
      </w:tr>
      <w:tr>
        <w:trPr/>
        <w:tc>
          <w:tcPr>
            <w:tcW w:w="84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2_item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1"/>
      <w:bookmarkEnd w:id="3"/>
      <w:r>
        <w:rPr>
          <w:rFonts w:ascii="Times New Roman;serif" w:hAnsi="Times New Roman;serif"/>
          <w:b/>
          <w:sz w:val="20"/>
        </w:rPr>
        <w:t>PART I — FINANCIAL INFORMATION</w:t>
      </w:r>
    </w:p>
    <w:p>
      <w:pPr>
        <w:pStyle w:val="TextBody"/>
        <w:bidi w:val="0"/>
        <w:spacing w:before="0" w:after="0"/>
        <w:jc w:val="left"/>
        <w:rPr>
          <w:rFonts w:ascii="Times New Roman;serif" w:hAnsi="Times New Roman;serif"/>
          <w:b/>
          <w:sz w:val="20"/>
        </w:rPr>
      </w:pPr>
      <w:bookmarkStart w:id="4" w:name="part1_item1_fs"/>
      <w:bookmarkEnd w:id="4"/>
      <w:r>
        <w:rPr>
          <w:rFonts w:ascii="Times New Roman;serif" w:hAnsi="Times New Roman;serif"/>
          <w:b/>
          <w:sz w:val="20"/>
        </w:rPr>
        <w:t>Item 1.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5" w:name="part1_item1_bs"/>
      <w:bookmarkEnd w:id="5"/>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p>
      <w:pPr>
        <w:pStyle w:val="TextBody"/>
        <w:bidi w:val="0"/>
        <w:spacing w:before="0" w:after="0"/>
        <w:jc w:val="left"/>
        <w:rPr/>
      </w:pPr>
      <w:r>
        <w:rPr/>
        <w:t> </w:t>
      </w:r>
    </w:p>
    <w:tbl>
      <w:tblPr>
        <w:tblW w:w="8977" w:type="dxa"/>
        <w:jc w:val="left"/>
        <w:tblInd w:w="0" w:type="dxa"/>
        <w:tblLayout w:type="fixed"/>
        <w:tblCellMar>
          <w:top w:w="28" w:type="dxa"/>
          <w:left w:w="28" w:type="dxa"/>
          <w:bottom w:w="28" w:type="dxa"/>
          <w:right w:w="28" w:type="dxa"/>
        </w:tblCellMar>
      </w:tblPr>
      <w:tblGrid>
        <w:gridCol w:w="5596"/>
        <w:gridCol w:w="146"/>
        <w:gridCol w:w="211"/>
        <w:gridCol w:w="841"/>
        <w:gridCol w:w="166"/>
        <w:gridCol w:w="146"/>
        <w:gridCol w:w="252"/>
        <w:gridCol w:w="1008"/>
        <w:gridCol w:w="61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48,822</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217,385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270,969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306,489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8,073</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Payable and accrued liabilities due to related party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28,325</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non-current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9,389</w:t>
            </w:r>
          </w:p>
        </w:tc>
        <w:tc>
          <w:tcPr>
            <w:tcW w:w="61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9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 xml:space="preserve">shares authorized </w:t>
              <w:br/>
              <w:t>     as of March 31, 2023 and December 31, 2022; 40,863,049</w:t>
            </w:r>
            <w:r>
              <w:rPr>
                <w:rFonts w:ascii="Times New Roman" w:hAnsi="Times New Roman"/>
                <w:sz w:val="20"/>
              </w:rPr>
              <w:t> </w:t>
            </w:r>
            <w:r>
              <w:rPr>
                <w:rFonts w:ascii="Times New Roman;serif" w:hAnsi="Times New Roman;serif"/>
                <w:b w:val="false"/>
                <w:sz w:val="20"/>
              </w:rPr>
              <w:t xml:space="preserve">and </w:t>
              <w:br/>
              <w:t>     40,861,386</w:t>
            </w:r>
            <w:r>
              <w:rPr>
                <w:rFonts w:ascii="Times New Roman" w:hAnsi="Times New Roman"/>
                <w:sz w:val="20"/>
              </w:rPr>
              <w:t> </w:t>
            </w:r>
            <w:r>
              <w:rPr>
                <w:rFonts w:ascii="Times New Roman;serif" w:hAnsi="Times New Roman;serif"/>
                <w:b w:val="false"/>
                <w:sz w:val="20"/>
              </w:rPr>
              <w:t>shares issued and outstanding as of March 31, 2023</w:t>
              <w:br/>
              <w:t>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589,735</w:t>
            </w:r>
          </w:p>
        </w:tc>
        <w:tc>
          <w:tcPr>
            <w:tcW w:w="611" w:type="dxa"/>
            <w:tcBorders/>
            <w:vAlign w:val="center"/>
          </w:tcPr>
          <w:p>
            <w:pPr>
              <w:pStyle w:val="TableContents"/>
              <w:bidi w:val="0"/>
              <w:spacing w:before="0" w:after="0"/>
              <w:ind w:left="0" w:right="0" w:firstLine="200"/>
              <w:jc w:val="left"/>
              <w:rPr/>
            </w:pPr>
            <w:r>
              <w:rPr/>
              <w:t> </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(325,467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240,388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263,464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306,489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6" w:name="part1_item1_is"/>
      <w:bookmarkEnd w:id="6"/>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amounts)</w:t>
      </w:r>
    </w:p>
    <w:p>
      <w:pPr>
        <w:pStyle w:val="TextBody"/>
        <w:bidi w:val="0"/>
        <w:spacing w:before="0" w:after="0"/>
        <w:jc w:val="left"/>
        <w:rPr/>
      </w:pPr>
      <w:r>
        <w:rPr/>
        <w:t> </w:t>
      </w:r>
    </w:p>
    <w:tbl>
      <w:tblPr>
        <w:tblW w:w="8509" w:type="dxa"/>
        <w:jc w:val="left"/>
        <w:tblInd w:w="0" w:type="dxa"/>
        <w:tblLayout w:type="fixed"/>
        <w:tblCellMar>
          <w:top w:w="28" w:type="dxa"/>
          <w:left w:w="28" w:type="dxa"/>
          <w:bottom w:w="28" w:type="dxa"/>
          <w:right w:w="28" w:type="dxa"/>
        </w:tblCellMar>
      </w:tblPr>
      <w:tblGrid>
        <w:gridCol w:w="4966"/>
        <w:gridCol w:w="146"/>
        <w:gridCol w:w="211"/>
        <w:gridCol w:w="1036"/>
        <w:gridCol w:w="166"/>
        <w:gridCol w:w="146"/>
        <w:gridCol w:w="211"/>
        <w:gridCol w:w="1036"/>
        <w:gridCol w:w="5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591" w:type="dxa"/>
            <w:tcBorders/>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9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17,073</w:t>
            </w:r>
          </w:p>
        </w:tc>
        <w:tc>
          <w:tcPr>
            <w:tcW w:w="591" w:type="dxa"/>
            <w:tcBorders/>
            <w:vAlign w:val="center"/>
          </w:tcPr>
          <w:p>
            <w:pPr>
              <w:pStyle w:val="TableContents"/>
              <w:bidi w:val="0"/>
              <w:spacing w:before="0" w:after="0"/>
              <w:ind w:left="0" w:right="0" w:firstLine="200"/>
              <w:jc w:val="left"/>
              <w:rPr/>
            </w:pPr>
            <w:r>
              <w:rPr/>
              <w:t> </w:t>
            </w:r>
          </w:p>
        </w:tc>
      </w:tr>
      <w:tr>
        <w:trPr/>
        <w:tc>
          <w:tcPr>
            <w:tcW w:w="49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9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591" w:type="dxa"/>
            <w:tcBorders/>
            <w:vAlign w:val="center"/>
          </w:tcPr>
          <w:p>
            <w:pPr>
              <w:pStyle w:val="TableContents"/>
              <w:bidi w:val="0"/>
              <w:spacing w:before="0" w:after="0"/>
              <w:ind w:left="0" w:right="0" w:firstLine="200"/>
              <w:jc w:val="left"/>
              <w:rPr/>
            </w:pPr>
            <w:r>
              <w:rPr/>
              <w:t> </w:t>
            </w:r>
          </w:p>
        </w:tc>
      </w:tr>
      <w:tr>
        <w:trPr/>
        <w:tc>
          <w:tcPr>
            <w:tcW w:w="49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(30,184</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(24,533</w:t>
            </w:r>
          </w:p>
        </w:tc>
        <w:tc>
          <w:tcPr>
            <w:tcW w:w="5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 used to compute</w:t>
              <w:br/>
              <w:t>    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40,862,513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40,616,302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7" w:name="part1_item1_cl"/>
      <w:bookmarkEnd w:id="7"/>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jc w:val="center"/>
        <w:rPr/>
      </w:pPr>
      <w:r>
        <w:rPr/>
        <w:t> </w:t>
      </w:r>
    </w:p>
    <w:tbl>
      <w:tblPr>
        <w:tblW w:w="7364" w:type="dxa"/>
        <w:jc w:val="left"/>
        <w:tblInd w:w="0" w:type="dxa"/>
        <w:tblLayout w:type="fixed"/>
        <w:tblCellMar>
          <w:top w:w="28" w:type="dxa"/>
          <w:left w:w="28" w:type="dxa"/>
          <w:bottom w:w="28" w:type="dxa"/>
          <w:right w:w="28" w:type="dxa"/>
        </w:tblCellMar>
      </w:tblPr>
      <w:tblGrid>
        <w:gridCol w:w="4621"/>
        <w:gridCol w:w="146"/>
        <w:gridCol w:w="211"/>
        <w:gridCol w:w="736"/>
        <w:gridCol w:w="166"/>
        <w:gridCol w:w="146"/>
        <w:gridCol w:w="211"/>
        <w:gridCol w:w="736"/>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 net of tax:</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6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 w:hAnsi="Times New Roman"/>
          <w:sz w:val="20"/>
        </w:rPr>
      </w:pPr>
      <w:bookmarkStart w:id="8" w:name="part1_item1_se"/>
      <w:bookmarkEnd w:id="8"/>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74"/>
        <w:gridCol w:w="146"/>
        <w:gridCol w:w="146"/>
        <w:gridCol w:w="916"/>
        <w:gridCol w:w="146"/>
        <w:gridCol w:w="146"/>
        <w:gridCol w:w="249"/>
        <w:gridCol w:w="442"/>
        <w:gridCol w:w="146"/>
        <w:gridCol w:w="146"/>
        <w:gridCol w:w="196"/>
        <w:gridCol w:w="691"/>
        <w:gridCol w:w="146"/>
        <w:gridCol w:w="146"/>
        <w:gridCol w:w="316"/>
        <w:gridCol w:w="705"/>
        <w:gridCol w:w="166"/>
        <w:gridCol w:w="146"/>
        <w:gridCol w:w="217"/>
        <w:gridCol w:w="834"/>
        <w:gridCol w:w="166"/>
        <w:gridCol w:w="146"/>
        <w:gridCol w:w="238"/>
        <w:gridCol w:w="843"/>
        <w:gridCol w:w="392"/>
      </w:tblGrid>
      <w:tr>
        <w:trPr/>
        <w:tc>
          <w:tcPr>
            <w:tcW w:w="2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392" w:type="dxa"/>
            <w:tcBorders/>
            <w:vAlign w:val="center"/>
          </w:tcPr>
          <w:p>
            <w:pPr>
              <w:pStyle w:val="TableContents"/>
              <w:bidi w:val="0"/>
              <w:spacing w:before="0" w:after="0"/>
              <w:ind w:left="0" w:right="0" w:hanging="0"/>
              <w:jc w:val="center"/>
              <w:rPr/>
            </w:pPr>
            <w:r>
              <w:rPr/>
              <w:t> </w:t>
            </w:r>
          </w:p>
        </w:tc>
      </w:tr>
      <w:tr>
        <w:trPr/>
        <w:tc>
          <w:tcPr>
            <w:tcW w:w="23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40,861,386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263,464</w:t>
            </w:r>
          </w:p>
        </w:tc>
        <w:tc>
          <w:tcPr>
            <w:tcW w:w="392" w:type="dxa"/>
            <w:tcBorders/>
            <w:vAlign w:val="center"/>
          </w:tcPr>
          <w:p>
            <w:pPr>
              <w:pStyle w:val="TableContents"/>
              <w:bidi w:val="0"/>
              <w:spacing w:before="0" w:after="0"/>
              <w:ind w:left="0" w:right="0" w:firstLine="200"/>
              <w:jc w:val="left"/>
              <w:rPr/>
            </w:pPr>
            <w:r>
              <w:rPr/>
              <w:t> </w:t>
            </w:r>
          </w:p>
        </w:tc>
      </w:tr>
      <w:tr>
        <w:trPr/>
        <w:tc>
          <w:tcPr>
            <w:tcW w:w="237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firstLine="200"/>
              <w:jc w:val="left"/>
              <w:rPr/>
            </w:pPr>
            <w:r>
              <w:rPr/>
              <w:t> </w:t>
            </w:r>
          </w:p>
        </w:tc>
      </w:tr>
      <w:tr>
        <w:trPr/>
        <w:tc>
          <w:tcPr>
            <w:tcW w:w="237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6,351</w:t>
            </w:r>
          </w:p>
        </w:tc>
        <w:tc>
          <w:tcPr>
            <w:tcW w:w="392" w:type="dxa"/>
            <w:tcBorders/>
            <w:vAlign w:val="center"/>
          </w:tcPr>
          <w:p>
            <w:pPr>
              <w:pStyle w:val="TableContents"/>
              <w:bidi w:val="0"/>
              <w:spacing w:before="0" w:after="0"/>
              <w:ind w:left="0" w:right="0" w:firstLine="200"/>
              <w:jc w:val="left"/>
              <w:rPr/>
            </w:pPr>
            <w:r>
              <w:rPr/>
              <w:t> </w:t>
            </w:r>
          </w:p>
        </w:tc>
      </w:tr>
      <w:tr>
        <w:trPr/>
        <w:tc>
          <w:tcPr>
            <w:tcW w:w="237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gain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757</w:t>
            </w:r>
          </w:p>
        </w:tc>
        <w:tc>
          <w:tcPr>
            <w:tcW w:w="392" w:type="dxa"/>
            <w:tcBorders/>
            <w:vAlign w:val="center"/>
          </w:tcPr>
          <w:p>
            <w:pPr>
              <w:pStyle w:val="TableContents"/>
              <w:bidi w:val="0"/>
              <w:spacing w:before="0" w:after="0"/>
              <w:ind w:left="0" w:right="0" w:firstLine="200"/>
              <w:jc w:val="left"/>
              <w:rPr/>
            </w:pPr>
            <w:r>
              <w:rPr/>
              <w:t> </w:t>
            </w:r>
          </w:p>
        </w:tc>
      </w:tr>
      <w:tr>
        <w:trPr/>
        <w:tc>
          <w:tcPr>
            <w:tcW w:w="237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(30,184</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40,863,049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596,086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(355,651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240,388</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53"/>
        <w:gridCol w:w="146"/>
        <w:gridCol w:w="146"/>
        <w:gridCol w:w="916"/>
        <w:gridCol w:w="146"/>
        <w:gridCol w:w="146"/>
        <w:gridCol w:w="249"/>
        <w:gridCol w:w="442"/>
        <w:gridCol w:w="146"/>
        <w:gridCol w:w="146"/>
        <w:gridCol w:w="196"/>
        <w:gridCol w:w="691"/>
        <w:gridCol w:w="146"/>
        <w:gridCol w:w="146"/>
        <w:gridCol w:w="316"/>
        <w:gridCol w:w="705"/>
        <w:gridCol w:w="166"/>
        <w:gridCol w:w="146"/>
        <w:gridCol w:w="217"/>
        <w:gridCol w:w="834"/>
        <w:gridCol w:w="166"/>
        <w:gridCol w:w="146"/>
        <w:gridCol w:w="238"/>
        <w:gridCol w:w="843"/>
        <w:gridCol w:w="4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3" w:type="dxa"/>
            <w:tcBorders/>
            <w:vAlign w:val="center"/>
          </w:tcPr>
          <w:p>
            <w:pPr>
              <w:pStyle w:val="TableContents"/>
              <w:bidi w:val="0"/>
              <w:spacing w:before="0" w:after="0"/>
              <w:ind w:left="0" w:right="0" w:hanging="0"/>
              <w:jc w:val="center"/>
              <w:rPr/>
            </w:pPr>
            <w:r>
              <w:rPr/>
              <w:t> </w:t>
            </w:r>
          </w:p>
        </w:tc>
      </w:tr>
      <w:tr>
        <w:trPr/>
        <w:tc>
          <w:tcPr>
            <w:tcW w:w="235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40,587,067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(201,985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363,049</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 under</w:t>
              <w:br/>
              <w:t>   equity incentive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5,501</w:t>
            </w:r>
          </w:p>
        </w:tc>
        <w:tc>
          <w:tcPr>
            <w:tcW w:w="413" w:type="dxa"/>
            <w:tcBorders/>
            <w:vAlign w:val="center"/>
          </w:tcPr>
          <w:p>
            <w:pPr>
              <w:pStyle w:val="TableContents"/>
              <w:bidi w:val="0"/>
              <w:spacing w:before="0" w:after="0"/>
              <w:ind w:left="0" w:right="0" w:firstLine="200"/>
              <w:jc w:val="left"/>
              <w:rPr/>
            </w:pPr>
            <w:r>
              <w:rPr/>
              <w:t> </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 on available-for-sale</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(24,533</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40,656,632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570,679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(226,518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343,596</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9" w:name="part1_item1_c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jc w:val="left"/>
        <w:rPr/>
      </w:pPr>
      <w:r>
        <w:rPr/>
        <w:t> </w:t>
      </w:r>
    </w:p>
    <w:tbl>
      <w:tblPr>
        <w:tblW w:w="8714" w:type="dxa"/>
        <w:jc w:val="left"/>
        <w:tblInd w:w="0" w:type="dxa"/>
        <w:tblLayout w:type="fixed"/>
        <w:tblCellMar>
          <w:top w:w="28" w:type="dxa"/>
          <w:left w:w="28" w:type="dxa"/>
          <w:bottom w:w="28" w:type="dxa"/>
          <w:right w:w="28" w:type="dxa"/>
        </w:tblCellMar>
      </w:tblPr>
      <w:tblGrid>
        <w:gridCol w:w="5611"/>
        <w:gridCol w:w="146"/>
        <w:gridCol w:w="196"/>
        <w:gridCol w:w="691"/>
        <w:gridCol w:w="166"/>
        <w:gridCol w:w="146"/>
        <w:gridCol w:w="196"/>
        <w:gridCol w:w="751"/>
        <w:gridCol w:w="8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811" w:type="dxa"/>
            <w:tcBorders/>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(24,533</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lease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5,501</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amortization of premiums and accretion of discounts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term loan discount and issuance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(1,577</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(317</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1,553</w:t>
            </w:r>
          </w:p>
        </w:tc>
        <w:tc>
          <w:tcPr>
            <w:tcW w:w="811" w:type="dxa"/>
            <w:tcBorders/>
            <w:vAlign w:val="center"/>
          </w:tcPr>
          <w:p>
            <w:pPr>
              <w:pStyle w:val="TableContents"/>
              <w:bidi w:val="0"/>
              <w:spacing w:before="0" w:after="0"/>
              <w:ind w:left="0" w:right="0" w:firstLine="400"/>
              <w:jc w:val="left"/>
              <w:rPr/>
            </w:pPr>
            <w:r>
              <w:rPr/>
              <w:t> </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Payable and accrued liabilities due to related party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(27,816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(20,674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(183,332</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Maturities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42,295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(183,921</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exercise of stock options under equity incentive plan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Principal payments on finance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(204,515</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beginning of year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363,667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159,152</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 in 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Right-of-use asset acquired under operating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3,419</w:t>
            </w:r>
          </w:p>
        </w:tc>
        <w:tc>
          <w:tcPr>
            <w:tcW w:w="81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Reconciliation of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159,086</w:t>
            </w:r>
          </w:p>
        </w:tc>
        <w:tc>
          <w:tcPr>
            <w:tcW w:w="811" w:type="dxa"/>
            <w:tcBorders/>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Restricted cash (included in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159,152</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See accompanying notes to these condensed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ALX ONCOLOGY HOLDINGS INC.</w:t>
      </w:r>
    </w:p>
    <w:p>
      <w:pPr>
        <w:pStyle w:val="TextBody"/>
        <w:bidi w:val="0"/>
        <w:spacing w:before="0" w:after="0"/>
        <w:jc w:val="center"/>
        <w:rPr>
          <w:rFonts w:ascii="Times New Roman;serif" w:hAnsi="Times New Roman;serif"/>
          <w:b/>
          <w:sz w:val="20"/>
        </w:rPr>
      </w:pPr>
      <w:bookmarkStart w:id="10" w:name="part1_item1_notes"/>
      <w:bookmarkEnd w:id="10"/>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240" w:after="0"/>
        <w:jc w:val="left"/>
        <w:rPr>
          <w:rFonts w:ascii="Times New Roman;serif" w:hAnsi="Times New Roman;serif"/>
          <w:b/>
          <w:sz w:val="20"/>
        </w:rPr>
      </w:pPr>
      <w:r>
        <w:rPr>
          <w:rFonts w:ascii="Times New Roman;serif" w:hAnsi="Times New Roman;serif"/>
          <w:b/>
          <w:sz w:val="20"/>
        </w:rPr>
        <w:t>(1) ORGANIZATION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Organization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ALX Oncology Holdings Inc., or the Company, was formed as a Delaware corporation on April 1, 2020, or date of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subsidiaries include: ALX Oncology Limited, incorporated in Ireland, and a wholly-owned subsidiary of ALX Oncology Holdings Inc.; ALX Oncology Inc., incorporated in Delaware, and a wholly-owned subsidiary of ALX Oncology Limited; and Alexo International Holdings Limited, incorporated in Malta, and a wholly-owned subsidiary of ALX Oncology Inc. (collectively, the Subsidiaries).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March 31, 2023,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twelve months after the filing date.</w:t>
      </w:r>
    </w:p>
    <w:p>
      <w:pPr>
        <w:pStyle w:val="TextBody"/>
        <w:bidi w:val="0"/>
        <w:spacing w:before="240" w:after="0"/>
        <w:jc w:val="left"/>
        <w:rPr>
          <w:rFonts w:ascii="Times New Roman;serif" w:hAnsi="Times New Roman;serif"/>
          <w:b/>
          <w:sz w:val="20"/>
        </w:rPr>
      </w:pPr>
      <w:r>
        <w:rPr>
          <w:rFonts w:ascii="Times New Roman;serif" w:hAnsi="Times New Roman;serif"/>
          <w:b/>
          <w:sz w:val="20"/>
        </w:rPr>
        <w:t>(2)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Preparation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2022 filed with the SEC on March 9,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condensed consolidated balance sheet as of March 31, 2023 included herein was derived from the audited financial statements as of that date, but does not include all disclosures including notes required by U.S. GAAP.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amounts in the prior period have been reclassified to conform to the current period presentation.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intercompany balances and transactions have been eliminated in consolidation.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or material changes to the significant accounting policies discussed in the Company’s Annual Report on Form 10-K for the year ended December 31, 2022.</w:t>
      </w:r>
    </w:p>
    <w:p>
      <w:pPr>
        <w:pStyle w:val="TextBody"/>
        <w:bidi w:val="0"/>
        <w:spacing w:before="120" w:after="0"/>
        <w:jc w:val="left"/>
        <w:rPr>
          <w:rFonts w:ascii="Times New Roman" w:hAnsi="Times New Roman"/>
          <w:sz w:val="20"/>
        </w:rPr>
      </w:pPr>
      <w:r>
        <w:rPr>
          <w:rFonts w:ascii="Times New Roman;serif" w:hAnsi="Times New Roman;serif"/>
          <w:b/>
          <w:i/>
          <w:sz w:val="20"/>
        </w:rPr>
        <w:t>Recent</w:t>
      </w:r>
      <w:r>
        <w:rPr>
          <w:rFonts w:ascii="Times New Roman" w:hAnsi="Times New Roman"/>
          <w:sz w:val="20"/>
        </w:rPr>
        <w:t xml:space="preserve"> </w:t>
      </w:r>
      <w:r>
        <w:rPr>
          <w:rFonts w:ascii="Times New Roman;serif" w:hAnsi="Times New Roman;serif"/>
          <w:b/>
          <w:i/>
          <w:sz w:val="20"/>
        </w:rPr>
        <w:t>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r>
        <w:rPr>
          <w:rFonts w:ascii="Times New Roman;serif" w:hAnsi="Times New Roman;serif"/>
          <w:b/>
          <w:sz w:val="20"/>
        </w:rPr>
        <w:t>(3) FAIR VALUE OF FINANCIAL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1—Observable inputs, such as quoted prices in active markets;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3—Unobservable inputs in which there is little or no market data, which require the reporting entity to develop its own assumptions.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Assets and liabilities measured at fair value are classified in their entirety based on the lowest level of input that is significant to the fair value measurement. 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Company’s investments, which consist of cash equivalents and investments classified as available-for-sale investments, that are measured at fair value on a recurring basis by level within the fair value hierarchy as of March 31, 2023 and December 31, 2022 (in thousands):</w:t>
      </w:r>
    </w:p>
    <w:tbl>
      <w:tblPr>
        <w:tblW w:w="10205" w:type="dxa"/>
        <w:jc w:val="left"/>
        <w:tblInd w:w="0" w:type="dxa"/>
        <w:tblLayout w:type="fixed"/>
        <w:tblCellMar>
          <w:top w:w="28" w:type="dxa"/>
          <w:left w:w="28" w:type="dxa"/>
          <w:bottom w:w="28" w:type="dxa"/>
          <w:right w:w="28" w:type="dxa"/>
        </w:tblCellMar>
      </w:tblPr>
      <w:tblGrid>
        <w:gridCol w:w="2416"/>
        <w:gridCol w:w="146"/>
        <w:gridCol w:w="1012"/>
        <w:gridCol w:w="146"/>
        <w:gridCol w:w="275"/>
        <w:gridCol w:w="1028"/>
        <w:gridCol w:w="146"/>
        <w:gridCol w:w="146"/>
        <w:gridCol w:w="472"/>
        <w:gridCol w:w="946"/>
        <w:gridCol w:w="146"/>
        <w:gridCol w:w="146"/>
        <w:gridCol w:w="444"/>
        <w:gridCol w:w="1017"/>
        <w:gridCol w:w="166"/>
        <w:gridCol w:w="146"/>
        <w:gridCol w:w="215"/>
        <w:gridCol w:w="796"/>
        <w:gridCol w:w="39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47"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br/>
              <w:t>Hierarchy</w:t>
              <w:b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59,300</w:t>
            </w:r>
          </w:p>
        </w:tc>
        <w:tc>
          <w:tcPr>
            <w:tcW w:w="396"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64,433</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29,220</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28,925</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37,185</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4,987</w:t>
            </w:r>
          </w:p>
        </w:tc>
        <w:tc>
          <w:tcPr>
            <w:tcW w:w="396"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18,490</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8,209</w:t>
            </w:r>
          </w:p>
        </w:tc>
        <w:tc>
          <w:tcPr>
            <w:tcW w:w="396"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252,358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252,270</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2416"/>
        <w:gridCol w:w="146"/>
        <w:gridCol w:w="1012"/>
        <w:gridCol w:w="146"/>
        <w:gridCol w:w="275"/>
        <w:gridCol w:w="1028"/>
        <w:gridCol w:w="146"/>
        <w:gridCol w:w="146"/>
        <w:gridCol w:w="537"/>
        <w:gridCol w:w="882"/>
        <w:gridCol w:w="146"/>
        <w:gridCol w:w="146"/>
        <w:gridCol w:w="444"/>
        <w:gridCol w:w="1017"/>
        <w:gridCol w:w="166"/>
        <w:gridCol w:w="146"/>
        <w:gridCol w:w="215"/>
        <w:gridCol w:w="796"/>
        <w:gridCol w:w="395"/>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48"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41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br/>
              <w:t>Hierarchy</w:t>
              <w:b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36,690</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72,623</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16,263</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55,951</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62,087</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10,461</w:t>
            </w:r>
          </w:p>
        </w:tc>
        <w:tc>
          <w:tcPr>
            <w:tcW w:w="395"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1"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9,745</w:t>
            </w:r>
          </w:p>
        </w:tc>
        <w:tc>
          <w:tcPr>
            <w:tcW w:w="395"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275,103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fair value of cash equivalents and available-for-sale investments by classification included in the condensed consolidated balance sheets was as follows as of March 31, 2023 and December 31, 2022 (in thousands):</w:t>
      </w:r>
    </w:p>
    <w:tbl>
      <w:tblPr>
        <w:tblW w:w="5147"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68"/>
        <w:gridCol w:w="992"/>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40,174</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217,385</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Cash and cash equivalents in the above table excludes bank account cash of $3.9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$8.6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December 31, 2022,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fair value of cash equivalents and available-for-sale investments by contractual maturity was as follows as of March 31, 2023 and December 31, 2022 (in thousands):</w:t>
      </w:r>
    </w:p>
    <w:tbl>
      <w:tblPr>
        <w:tblW w:w="64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Maturing in one year 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257,559</w:t>
            </w:r>
          </w:p>
        </w:tc>
        <w:tc>
          <w:tcPr>
            <w:tcW w:w="191"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Maturing after one year through five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274,258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of financial instruments between the fair value measurement levels during the three months ended March 31, 2023 and 2022</w:t>
      </w:r>
      <w:r>
        <w:rPr>
          <w:rFonts w:ascii="Times New Roman" w:hAnsi="Times New Roman"/>
          <w:sz w:val="20"/>
        </w:rPr>
        <w:t xml:space="preserve"> </w:t>
      </w:r>
      <w:r>
        <w:rPr>
          <w:rFonts w:ascii="Times New Roman;serif" w:hAnsi="Times New Roman;serif"/>
          <w:b w:val="false"/>
          <w:sz w:val="20"/>
        </w:rPr>
        <w:t>and there were no</w:t>
      </w:r>
      <w:r>
        <w:rPr>
          <w:rFonts w:ascii="Times New Roman" w:hAnsi="Times New Roman"/>
          <w:sz w:val="20"/>
        </w:rPr>
        <w:t xml:space="preserve"> </w:t>
      </w:r>
      <w:r>
        <w:rPr>
          <w:rFonts w:ascii="Times New Roman;serif" w:hAnsi="Times New Roman;serif"/>
          <w:b w:val="false"/>
          <w:sz w:val="20"/>
        </w:rPr>
        <w:t>financial instruments classified as Level 3 as of March 31, 2023 and 2022.</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and December 31, 2022, accrued interest receivable related to the Company’s investments of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 respectively, was included in prepaid expenses and other current assets</w:t>
      </w:r>
      <w:r>
        <w:rPr>
          <w:rFonts w:ascii="Times New Roman" w:hAnsi="Times New Roman"/>
          <w:sz w:val="20"/>
        </w:rPr>
        <w:t xml:space="preserve"> </w:t>
      </w:r>
      <w:r>
        <w:rPr>
          <w:rFonts w:ascii="Times New Roman;serif" w:hAnsi="Times New Roman;serif"/>
          <w:b w:val="false"/>
          <w:sz w:val="20"/>
        </w:rPr>
        <w:t>as well as other assets on the condensed consolidated balance sheet.</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March 31, 2023, no</w:t>
      </w:r>
      <w:r>
        <w:rPr>
          <w:rFonts w:ascii="Times New Roman" w:hAnsi="Times New Roman"/>
          <w:sz w:val="20"/>
        </w:rPr>
        <w:t xml:space="preserve"> </w:t>
      </w:r>
      <w:r>
        <w:rPr>
          <w:rFonts w:ascii="Times New Roman;serif" w:hAnsi="Times New Roman;serif"/>
          <w:b w:val="false"/>
          <w:sz w:val="20"/>
        </w:rPr>
        <w:t>allowance for credit losses for the Company’s investments was recorded. As of March 31, 2023 and December 31, 2022, securities with a fair value of $28.4</w:t>
      </w:r>
      <w:r>
        <w:rPr>
          <w:rFonts w:ascii="Times New Roman" w:hAnsi="Times New Roman"/>
          <w:sz w:val="20"/>
        </w:rPr>
        <w:t xml:space="preserve"> </w:t>
      </w:r>
      <w:r>
        <w:rPr>
          <w:rFonts w:ascii="Times New Roman;serif" w:hAnsi="Times New Roman;serif"/>
          <w:b w:val="false"/>
          <w:sz w:val="20"/>
        </w:rPr>
        <w:t>million and zero, respectively, were in a continuous net unrealized loss position for more than 12 months. As of March 31, 2023, the Company has not recognized any impairment losses on available-for-sale investments.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(4) BALANCE SHEET COMPONENTS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and Equipment, Net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components of property and equipment, net as of March 31, 2023 and December 31, 2022 (in thousands):</w:t>
      </w:r>
    </w:p>
    <w:tbl>
      <w:tblPr>
        <w:tblW w:w="5880" w:type="dxa"/>
        <w:jc w:val="left"/>
        <w:tblInd w:w="0" w:type="dxa"/>
        <w:tblLayout w:type="fixed"/>
        <w:tblCellMar>
          <w:top w:w="28" w:type="dxa"/>
          <w:left w:w="28" w:type="dxa"/>
          <w:bottom w:w="28" w:type="dxa"/>
          <w:right w:w="28" w:type="dxa"/>
        </w:tblCellMar>
      </w:tblPr>
      <w:tblGrid>
        <w:gridCol w:w="2776"/>
        <w:gridCol w:w="146"/>
        <w:gridCol w:w="263"/>
        <w:gridCol w:w="712"/>
        <w:gridCol w:w="166"/>
        <w:gridCol w:w="146"/>
        <w:gridCol w:w="339"/>
        <w:gridCol w:w="921"/>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411" w:type="dxa"/>
            <w:tcBorders/>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hardware and software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gross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41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Depreciation was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nominal for the three months ended March 31, 2023 and 2022, respectively.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Assets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components of other assets as of March 31, 2023 and December 31, 2022 (in thousands):</w:t>
      </w:r>
      <w:r>
        <w:rPr>
          <w:rFonts w:ascii="Times New Roman" w:hAnsi="Times New Roman"/>
          <w:sz w:val="20"/>
        </w:rPr>
        <w:t xml:space="preserve"> </w:t>
      </w:r>
    </w:p>
    <w:tbl>
      <w:tblPr>
        <w:tblW w:w="7085" w:type="dxa"/>
        <w:jc w:val="left"/>
        <w:tblInd w:w="0" w:type="dxa"/>
        <w:tblLayout w:type="fixed"/>
        <w:tblCellMar>
          <w:top w:w="28" w:type="dxa"/>
          <w:left w:w="28" w:type="dxa"/>
          <w:bottom w:w="28" w:type="dxa"/>
          <w:right w:w="28" w:type="dxa"/>
        </w:tblCellMar>
      </w:tblPr>
      <w:tblGrid>
        <w:gridCol w:w="4021"/>
        <w:gridCol w:w="146"/>
        <w:gridCol w:w="232"/>
        <w:gridCol w:w="743"/>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prepaid clinical expenses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7,264</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5,626</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prepaid contract manufacturing costs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 receivable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assets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Accrued Expenses and Other Current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components of accrued expenses and other current liabilities as of March 31, 2023 and December 31, 2022 (in thousands):</w:t>
      </w:r>
    </w:p>
    <w:tbl>
      <w:tblPr>
        <w:tblW w:w="7325" w:type="dxa"/>
        <w:jc w:val="left"/>
        <w:tblInd w:w="0" w:type="dxa"/>
        <w:tblLayout w:type="fixed"/>
        <w:tblCellMar>
          <w:top w:w="28" w:type="dxa"/>
          <w:left w:w="28" w:type="dxa"/>
          <w:bottom w:w="28" w:type="dxa"/>
          <w:right w:w="28" w:type="dxa"/>
        </w:tblCellMar>
      </w:tblPr>
      <w:tblGrid>
        <w:gridCol w:w="4261"/>
        <w:gridCol w:w="146"/>
        <w:gridCol w:w="232"/>
        <w:gridCol w:w="743"/>
        <w:gridCol w:w="146"/>
        <w:gridCol w:w="146"/>
        <w:gridCol w:w="299"/>
        <w:gridCol w:w="961"/>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and nonclinical study costs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contract manufacturing</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5,249</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related expenses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current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(5) 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non-cancelable operating leases for its offices located in the U.S. As of March 31, 2023, these leases expire on various dates between 2026</w:t>
      </w:r>
      <w:r>
        <w:rPr>
          <w:rFonts w:ascii="Times New Roman;serif" w:hAnsi="Times New Roman;serif"/>
          <w:sz w:val="20"/>
        </w:rPr>
        <w:t xml:space="preserve"> </w:t>
      </w:r>
      <w:r>
        <w:rPr>
          <w:rFonts w:ascii="Times New Roman;serif" w:hAnsi="Times New Roman;serif"/>
          <w:b w:val="false"/>
          <w:sz w:val="20"/>
        </w:rPr>
        <w:t>and 2030.</w:t>
      </w:r>
      <w:r>
        <w:rPr>
          <w:rFonts w:ascii="Times New Roman" w:hAnsi="Times New Roman"/>
          <w:sz w:val="20"/>
        </w:rPr>
        <w:t xml:space="preserve"> </w:t>
      </w:r>
      <w:r>
        <w:rPr>
          <w:rFonts w:ascii="Times New Roman;serif" w:hAnsi="Times New Roman;serif"/>
          <w:b w:val="false"/>
          <w:sz w:val="20"/>
        </w:rPr>
        <w:t>Certain lease agreements include one or more options to renew, with renewal terms that can extend the lease up to two years</w:t>
      </w:r>
      <w:r>
        <w:rPr>
          <w:rFonts w:ascii="Times New Roman;serif" w:hAnsi="Times New Roman;serif"/>
          <w:sz w:val="20"/>
        </w:rPr>
        <w:t xml:space="preserve"> </w:t>
      </w:r>
      <w:r>
        <w:rPr>
          <w:rFonts w:ascii="Times New Roman;serif" w:hAnsi="Times New Roman;serif"/>
          <w:b w:val="false"/>
          <w:sz w:val="20"/>
        </w:rPr>
        <w:t>after expiration.</w:t>
      </w:r>
      <w:r>
        <w:rPr>
          <w:rFonts w:ascii="Times New Roman" w:hAnsi="Times New Roman"/>
          <w:sz w:val="20"/>
        </w:rPr>
        <w:t xml:space="preserve"> </w:t>
      </w:r>
      <w:r>
        <w:rPr>
          <w:rFonts w:ascii="Times New Roman;serif" w:hAnsi="Times New Roman;serif"/>
          <w:b w:val="false"/>
          <w:sz w:val="20"/>
        </w:rPr>
        <w:t>The Company has the right to exercise or forego the lease renewal options. The lease agreements do not contain any material residual value guarantees or material restrictive covenants.</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right-of-use, or ROU, assets recorded for operating leases and finance leases were $5.4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 respectively. These amounts were included in other assets on the condensed consolidated balance sheets.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maturities and balance sheet information of the Company’s operating and</w:t>
      </w:r>
      <w:r>
        <w:rPr>
          <w:rFonts w:ascii="Times New Roman" w:hAnsi="Times New Roman"/>
          <w:sz w:val="20"/>
        </w:rPr>
        <w:t xml:space="preserve"> </w:t>
      </w:r>
      <w:r>
        <w:rPr>
          <w:rFonts w:ascii="Times New Roman;serif" w:hAnsi="Times New Roman;serif"/>
          <w:b w:val="false"/>
          <w:sz w:val="20"/>
        </w:rPr>
        <w:t>finance lease liabilities as of March 31, 2023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341"/>
        <w:gridCol w:w="1024"/>
        <w:gridCol w:w="271"/>
        <w:gridCol w:w="146"/>
        <w:gridCol w:w="361"/>
        <w:gridCol w:w="824"/>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Leases</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Lease liabilities: current </w:t>
            </w:r>
            <w:r>
              <w:rPr>
                <w:rFonts w:ascii="Times New Roman;serif" w:hAnsi="Times New Roman;serif"/>
                <w:b w:val="false"/>
                <w:sz w:val="13"/>
              </w:rPr>
              <w:t>(i)</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Lease liabilities: non-current</w:t>
            </w:r>
            <w:r>
              <w:rPr>
                <w:rFonts w:ascii="Times New Roman" w:hAnsi="Times New Roman"/>
                <w:sz w:val="20"/>
              </w:rPr>
              <w:t xml:space="preserve"> </w:t>
            </w:r>
            <w:r>
              <w:rPr>
                <w:rFonts w:ascii="Times New Roman;serif" w:hAnsi="Times New Roman;serif"/>
                <w:b w:val="false"/>
                <w:sz w:val="13"/>
              </w:rPr>
              <w:t>(ii)</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16"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18"/>
        </w:rPr>
      </w:pPr>
      <w:r>
        <w:rPr>
          <w:rFonts w:ascii="Times New Roman" w:hAnsi="Times New Roman"/>
          <w:b w:val="false"/>
          <w:sz w:val="18"/>
        </w:rPr>
        <w:t>(i)</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Current lease liabilities are presented within accrued expenses and other current liabilities and payable and accrued liabilities due to related party on the condensed consolidated balance sheets and includes a nominal amount due to Tallac Therapeutics, Inc. for an operating lease. Refer to Note 9 “Related Party Transactions” for additional discussion.</w:t>
      </w:r>
    </w:p>
    <w:p>
      <w:pPr>
        <w:pStyle w:val="TextBody"/>
        <w:bidi w:val="0"/>
        <w:spacing w:before="120" w:after="0"/>
        <w:jc w:val="left"/>
        <w:rPr>
          <w:rFonts w:ascii="Times New Roman" w:hAnsi="Times New Roman"/>
          <w:b w:val="false"/>
          <w:sz w:val="18"/>
        </w:rPr>
      </w:pPr>
      <w:r>
        <w:rPr>
          <w:rFonts w:ascii="Times New Roman" w:hAnsi="Times New Roman"/>
          <w:b w:val="false"/>
          <w:sz w:val="18"/>
        </w:rPr>
        <w:t>(ii)</w:t>
      </w:r>
    </w:p>
    <w:p>
      <w:pPr>
        <w:pStyle w:val="TextBody"/>
        <w:bidi w:val="0"/>
        <w:spacing w:before="120" w:after="283"/>
        <w:jc w:val="left"/>
        <w:rPr>
          <w:rFonts w:ascii="Times New Roman;serif" w:hAnsi="Times New Roman;serif"/>
          <w:b w:val="false"/>
          <w:sz w:val="18"/>
        </w:rPr>
      </w:pPr>
      <w:r>
        <w:rPr>
          <w:rFonts w:ascii="Times New Roman;serif" w:hAnsi="Times New Roman;serif"/>
          <w:b w:val="false"/>
          <w:sz w:val="18"/>
        </w:rPr>
        <w:t>Non-current lease liabilities are presented within other non-current liabilities on the condensed 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the components of lease costs for the three months ended March 31, 2023 and 2022 (in thousands):</w:t>
      </w:r>
      <w:r>
        <w:rPr>
          <w:rFonts w:ascii="Times New Roman" w:hAnsi="Times New Roman"/>
          <w:sz w:val="20"/>
        </w:rPr>
        <w:t xml:space="preserve"> </w:t>
      </w:r>
    </w:p>
    <w:tbl>
      <w:tblPr>
        <w:tblW w:w="5382" w:type="dxa"/>
        <w:jc w:val="left"/>
        <w:tblInd w:w="0" w:type="dxa"/>
        <w:tblLayout w:type="fixed"/>
        <w:tblCellMar>
          <w:top w:w="28" w:type="dxa"/>
          <w:left w:w="28" w:type="dxa"/>
          <w:bottom w:w="28" w:type="dxa"/>
          <w:right w:w="28" w:type="dxa"/>
        </w:tblCellMar>
      </w:tblPr>
      <w:tblGrid>
        <w:gridCol w:w="2971"/>
        <w:gridCol w:w="146"/>
        <w:gridCol w:w="254"/>
        <w:gridCol w:w="507"/>
        <w:gridCol w:w="176"/>
        <w:gridCol w:w="176"/>
        <w:gridCol w:w="254"/>
        <w:gridCol w:w="507"/>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Variable lease cost and other, net </w:t>
            </w:r>
            <w:r>
              <w:rPr>
                <w:rFonts w:ascii="Times New Roman;serif" w:hAnsi="Times New Roman;serif"/>
                <w:b w:val="false"/>
                <w:sz w:val="13"/>
              </w:rPr>
              <w:t>(i)</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right-of-use assets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91" w:type="dxa"/>
            <w:tcBorders/>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18"/>
        </w:rPr>
      </w:pPr>
      <w:r>
        <w:rPr>
          <w:rFonts w:ascii="Times New Roman" w:hAnsi="Times New Roman"/>
          <w:b w:val="false"/>
          <w:sz w:val="18"/>
        </w:rPr>
        <w:t>(i)</w:t>
      </w:r>
    </w:p>
    <w:p>
      <w:pPr>
        <w:pStyle w:val="TextBody"/>
        <w:bidi w:val="0"/>
        <w:jc w:val="left"/>
        <w:rPr>
          <w:rFonts w:ascii="Times New Roman;serif" w:hAnsi="Times New Roman;serif"/>
          <w:b w:val="false"/>
          <w:sz w:val="18"/>
        </w:rPr>
      </w:pPr>
      <w:r>
        <w:rPr>
          <w:rFonts w:ascii="Times New Roman;serif" w:hAnsi="Times New Roman;serif"/>
          <w:b w:val="false"/>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the supplemental cash flow disclosures for cash paid for the three months ended March 31, 2023 and 2022 (in thousands):</w:t>
      </w:r>
    </w:p>
    <w:tbl>
      <w:tblPr>
        <w:tblW w:w="8277" w:type="dxa"/>
        <w:jc w:val="left"/>
        <w:tblInd w:w="0" w:type="dxa"/>
        <w:tblLayout w:type="fixed"/>
        <w:tblCellMar>
          <w:top w:w="28" w:type="dxa"/>
          <w:left w:w="28" w:type="dxa"/>
          <w:bottom w:w="28" w:type="dxa"/>
          <w:right w:w="28" w:type="dxa"/>
        </w:tblCellMar>
      </w:tblPr>
      <w:tblGrid>
        <w:gridCol w:w="5866"/>
        <w:gridCol w:w="146"/>
        <w:gridCol w:w="254"/>
        <w:gridCol w:w="507"/>
        <w:gridCol w:w="176"/>
        <w:gridCol w:w="176"/>
        <w:gridCol w:w="254"/>
        <w:gridCol w:w="507"/>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left"/>
              <w:rPr/>
            </w:pPr>
            <w:r>
              <w:rPr/>
              <w:t> </w:t>
            </w:r>
          </w:p>
        </w:tc>
        <w:tc>
          <w:tcPr>
            <w:tcW w:w="76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(6) TERM LOAN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Oxford Finance and Silicon Valley Bank Loan</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the Company entered into a loan and security agreement, or the Loan Agreement, with Oxford Finance LLC, Oxford Finance Credit Fund II LP, and Silicon Valley Bank (SVB), or Lenders, for a secured term loan facility of up to $100.0</w:t>
      </w:r>
      <w:r>
        <w:rPr>
          <w:rFonts w:ascii="Times New Roman" w:hAnsi="Times New Roman"/>
          <w:sz w:val="20"/>
        </w:rPr>
        <w:t xml:space="preserve"> </w:t>
      </w:r>
      <w:r>
        <w:rPr>
          <w:rFonts w:ascii="Times New Roman;serif" w:hAnsi="Times New Roman;serif"/>
          <w:b w:val="false"/>
          <w:sz w:val="20"/>
        </w:rPr>
        <w:t>million. Pursuant to the Loan Agreement, the Company drew an initial loan of $10.0</w:t>
      </w:r>
      <w:r>
        <w:rPr>
          <w:rFonts w:ascii="Times New Roman" w:hAnsi="Times New Roman"/>
          <w:sz w:val="20"/>
        </w:rPr>
        <w:t xml:space="preserve"> </w:t>
      </w:r>
      <w:r>
        <w:rPr>
          <w:rFonts w:ascii="Times New Roman;serif" w:hAnsi="Times New Roman;serif"/>
          <w:b w:val="false"/>
          <w:sz w:val="20"/>
        </w:rPr>
        <w:t>million and has access to draw an additional $40.0</w:t>
      </w:r>
      <w:r>
        <w:rPr>
          <w:rFonts w:ascii="Times New Roman" w:hAnsi="Times New Roman"/>
          <w:sz w:val="20"/>
        </w:rPr>
        <w:t xml:space="preserve"> </w:t>
      </w:r>
      <w:r>
        <w:rPr>
          <w:rFonts w:ascii="Times New Roman;serif" w:hAnsi="Times New Roman;serif"/>
          <w:b w:val="false"/>
          <w:sz w:val="20"/>
        </w:rPr>
        <w:t>million through the end of 2023. The Loan Agreement provides for an additional $50.0</w:t>
      </w:r>
      <w:r>
        <w:rPr>
          <w:rFonts w:ascii="Times New Roman" w:hAnsi="Times New Roman"/>
          <w:sz w:val="20"/>
        </w:rPr>
        <w:t xml:space="preserve"> </w:t>
      </w:r>
      <w:r>
        <w:rPr>
          <w:rFonts w:ascii="Times New Roman;serif" w:hAnsi="Times New Roman;serif"/>
          <w:b w:val="false"/>
          <w:sz w:val="20"/>
        </w:rPr>
        <w:t>million over three tranches, with $12.5</w:t>
      </w:r>
      <w:r>
        <w:rPr>
          <w:rFonts w:ascii="Times New Roman" w:hAnsi="Times New Roman"/>
          <w:sz w:val="20"/>
        </w:rPr>
        <w:t xml:space="preserve"> </w:t>
      </w:r>
      <w:r>
        <w:rPr>
          <w:rFonts w:ascii="Times New Roman;serif" w:hAnsi="Times New Roman;serif"/>
          <w:b w:val="false"/>
          <w:sz w:val="20"/>
        </w:rPr>
        <w:t>million available in each of two tranches based upon the achievement of milestones related to the development of evorpacept and one preclinical product candidate, and $25.0</w:t>
      </w:r>
      <w:r>
        <w:rPr>
          <w:rFonts w:ascii="Times New Roman" w:hAnsi="Times New Roman"/>
          <w:sz w:val="20"/>
        </w:rPr>
        <w:t xml:space="preserve"> </w:t>
      </w:r>
      <w:r>
        <w:rPr>
          <w:rFonts w:ascii="Times New Roman;serif" w:hAnsi="Times New Roman;serif"/>
          <w:b w:val="false"/>
          <w:sz w:val="20"/>
        </w:rPr>
        <w:t>million at the Lenders’ sole discretion. The proceeds of the loans may be used by the Company for working capital and to fund its general business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 information regarding our indebtedness is included in our notes to our consolidated financial statements in our Annual Report on Form 10-K for the fiscal year ended December 31, 2022, which was filed with the Securities and Exchange Commission on March 9, 2023.</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received net proceeds from issuance of the term loan of $9.3</w:t>
      </w:r>
      <w:r>
        <w:rPr>
          <w:rFonts w:ascii="Times New Roman" w:hAnsi="Times New Roman"/>
          <w:sz w:val="20"/>
        </w:rPr>
        <w:t xml:space="preserve"> </w:t>
      </w:r>
      <w:r>
        <w:rPr>
          <w:rFonts w:ascii="Times New Roman;serif" w:hAnsi="Times New Roman;serif"/>
          <w:b w:val="false"/>
          <w:sz w:val="20"/>
        </w:rPr>
        <w:t>million after deducting debt issuance costs of approximately $0.7</w:t>
      </w:r>
      <w:r>
        <w:rPr>
          <w:rFonts w:ascii="Times New Roman" w:hAnsi="Times New Roman"/>
          <w:sz w:val="20"/>
        </w:rPr>
        <w:t xml:space="preserve"> </w:t>
      </w:r>
      <w:r>
        <w:rPr>
          <w:rFonts w:ascii="Times New Roman;serif" w:hAnsi="Times New Roman;serif"/>
          <w:b w:val="false"/>
          <w:sz w:val="20"/>
        </w:rPr>
        <w:t>million. Debt issuance costs were recorded as debt discount on the term loan, offsetting term loan, non-current on the consolidated balance sheet. The debt discount will be amortized over the term of the loan as interest expense using the effective interest method. During the three months ended March 31, 2023, interest expense incurred in connection with the Loan Agreement was $0.3</w:t>
      </w:r>
      <w:r>
        <w:rPr>
          <w:rFonts w:ascii="Times New Roman" w:hAnsi="Times New Roman"/>
          <w:sz w:val="20"/>
        </w:rPr>
        <w:t xml:space="preserve"> </w:t>
      </w:r>
      <w:r>
        <w:rPr>
          <w:rFonts w:ascii="Times New Roman;serif" w:hAnsi="Times New Roman;serif"/>
          <w:b w:val="false"/>
          <w:sz w:val="20"/>
        </w:rPr>
        <w:t>million. We had no</w:t>
      </w:r>
      <w:r>
        <w:rPr>
          <w:rFonts w:ascii="Times New Roman" w:hAnsi="Times New Roman"/>
          <w:sz w:val="20"/>
        </w:rPr>
        <w:t xml:space="preserve"> </w:t>
      </w:r>
      <w:r>
        <w:rPr>
          <w:rFonts w:ascii="Times New Roman;serif" w:hAnsi="Times New Roman;serif"/>
          <w:b w:val="false"/>
          <w:sz w:val="20"/>
        </w:rPr>
        <w:t>outstanding debt as of March 31, 2022</w:t>
      </w:r>
      <w:r>
        <w:rPr>
          <w:rFonts w:ascii="Times New Roman" w:hAnsi="Times New Roman"/>
          <w:sz w:val="20"/>
        </w:rPr>
        <w:t xml:space="preserve"> </w:t>
      </w:r>
      <w:r>
        <w:rPr>
          <w:rFonts w:ascii="Times New Roman;serif" w:hAnsi="Times New Roman;serif"/>
          <w:b w:val="false"/>
          <w:sz w:val="20"/>
        </w:rPr>
        <w:t>and did not incur interest expense during the three months ended March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March 31, 2023, the value of the embedded derivative is not material, but could become material in future periods if an event of default became more probable than is currently estimated. As of March 31, 2023, we were in compliance with all financial reporting covenants under the Loan Agreement.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10, 2023, SVB was closed by the California Department of Financial Protection and Innovation, which appointed the Federal Deposit Insurance Corporation (FDIC) to act as receiver. On March 13, 2023, the FDIC created Silicon Valley Bridge Bank, N.A. (SVBB) as successor to SVB. On March 27, 2023, First Citizens BancShares, Inc. (First Citizens Bank) acquired SVBB from the FDIC and plans to operate SVBB as Silicon Valley Bank, a division of First Citizens Bank (SVB-First Citizens). Under the Loan Agreement with Lenders, 50% of the funding comes from SVB, one of the three</w:t>
      </w:r>
      <w:r>
        <w:rPr>
          <w:rFonts w:ascii="Times New Roman" w:hAnsi="Times New Roman"/>
          <w:sz w:val="20"/>
        </w:rPr>
        <w:t xml:space="preserve"> </w:t>
      </w:r>
      <w:r>
        <w:rPr>
          <w:rFonts w:ascii="Times New Roman;serif" w:hAnsi="Times New Roman;serif"/>
          <w:b w:val="false"/>
          <w:sz w:val="20"/>
        </w:rPr>
        <w:t>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March 31, 2023, the future maturities under the Loan Agreement are as follows (in thousands):</w:t>
      </w:r>
    </w:p>
    <w:p>
      <w:pPr>
        <w:pStyle w:val="TextBody"/>
        <w:bidi w:val="0"/>
        <w:spacing w:before="0" w:after="0"/>
        <w:jc w:val="left"/>
        <w:rPr/>
      </w:pPr>
      <w:r>
        <w:rPr/>
        <w:t> </w:t>
      </w:r>
    </w:p>
    <w:tbl>
      <w:tblPr>
        <w:tblW w:w="4993" w:type="dxa"/>
        <w:jc w:val="left"/>
        <w:tblInd w:w="0" w:type="dxa"/>
        <w:tblLayout w:type="fixed"/>
        <w:tblCellMar>
          <w:top w:w="28" w:type="dxa"/>
          <w:left w:w="28" w:type="dxa"/>
          <w:bottom w:w="28" w:type="dxa"/>
          <w:right w:w="28" w:type="dxa"/>
        </w:tblCellMar>
      </w:tblPr>
      <w:tblGrid>
        <w:gridCol w:w="3196"/>
        <w:gridCol w:w="146"/>
        <w:gridCol w:w="342"/>
        <w:gridCol w:w="1098"/>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5,217</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maturities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10,600</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term loan</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term loan, net of current portion</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10,600</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issuance costs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unaccreted final payment costs</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non-current, net</w:t>
            </w:r>
          </w:p>
        </w:tc>
        <w:tc>
          <w:tcPr>
            <w:tcW w:w="146" w:type="dxa"/>
            <w:tcBorders/>
            <w:vAlign w:val="center"/>
          </w:tcPr>
          <w:p>
            <w:pPr>
              <w:pStyle w:val="TableContents"/>
              <w:bidi w:val="0"/>
              <w:spacing w:before="0" w:after="0"/>
              <w:ind w:left="0" w:right="0" w:hanging="0"/>
              <w:jc w:val="righ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(7) 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On July 21, 2020, the Company’s amended and restated certificate of incorporation became effective, authorizing 1,000,000,000</w:t>
      </w:r>
      <w:r>
        <w:rPr>
          <w:rFonts w:ascii="Times New Roman" w:hAnsi="Times New Roman"/>
          <w:sz w:val="20"/>
        </w:rPr>
        <w:t xml:space="preserve"> </w:t>
      </w:r>
      <w:r>
        <w:rPr>
          <w:rFonts w:ascii="Times New Roman;serif" w:hAnsi="Times New Roman;serif"/>
          <w:b w:val="false"/>
          <w:sz w:val="20"/>
        </w:rPr>
        <w:t>shares of common stock, $0.001</w:t>
      </w:r>
      <w:r>
        <w:rPr>
          <w:rFonts w:ascii="Times New Roman" w:hAnsi="Times New Roman"/>
          <w:sz w:val="20"/>
        </w:rPr>
        <w:t xml:space="preserve"> </w:t>
      </w:r>
      <w:r>
        <w:rPr>
          <w:rFonts w:ascii="Times New Roman;serif" w:hAnsi="Times New Roman;serif"/>
          <w:b w:val="false"/>
          <w:sz w:val="20"/>
        </w:rPr>
        <w:t>par value per share, and 100,000,000</w:t>
      </w:r>
      <w:r>
        <w:rPr>
          <w:rFonts w:ascii="Times New Roman" w:hAnsi="Times New Roman"/>
          <w:sz w:val="20"/>
        </w:rPr>
        <w:t xml:space="preserve"> </w:t>
      </w:r>
      <w:r>
        <w:rPr>
          <w:rFonts w:ascii="Times New Roman;serif" w:hAnsi="Times New Roman;serif"/>
          <w:b w:val="false"/>
          <w:sz w:val="20"/>
        </w:rPr>
        <w:t>shares of undesignated preferred stock, $0.001</w:t>
      </w:r>
      <w:r>
        <w:rPr>
          <w:rFonts w:ascii="Times New Roman" w:hAnsi="Times New Roman"/>
          <w:sz w:val="20"/>
        </w:rPr>
        <w:t xml:space="preserve"> </w:t>
      </w:r>
      <w:r>
        <w:rPr>
          <w:rFonts w:ascii="Times New Roman;serif" w:hAnsi="Times New Roman;serif"/>
          <w:b w:val="false"/>
          <w:sz w:val="20"/>
        </w:rPr>
        <w:t>par value per share. As of March 31, 2023 and December 31, 2022, the Company had 40,863,049</w:t>
      </w:r>
      <w:r>
        <w:rPr>
          <w:rFonts w:ascii="Times New Roman" w:hAnsi="Times New Roman"/>
          <w:sz w:val="20"/>
        </w:rPr>
        <w:t xml:space="preserve"> </w:t>
      </w:r>
      <w:r>
        <w:rPr>
          <w:rFonts w:ascii="Times New Roman;serif" w:hAnsi="Times New Roman;serif"/>
          <w:b w:val="false"/>
          <w:sz w:val="20"/>
        </w:rPr>
        <w:t>and 40,861,386</w:t>
      </w:r>
      <w:r>
        <w:rPr>
          <w:rFonts w:ascii="Times New Roman" w:hAnsi="Times New Roman"/>
          <w:sz w:val="20"/>
        </w:rPr>
        <w:t xml:space="preserve"> </w:t>
      </w:r>
      <w:r>
        <w:rPr>
          <w:rFonts w:ascii="Times New Roman;serif" w:hAnsi="Times New Roman;serif"/>
          <w:b w:val="false"/>
          <w:sz w:val="20"/>
        </w:rPr>
        <w:t>shares of common stock outstanding, respectively.</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Common stock reserved for future issuance as of March 31, 2023 consists of the following:</w:t>
      </w:r>
    </w:p>
    <w:tbl>
      <w:tblPr>
        <w:tblW w:w="7442" w:type="dxa"/>
        <w:jc w:val="left"/>
        <w:tblInd w:w="0" w:type="dxa"/>
        <w:tblLayout w:type="fixed"/>
        <w:tblCellMar>
          <w:top w:w="28" w:type="dxa"/>
          <w:left w:w="28" w:type="dxa"/>
          <w:bottom w:w="28" w:type="dxa"/>
          <w:right w:w="28" w:type="dxa"/>
        </w:tblCellMar>
      </w:tblPr>
      <w:tblGrid>
        <w:gridCol w:w="5611"/>
        <w:gridCol w:w="177"/>
        <w:gridCol w:w="1263"/>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77"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6,511,136</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authorized for future issuance</w:t>
            </w:r>
          </w:p>
        </w:tc>
        <w:tc>
          <w:tcPr>
            <w:tcW w:w="177"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4,278,052</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 shares authorized for future issuance</w:t>
            </w:r>
          </w:p>
        </w:tc>
        <w:tc>
          <w:tcPr>
            <w:tcW w:w="177"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1,147,986</w:t>
            </w:r>
          </w:p>
        </w:tc>
        <w:tc>
          <w:tcPr>
            <w:tcW w:w="3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issued and outstanding</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793,088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6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12,730,262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(8)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Amended and Restated 2020 Equity Incentive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2023, the number of shares available under the 2020 Plan was increased by 1,634,456</w:t>
      </w:r>
      <w:r>
        <w:rPr>
          <w:rFonts w:ascii="Times New Roman" w:hAnsi="Times New Roman"/>
          <w:sz w:val="20"/>
        </w:rPr>
        <w:t xml:space="preserve"> </w:t>
      </w:r>
      <w:r>
        <w:rPr>
          <w:rFonts w:ascii="Times New Roman;serif" w:hAnsi="Times New Roman;serif"/>
          <w:b w:val="false"/>
          <w:sz w:val="20"/>
        </w:rPr>
        <w:t>shares. As of March 31, 2023, the number of shares of common stock available for issuance under the 2020 Plan was 4,278,052.</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Company’s 2020 Employee Stock Purchase Plan, or the ESPP, eligible employees are entitled to purchase shares of common stock with accumulated payroll deductions.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March 31, 2023, the number of shares of common stock available for issuance under the ESPP was 1,147,986.</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Total stock-based compensation expense recognized in the condensed consolidated statements of operations was as follows (in thousands):</w:t>
      </w:r>
    </w:p>
    <w:tbl>
      <w:tblPr>
        <w:tblW w:w="4704"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(9) RELATED-PARTY TRANSACTIONS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several related-party agreements with Tallac Therapeutics, Inc., or Tallac. The details of these agreements are described in our notes to our consolidated financial statements in our Annual Report on Form 10-K for the fiscal year ended December 31, 2022, which was filed with the Securities and Exchange Commission on March 9, 2023. During the three months ended March 31, 2023, there were no material changes to these agreements.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Tallac Service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and 2022, the Company recorded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 respectively, as research and development, or R&amp;D, costs in relation to the research and development services agreement with Tallac.</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Tallac Collaboration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and 2022, the Company recorded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$1.2</w:t>
      </w:r>
      <w:r>
        <w:rPr>
          <w:rFonts w:ascii="Times New Roman" w:hAnsi="Times New Roman"/>
          <w:sz w:val="20"/>
        </w:rPr>
        <w:t xml:space="preserve"> </w:t>
      </w:r>
      <w:r>
        <w:rPr>
          <w:rFonts w:ascii="Times New Roman;serif" w:hAnsi="Times New Roman;serif"/>
          <w:b w:val="false"/>
          <w:sz w:val="20"/>
        </w:rPr>
        <w:t>million, respectively, as R&amp;D costs in relation to the collaboration agreement with Tallac, or the Tallac Collaboration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and December 31, 2022, the Company had accrued expenses of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w:t>
      </w:r>
      <w:r>
        <w:rPr>
          <w:rFonts w:ascii="Times New Roman" w:hAnsi="Times New Roman"/>
          <w:sz w:val="20"/>
        </w:rPr>
        <w:t xml:space="preserve"> </w:t>
      </w:r>
      <w:r>
        <w:rPr>
          <w:rFonts w:ascii="Times New Roman;serif" w:hAnsi="Times New Roman;serif"/>
          <w:b w:val="false"/>
          <w:sz w:val="20"/>
        </w:rPr>
        <w:t>million, respectively, related to the Tallac Collaboration Agreement which was presented within the payable and accrued liabilities due to related party on the condensed consolidated balance sheets.</w:t>
      </w:r>
    </w:p>
    <w:p>
      <w:pPr>
        <w:pStyle w:val="TextBody"/>
        <w:bidi w:val="0"/>
        <w:spacing w:before="120" w:after="0"/>
        <w:jc w:val="left"/>
        <w:rPr>
          <w:rFonts w:ascii="Times New Roman" w:hAnsi="Times New Roman"/>
          <w:sz w:val="20"/>
        </w:rPr>
      </w:pPr>
      <w:r>
        <w:rPr>
          <w:rFonts w:ascii="Times New Roman;serif" w:hAnsi="Times New Roman;serif"/>
          <w:b/>
          <w:i/>
          <w:sz w:val="20"/>
        </w:rPr>
        <w:t>Operating Sub-lease Agreement with Tallac</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leases office space in Burlingame, California under a single operating sub-lease agreement with Tallac. Refer to Note 5 “Leases” for additional discussion.</w:t>
      </w:r>
    </w:p>
    <w:p>
      <w:pPr>
        <w:pStyle w:val="TextBody"/>
        <w:bidi w:val="0"/>
        <w:spacing w:before="360" w:after="0"/>
        <w:jc w:val="left"/>
        <w:rPr>
          <w:rFonts w:ascii="Times New Roman" w:hAnsi="Times New Roman"/>
          <w:sz w:val="20"/>
        </w:rPr>
      </w:pPr>
      <w:r>
        <w:rPr>
          <w:rFonts w:ascii="Times New Roman;serif" w:hAnsi="Times New Roman;serif"/>
          <w:b/>
          <w:sz w:val="20"/>
        </w:rPr>
        <w:t>(10) NET LOSS PER SHARE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the basic and diluted net loss per share for the three months ended March 31, 2023 and 2022 (in thousands, except share and per share data):</w:t>
      </w:r>
    </w:p>
    <w:tbl>
      <w:tblPr>
        <w:tblW w:w="9434" w:type="dxa"/>
        <w:jc w:val="left"/>
        <w:tblInd w:w="0" w:type="dxa"/>
        <w:tblLayout w:type="fixed"/>
        <w:tblCellMar>
          <w:top w:w="28" w:type="dxa"/>
          <w:left w:w="28" w:type="dxa"/>
          <w:bottom w:w="28" w:type="dxa"/>
          <w:right w:w="28" w:type="dxa"/>
        </w:tblCellMar>
      </w:tblPr>
      <w:tblGrid>
        <w:gridCol w:w="6091"/>
        <w:gridCol w:w="146"/>
        <w:gridCol w:w="211"/>
        <w:gridCol w:w="1036"/>
        <w:gridCol w:w="166"/>
        <w:gridCol w:w="146"/>
        <w:gridCol w:w="211"/>
        <w:gridCol w:w="1036"/>
        <w:gridCol w:w="3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6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6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of common stock outstanding,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40,862,513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40,616,302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Since the Company was in a loss position for all periods presented, basic net loss per share is the same as diluted net loss per share for all periods presented as the inclusion of all potential common stock outstanding would have been anti-dilutive.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outstanding potentially dilutive securities were excluded from the computation of diluted net loss per share for the three months ended March 31, 2023 and 2022 because including them would have been anti-dilutive:</w:t>
      </w:r>
    </w:p>
    <w:tbl>
      <w:tblPr>
        <w:tblW w:w="7679" w:type="dxa"/>
        <w:jc w:val="left"/>
        <w:tblInd w:w="0" w:type="dxa"/>
        <w:tblLayout w:type="fixed"/>
        <w:tblCellMar>
          <w:top w:w="28" w:type="dxa"/>
          <w:left w:w="28" w:type="dxa"/>
          <w:bottom w:w="28" w:type="dxa"/>
          <w:right w:w="28" w:type="dxa"/>
        </w:tblCellMar>
      </w:tblPr>
      <w:tblGrid>
        <w:gridCol w:w="4696"/>
        <w:gridCol w:w="146"/>
        <w:gridCol w:w="146"/>
        <w:gridCol w:w="931"/>
        <w:gridCol w:w="146"/>
        <w:gridCol w:w="146"/>
        <w:gridCol w:w="146"/>
        <w:gridCol w:w="931"/>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4,944,796</w:t>
            </w:r>
          </w:p>
        </w:tc>
        <w:tc>
          <w:tcPr>
            <w:tcW w:w="391"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issued and outstanding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500,387</w:t>
            </w:r>
          </w:p>
        </w:tc>
        <w:tc>
          <w:tcPr>
            <w:tcW w:w="391"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 estimated shares issuable</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7,319,186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5,456,857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(11)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Guarantees and Indemnifications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Contingencies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March 31, 2023, the Company had no</w:t>
      </w:r>
      <w:r>
        <w:rPr>
          <w:rFonts w:ascii="Times New Roman" w:hAnsi="Times New Roman"/>
          <w:sz w:val="20"/>
        </w:rPr>
        <w:t xml:space="preserve"> </w:t>
      </w:r>
      <w:r>
        <w:rPr>
          <w:rFonts w:ascii="Times New Roman;serif" w:hAnsi="Times New Roman;serif"/>
          <w:b w:val="false"/>
          <w:sz w:val="20"/>
        </w:rPr>
        <w:t>pending or threatened litigation.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Contractual Obligations and Other Commitments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other contractual obligations and other commitments from manufacturing and service contracts, which are presented as follows as of March 31, 2023 (in thousands):</w:t>
      </w:r>
    </w:p>
    <w:p>
      <w:pPr>
        <w:pStyle w:val="TextBody"/>
        <w:bidi w:val="0"/>
        <w:spacing w:before="120" w:after="0"/>
        <w:jc w:val="left"/>
        <w:rPr/>
      </w:pPr>
      <w:r>
        <w:rPr/>
        <w:t> </w:t>
      </w:r>
    </w:p>
    <w:tbl>
      <w:tblPr>
        <w:tblW w:w="9586" w:type="dxa"/>
        <w:jc w:val="left"/>
        <w:tblInd w:w="0" w:type="dxa"/>
        <w:tblLayout w:type="fixed"/>
        <w:tblCellMar>
          <w:top w:w="28" w:type="dxa"/>
          <w:left w:w="28" w:type="dxa"/>
          <w:bottom w:w="28" w:type="dxa"/>
          <w:right w:w="28" w:type="dxa"/>
        </w:tblCellMar>
      </w:tblPr>
      <w:tblGrid>
        <w:gridCol w:w="3076"/>
        <w:gridCol w:w="146"/>
        <w:gridCol w:w="211"/>
        <w:gridCol w:w="676"/>
        <w:gridCol w:w="146"/>
        <w:gridCol w:w="146"/>
        <w:gridCol w:w="211"/>
        <w:gridCol w:w="676"/>
        <w:gridCol w:w="146"/>
        <w:gridCol w:w="146"/>
        <w:gridCol w:w="271"/>
        <w:gridCol w:w="734"/>
        <w:gridCol w:w="146"/>
        <w:gridCol w:w="146"/>
        <w:gridCol w:w="401"/>
        <w:gridCol w:w="604"/>
        <w:gridCol w:w="146"/>
        <w:gridCol w:w="146"/>
        <w:gridCol w:w="386"/>
        <w:gridCol w:w="635"/>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973"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2024-2025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2026-2027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Thereafter</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and service contracts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w:t>
      </w:r>
      <w:r>
        <w:rPr>
          <w:rFonts w:ascii="Times New Roman" w:hAnsi="Times New Roman"/>
          <w:sz w:val="20"/>
        </w:rPr>
        <w:t xml:space="preserve"> </w:t>
      </w:r>
      <w:r>
        <w:rPr>
          <w:rFonts w:ascii="Times New Roman;serif" w:hAnsi="Times New Roman;serif"/>
          <w:b w:val="false"/>
          <w:sz w:val="20"/>
        </w:rPr>
        <w:t>with successive one-year</w:t>
      </w:r>
      <w:r>
        <w:rPr>
          <w:rFonts w:ascii="Times New Roman" w:hAnsi="Times New Roman"/>
          <w:sz w:val="20"/>
        </w:rPr>
        <w:t xml:space="preserve"> </w:t>
      </w:r>
      <w:r>
        <w:rPr>
          <w:rFonts w:ascii="Times New Roman;serif" w:hAnsi="Times New Roman;serif"/>
          <w:b w:val="false"/>
          <w:sz w:val="20"/>
        </w:rPr>
        <w:t>renewal periods, which was extended an additional eight years until November 2026, is cancellable upon notice and is non-exclusive. Statements of work under the MSA commit the Company to certain future purchase obligations of approximately $9.8</w:t>
      </w:r>
      <w:r>
        <w:rPr>
          <w:rFonts w:ascii="Times New Roman" w:hAnsi="Times New Roman"/>
          <w:sz w:val="20"/>
        </w:rPr>
        <w:t xml:space="preserve"> </w:t>
      </w:r>
      <w:r>
        <w:rPr>
          <w:rFonts w:ascii="Times New Roman;serif" w:hAnsi="Times New Roman;serif"/>
          <w:b w:val="false"/>
          <w:sz w:val="20"/>
        </w:rPr>
        <w:t>million. In addition, the Company has commitments with one other pharmaceutical contract manufacturer, including certain future purchase obligations of approximately $4.6</w:t>
      </w:r>
      <w:r>
        <w:rPr>
          <w:rFonts w:ascii="Times New Roman" w:hAnsi="Times New Roman"/>
          <w:sz w:val="20"/>
        </w:rPr>
        <w:t xml:space="preserve"> </w:t>
      </w:r>
      <w:r>
        <w:rPr>
          <w:rFonts w:ascii="Times New Roman;serif" w:hAnsi="Times New Roman;serif"/>
          <w:b w:val="false"/>
          <w:sz w:val="20"/>
        </w:rPr>
        <w:t>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(12)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preparing the consolidated financial statements as of March 31, 2023, the Company evaluated subsequent events for recognition and measurement purposes through the filing date of this Quarterly Report on Form 10-Q. The Company concluded that no events or transactions have occurred that require disclosure in the accompanying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1" w:name="part1_item2_mda"/>
      <w:bookmarkEnd w:id="11"/>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immuno-oncology company focused on helping patients fight cancer by developing a pipeline of product candidates based on expertise in protein engineering and oncology led by the CD47 blocker, evorpacept, currently in multiple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enhance the immune activation of broadly used anti-cancer agents through combination treatment strategies. We continue to initiate additional studies in combination with leading anti-cancer agents.</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Evorpacept</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Solid Tumors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ASPEN-03 - Head and Neck Squamous Cell Carcinoma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May 2021, we enrolled the first subject in the ASPEN-03 trial, a randomized Phase 2 trial of evorpacept in combination with pembrolizumab for the treatment of first-line advanced PD-L1 positive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July 2022, the Food and Drug Administration, or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ASPEN-04 - Head and Neck Squamous Cell Carcinoma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July 2021, we enrolled the first subject in the ASPEN-04 trial, a randomized Phase 2 trial of evorpacept in combination with pembrolizumab, platinum, and fluorouracil for the treatment of first-line advanced HNSCC.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ASPEN-06 - Gastric/Gastroesophageal Junction (GEJ)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January 2022, the FDA’s Office of Orphan Products Development granted Orphan Drug Designation (ODD) to evorpacept for the treatment of patients with gastric/GEJ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March 2022, we dosed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ASPEN-07 - Urothelial Cancer (UC)</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February 2023, we announced the dosing of the first patient in the ASPEN-07 trial, a Phase 1 study evaluating evorpacept in combination with an antibody-drug conjugate (ADC), enfortumab vedotin-ejfv, for the second-line treatment of locally advanced or metastatic UC.</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Hematologic Malignancies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ASPEN-02 - Myelodysplastic Syndromes (MDS)</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October 2020, we dosed the first patient in the ASPEN-02 trial, a Phase 1 trial of evorpacept in combination with azacitidine for the treatment of MDS.</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December 2021, we presented initial clinical data from the Phase 1a dose escalation portion of the clinical trial evaluating evorpacept in combination with azacitidine for the treatment of MDS at the 63rd American Society of Hematology (ASH) Annual Meeting.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ASPEN-05 - Acute Myeloid Leukemia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October 2021, we dosed the first patient in the ASPEN-05 trial, a Phase 1 trial of evorpacept in combination with azacitidine and venetoclax for the treatment of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June 2022, we paused enrollment in the ASPEN-05 AML trial based on the desire to leverage upcoming dose optimization data from the ASPEN-02 MDS study to inform dose optimization in ASPEN-05.</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June 2022, the FDA’s Office of Orphan Drug Products Development granted ODD to evorpacept for the treatment of patients with AML.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December 2022, we presented initial clinical data from the Phase 1a dose escalation portion of the clinical trial evaluating evorpacept in combination with azacitidine and venetoclax for the treatment of AML at the 64th ASH Annual Meeting.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Investigator-Sponsored Trials (ISTs)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Non-Hodgkin Lymphoma (NHL)</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2021, an IST of evorpacept was initiated in combination with rituximab and lenalidomide for the treatment of patients with indolent and aggressive NHL, sponsored by MD Anderson Cancer Center in Texas. The first patient was dosed in September 2021.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Colorectal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2022, a Phase 2 IST of evorpacept was initiated in combination with pembrolizumab and cetuximab in patients with refractory microsatellite stable metastatic colorectal cancer, sponsored by the Academic Gastrointestinal Cancer Consortium (AGICC) in New York. The first patient was dosed in August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Ovarian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120"/>
        <w:jc w:val="left"/>
        <w:rPr>
          <w:rFonts w:ascii="Times New Roman;serif" w:hAnsi="Times New Roman;serif"/>
          <w:b/>
          <w:i/>
          <w:sz w:val="20"/>
        </w:rPr>
      </w:pPr>
      <w:r>
        <w:rPr>
          <w:rFonts w:ascii="Times New Roman;serif" w:hAnsi="Times New Roman;serif"/>
          <w:b/>
          <w:i/>
          <w:sz w:val="20"/>
        </w:rPr>
        <w:t>Collaborations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Zymeworks - Breast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Our collaborator, Zymeworks, is sponsoring and managing an ongoing Phase 1 trial of zanidatamab for the treatment of advanced HER2-expressing breast cancer and other solid tumors in combination with evorpacept. The first subject was enrolled in October 2021.</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Zymeworks recently entered into a license agreement with Jazz Pharmaceuticals plc (Jazz). In December 2022, Jazz exercised its option to continue with its exclusive license to develop and commercialize zanidatamab in the United States, Europe, Japan and other certain territories. Under the terms of the license agreement, Jazz will be responsible for managing future zanidatamab-related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Quantum Leap Healthcare Collaborative - I-SPY Trial - Breast Cancer</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Our collaborator, Quantum Leap Healthcare Collaborative,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pStyle w:val="TextBody"/>
        <w:bidi w:val="0"/>
        <w:spacing w:before="40" w:after="0"/>
        <w:jc w:val="left"/>
        <w:rPr/>
      </w:pPr>
      <w:r>
        <w:rPr/>
        <w:t>▪</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Sanofi - Multiple Myeloma</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April 2023, we announced a collaboration with Sanofi who will sponsor and manage a Phase 1/2 trial of isatuximab and dexamethasone for the treatment of relapsed or refractory multiple myeloma in combination with evorpacept.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Tallac Therapeutics - ALTA-002</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0"/>
        <w:jc w:val="left"/>
        <w:rPr>
          <w:rFonts w:ascii="Times New Roman" w:hAnsi="Times New Roman"/>
          <w:b w:val="false"/>
          <w:sz w:val="20"/>
        </w:rPr>
      </w:pPr>
      <w:r>
        <w:rPr>
          <w:rFonts w:ascii="Times New Roman" w:hAnsi="Times New Roman"/>
          <w:b w:val="false"/>
          <w:sz w:val="20"/>
        </w:rPr>
        <w:t>o</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An investigational new drug (IND) filing for ALTA-002 is planned for the first half of 2023.</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Based on our preliminary clinical results to date in multiple oncology indications showing encouraging anti-tumor activity and tolerability and our clinical development plans, our strategy is to pursue evorpacept (evorpacept is the International Nonproprietary Name (INN) and the recommended United States Adopted Name (USAN); this product is also known as ALX148) as a potentially critical component of future oncology combination treatments.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 w:hAnsi="Times New Roman"/>
          <w:sz w:val="20"/>
        </w:rPr>
      </w:pPr>
      <w:r>
        <w:rPr>
          <w:rFonts w:ascii="Times New Roman;serif" w:hAnsi="Times New Roman;serif"/>
          <w:b w:val="false"/>
          <w:sz w:val="20"/>
        </w:rPr>
        <w:t>Additionally, with our acquisition of ScalmiBio, Inc. (ScalmiBio), we are planning to expand our pipeline of drug candidates to ADCs based on expertise in protein engineering and oncology.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(Sales Agreement) with Cantor Fitzgerald &amp; Co. and Credit Suisse Securities (USA) LLC, under which we may, subject to the effectiveness of the Shelf Registration Statement, offer and sell our common stock, having aggregate gross proceeds of up to $150.0 million, from time to time through them as our sales agents in an at-the-market offering. No securities have been sold pursuant to the Shelf Registration Statement or Sales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2022, we entered into a loan and security agreement (Loan Agreement) with Oxford Finance LLC, Oxford Finance Credit Fund II LP, and Silicon Valley Bank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from issuance of the term loan of $9.3 million, after deducting debt issuance costs of approximately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2023, SVB was closed by the California Department of Financial Protection and Innovation, which appointed the Federal Deposit Insurance Corporation (FDIC) to act as receiver. On March 13, 2023, the FDIC created Silicon Valley Bridge Bank, N.A. (SVBB) as successor to SVB. On March 27, 2023, First Citizens BancShares, Inc. (First Citizens Bank) acquired SVBB from the FDIC and plans to operate SVBB as Silicon Valley Bank, a division of First Citizens Bank (SVB-First Citizens). Under the Loan Agreement with Lenders,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inception through March 31, 2023, we have raised an aggregate of $554.6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and $9.3 million were net proceeds from borrowings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net losses in each year since inception. Our net losses were $30.2 million and $24.5 million for the three months ended March 31, 2023 and 2022, respectively. As of March 31, 2023, we had an accumulated deficit of $355.7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advance evorpacept through multiple clinical trials in multiple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pursue regulatory approval of evorpacept in solid tumors and hematological malignancies;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our discovery and preclinical and clinical development efforts, including our collaborations with Tallac, Zymeworks/Jazz, and Quantum Leap Healthcare Collaborative and our acquisition of ScalmiBio;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 and maintain patent, trade secret and other intellectual property protection and regulatory exclusivity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manufacture supplies for our preclinical studies and clinical trials;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 to add operational, financial and management information systems to support ongoing operations as a public company.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Components of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for the development of our lead product candidate, evorpacept, which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employee-related expenses, including salaries, related benefits, travel and stock-based compensation expenses for employees engaged in research and development functions;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related to production of clinical materials, including fees paid to contract manufacturing organizations, or CMOs;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vendor expenses and third-party drugs related to the execution of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facilities and other expenses, which include expenses for rent and maintenance of facilities, depreciation and amortization expense and other supplies;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milestone payments related to our ScalmiBio acquisition.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as further described in Note 9 to our unaudited condensed consolidated financial statements appearing elsewhere in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successful development of our current and future product candidates is highly uncertain. This is due to the numerous risks and uncertainties,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completion of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regulators or institutional review boards authorizing us or our investigators to commence our clinical trials or in our ability to negotiate agreements with clinical trial sites or CROs;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location of clinical sites included in the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raising additional funds necessary to complete clinical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and maintaining patent, trade secret and other intellectual property protection and regulatory exclusivity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contracting with third-party manufacturers for clinical supplies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protecting and enforcing our rights in our intellectual property portfolio, including, if necessary, litigation;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the products following approval.</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interest income consists primarily of interest income on cash, cash equivalents and short-term and long-term investments.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interest expense consists primarily of interest expense on the term loan, amortization of deferred debt issuance costs, and interest related to finance leases.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other income (expense), net consists primarily of realized foreign currency transaction gains and losses.</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 and Net Loss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March 31, 2023 and 2022 (in thousands):</w:t>
      </w:r>
    </w:p>
    <w:tbl>
      <w:tblPr>
        <w:tblW w:w="7697" w:type="dxa"/>
        <w:jc w:val="left"/>
        <w:tblInd w:w="0" w:type="dxa"/>
        <w:tblLayout w:type="fixed"/>
        <w:tblCellMar>
          <w:top w:w="28" w:type="dxa"/>
          <w:left w:w="28" w:type="dxa"/>
          <w:bottom w:w="28" w:type="dxa"/>
          <w:right w:w="28" w:type="dxa"/>
        </w:tblCellMar>
      </w:tblPr>
      <w:tblGrid>
        <w:gridCol w:w="2386"/>
        <w:gridCol w:w="146"/>
        <w:gridCol w:w="211"/>
        <w:gridCol w:w="736"/>
        <w:gridCol w:w="166"/>
        <w:gridCol w:w="146"/>
        <w:gridCol w:w="211"/>
        <w:gridCol w:w="736"/>
        <w:gridCol w:w="166"/>
        <w:gridCol w:w="146"/>
        <w:gridCol w:w="211"/>
        <w:gridCol w:w="631"/>
        <w:gridCol w:w="166"/>
        <w:gridCol w:w="146"/>
        <w:gridCol w:w="146"/>
        <w:gridCol w:w="631"/>
        <w:gridCol w:w="7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716" w:type="dxa"/>
            <w:tcBorders/>
            <w:vAlign w:val="center"/>
          </w:tcPr>
          <w:p>
            <w:pPr>
              <w:pStyle w:val="TableContents"/>
              <w:bidi w:val="0"/>
              <w:spacing w:before="0" w:after="0"/>
              <w:ind w:left="0" w:right="0" w:firstLine="200"/>
              <w:jc w:val="right"/>
              <w:rPr/>
            </w:pPr>
            <w:r>
              <w:rPr/>
              <w:t> </w:t>
            </w:r>
          </w:p>
        </w:tc>
      </w:tr>
      <w:tr>
        <w:trPr/>
        <w:tc>
          <w:tcPr>
            <w:tcW w:w="2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927</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12800</w:t>
            </w:r>
          </w:p>
        </w:tc>
        <w:tc>
          <w:tcPr>
            <w:tcW w:w="7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(30,184</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(5,651</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6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7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incurred for the three months ended March 31, 2023 and 2022 (in thousands):</w:t>
      </w:r>
    </w:p>
    <w:tbl>
      <w:tblPr>
        <w:tblW w:w="8052" w:type="dxa"/>
        <w:jc w:val="left"/>
        <w:tblInd w:w="0" w:type="dxa"/>
        <w:tblLayout w:type="fixed"/>
        <w:tblCellMar>
          <w:top w:w="28" w:type="dxa"/>
          <w:left w:w="28" w:type="dxa"/>
          <w:bottom w:w="28" w:type="dxa"/>
          <w:right w:w="28" w:type="dxa"/>
        </w:tblCellMar>
      </w:tblPr>
      <w:tblGrid>
        <w:gridCol w:w="3496"/>
        <w:gridCol w:w="146"/>
        <w:gridCol w:w="211"/>
        <w:gridCol w:w="676"/>
        <w:gridCol w:w="146"/>
        <w:gridCol w:w="146"/>
        <w:gridCol w:w="211"/>
        <w:gridCol w:w="676"/>
        <w:gridCol w:w="146"/>
        <w:gridCol w:w="146"/>
        <w:gridCol w:w="211"/>
        <w:gridCol w:w="571"/>
        <w:gridCol w:w="146"/>
        <w:gridCol w:w="146"/>
        <w:gridCol w:w="146"/>
        <w:gridCol w:w="316"/>
        <w:gridCol w:w="5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and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Preclinical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$7.7 million during the three months ended March 31, 2023 compared to the three months ended March 31, 2022. The increase was primarily attributable to (i) an increase of $4.7 million in clinical and development costs primarily due to $5.3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offset by a decrease of $0.6 million related to the Tallac Collaboration for costs related to the IND filing planned for 2023, for which the primary work was completed in 2022, (ii) an increase of $1.5 million in personnel and related costs primarily driven by headcount growth, (iii) an increase of $1.1 million in stock-based compensation expense due to additional awards granted since March 31, 2022 and (iv) an increase of $0.3 million in other research costs due primarily to an increase in facility costs related to the expansion of our new laboratory space.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general and administrative expenses incurred for the three months ended March 31, 2023 and 2022 (in thousands):</w:t>
      </w:r>
    </w:p>
    <w:tbl>
      <w:tblPr>
        <w:tblW w:w="7835" w:type="dxa"/>
        <w:jc w:val="left"/>
        <w:tblInd w:w="0" w:type="dxa"/>
        <w:tblLayout w:type="fixed"/>
        <w:tblCellMar>
          <w:top w:w="28" w:type="dxa"/>
          <w:left w:w="28" w:type="dxa"/>
          <w:bottom w:w="28" w:type="dxa"/>
          <w:right w:w="28" w:type="dxa"/>
        </w:tblCellMar>
      </w:tblPr>
      <w:tblGrid>
        <w:gridCol w:w="3541"/>
        <w:gridCol w:w="146"/>
        <w:gridCol w:w="213"/>
        <w:gridCol w:w="577"/>
        <w:gridCol w:w="147"/>
        <w:gridCol w:w="147"/>
        <w:gridCol w:w="213"/>
        <w:gridCol w:w="577"/>
        <w:gridCol w:w="146"/>
        <w:gridCol w:w="146"/>
        <w:gridCol w:w="211"/>
        <w:gridCol w:w="481"/>
        <w:gridCol w:w="166"/>
        <w:gridCol w:w="146"/>
        <w:gridCol w:w="146"/>
        <w:gridCol w:w="316"/>
        <w:gridCol w:w="5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costs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 costs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2,549</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7,440</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decreased by $0.2 million during the three months ended March 31, 2023 compared to the three months ended March 31, 2022. The decrease was primarily attributable to (i) a decrease of $0.3 million in stock-based compensation expense primarily due to forfeited employee stock options during the quarter and (ii) a decrease of $0.2 million in other general and administrative costs due primarily to a decrease of $0.5 million in corporate legal and patent costs, offset by an increase of $0.3 million in accounting consulting costs primarily related to software implementation consulting. These decreases were offset by an increase of $0.3 million in personnel and related costs primarily driven by headcount growth.</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increased by $2.1 million for the three months ended March 31, 2023 compared to the three months ended March 31, 2022. The increase was primarily attributable to higher interest rates.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increased by $0.4 million for the three months ended March 31, 2023 compared to the three months ended March 31, 2022. The increase was primarily attributable to the Loan Agreement, which the Company entered into in October 2022. There was no comparable interest expense on debt obligation during the three months ended March 31, 2022.</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increased by $0.1 million for the three months ended March 31, 2023 compared to the three months ended March 31, 2022. The increase was primarily attributable to other income from an immaterial service contract, under which the Company provides R&amp;D services for another company. There was no comparable other income during the three months ended March 31, 2022.</w:t>
        <w:br/>
      </w:r>
      <w:r>
        <w:rPr>
          <w:rFonts w:ascii="Times New Roman" w:hAnsi="Times New Roman"/>
          <w:sz w:val="20"/>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March 31, 2023, we had cash, cash equivalents and short-term and long-term investments of $256.2 million.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losses and negative cash flows from operations since inception and anticipate that we will continue to incur net losses for the foreseeable future. As of March 31, 2023, we had an accumulated deficit of $355.7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progress of preclinical and clinical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enrollment in and completion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outcome of regulatory review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agreements with third-party manufacturers for clinical supply for our clinical trials and, if any of our product candidates are approved, commercial manufacturing;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 and retention of key research and development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efforts to enhance operational, financial and information management systems, and hire additional personnel, including personnel to support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legal patent costs involved in prosecuting patent applications and enforcing patent claims and other intellectual property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terms and timing of any collaboration, license or other arrangement, including the terms and timing of any milestone and royalty payments thereunder;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such as inflation, economic downturns, disasters, and medical or public health crises;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bank failures or instability in the financial services sector, or geopolitical risks, which may exacerbate the magnitude of the factors discussed above.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agents in our at-the-market equity offering program, or the ATM Offering Program. On March 25, 2022, we filed a Shelf Registration Statement with the SEC. In May 2022, we filed an amendment to the Shelf Registration Statement, which was declared effective by the SEC on May 31, 2022. No sales have been made under the ATM Offering Program as of the date of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2022, we entered into the Loan Agreement with Oxford Finance LLC, Oxford Finance Credit Fund II LP, and Silicon Valley Bank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2023, Silicon Valley Bank (SVB) was closed by the California Department of Financial Protection and Innovation, which appointed the Federal Deposit Insurance Corporation (FDIC) to act as receiver. On March 13, 2023, the FDIC created Silicon Valley Bridge Bank, N.A. (SVBB) as successor to SVB. On March 27, 2023, First Citizens BancShares, Inc. (First Citizens Bank) acquired SVBB from the FDIC and plans to operate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with Lenders,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our existing cash, cash equivalents, short-term and long-term investments and funds available from our term loan will enable us to fund our operating expenses and capital expenditure requirements through the middle of 2025. We have based these estimates on assumptions in which actuals may materially differ, and we could utilize our available capital resources sooner than we expect.</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presents a summary of the net cash flow activity for the three months ended March 31, 2023 and 2022 (in thousands):</w:t>
      </w:r>
    </w:p>
    <w:tbl>
      <w:tblPr>
        <w:tblW w:w="843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841"/>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411" w:type="dxa"/>
            <w:tcBorders/>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(20,674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(183,921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(204,515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Operating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2023, net cash used in operating activities of $27.8 million was attributable to a net loss of $30.2 million and a change in our net operating assets and liabilities of $3.4 million, offset by non-cash charges of $5.8 million. The change in operating assets and liabilities was primarily due to (i) a decrease in accounts payable and accrued expenses and other current liabilities of $4.6 million primarily due to timing of invoices and payments, (ii) a decrease in other assets of $1.2 million, (iii) a decrease in prepaid and other current assets of $0.2 million and (iv) a decrease in other non-current liabilities of $0.2 million. Non-cash charges consisted primarily of stock-based compensation expense of $6.4 million and non-cash lease costs of $0.3 million offset by net amortization of premiums and accretion of discounts on investments of $1.1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2022, net cash used in operating activities of $20.7 million was attributable to a net loss of $24.5 million and a change in net operating assets and liabilities of $2.1 million, offset by non-cash charges of $6.0 million. The change in operating assets and liabilities was primarily due to (i) an increase in prepaid expenses and other current assets of $1.6 million, (ii) an increase in other assets of $0.3 million primarily due to long-term prepaid clinical costs and (iii) a net increase in accounts payable and accrued expenses and other current liabilities of $0.1 million primarily due to timing of invoices and payments. Non-cash charges consisted primarily of stock-based compensation expense of $5.5 million and non-cash lease costs of $0.3 million.</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2023, net cash provided by investing activities of $42.3 million was attributable to cash received for maturities of investments of $115.2 million offset by purchases of short-term and long-term investments of $72.2 million and purchases of property and equipment of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2022, net cash used in investing activities of $183.9 million was attributable to purchases of short-term and long-term investments of $183.3 million and purchases of property and equipment of $0.6 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2023, net cash used in financing activities was $0.1 million attributable to principal payments on finance leases of $0.1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2022, net cash provided by financing activities was $0.1 million and was attributable to proceeds from the exercise of stock options under equity incentive plans of $0.2 million offset by principal payments on finance leases of $0.1 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period presented, we did not have, nor do we currently have, any off-balance sheet arrangements, as defined in the rules and regulations of the SEC.</w:t>
      </w:r>
    </w:p>
    <w:p>
      <w:pPr>
        <w:pStyle w:val="TextBody"/>
        <w:bidi w:val="0"/>
        <w:spacing w:before="12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2022. During the three months ended March 31, 2023, there were no material changes to our critical accounting policies and estimates from those discussed in the Company’s Annual Report on Form 10-K for the year ended December 31, 2022 filed with the SEC on March 9, 2023.</w:t>
      </w:r>
    </w:p>
    <w:p>
      <w:pPr>
        <w:pStyle w:val="TextBody"/>
        <w:bidi w:val="0"/>
        <w:spacing w:before="12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See “Note 2. Significant Accounting Policies - Recent Accounting Pronouncements” to our condensed consolidated financial statements included elsewhere in this Quarterly Report on Form 10-Q for more information.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2" w:name="part1_item3_risk"/>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market risks in the ordinary course of our business. These risks primarily include interest rate sensitivities.</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cash, cash equivalents and investments of $256.2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March 31, 2023, we had borrowings of $10.0 million outstanding under our term loan facility, or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Credit Risk</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On March 10, 2023, SVB, where the Company maintained operating accounts with a cash balance of less than 1% of the Company’s total cash, cash equivalents and investments, was closed by the California Department of Financial Protection and Innovation, which appointed the FDIC to act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13, 2023, the FDIC created Silicon Valley Bridge Bank, N.A. (SVBB) as successor to SVB. On March 27, 2023, First Citizens BancShares, Inc. (First Citizens Bank) acquired SVBB from the FDIC and assumed all of SVB’s deposits and loans. In light of the foregoing, the Company does not believe that it has exposure to loss as a result of SVB’s receivership.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periods presented, the Company has not experienced any realized losses on its deposits of cash, cash equivalents or investments.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Foreign 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pStyle w:val="TextBody"/>
        <w:bidi w:val="0"/>
        <w:spacing w:before="360" w:after="0"/>
        <w:jc w:val="left"/>
        <w:rPr>
          <w:rFonts w:ascii="Times New Roman;serif" w:hAnsi="Times New Roman;serif"/>
          <w:b/>
          <w:sz w:val="20"/>
        </w:rPr>
      </w:pPr>
      <w:bookmarkStart w:id="13" w:name="part1_item4_controls"/>
      <w:bookmarkEnd w:id="13"/>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2023.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during the quarter ended March 31, 2023 that materially affected, or are reasonably likely to materially affect, our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bookmarkStart w:id="14" w:name="part2"/>
      <w:bookmarkEnd w:id="14"/>
      <w:r>
        <w:rPr>
          <w:rFonts w:ascii="Times New Roman;serif" w:hAnsi="Times New Roman;serif"/>
          <w:b/>
          <w:sz w:val="20"/>
        </w:rPr>
        <w:t>PART II — OTHER INFORMATION</w:t>
      </w:r>
    </w:p>
    <w:p>
      <w:pPr>
        <w:pStyle w:val="TextBody"/>
        <w:bidi w:val="0"/>
        <w:spacing w:before="360" w:after="0"/>
        <w:jc w:val="left"/>
        <w:rPr>
          <w:rFonts w:ascii="Times New Roman" w:hAnsi="Times New Roman"/>
          <w:sz w:val="20"/>
        </w:rPr>
      </w:pPr>
      <w:bookmarkStart w:id="15" w:name="part2_item1_legal"/>
      <w:bookmarkEnd w:id="15"/>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0"/>
        <w:jc w:val="left"/>
        <w:rPr>
          <w:rFonts w:ascii="Times New Roman;serif" w:hAnsi="Times New Roman;serif"/>
          <w:b/>
          <w:sz w:val="20"/>
        </w:rPr>
      </w:pPr>
      <w:bookmarkStart w:id="16" w:name="part2_item1a_rf"/>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120" w:after="0"/>
        <w:jc w:val="left"/>
        <w:rPr>
          <w:rFonts w:ascii="Times New Roman;serif" w:hAnsi="Times New Roman;serif"/>
          <w:b/>
          <w:sz w:val="20"/>
        </w:rPr>
      </w:pPr>
      <w:r>
        <w:rPr>
          <w:rFonts w:ascii="Times New Roman;serif" w:hAnsi="Times New Roman;serif"/>
          <w:b/>
          <w:sz w:val="20"/>
        </w:rPr>
        <w:t>Risk Factors Summary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incurred significant net losses since our inception, and we expect to continue to incur significant net losses for the foreseeable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have no products approved for commercial sale, and have not generated any revenue from product sales, licenses or collaborations;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product candidates may cause significant adverse events or other undesirable side effects when used alone or in combination with other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third-party manufacturers for clinical supplies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levels of our debt and compliance with the terms of our loan agreement could restrict our ability to operate our business;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COVID-19 pandemic and geopolitical unrest related to Russia’s war with Ukraine could adversely impact our business including our ongoing and planned clinical trials and preclinical research;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price of our stock may be volatile, and you could lose all or part of your investment;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 the past, we have identified material weaknesses in our internal control over financial reporting, and if we are unable to implement and maintain effective internal control over financial reporting in the future, investors may lose confidence in our financial reports.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Financial Position and Need for Additional Capital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have incurred significant net losses since our inception, and we expect to continue to incur significant net losses for the foreseeable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$30.2 million and $24.5 million for the three months ended March 31, 2023 and 2022, respectively. As of March 31, 2023, we had an accumulated deficit of $355.7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cash, cash equivalents and investments of $256.2 million. Based on our current operating plan, we believe that our existing cash, cash equivalents, investments and funds available from our term loan, will be sufficient to fund our operations through the middle of 2025.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obtain further funding through public or private equity offerings, debt financings, collaborations and licensing arrangements or other sources, which may dilute our stockholders or restrict our operating activities. Other than the loan and security agreement (Loan Agreement) we entered into with Oxford Finance LLC, Oxford Finance Credit Fund II LP and Silicon Valley Bank (SVB) (collectively, the Lenders) in the fourth quarter of 2022, we do not have any committed external source of funds. SVB was closed in March 2023, and the FDIC was appointed as receiver to SVB. The FDIC created Silicon Valley Bridge Bank (SVBB) as successor to SVB, which was acquired by First Citizens Bank, and is now operated as a division of First Citizens Bank (SVB-First Citizens). While we expect SVB-First Citizens to continue to fulfill SVB’s obligations under the Loan Agreement, there can be no assurance that the full credit facility under the Loan Agreement, of which SVB was committed to fund 50%, will continue to be available to us.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0"/>
        <w:jc w:val="left"/>
        <w:rPr>
          <w:rFonts w:ascii="Times New Roman" w:hAnsi="Times New Roman"/>
          <w:sz w:val="20"/>
        </w:rPr>
      </w:pPr>
      <w:r>
        <w:rPr>
          <w:rFonts w:ascii="Times New Roman;serif" w:hAnsi="Times New Roman;serif"/>
          <w:b/>
          <w:i/>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and timely completion of preclinical and clinical development of our lead product candidate, evorpacept, and our other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timely receipt of marketing approvals from applicable regulatory authorities for any product candidates for which we successfully complete clinical development;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of any required post-marketing approval commitments to applicable regulatory authorities;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continued acceptable safety profile following any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commercial acceptance of evorpacept and any future product candidates as viable treatment options by patients, the medical community and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favorable coverage and adequate reimbursement by third-party payors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addressing any competing therapies and technological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assessing, acquiring and developing new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and expanding patent protection, trade secret protection and regulatory exclusivity, both in the United States and internationally;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protecting our rights in our intellectual property portfolio, including our licensed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defending against third-party interference or infringement claims,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terms of our Loan Agreement require us to meet certain operating and financial covenants, place restrictions on our operating and financial flexibility, and may subject us to default.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2022, we entered into the Loan Agreement with the Lenders, under which we have borrowed $10.0 million and we have access to draw an additional $40.0 million through the end of 2023.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One of the Lenders, Silicon Valley Bank (SVB) was closed in March 2023, and the FDIC was appointed as receiver to SVB. The FDIC created Silicon Valley Bridge Bank (SVBB) as successor to SVB, which was acquired by First Citizens Bank and currently operates as a division of First Citizens Bank (SVB-First Citizens). While we expect SVB-First Citizens to continue to fulfill SVB’s obligations under the Loan Agreement, there can be no assurance that the full credit facility under the Loan Agreement, of which SVB was committed to fund 50%, will continue to be available to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We are also obligated to pay other customary fees for a loan facility of this type and size.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the Discovery, Development and Commercialization of Our Product Candidates</w:t>
      </w:r>
    </w:p>
    <w:p>
      <w:pPr>
        <w:pStyle w:val="TextBody"/>
        <w:bidi w:val="0"/>
        <w:spacing w:before="120" w:after="0"/>
        <w:jc w:val="left"/>
        <w:rPr>
          <w:rFonts w:ascii="Times New Roman" w:hAnsi="Times New Roman"/>
          <w:sz w:val="20"/>
        </w:rPr>
      </w:pPr>
      <w:r>
        <w:rPr>
          <w:rFonts w:ascii="Times New Roman;serif" w:hAnsi="Times New Roman;serif"/>
          <w:b/>
          <w:i/>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bladder cancer,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know whether our future clinical trials will begin or enroll subjects on time or whether our ongoing and/or future clinical trials will be completed on schedule or at all. Clinical trials can be delayed for a variety of reasons, including delays related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approval to commence a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reaching agreement on acceptable terms with prospective CROs and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institutional review board approval at each clinical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adding necessary new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recruiting suitable subjects to participate in a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noncompliance with clinical trial protocols;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investigational site or trial subjects withdrawing or dropping out of clinical trials at a higher rate than anticipated;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manufacturing sufficient quantities of product candidate for use in clinical trials. </w:t>
      </w:r>
    </w:p>
    <w:p>
      <w:pPr>
        <w:pStyle w:val="TextBody"/>
        <w:bidi w:val="0"/>
        <w:spacing w:before="120" w:after="0"/>
        <w:jc w:val="left"/>
        <w:rPr>
          <w:rFonts w:ascii="Times New Roman" w:hAnsi="Times New Roman"/>
          <w:sz w:val="20"/>
        </w:rPr>
      </w:pPr>
      <w:r>
        <w:rPr>
          <w:rFonts w:ascii="Times New Roman;serif" w:hAnsi="Times New Roman;serif"/>
          <w:b w:val="false"/>
          <w:sz w:val="20"/>
        </w:rPr>
        <w:t>We may experience numerous unforeseen events during, or as a result of, clinical trials that could delay or prevent receipt of marketing approval or our ability to commercialize our product candidates,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receipt of feedback from regulatory authorities that requires us to modify the design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third-party contractors failing to comply with regulatory requirements or meet their contractual obligations to us in a timely manner,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clinical trials of our product candidates are greater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supply or quality of our product candidates or other materials necessary to conduct clinical trials of our product candidates being insufficient or inadequate;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regulators revising the requirements for approving our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removed the partial clinical hold and patient cap on our two ongoing Phase 2 studies in patients with HNSCC. No impact was incurred on patient enrollment or study timelines as a result of the partial clinical hold.</w:t>
      </w:r>
    </w:p>
    <w:p>
      <w:pPr>
        <w:pStyle w:val="TextBody"/>
        <w:bidi w:val="0"/>
        <w:spacing w:before="120" w:after="0"/>
        <w:jc w:val="left"/>
        <w:rPr>
          <w:rFonts w:ascii="Times New Roman" w:hAnsi="Times New Roman"/>
          <w:sz w:val="20"/>
        </w:rPr>
      </w:pPr>
      <w:r>
        <w:rPr>
          <w:rFonts w:ascii="Times New Roman;serif" w:hAnsi="Times New Roman;serif"/>
          <w:b/>
          <w:i/>
          <w:sz w:val="20"/>
        </w:rPr>
        <w:t>If we experience delays or difficulties in the enrollment of subjects in clinical trials and/or retention of subjects in clinical trials, our regulatory submissions or receipt of necessary marketing approvals could be delayed or prevented.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size and nature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severity of the disease under investigation;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 eligibility criteria for the trial in question;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perceived risks and benefits of the product candidate under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efforts to facilitate timely enrollment in clinical trials by us and the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 referral practices of physicians;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monitor subjects adequately during and after the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proximity of clinical trial sites to prospective subjects;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 of subjects enrolled in clinical trials dropping out before completion;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or delay in enrollment of subjects due to a variety of reasons, including outbreaks and public health crises, such as the COVID-19 pandemic;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inability to appropriately enroll an ethnically and racially diverse patient population representative of the target patient population.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0"/>
        <w:jc w:val="left"/>
        <w:rPr>
          <w:rFonts w:ascii="Times New Roman" w:hAnsi="Times New Roman"/>
          <w:sz w:val="20"/>
        </w:rPr>
      </w:pPr>
      <w:r>
        <w:rPr>
          <w:rFonts w:ascii="Times New Roman;serif" w:hAnsi="Times New Roman;serif"/>
          <w:b/>
          <w:i/>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0"/>
        <w:jc w:val="left"/>
        <w:rPr>
          <w:rFonts w:ascii="Times New Roman" w:hAnsi="Times New Roman"/>
          <w:sz w:val="20"/>
        </w:rPr>
      </w:pPr>
      <w:r>
        <w:rPr>
          <w:rFonts w:ascii="Times New Roman;serif" w:hAnsi="Times New Roman;serif"/>
          <w:b/>
          <w:i/>
          <w:sz w:val="20"/>
        </w:rPr>
        <w:t>We face substantial competition which may result in others discovering, developing or commercializing products before or more successfully than we do.</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these competitive products and therapies are based on scientific approaches that are the same as or similar to our approach, including with respect to the targeting of the CD47 pathway and others are based on entirely different approaches. We are aware that AbbVie (through its licensing agreement with I-Mab), Adagene, Akesobio, Apexigen, Bio-Thera Solutions, Boehringer Ingelheim, Bristol Myers Squibb, Byondis, Centessa, Conjupro Biotherapeutics, CTTQ (SinoBiological), GenSci, Gilead Sciences (through its acquisition of Forty Seven), Hisun, Hutchmed, I-Mab, Ichnos, ImmuneOncia Therapeutics, ImmunceOnco Biopharma, Innovent, Kahr, LaNova, Mabwell Therapeutics, Mabworks, Novimmune, OSE Immunotherapeutics, Pfizer (through its acquisition of Trillium Therapeutics), Phanes, Shandong New Time, Shattuck Labs, Sorrento Therapeutics, Sumgen, SunHo Pharmaceutical,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i/>
          <w:sz w:val="20"/>
        </w:rPr>
        <w:t>Even if our product candidates receive regulatory approval, they will be subject to significant post-marketing regulatory requirements and oversight.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Times New Roman;serif" w:hAnsi="Times New Roman;serif"/>
          <w:b w:val="false"/>
          <w:i/>
          <w:sz w:val="20"/>
        </w:rPr>
        <w:t>e.g.</w:t>
      </w:r>
      <w:r>
        <w:rPr>
          <w:rFonts w:ascii="Times New Roman;serif" w:hAnsi="Times New Roman;serif"/>
          <w:b w:val="false"/>
          <w:sz w:val="20"/>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the rejection of product approvals;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restrictions on our ability to conduct clinical trials, including full or partial clinical holds on ongoing or planned trials;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products, manufacturers or manufacturing process;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warning or untitled letters;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civil and criminal penalties;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withdrawal of regulatory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seizures, detentions or import bans;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voluntary or mandatory product recalls and publicity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total or partial suspension of production;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imposition of restrictions on operations, including costly new manufacturing requirements.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0"/>
        <w:jc w:val="left"/>
        <w:rPr>
          <w:rFonts w:ascii="Times New Roman" w:hAnsi="Times New Roman"/>
          <w:sz w:val="20"/>
        </w:rPr>
      </w:pPr>
      <w:r>
        <w:rPr>
          <w:rFonts w:ascii="Times New Roman;serif" w:hAnsi="Times New Roman;serif"/>
          <w:b/>
          <w:i/>
          <w:sz w:val="20"/>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Material modifications in the methods of product candidate manufacturing or formulation may result in additional costs or delay.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pStyle w:val="TextBody"/>
        <w:bidi w:val="0"/>
        <w:spacing w:before="120" w:after="0"/>
        <w:jc w:val="left"/>
        <w:rPr>
          <w:rFonts w:ascii="Times New Roman" w:hAnsi="Times New Roman"/>
          <w:sz w:val="20"/>
        </w:rPr>
      </w:pPr>
      <w:r>
        <w:rPr>
          <w:rFonts w:ascii="Times New Roman;serif" w:hAnsi="Times New Roman;serif"/>
          <w:b w:val="false"/>
          <w:sz w:val="20"/>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also may be implicated if any of our CROs violates fraud and abuse or false claims laws and regulations or healthcare privacy and security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the product candidate as well as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a product candidate is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approval of other new therapies for the same indications;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prevalence and severity of any adverse side effects associated with evorpacept and our other product candidates;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contained in the labeling approved for evorpacept or our other product candidates by the FDA or foreign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alternative treatments and the potential and perceived advantages of our product candidates over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of the target patient population and the willingness of the target patient population to try new therapies and of physicians to prescribe these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and effectiveness of marketing and distribution support and timing of market introduction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publicity for our product candidates and competing products and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pricing and cost-effectiveness in relation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relative convenience and ease of administration;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sufficient third-party coverage or reimbursement, and the willingness of patients to pay out-of-pocket in the absence of third-party coverage;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is approved but does not achieve an adequate level of acceptance by patients, physicians and third-party payors, we may not generate sufficient revenue to become or remain profitable and our business may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The market opportunities for the product candidates we develop, if approved, may be limited to certain smaller patient subsets.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any of our product candidates receive marketing approval, if we or others later identify undesirable or unacceptable side effects caused by such products: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us to take our approved product off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specific warnings, contraindication, precaution or field alerts to physicians and pharmacies;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limitations on how we may promote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the product may decrease significantly;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litigation or product liability claims;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any products for which we may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set a price that we believe is fair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coverage and adequate reimbursement for a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w:t>
      </w:r>
    </w:p>
    <w:p>
      <w:pPr>
        <w:pStyle w:val="TextBody"/>
        <w:bidi w:val="0"/>
        <w:spacing w:before="120" w:after="0"/>
        <w:jc w:val="left"/>
        <w:rPr>
          <w:rFonts w:ascii="Times New Roman" w:hAnsi="Times New Roman"/>
          <w:sz w:val="20"/>
        </w:rPr>
      </w:pPr>
      <w:r>
        <w:rPr>
          <w:rFonts w:ascii="Times New Roman;serif" w:hAnsi="Times New Roman;serif"/>
          <w:b/>
          <w:i/>
          <w:sz w:val="20"/>
        </w:rPr>
        <w:t>The FDA and other regulatory agencies actively enforce the laws and regulations prohibiting the promotion of off-label uses.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120" w:after="0"/>
        <w:jc w:val="left"/>
        <w:rPr>
          <w:rFonts w:ascii="Times New Roman" w:hAnsi="Times New Roman"/>
          <w:sz w:val="20"/>
        </w:rPr>
      </w:pPr>
      <w:r>
        <w:rPr>
          <w:rFonts w:ascii="Times New Roman;serif" w:hAnsi="Times New Roman;serif"/>
          <w:b/>
          <w:i/>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or manufacturing of the drug;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the drug from the market or voluntary or mandatory product recalls;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publicity, fines, warning letters or holds on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drug product seizure or detention, or refusal to permit the import or export of product candidates;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Applications for our product candidates could fail to receive regulatory approval for many reasons, including but not limited to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disagree with the design, implementation or results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disagree with our interpretation of data from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has granted Fast Track designation for evorpacept in combination with pembrolizumab, platinum, and fluorouracil for the first-line treatment of adult patients with metastatic or unresectable, recurrent HNSCC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and for evorpacept in combination with pembrolizumab for first-line treatment of adult patients with metastatic or unresectable, recurrent HNSCC whose tumors express PD-L1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While we have received certain orphan drug designations,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and in June 2022, we were granted ODD to evorpacept for the treatment of patients with AML.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our drugs, if we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receive or set a price that we believe is fair for our drugs;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availability of capital. </w:t>
      </w:r>
    </w:p>
    <w:p>
      <w:pPr>
        <w:pStyle w:val="TextBody"/>
        <w:bidi w:val="0"/>
        <w:spacing w:before="120" w:after="0"/>
        <w:jc w:val="left"/>
        <w:rPr>
          <w:rFonts w:ascii="Times New Roman" w:hAnsi="Times New Roman"/>
          <w:sz w:val="20"/>
        </w:rPr>
      </w:pPr>
      <w:r>
        <w:rPr>
          <w:rFonts w:ascii="Times New Roman;serif" w:hAnsi="Times New Roman;serif"/>
          <w:b w:val="false"/>
          <w:sz w:val="20"/>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Under current legislation, the actual reduction in Medicare payments can vary from 1% in 2022 to up to 4% in the final fiscal year of this sequester.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serif" w:hAnsi="Times New Roman;serif"/>
          <w:b w:val="false"/>
          <w:i/>
          <w:sz w:val="20"/>
        </w:rPr>
        <w:t>i.e.</w:t>
      </w:r>
      <w:r>
        <w:rPr>
          <w:rFonts w:ascii="Times New Roman;serif" w:hAnsi="Times New Roman;serif"/>
          <w:b w:val="false"/>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U.S. Federal Food, Drug and Cosmetic Act prohibits, among other things, the adulteration or misbranding of drugs, biologics and medical devices.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do not comply with laws regulating the protection of the environment and health and human safety, our business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Disruptions at the FDA,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COVD-19 pandemic, the FDA has postponed certain inspections. While the FDA has largely caught up with domestic preapproval inspections, it continues to work through its backlog of foreign inspections. 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120" w:after="0"/>
        <w:jc w:val="left"/>
        <w:rPr>
          <w:rFonts w:ascii="Times New Roman" w:hAnsi="Times New Roman"/>
          <w:sz w:val="20"/>
        </w:rPr>
      </w:pPr>
      <w:r>
        <w:rPr>
          <w:rFonts w:ascii="Times New Roman;serif" w:hAnsi="Times New Roman;serif"/>
          <w:b/>
          <w:i/>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0"/>
        <w:jc w:val="left"/>
        <w:rPr>
          <w:rFonts w:ascii="Times New Roman" w:hAnsi="Times New Roman"/>
          <w:sz w:val="20"/>
        </w:rPr>
      </w:pPr>
      <w:r>
        <w:rPr>
          <w:rFonts w:ascii="Times New Roman;serif" w:hAnsi="Times New Roman;serif"/>
          <w:b w:val="false"/>
          <w:sz w:val="20"/>
        </w:rPr>
        <w:t>We may collect, process, use or transfer personal information from individuals located in the European Economic Area, or EEA, Switzerland and the United Kingdom in connection with our business, including in connection with conducting clinical trials in these regions.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The GDPR, UK GDPR and FADP also restrict the transfer of personal information outside of the EEA, United Kingdom and Switzerland respectively, unless appropriate safeguards are in place.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One of the primary safeguards, the Standard Contractual Clauses adopted by the European Commission, has been recently updated. With regard to the data transfers outside of the EEA to the United States, in March 2022, the European Union and United States announced a political agreement on a new framework for personal information transfers. On December 13, 2022, the European Commission published a draft decision regarding the adequacy of this new framework. Once this framework has been formalized and officially adopted, we may consider relying on it to transfer personal information from the EEA to the United States.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Draft regulations to the CPRA are currently under review but we will not have clarity regarding our compliance obligations until the regulations are finalized. Other states are beginning to consider and pass similar laws, such as Virginia, Colorado, Utah, and Connecticut.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maintain and enforce patent protection for our product candidates and related technology, our business could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opposition or derivation proceedings challenging our patent rights or the patent rights of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pending application in Russia, one granted patent in Eurasia, and one pending application in Eurasia.</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Changes in patent laws or patent jurisprudence could diminish the value of patents in general, thereby impairing our ability to protect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0"/>
        <w:jc w:val="left"/>
        <w:rPr>
          <w:rFonts w:ascii="Times New Roman" w:hAnsi="Times New Roman"/>
          <w:sz w:val="20"/>
        </w:rPr>
      </w:pPr>
      <w:r>
        <w:rPr>
          <w:rFonts w:ascii="Times New Roman;serif" w:hAnsi="Times New Roman;serif"/>
          <w:b w:val="false"/>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serif" w:hAnsi="Times New Roman;serif"/>
          <w:b w:val="false"/>
          <w:i/>
          <w:sz w:val="20"/>
        </w:rPr>
        <w:t>e.g.</w:t>
      </w:r>
      <w:r>
        <w:rPr>
          <w:rFonts w:ascii="Times New Roman;serif" w:hAnsi="Times New Roman;serif"/>
          <w:b w:val="false"/>
          <w:sz w:val="20"/>
        </w:rPr>
        <w:t xml:space="preserve">, via post-grant reviews or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patents covering one or more of our product candidates could be found invalid or unenforceable if challenged.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0"/>
        <w:jc w:val="left"/>
        <w:rPr>
          <w:rFonts w:ascii="Times New Roman" w:hAnsi="Times New Roman"/>
          <w:sz w:val="20"/>
        </w:rPr>
      </w:pPr>
      <w:r>
        <w:rPr>
          <w:rFonts w:ascii="Times New Roman;serif" w:hAnsi="Times New Roman;serif"/>
          <w:b w:val="false"/>
          <w:sz w:val="20"/>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Patent protection, prosecution, assertion and defense for some of our product candidates may be dependent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become involved in lawsuits to protect or enforce our patents and trade secrets,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are examples of litigation and other adversarial proceedings or disputes that we could become a party to involving our patents or patents licensed to us: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initiate litigation or other proceedings against third parties to enforce our patent and trade secret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0"/>
        <w:jc w:val="left"/>
        <w:rPr>
          <w:rFonts w:ascii="Times New Roman" w:hAnsi="Times New Roman"/>
          <w:sz w:val="20"/>
        </w:rPr>
      </w:pPr>
      <w:r>
        <w:rPr>
          <w:rFonts w:ascii="Times New Roman;serif" w:hAnsi="Times New Roman;serif"/>
          <w:b w:val="false"/>
          <w:sz w:val="20"/>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commercial success depends in part on our ability to operate without infringing the patents and other proprietary rights of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On October 18, 2022, a hearing was held before the Board of Appeal of the European Patent Office (Board of Appeal), at the conclusion of which the Board of Appeal ruled in favor of UHN with respect to the matter on appeal but remanded the case back to Opposition Division of the European Patent Office (Opposition Division) for consideration of a separate issue bearing on the validity of European patent (EP 2 429 574). The hearing before the Opposition Division has been scheduled for November 27, 2023. The patent claims under review, if upheld by the Opposition Division, could potentially limit our ability to pursue evorpacept in certain indications in certain geographies in the future. The U.S. counterpart was recently granted as U.S. patent 10,907,209. However,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intellectual property rights will not necessarily provide us with competitive advantages.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without infringing our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fail to develop additional proprietary technologies that are patentable;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 aforementioned threats to our competitive advantage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will need to obtain FDA approval for any proposed product candidate names, and any failure or delay associated with product candidate name approval may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rights to develop and commercialize our product candidates may be subject, in part, to the terms and conditions of agreements with others.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disputes may arise regarding intellectual property subject to a collaboration agreement,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the option or license rights granted under the agreement and other interpretation-related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sublicensing of patent and other rights under our collaborative development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diligence obligations under the agreement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priority of invention of patented technology.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Operations</w:t>
      </w:r>
    </w:p>
    <w:p>
      <w:pPr>
        <w:pStyle w:val="TextBody"/>
        <w:bidi w:val="0"/>
        <w:spacing w:before="120" w:after="0"/>
        <w:jc w:val="left"/>
        <w:rPr>
          <w:rFonts w:ascii="Times New Roman" w:hAnsi="Times New Roman"/>
          <w:sz w:val="20"/>
        </w:rPr>
      </w:pPr>
      <w:r>
        <w:rPr>
          <w:rFonts w:ascii="Times New Roman;serif" w:hAnsi="Times New Roman;serif"/>
          <w:b/>
          <w:i/>
          <w:sz w:val="20"/>
        </w:rPr>
        <w:t>In order to successfully implement our plans and strategies, we will need to grow the size of our organization, and we may experience difficulties in managing this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65 employees, including 51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identifying, recruiting, integrating, retaining and motivating additional employees;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maintaining and updating our operational, financial and management controls, reporting systems and procedures.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0"/>
        <w:jc w:val="left"/>
        <w:rPr>
          <w:rFonts w:ascii="Times New Roman" w:hAnsi="Times New Roman"/>
          <w:sz w:val="20"/>
        </w:rPr>
      </w:pPr>
      <w:r>
        <w:rPr>
          <w:rFonts w:ascii="Times New Roman;serif" w:hAnsi="Times New Roman;serif"/>
          <w:b/>
          <w:i/>
          <w:sz w:val="20"/>
        </w:rPr>
        <w:t>Our product candidates are based on a novel technology, which makes it difficult to predict the time and cost of product candidate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Additionally, layoffs or furloughs, pausing recruiting efforts, or employee attrition could also create delays in the development of our product candidates and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international operations may expose us to business, regulatory, political, operational, financial, pricing and reimbursement risks associated with doing business outside of the United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us to obtain and maintain regulatory approvals for the use of our products in various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rejection or qualification of foreign clinical trial data by the competent authorities of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staffing and managing foreign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complexities associated with managing multiple payor reimbursement regimes, government payors or patient self-pay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limits in our ability to penetrate international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exposure to foreign currency exchange rate fluctuations;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political and economic instability, such as the geopolitical tensions and regional economic disruptions caused by Russia’s war with Ukraine, and including wars, terrorism and political unrest, boycotts, curtailment of trade and other business restrictions;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natural disasters, such as a fire, an earthquake or a flood, or outbreaks or public health crises, such as the COVID-19 pandemic;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cybersecurity breach or incident or a related breach of our information systems or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certain expenses including, among others, expenses for travel, translation and insurance;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factors could harm our future international expansion and operations and, consequently, our results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0"/>
        <w:jc w:val="left"/>
        <w:rPr>
          <w:rFonts w:ascii="Times New Roman" w:hAnsi="Times New Roman"/>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The COVID-19 pandemic could adversely impact our business including our ongoing and planned clinical trials and preclinical research.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COVID-19 pandemic continues to impact worldwide economic activity and financial markets. The extent to which the COVID-19 pandemic ultimately impacts our business will depend on future developments, which are highly uncertain and cannot be predicted. Examples of disruptions to our business from COVID-19 have included, or could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or difficulties in enrolling and retaining subjects, particularly elderly subjects, who are at a higher risk of severe illness or death from COVID-19, in our ongoing clinical trials of evorpacept and our future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or difficulties in clinical site initiation, including difficulties in recruiting clinical site investigators and clinical site staff;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interpreting data from our clinical trials due to the possible effects of COVID-19 on subjects;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healthcare resources away from the conduct of clinical trials, including the diversion of hospitals serving as our clinical trial sites and hospital staff supporting the conduct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of key clinical trial activities, such as clinical trial site monitoring, due to limitations on travel imposed or recommended by federal or state governments, employers and others;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difficulties or delays arising in our existing operations and company culture as a result of our hybrid working model;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receiving approval from regulatory authorities to initiate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in preclinical studies due to restricted or limited operations at the CROs conducting such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or delays in the operations of the FDA or other domestic or foreign regulatory authorities, which may impact review and approval timelines;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receiving the supplies, materials and services needed to conduct clinical trials and preclinical research;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regulations as part of a response to the COVID-19 pandemic which may require us to change the ways in which our clinical trials are conducted, which may result in unexpected costs or require us to discontinue the clinical trial altogether;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interruptions or delays to our development pipeline;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necessary interactions with regulators, ethics committees and other important agencies and contractors due to limitations in employee resources or forced furlough of government or contractor personnel;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refusal of the FDA to accept data from clinical trials in affected geographies outside of the United States. </w:t>
      </w:r>
    </w:p>
    <w:p>
      <w:pPr>
        <w:pStyle w:val="TextBody"/>
        <w:bidi w:val="0"/>
        <w:spacing w:before="120" w:after="0"/>
        <w:jc w:val="left"/>
        <w:rPr>
          <w:rFonts w:ascii="Times New Roman" w:hAnsi="Times New Roman"/>
          <w:sz w:val="20"/>
        </w:rPr>
      </w:pPr>
      <w:r>
        <w:rPr>
          <w:rFonts w:ascii="Times New Roman;serif" w:hAnsi="Times New Roman;serif"/>
          <w:b w:val="false"/>
          <w:sz w:val="20"/>
        </w:rPr>
        <w:t>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the COVID-19 pandemic continues to pose a threat on our ability to effectively conduct our business operations as planned and there can be no assurance that we will be able to avoid a material impact on our business from the COVID-19 pandemic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and Palo Alto offices with flexibility to work from home, as needed. We continue to closely monitor the pandemic and may adjust our current policies as appropriate based on relevant public health guidance and local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we experienced delays in the procurement of materials or manufacturing supply chains for one or more of our product candidates, which could delay or otherwise impact our preclinical studies and our planned clinical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FDA has issued substantial pandemic-related guidance regarding, among other things, clinical trials and manufacturing. Should the FDA issue additional guidance with respect to COVID-19 protocols as related to the implementation of our clinical trials, the costs of such clinical trials may increase. Further, we may be required to develop and implement additional clinical trial policies and procedures designed to help protect subjects from the COVID-19 virus, and any variants of the coronavirus that may emerge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the COVID-19 pandemic adversely affects our business and financial results, it may also have the effect of heightening many of the other risks described in this “Risk Factors” section.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acquire businesses or assets and we may not realize the benefits of such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acquire businesses or assets or create joint ventures with third parties that we believe may complement our existing product candidates. For example, in October 2021, we acquired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0"/>
        <w:jc w:val="left"/>
        <w:rPr>
          <w:rFonts w:ascii="Times New Roman" w:hAnsi="Times New Roman"/>
          <w:sz w:val="20"/>
        </w:rPr>
      </w:pPr>
      <w:r>
        <w:rPr>
          <w:rFonts w:ascii="Times New Roman;serif" w:hAnsi="Times New Roman;serif"/>
          <w:b/>
          <w:i/>
          <w:sz w:val="20"/>
        </w:rPr>
        <w:t>Our ability to utilize our net operating loss carryforwards and certain other tax attributes may be limited.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2022, we had net operating loss carryforwards of approximately $46.8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Irish net operating loss carryforwards of approximately $4.6 million. These Irish net operating loss carryforwards do not expire but may not be fully utilized unless we generate sufficient income in Ireland. Under Irish law, where a company makes a loss in its trade, it can offset that loss against other income of the same accounting period or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0"/>
        <w:jc w:val="left"/>
        <w:rPr>
          <w:rFonts w:ascii="Times New Roman" w:hAnsi="Times New Roman"/>
          <w:sz w:val="20"/>
        </w:rPr>
      </w:pPr>
      <w:r>
        <w:rPr>
          <w:rFonts w:ascii="Times New Roman;serif" w:hAnsi="Times New Roman;serif"/>
          <w:b/>
          <w:i/>
          <w:sz w:val="20"/>
        </w:rPr>
        <w:t>Changes in tax laws</w:t>
      </w:r>
      <w:r>
        <w:rPr>
          <w:rFonts w:ascii="Times New Roman" w:hAnsi="Times New Roman"/>
          <w:sz w:val="20"/>
        </w:rPr>
        <w:t xml:space="preserve"> </w:t>
      </w:r>
      <w:r>
        <w:rPr>
          <w:rFonts w:ascii="Times New Roman;serif" w:hAnsi="Times New Roman;serif"/>
          <w:b/>
          <w:i/>
          <w:sz w:val="20"/>
        </w:rPr>
        <w:t>or in their implementation or interpretation may adversely affect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United States has also recently enacted the Inflation Reduction Act, which introduced, among other provisions, a 15% minimum tax on book income and a 1% excise tax on certain stock buybacks by U.S. publicly-traded corporations on or after January 1, 2023. The Organization for Economic Cooperation and Development has proposed implementing a global minimum tax of 15%, which has been agreed to by over 136 countries, and is expected to be implemented in EU member countries by the end of 2023.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bidi w:val="0"/>
        <w:spacing w:before="120" w:after="0"/>
        <w:jc w:val="left"/>
        <w:rPr>
          <w:rFonts w:ascii="Times New Roman" w:hAnsi="Times New Roman"/>
          <w:sz w:val="20"/>
        </w:rPr>
      </w:pPr>
      <w:r>
        <w:rPr>
          <w:rFonts w:ascii="Times New Roman;serif" w:hAnsi="Times New Roman;serif"/>
          <w:b/>
          <w:i/>
          <w:sz w:val="20"/>
        </w:rPr>
        <w:t>We do not know whether an active, liquid and orderly trading market will be sustained for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sell shares of our common stock in future financings, stockholders may experience immediate dilution and, as a result, our stock price may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If we issue common stock or securities convertible into common stock, our common stockholders will experience additional dilution and our stock price may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price of our stock may be volatile, and you could lose all or part of your investment.</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and timing of our preclinical studies and clinical trials and studies and trials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or discontinuation of any of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issues in manufacturing our product candidates or any future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developments or enforcement in the United States and foreign countries with respect to our product candidates or our competitors’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competition from existing products or new products that may emerge;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our growth and development relative to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or disputes concerning patents or other proprietary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introduction of new product candidates or technological innovations by us or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our future strategic partners or our competitors of significant acquisitions, strategic partnerships, joint ventures or capital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estimates or recommendations by securities analysts, if any cover our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the valuation of companies perceived by investors to be comparable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 concern over our product candidates or any future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future sales of our common stock by us, our insiders or our other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expiration of market stand-off or lock-up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share price and volume fluctuations attributable to inconsistent trading volume levels of our shares;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 care payment systems in the United States or overseas;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of any of our product candidates, if approved, to achieve commercial success;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macroeconomic conditions, such as inflation, economic downturns, disasters, and medical or public health crises, including the impact of the COVID-19 pandemic and the ongoing geopolitical unrest related to Russia’s war with Ukraine;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or expectations of additional financing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overall fluctuations in U.S. equity markets, general market conditions and market conditions for biotechnology stocks;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factors that may be unanticipated or out of our control.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our guidance.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our operating results may fluctuate due to a variety of other factors, many of which are outside of our control and may be difficult to predict,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enroll subjects in clinical trials and the timing of enrollment;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expenditures that we will or may incur to acquire or develop additional product candidates and technologies or other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outcomes of clinical trials for evorpacept, and any of our other product candidates, or competing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need to conduct unanticipated clinical trials or trials that are larger or more complex than anticipated;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delays in regulatory review or approval of evorpacept or any of our other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demand for evorpacept and any of our other product candidates, if approved, which may fluctuate significantly and be difficult to predict;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collaborations, licensing or other arrangements;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ability to adequately support future growth;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increase in interest expense due to an increase in the floating rate under the Loan Agreement as described elsewhere in this Quarterly Report on Form 10-Q;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unforeseen business disruptions that increase our costs or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future accounting pronouncements or changes in our accounting policies;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impact of the COVID-19 pandemic, geopolitical unrest related to Russia’s conflict with Ukraine, and bank failures or instability in the financial services sector on the global economy.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0"/>
        <w:jc w:val="left"/>
        <w:rPr>
          <w:rFonts w:ascii="Times New Roman" w:hAnsi="Times New Roman"/>
          <w:sz w:val="20"/>
        </w:rPr>
      </w:pPr>
      <w:r>
        <w:rPr>
          <w:rFonts w:ascii="Times New Roman;serif" w:hAnsi="Times New Roman;serif"/>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0"/>
        <w:jc w:val="left"/>
        <w:rPr>
          <w:rFonts w:ascii="Times New Roman" w:hAnsi="Times New Roman"/>
          <w:sz w:val="20"/>
        </w:rPr>
      </w:pPr>
      <w:r>
        <w:rPr>
          <w:rFonts w:ascii="Times New Roman;serif" w:hAnsi="Times New Roman;serif"/>
          <w:b/>
          <w:i/>
          <w:sz w:val="20"/>
        </w:rPr>
        <w:t>If securities or industry analysts do not publish research or publish inaccurate or unfavorable research about our business, our share price and trading volume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and will continue to incur significant increased costs and management resources as a result of operating as a public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While we were a large accelerated filer for fiscal year 2022, we are a “non-accelerated filer” for fiscal year 2023 and this status could make our common stock less attractive to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Each year, we re-evaluate our SEC filing status. Accordingly, due to our public float as of June 30, 2022, we became a non-accelerated filer for fiscal year 2023.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0"/>
        <w:jc w:val="left"/>
        <w:rPr>
          <w:rFonts w:ascii="Times New Roman" w:hAnsi="Times New Roman"/>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our executive officers, directors, holders of 5% or more of our capital stock and their respective affiliates beneficially owned approximately 76.6% of our outstanding voting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 conditions and changing circumstances could impair our ability to access our existing cash, cash equivalents and investments and to timely pay key vendors and others.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0"/>
        <w:jc w:val="left"/>
        <w:rPr>
          <w:rFonts w:ascii="Times New Roman" w:hAnsi="Times New Roman"/>
          <w:sz w:val="20"/>
        </w:rPr>
      </w:pPr>
      <w:r>
        <w:rPr>
          <w:rFonts w:ascii="Times New Roman;serif" w:hAnsi="Times New Roman;serif"/>
          <w:b/>
          <w:i/>
          <w:sz w:val="20"/>
        </w:rPr>
        <w:t>We do not anticipate paying cash dividends and, accordingly, stockholders must rely on share appreciation for any return on their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substantial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included therein.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that our board of directors is divided into three classes, with each class serving staggered three-year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vacancies on our board of directors may be filled only by a majority of directors then in office, even though less than a quorum;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our directors may only be removed for cause;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eliminate cumulative voting in the election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our board of directors with the exclusive right to elect a director to fill a vacancy or newly created directorship;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permit stockholders to only take actions at a duly called annual or special meeting and not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prohibit stockholders from calling a special meeting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stockholders give advance notice to nominate directors or submit proposals for consideration at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amend the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affirmative vote of at least 66 2/3% or more of the outstanding shares of common stock to amend many of the provisions described above.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derivative action or proceeding brought on behalf of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of breach of a fiduciary duty;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action asserting a claim against us that is governed by the internal affairs doctrine. </w:t>
      </w:r>
    </w:p>
    <w:p>
      <w:pPr>
        <w:pStyle w:val="TextBody"/>
        <w:bidi w:val="0"/>
        <w:spacing w:before="120" w:after="0"/>
        <w:jc w:val="left"/>
        <w:rPr>
          <w:rFonts w:ascii="Times New Roman" w:hAnsi="Times New Roman"/>
          <w:sz w:val="20"/>
        </w:rPr>
      </w:pPr>
      <w:r>
        <w:rPr>
          <w:rFonts w:ascii="Times New Roman;serif" w:hAnsi="Times New Roman;serif"/>
          <w:b w:val="false"/>
          <w:sz w:val="20"/>
        </w:rPr>
        <w:t>This provision would not apply to suits brought to enforce a duty or liability created by the Securities Exchange Act of 1934, as amended, or Exchange Act, or any other claim for which the U.S. federal courts have exclusive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bylaws further provide that the federal district courts of the United States will be the exclusive forum for resolving any complaint asserting a cause of action arising under the Securities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we and our independent registered public accounting firm identified two material weaknesses in our internal control over financial reporting, both of which have since been remediated. We did not identify any material weakness for the periods ended December 31, 2022 and 2021.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failure to maintain effective internal control over financial reporting could have a material adverse effect on our business, financial condition and results of operations and the trading price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0"/>
        <w:jc w:val="left"/>
        <w:rPr>
          <w:rFonts w:ascii="Times New Roman" w:hAnsi="Times New Roman"/>
          <w:sz w:val="20"/>
        </w:rPr>
      </w:pPr>
      <w:r>
        <w:rPr>
          <w:rFonts w:ascii="Times New Roman;serif" w:hAnsi="Times New Roman;serif"/>
          <w:b/>
          <w:i/>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General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experience disruptions and delays or incur financial damages as a result of system failures or security breaches or incidents.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COVID-19 pandemic, because we and our service providers have less capability to implement, monitor and enforce our information security and data protection policies for those employees. Also,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securities litigation, which is expensive and could divert management attention.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price of our common stock has experienced significant fluctuations in the past year and may be volatile in the future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7" w:name="part2_item2_unreg"/>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Use of Proceeds from Initial Public Offering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pStyle w:val="TextBody"/>
        <w:bidi w:val="0"/>
        <w:spacing w:before="120" w:after="0"/>
        <w:jc w:val="left"/>
        <w:rPr>
          <w:rFonts w:ascii="Times New Roman" w:hAnsi="Times New Roman"/>
          <w:sz w:val="20"/>
        </w:rPr>
      </w:pPr>
      <w:r>
        <w:rPr>
          <w:rFonts w:ascii="Times New Roman;serif" w:hAnsi="Times New Roman;serif"/>
          <w:b w:val="false"/>
          <w:sz w:val="20"/>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Unregistered Sales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8" w:name="part2_item3_default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9" w:name="part2_item4_mine"/>
      <w:bookmarkEnd w:id="19"/>
      <w:r>
        <w:rPr>
          <w:rFonts w:ascii="Times New Roman;serif" w:hAnsi="Times New Roman;serif"/>
          <w:b/>
          <w:sz w:val="20"/>
        </w:rPr>
        <w:t>Item 4. Mine Safety Disclosures</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20" w:name="part2_item5_other"/>
      <w:bookmarkEnd w:id="20"/>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21" w:name="part2_item6_exhibits"/>
      <w:bookmarkEnd w:id="21"/>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847"/>
        <w:gridCol w:w="146"/>
        <w:gridCol w:w="4739"/>
        <w:gridCol w:w="146"/>
        <w:gridCol w:w="616"/>
        <w:gridCol w:w="146"/>
        <w:gridCol w:w="557"/>
        <w:gridCol w:w="146"/>
        <w:gridCol w:w="796"/>
        <w:gridCol w:w="146"/>
        <w:gridCol w:w="691"/>
        <w:gridCol w:w="146"/>
        <w:gridCol w:w="1083"/>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73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w:t>
              <w:br/>
              <w:t>DATE</w:t>
            </w:r>
          </w:p>
        </w:tc>
        <w:tc>
          <w:tcPr>
            <w:tcW w:w="146" w:type="dxa"/>
            <w:tcBorders/>
            <w:vAlign w:val="center"/>
          </w:tcPr>
          <w:p>
            <w:pPr>
              <w:pStyle w:val="TableContents"/>
              <w:bidi w:val="0"/>
              <w:spacing w:before="0" w:after="0"/>
              <w:ind w:left="0" w:right="0" w:hanging="0"/>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br/>
              <w:t>HEREWITH</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10_1.htm">
              <w:r>
                <w:rPr>
                  <w:rStyle w:val="InternetLink"/>
                  <w:rFonts w:ascii="Times New Roman;serif" w:hAnsi="Times New Roman;serif"/>
                  <w:b w:val="false"/>
                  <w:sz w:val="20"/>
                  <w:u w:val="single"/>
                </w:rPr>
                <w:t>Outside Director Compensation Policy.</w:t>
              </w:r>
            </w:hyperlink>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hyperlink w:anchor="alxo-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47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included in exhibit 101)</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Indicates management contract or compensatory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this report has been signed below by the following persons on behalf of the registrant and in the capacities and on the dates indicated</w:t>
      </w:r>
      <w:r>
        <w:rPr>
          <w:rFonts w:ascii="Times New Roman;serif" w:hAnsi="Times New Roman;serif"/>
          <w:b/>
          <w:sz w:val="20"/>
        </w:rPr>
        <w:t>.</w:t>
      </w:r>
    </w:p>
    <w:p>
      <w:pPr>
        <w:pStyle w:val="TextBody"/>
        <w:bidi w:val="0"/>
        <w:spacing w:before="0" w:after="0"/>
        <w:jc w:val="left"/>
        <w:rPr/>
      </w:pPr>
      <w:r>
        <w:rPr/>
        <w:t> </w:t>
      </w:r>
    </w:p>
    <w:tbl>
      <w:tblPr>
        <w:tblW w:w="5587" w:type="dxa"/>
        <w:jc w:val="left"/>
        <w:tblInd w:w="0" w:type="dxa"/>
        <w:tblLayout w:type="fixed"/>
        <w:tblCellMar>
          <w:top w:w="28" w:type="dxa"/>
          <w:left w:w="28" w:type="dxa"/>
          <w:bottom w:w="28" w:type="dxa"/>
          <w:right w:w="28" w:type="dxa"/>
        </w:tblCellMar>
      </w:tblPr>
      <w:tblGrid>
        <w:gridCol w:w="1741"/>
        <w:gridCol w:w="109"/>
        <w:gridCol w:w="406"/>
        <w:gridCol w:w="33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ALX ONCOLOGY HOLDINGS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tbl>
      <w:tblPr>
        <w:tblW w:w="4859" w:type="dxa"/>
        <w:jc w:val="left"/>
        <w:tblInd w:w="0" w:type="dxa"/>
        <w:tblLayout w:type="fixed"/>
        <w:tblCellMar>
          <w:top w:w="28" w:type="dxa"/>
          <w:left w:w="28" w:type="dxa"/>
          <w:bottom w:w="28" w:type="dxa"/>
          <w:right w:w="28" w:type="dxa"/>
        </w:tblCellMar>
      </w:tblPr>
      <w:tblGrid>
        <w:gridCol w:w="1741"/>
        <w:gridCol w:w="146"/>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tbl>
      <w:tblPr>
        <w:tblW w:w="6892" w:type="dxa"/>
        <w:jc w:val="left"/>
        <w:tblInd w:w="0" w:type="dxa"/>
        <w:tblLayout w:type="fixed"/>
        <w:tblCellMar>
          <w:top w:w="28" w:type="dxa"/>
          <w:left w:w="28" w:type="dxa"/>
          <w:bottom w:w="28" w:type="dxa"/>
          <w:right w:w="28" w:type="dxa"/>
        </w:tblCellMar>
      </w:tblPr>
      <w:tblGrid>
        <w:gridCol w:w="1741"/>
        <w:gridCol w:w="109"/>
        <w:gridCol w:w="406"/>
        <w:gridCol w:w="463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6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Shelly Pinto</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Shelly Pinto</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Vice President, Finance and Chief Accounting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Accounting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3" w:name="alxo-ex10_1.htm"/>
      <w:bookmarkStart w:id="24" w:name="ksalxoex10_1"/>
      <w:bookmarkEnd w:id="23"/>
      <w:bookmarkEnd w:id="24"/>
      <w:r>
        <w:rPr/>
        <w:t> </w:t>
      </w:r>
      <w:r>
        <w:br w:type="page"/>
      </w:r>
    </w:p>
    <w:p>
      <w:pPr>
        <w:pStyle w:val="TextBody"/>
        <w:bidi w:val="0"/>
        <w:spacing w:before="0" w:after="0"/>
        <w:jc w:val="center"/>
        <w:rPr>
          <w:rFonts w:ascii="Times New Roman;serif" w:hAnsi="Times New Roman;serif"/>
          <w:b/>
          <w:sz w:val="24"/>
        </w:rPr>
      </w:pPr>
      <w:r>
        <w:rPr>
          <w:rFonts w:ascii="Times New Roman;serif" w:hAnsi="Times New Roman;serif"/>
          <w:b/>
          <w:sz w:val="24"/>
        </w:rPr>
        <w:t>ALX ONCOLOGY HOLDINGS INC.</w:t>
      </w:r>
    </w:p>
    <w:p>
      <w:pPr>
        <w:pStyle w:val="TextBody"/>
        <w:bidi w:val="0"/>
        <w:spacing w:before="240" w:after="0"/>
        <w:jc w:val="center"/>
        <w:rPr>
          <w:rFonts w:ascii="Times New Roman;serif" w:hAnsi="Times New Roman;serif"/>
          <w:b/>
          <w:sz w:val="24"/>
        </w:rPr>
      </w:pPr>
      <w:r>
        <w:rPr>
          <w:rFonts w:ascii="Times New Roman;serif" w:hAnsi="Times New Roman;serif"/>
          <w:b/>
          <w:sz w:val="24"/>
        </w:rPr>
        <w:t>OUTSIDE DIRECTOR COMPENSATION POLICY</w:t>
      </w:r>
    </w:p>
    <w:p>
      <w:pPr>
        <w:pStyle w:val="TextBody"/>
        <w:bidi w:val="0"/>
        <w:spacing w:before="240" w:after="0"/>
        <w:jc w:val="center"/>
        <w:rPr>
          <w:rFonts w:ascii="Times New Roman;serif" w:hAnsi="Times New Roman;serif"/>
          <w:b/>
          <w:sz w:val="24"/>
        </w:rPr>
      </w:pPr>
      <w:r>
        <w:rPr>
          <w:rFonts w:ascii="Times New Roman;serif" w:hAnsi="Times New Roman;serif"/>
          <w:b/>
          <w:sz w:val="24"/>
        </w:rPr>
        <w:t>(as amended and restated effective as of March 14, 2023 (the “Restatement Date”))</w:t>
      </w:r>
    </w:p>
    <w:p>
      <w:pPr>
        <w:pStyle w:val="TextBody"/>
        <w:bidi w:val="0"/>
        <w:spacing w:before="480" w:after="0"/>
        <w:jc w:val="both"/>
        <w:rPr>
          <w:rFonts w:ascii="Times New Roman" w:hAnsi="Times New Roman"/>
          <w:sz w:val="20"/>
        </w:rPr>
      </w:pPr>
      <w:r>
        <w:rPr>
          <w:rFonts w:ascii="Times New Roman;serif" w:hAnsi="Times New Roman;serif"/>
          <w:b w:val="false"/>
          <w:sz w:val="24"/>
        </w:rPr>
        <w:t>ALX Oncology Holdings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believes that the granting of equity and cash compensation to members of the Company’s Board of Directors (the “</w:t>
      </w:r>
      <w:r>
        <w:rPr>
          <w:rFonts w:ascii="Times New Roman;serif" w:hAnsi="Times New Roman;serif"/>
          <w:b w:val="false"/>
          <w:sz w:val="24"/>
          <w:u w:val="single"/>
        </w:rPr>
        <w:t>Board</w:t>
      </w:r>
      <w:r>
        <w:rPr>
          <w:rFonts w:ascii="Times New Roman;serif" w:hAnsi="Times New Roman;serif"/>
          <w:b w:val="false"/>
          <w:sz w:val="24"/>
        </w:rPr>
        <w:t>,” and members of the Board, “</w:t>
      </w:r>
      <w:r>
        <w:rPr>
          <w:rFonts w:ascii="Times New Roman;serif" w:hAnsi="Times New Roman;serif"/>
          <w:b w:val="false"/>
          <w:sz w:val="24"/>
          <w:u w:val="single"/>
        </w:rPr>
        <w:t>Directors</w:t>
      </w:r>
      <w:r>
        <w:rPr>
          <w:rFonts w:ascii="Times New Roman" w:hAnsi="Times New Roman"/>
          <w:sz w:val="20"/>
        </w:rPr>
        <w:t>”</w:t>
      </w:r>
      <w:r>
        <w:rPr>
          <w:rFonts w:ascii="Times New Roman;serif" w:hAnsi="Times New Roman;serif"/>
          <w:b w:val="false"/>
          <w:sz w:val="24"/>
        </w:rPr>
        <w:t>) represents a powerful tool to attract, retain and reward Directors who are not employees of the Company (“</w:t>
      </w:r>
      <w:r>
        <w:rPr>
          <w:rFonts w:ascii="Times New Roman;serif" w:hAnsi="Times New Roman;serif"/>
          <w:b w:val="false"/>
          <w:sz w:val="24"/>
          <w:u w:val="single"/>
        </w:rPr>
        <w:t>Outside Directors</w:t>
      </w:r>
      <w:r>
        <w:rPr>
          <w:rFonts w:ascii="Times New Roman" w:hAnsi="Times New Roman"/>
          <w:sz w:val="20"/>
        </w:rPr>
        <w:t>”</w:t>
      </w:r>
      <w:r>
        <w:rPr>
          <w:rFonts w:ascii="Times New Roman;serif" w:hAnsi="Times New Roman;serif"/>
          <w:b w:val="false"/>
          <w:sz w:val="24"/>
        </w:rPr>
        <w:t>). This Outside Director Compensation Policy (the “</w:t>
      </w:r>
      <w:r>
        <w:rPr>
          <w:rFonts w:ascii="Times New Roman;serif" w:hAnsi="Times New Roman;serif"/>
          <w:b w:val="false"/>
          <w:sz w:val="24"/>
          <w:u w:val="single"/>
        </w:rPr>
        <w:t>Policy</w:t>
      </w:r>
      <w:r>
        <w:rPr>
          <w:rFonts w:ascii="Times New Roman" w:hAnsi="Times New Roman"/>
          <w:sz w:val="20"/>
        </w:rPr>
        <w:t>”</w:t>
      </w:r>
      <w:r>
        <w:rPr>
          <w:rFonts w:ascii="Times New Roman;serif" w:hAnsi="Times New Roman;serif"/>
          <w:b w:val="false"/>
          <w:sz w:val="24"/>
        </w:rPr>
        <w:t>) is intended to formalize the Company’s policy regarding cash compensation and grants of equity awards to its Outside Directors. Unless otherwise defined herein, capitalized terms used in this Policy will have the meaning given such term in the Company’s Amended and Restated 2020 Equity Incentive Plan, as amended from time to time (the “</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or if the Plan no longer is in use at the time of the grant of an equity award, the meaning given such term or similar term in the equity plan then in place under which the equity award is granted. Outside Directors will be solely responsible for any tax obligations they incur as a result of the cash and equity compensation received under this Policy.</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1.</w:t>
      </w:r>
    </w:p>
    <w:p>
      <w:pPr>
        <w:pStyle w:val="TextBody"/>
        <w:bidi w:val="0"/>
        <w:spacing w:before="240" w:after="0"/>
        <w:jc w:val="both"/>
        <w:rPr/>
      </w:pPr>
      <w:r>
        <w:rPr>
          <w:rFonts w:ascii="Times New Roman;serif" w:hAnsi="Times New Roman;serif"/>
          <w:b w:val="false"/>
          <w:sz w:val="24"/>
          <w:u w:val="single"/>
        </w:rPr>
        <w:t>Effective Date</w:t>
      </w:r>
      <w:r>
        <w:rPr>
          <w:rFonts w:ascii="Times New Roman;serif" w:hAnsi="Times New Roman;serif"/>
          <w:b w:val="false"/>
          <w:sz w:val="24"/>
        </w:rPr>
        <w:t>. This Policy, as initially adopted and prior to its amendment and restatement herein, became effective as of the effective date of the first registration statement that was filed by the Company and declared effective pursuant to Section 12(b) of the U.S. Securities Exchange Act of 1934, as amended, with respect to any class of the Company’s securities (the effective date of such registration statement, the “</w:t>
      </w:r>
      <w:r>
        <w:rPr>
          <w:rFonts w:ascii="Times New Roman;serif" w:hAnsi="Times New Roman;serif"/>
          <w:b w:val="false"/>
          <w:sz w:val="24"/>
          <w:u w:val="single"/>
        </w:rPr>
        <w:t>Registration Date</w:t>
      </w:r>
      <w:r>
        <w:rPr>
          <w:rFonts w:ascii="Times New Roman;serif" w:hAnsi="Times New Roman;serif"/>
          <w:b w:val="false"/>
          <w:sz w:val="24"/>
        </w:rPr>
        <w:t>,” and the effective date of this Policy, the “</w:t>
      </w:r>
      <w:r>
        <w:rPr>
          <w:rFonts w:ascii="Times New Roman;serif" w:hAnsi="Times New Roman;serif"/>
          <w:b w:val="false"/>
          <w:sz w:val="24"/>
          <w:u w:val="single"/>
        </w:rPr>
        <w:t>Effective Date</w:t>
      </w:r>
      <w:r>
        <w:rPr/>
        <w:t>”</w:t>
      </w:r>
      <w:r>
        <w:rPr>
          <w:rFonts w:ascii="Times New Roman;serif" w:hAnsi="Times New Roman;serif"/>
          <w:b w:val="false"/>
          <w:sz w:val="24"/>
        </w:rPr>
        <w:t>). This Policy, as amended and restated, is effective as of the Restatement Date.</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2.</w:t>
      </w:r>
    </w:p>
    <w:p>
      <w:pPr>
        <w:pStyle w:val="TextBody"/>
        <w:bidi w:val="0"/>
        <w:spacing w:before="240" w:after="0"/>
        <w:jc w:val="both"/>
        <w:rPr>
          <w:rFonts w:ascii="Times New Roman;serif" w:hAnsi="Times New Roman;serif"/>
          <w:b w:val="false"/>
          <w:sz w:val="24"/>
          <w:u w:val="single"/>
        </w:rPr>
      </w:pPr>
      <w:r>
        <w:rPr>
          <w:rFonts w:ascii="Times New Roman;serif" w:hAnsi="Times New Roman;serif"/>
          <w:b w:val="false"/>
          <w:sz w:val="24"/>
          <w:u w:val="single"/>
        </w:rPr>
        <w:t>Cash Compensation</w:t>
      </w:r>
    </w:p>
    <w:p>
      <w:pPr>
        <w:pStyle w:val="TextBody"/>
        <w:bidi w:val="0"/>
        <w:spacing w:before="240" w:after="0"/>
        <w:jc w:val="both"/>
        <w:rPr>
          <w:rFonts w:ascii="Times New Roman" w:hAnsi="Times New Roman"/>
          <w:b w:val="false"/>
          <w:sz w:val="24"/>
        </w:rPr>
      </w:pPr>
      <w:r>
        <w:rPr>
          <w:rFonts w:ascii="Times New Roman" w:hAnsi="Times New Roman"/>
          <w:b w:val="false"/>
          <w:sz w:val="24"/>
        </w:rPr>
        <w:t>(a)</w:t>
      </w:r>
    </w:p>
    <w:p>
      <w:pPr>
        <w:pStyle w:val="TextBody"/>
        <w:bidi w:val="0"/>
        <w:spacing w:before="240" w:after="0"/>
        <w:jc w:val="both"/>
        <w:rPr/>
      </w:pPr>
      <w:r>
        <w:rPr>
          <w:rFonts w:ascii="Times New Roman;serif" w:hAnsi="Times New Roman;serif"/>
          <w:b w:val="false"/>
          <w:sz w:val="24"/>
          <w:u w:val="single"/>
        </w:rPr>
        <w:t>Board Member Annual Cash Retainer</w:t>
      </w:r>
      <w:r>
        <w:rPr>
          <w:rFonts w:ascii="Times New Roman;serif" w:hAnsi="Times New Roman;serif"/>
          <w:b w:val="false"/>
          <w:sz w:val="24"/>
        </w:rPr>
        <w:t>. Each Outside Director will be paid an annual cash retainer of $40,000.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b w:val="false"/>
          <w:sz w:val="24"/>
        </w:rPr>
      </w:pPr>
      <w:r>
        <w:rPr>
          <w:rFonts w:ascii="Times New Roman" w:hAnsi="Times New Roman"/>
          <w:b w:val="false"/>
          <w:sz w:val="24"/>
        </w:rPr>
        <w:t>(b)</w:t>
      </w:r>
    </w:p>
    <w:p>
      <w:pPr>
        <w:pStyle w:val="TextBody"/>
        <w:bidi w:val="0"/>
        <w:spacing w:before="240" w:after="240"/>
        <w:jc w:val="both"/>
        <w:rPr/>
      </w:pPr>
      <w:r>
        <w:rPr>
          <w:rFonts w:ascii="Times New Roman;serif" w:hAnsi="Times New Roman;serif"/>
          <w:b w:val="false"/>
          <w:sz w:val="24"/>
          <w:u w:val="single"/>
        </w:rPr>
        <w:t>Board Committee Annual Cash Retainer</w:t>
      </w:r>
      <w:r>
        <w:rPr>
          <w:rFonts w:ascii="Times New Roman;serif" w:hAnsi="Times New Roman;serif"/>
          <w:b w:val="false"/>
          <w:sz w:val="24"/>
        </w:rPr>
        <w:t>. As of the Restatement Date, each Outside Director who serves as the non</w:t>
        <w:noBreakHyphen/>
        <w:t xml:space="preserve">employee chair of the Board, or the chair or a member of a committee of the Board will be eligible to earn additional annual fees as follows: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serif" w:hAnsi="Times New Roman;serif"/>
                <w:b w:val="false"/>
                <w:sz w:val="24"/>
              </w:rPr>
            </w:pPr>
            <w:r>
              <w:rPr>
                <w:rFonts w:ascii="Times New Roman;serif" w:hAnsi="Times New Roman;serif"/>
                <w:b w:val="false"/>
                <w:sz w:val="24"/>
              </w:rPr>
              <w:t>Non-employee Chair of the Board:</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$35,000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serif" w:hAnsi="Times New Roman;serif"/>
                <w:b w:val="false"/>
                <w:sz w:val="24"/>
              </w:rPr>
            </w:pPr>
            <w:r>
              <w:rPr>
                <w:rFonts w:ascii="Times New Roman;serif" w:hAnsi="Times New Roman;serif"/>
                <w:b w:val="false"/>
                <w:sz w:val="24"/>
              </w:rPr>
              <w:t>Audit Committee Chair:</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$20,000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 w:hAnsi="Times New Roman"/>
                <w:sz w:val="24"/>
              </w:rPr>
            </w:pPr>
            <w:r>
              <w:rPr>
                <w:rFonts w:ascii="Times New Roman;serif" w:hAnsi="Times New Roman;serif"/>
                <w:b w:val="false"/>
                <w:sz w:val="24"/>
              </w:rPr>
              <w:t>Audit Committee Member:</w:t>
            </w:r>
            <w:r>
              <w:rPr>
                <w:rFonts w:ascii="Times New Roman" w:hAnsi="Times New Roman"/>
                <w:sz w:val="24"/>
              </w:rPr>
              <w:t xml:space="preserve"> </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$7,500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 w:hAnsi="Times New Roman"/>
                <w:sz w:val="24"/>
              </w:rPr>
            </w:pPr>
            <w:r>
              <w:rPr>
                <w:rFonts w:ascii="Times New Roman;serif" w:hAnsi="Times New Roman;serif"/>
                <w:b w:val="false"/>
                <w:sz w:val="24"/>
              </w:rPr>
              <w:t>Compensation Committee Chair:</w:t>
            </w:r>
            <w:r>
              <w:rPr>
                <w:rFonts w:ascii="Times New Roman" w:hAnsi="Times New Roman"/>
                <w:sz w:val="24"/>
              </w:rPr>
              <w:t xml:space="preserve"> </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$12,000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 w:hAnsi="Times New Roman"/>
                <w:sz w:val="24"/>
              </w:rPr>
            </w:pPr>
            <w:r>
              <w:rPr>
                <w:rFonts w:ascii="Times New Roman;serif" w:hAnsi="Times New Roman;serif"/>
                <w:b w:val="false"/>
                <w:sz w:val="24"/>
              </w:rPr>
              <w:t>Compensation Committee Member:</w:t>
            </w:r>
            <w:r>
              <w:rPr>
                <w:rFonts w:ascii="Times New Roman" w:hAnsi="Times New Roman"/>
                <w:sz w:val="24"/>
              </w:rPr>
              <w:t xml:space="preserve"> </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$6,000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 w:hAnsi="Times New Roman"/>
                <w:sz w:val="24"/>
              </w:rPr>
            </w:pPr>
            <w:r>
              <w:rPr>
                <w:rFonts w:ascii="Times New Roman;serif" w:hAnsi="Times New Roman;serif"/>
                <w:b w:val="false"/>
                <w:sz w:val="24"/>
              </w:rPr>
              <w:t>Corporate Governance and Nominating Committee Chair:</w:t>
            </w:r>
            <w:r>
              <w:rPr>
                <w:rFonts w:ascii="Times New Roman" w:hAnsi="Times New Roman"/>
                <w:sz w:val="24"/>
              </w:rPr>
              <w:t xml:space="preserve"> </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$10,000</w:t>
            </w:r>
          </w:p>
        </w:tc>
      </w:tr>
      <w:tr>
        <w:trPr/>
        <w:tc>
          <w:tcPr>
            <w:tcW w:w="5941" w:type="dxa"/>
            <w:tcBorders/>
            <w:tcMar>
              <w:top w:w="0" w:type="dxa"/>
              <w:left w:w="0" w:type="dxa"/>
              <w:bottom w:w="0" w:type="dxa"/>
              <w:right w:w="0" w:type="dxa"/>
            </w:tcMar>
            <w:vAlign w:val="center"/>
          </w:tcPr>
          <w:p>
            <w:pPr>
              <w:pStyle w:val="TableContents"/>
              <w:bidi w:val="0"/>
              <w:spacing w:before="60" w:after="60"/>
              <w:ind w:left="0" w:right="0" w:hanging="0"/>
              <w:jc w:val="left"/>
              <w:rPr>
                <w:rFonts w:ascii="Times New Roman" w:hAnsi="Times New Roman"/>
                <w:sz w:val="24"/>
              </w:rPr>
            </w:pPr>
            <w:r>
              <w:rPr>
                <w:rFonts w:ascii="Times New Roman;serif" w:hAnsi="Times New Roman;serif"/>
                <w:b w:val="false"/>
                <w:sz w:val="24"/>
              </w:rPr>
              <w:t>Corporate Governance and Nominating Committee Member:</w:t>
            </w:r>
            <w:r>
              <w:rPr>
                <w:rFonts w:ascii="Times New Roman" w:hAnsi="Times New Roman"/>
                <w:sz w:val="24"/>
              </w:rPr>
              <w:t xml:space="preserve"> </w:t>
            </w:r>
          </w:p>
        </w:tc>
        <w:tc>
          <w:tcPr>
            <w:tcW w:w="931" w:type="dxa"/>
            <w:tcBorders/>
            <w:tcMar>
              <w:top w:w="0" w:type="dxa"/>
              <w:left w:w="0" w:type="dxa"/>
              <w:bottom w:w="0" w:type="dxa"/>
              <w:right w:w="0" w:type="dxa"/>
            </w:tcMar>
            <w:vAlign w:val="center"/>
          </w:tcPr>
          <w:p>
            <w:pPr>
              <w:pStyle w:val="TableContents"/>
              <w:bidi w:val="0"/>
              <w:spacing w:before="60" w:after="60"/>
              <w:ind w:left="0" w:right="0" w:hanging="0"/>
              <w:jc w:val="both"/>
              <w:rPr>
                <w:rFonts w:ascii="Times New Roman;serif" w:hAnsi="Times New Roman;serif"/>
                <w:b w:val="false"/>
                <w:sz w:val="24"/>
              </w:rPr>
            </w:pPr>
            <w:r>
              <w:rPr>
                <w:rFonts w:ascii="Times New Roman;serif" w:hAnsi="Times New Roman;serif"/>
                <w:b w:val="false"/>
                <w:sz w:val="24"/>
              </w:rPr>
              <w:t>$5,000</w:t>
            </w:r>
          </w:p>
        </w:tc>
      </w:tr>
    </w:tbl>
    <w:p>
      <w:pPr>
        <w:pStyle w:val="TextBody"/>
        <w:bidi w:val="0"/>
        <w:spacing w:before="0" w:after="0"/>
        <w:jc w:val="left"/>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both"/>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4"/>
        </w:rPr>
        <w:t>For clarity, each Outside Director who serves as the chair of a committee will not receive both the additional annual fee as the chair of the committee and the additional annual fee as a member of the committee, provided, for clarity, that the Outside Director who serves as the non</w:t>
        <w:noBreakHyphen/>
        <w:t>employee chair of the Board will receive the annual fee for services provided in such role as well as the annual fee as an Outside Director.</w:t>
      </w:r>
      <w:r>
        <w:rPr>
          <w:rFonts w:ascii="Times New Roman" w:hAnsi="Times New Roman"/>
          <w:sz w:val="20"/>
        </w:rPr>
        <w:t xml:space="preserve"> </w:t>
      </w:r>
    </w:p>
    <w:p>
      <w:pPr>
        <w:pStyle w:val="TextBody"/>
        <w:bidi w:val="0"/>
        <w:spacing w:before="240" w:after="0"/>
        <w:jc w:val="both"/>
        <w:rPr>
          <w:rFonts w:ascii="Times New Roman" w:hAnsi="Times New Roman"/>
          <w:b w:val="false"/>
          <w:sz w:val="24"/>
        </w:rPr>
      </w:pPr>
      <w:r>
        <w:rPr>
          <w:rFonts w:ascii="Times New Roman" w:hAnsi="Times New Roman"/>
          <w:b w:val="false"/>
          <w:sz w:val="24"/>
        </w:rPr>
        <w:t>(c)</w:t>
      </w:r>
    </w:p>
    <w:p>
      <w:pPr>
        <w:pStyle w:val="TextBody"/>
        <w:bidi w:val="0"/>
        <w:spacing w:before="240" w:after="0"/>
        <w:jc w:val="both"/>
        <w:rPr/>
      </w:pPr>
      <w:r>
        <w:rPr>
          <w:rFonts w:ascii="Times New Roman;serif" w:hAnsi="Times New Roman;serif"/>
          <w:b w:val="false"/>
          <w:sz w:val="24"/>
          <w:u w:val="single"/>
        </w:rPr>
        <w:t>Payment Timing and Proration</w:t>
      </w:r>
      <w:r>
        <w:rPr>
          <w:rFonts w:ascii="Times New Roman;serif" w:hAnsi="Times New Roman;serif"/>
          <w:b w:val="false"/>
          <w:sz w:val="24"/>
        </w:rPr>
        <w:t>. Each annual cash retainer under this Policy will be paid quarterly in arrears on a prorated basis to each Outside Director who has served in the relevant capacity during the applicable fiscal quarter of the Company (“</w:t>
      </w:r>
      <w:r>
        <w:rPr>
          <w:rFonts w:ascii="Times New Roman;serif" w:hAnsi="Times New Roman;serif"/>
          <w:b w:val="false"/>
          <w:sz w:val="24"/>
          <w:u w:val="single"/>
        </w:rPr>
        <w:t>Fiscal Quarter</w:t>
      </w:r>
      <w:r>
        <w:rPr/>
        <w:t>”</w:t>
      </w:r>
      <w:r>
        <w:rPr>
          <w:rFonts w:ascii="Times New Roman;serif" w:hAnsi="Times New Roman;serif"/>
          <w:b w:val="false"/>
          <w:sz w:val="24"/>
        </w:rPr>
        <w:t xml:space="preserve">), and such payment will be made no later than thirty (30) days following the end of such Fiscal Quarter. For clarity, an Outside Director who has served as an Outside Director, as a member of an applicable committee (or chair thereof), or as the non-employee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3.</w:t>
      </w:r>
    </w:p>
    <w:p>
      <w:pPr>
        <w:pStyle w:val="TextBody"/>
        <w:bidi w:val="0"/>
        <w:spacing w:before="240" w:after="0"/>
        <w:jc w:val="both"/>
        <w:rPr/>
      </w:pPr>
      <w:r>
        <w:rPr>
          <w:rFonts w:ascii="Times New Roman;serif" w:hAnsi="Times New Roman;serif"/>
          <w:b w:val="false"/>
          <w:sz w:val="24"/>
          <w:u w:val="single"/>
        </w:rPr>
        <w:t>Equity Compensation</w:t>
      </w:r>
      <w:r>
        <w:rPr>
          <w:rFonts w:ascii="Times New Roman;serif" w:hAnsi="Times New Roman;serif"/>
          <w:b w:val="false"/>
          <w:sz w:val="24"/>
        </w:rPr>
        <w:t>. Outside Directors will be entitled to receive all types of Awards (except Incentive Stock Options) under the Plan, including discretionary Awards not covered under this Policy. All grants of Awards to Outside Directors pursuant to Sections 3(b) and 3(c) of this Policy will be automatic and nondiscretionary, except as otherwise provided herein, and will be made in accordance with the following provisions:</w:t>
      </w:r>
    </w:p>
    <w:p>
      <w:pPr>
        <w:pStyle w:val="TextBody"/>
        <w:bidi w:val="0"/>
        <w:spacing w:before="240" w:after="240"/>
        <w:jc w:val="both"/>
        <w:rPr>
          <w:rFonts w:ascii="Times New Roman" w:hAnsi="Times New Roman"/>
          <w:b w:val="false"/>
          <w:sz w:val="24"/>
        </w:rPr>
      </w:pPr>
      <w:r>
        <w:rPr>
          <w:rFonts w:ascii="Times New Roman" w:hAnsi="Times New Roman"/>
          <w:b w:val="false"/>
          <w:sz w:val="24"/>
        </w:rPr>
        <w:t>(a)</w:t>
      </w:r>
    </w:p>
    <w:p>
      <w:pPr>
        <w:pStyle w:val="TextBody"/>
        <w:bidi w:val="0"/>
        <w:spacing w:before="240" w:after="240"/>
        <w:jc w:val="both"/>
        <w:rPr/>
      </w:pPr>
      <w:r>
        <w:rPr>
          <w:rFonts w:ascii="Times New Roman;serif" w:hAnsi="Times New Roman;serif"/>
          <w:b w:val="false"/>
          <w:sz w:val="24"/>
          <w:u w:val="single"/>
        </w:rPr>
        <w:t>No Discretion</w:t>
      </w:r>
      <w:r>
        <w:rPr>
          <w:rFonts w:ascii="Times New Roman;serif" w:hAnsi="Times New Roman;serif"/>
          <w:b w:val="false"/>
          <w:sz w:val="24"/>
        </w:rPr>
        <w:t>. No person will have any discretion to select which Outside Directors will be granted an Initial Award or Annual Awards (as defined below) under this Policy or to determine the number of Shares to be covered by such Awards (except as provided in Section 11 below).</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u w:val="single"/>
        </w:rPr>
        <w:t>Initial Awards</w:t>
      </w:r>
      <w:r>
        <w:rPr>
          <w:rFonts w:ascii="Times New Roman;serif" w:hAnsi="Times New Roman;serif"/>
          <w:b w:val="false"/>
          <w:sz w:val="24"/>
        </w:rPr>
        <w:t>. Each individual who first becomes an Outside Director following the Restatement Date automatically will be granted an Option (an “</w:t>
      </w:r>
      <w:r>
        <w:rPr>
          <w:rFonts w:ascii="Times New Roman;serif" w:hAnsi="Times New Roman;serif"/>
          <w:b w:val="false"/>
          <w:sz w:val="24"/>
          <w:u w:val="single"/>
        </w:rPr>
        <w:t>Initial Award</w:t>
      </w:r>
      <w:r>
        <w:rPr/>
        <w:t>”</w:t>
      </w:r>
      <w:r>
        <w:rPr>
          <w:rFonts w:ascii="Times New Roman;serif" w:hAnsi="Times New Roman;serif"/>
          <w:b w:val="false"/>
          <w:sz w:val="24"/>
        </w:rPr>
        <w:t>) to purchase 40,400 Shares. The grant date of the Initial Award will be the first Trading Day on or after the date on which such individual first becomes an Outside Director (such first date as an Outside Director, the “</w:t>
      </w:r>
      <w:r>
        <w:rPr>
          <w:rFonts w:ascii="Times New Roman;serif" w:hAnsi="Times New Roman;serif"/>
          <w:b w:val="false"/>
          <w:sz w:val="24"/>
          <w:u w:val="single"/>
        </w:rPr>
        <w:t>Initial Start Date</w:t>
      </w:r>
      <w:r>
        <w:rPr/>
        <w:t>”</w:t>
      </w:r>
      <w:r>
        <w:rPr>
          <w:rFonts w:ascii="Times New Roman;serif" w:hAnsi="Times New Roman;serif"/>
          <w:b w:val="false"/>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noBreakHyphen/>
        <w:t>sixth (1/36</w:t>
      </w:r>
      <w:r>
        <w:rPr>
          <w:rFonts w:ascii="Times New Roman;serif" w:hAnsi="Times New Roman;serif"/>
          <w:b w:val="false"/>
          <w:sz w:val="16"/>
        </w:rPr>
        <w:t>th</w:t>
      </w:r>
      <w:r>
        <w:rPr>
          <w:rFonts w:ascii="Times New Roman;serif" w:hAnsi="Times New Roman;serif"/>
          <w:b w:val="false"/>
          <w:sz w:val="24"/>
        </w:rPr>
        <w:t>) of the Shares subject at grant to the Initial Award on a monthly basis following the Initial Award’s grant date on the same day of the month as such grant date (or the last day of the month, if there is no corresponding day in such month), subject to the Outside Director remaining a Service Provider through the applicable vesting date.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u w:val="single"/>
        </w:rPr>
        <w:t>Annual Award</w:t>
      </w:r>
      <w:r>
        <w:rPr>
          <w:rFonts w:ascii="Times New Roman;serif" w:hAnsi="Times New Roman;serif"/>
          <w:b w:val="false"/>
          <w:sz w:val="24"/>
        </w:rPr>
        <w:t>. On the first Trading Day immediately following each Annual Meeting of the Company’s stockholders (an “</w:t>
      </w:r>
      <w:r>
        <w:rPr>
          <w:rFonts w:ascii="Times New Roman;serif" w:hAnsi="Times New Roman;serif"/>
          <w:b w:val="false"/>
          <w:sz w:val="24"/>
          <w:u w:val="single"/>
        </w:rPr>
        <w:t>Annual Meeting</w:t>
      </w:r>
      <w:r>
        <w:rPr/>
        <w:t>”</w:t>
      </w:r>
      <w:r>
        <w:rPr>
          <w:rFonts w:ascii="Times New Roman;serif" w:hAnsi="Times New Roman;serif"/>
          <w:b w:val="false"/>
          <w:sz w:val="24"/>
        </w:rPr>
        <w:t>) that occurs after the Restatement Date, each Outside Director automatically will be granted an Option (the “</w:t>
      </w:r>
      <w:r>
        <w:rPr>
          <w:rFonts w:ascii="Times New Roman;serif" w:hAnsi="Times New Roman;serif"/>
          <w:b w:val="false"/>
          <w:sz w:val="24"/>
          <w:u w:val="single"/>
        </w:rPr>
        <w:t>Annual Award</w:t>
      </w:r>
      <w:r>
        <w:rPr/>
        <w:t>”</w:t>
      </w:r>
      <w:r>
        <w:rPr>
          <w:rFonts w:ascii="Times New Roman;serif" w:hAnsi="Times New Roman;serif"/>
          <w:b w:val="false"/>
          <w:sz w:val="24"/>
        </w:rPr>
        <w:t xml:space="preserve">) to purchase 20,200 Shares, provided, however, that if an individual commenced service as an Outside Director after the date of the Annual Meeting that occurred immediately before such Annual Meeting, then the Annual Award granted to such Outside Director will be prorated based on the number of whole months that the individual served as an Outside Director prior to the Annual Award’s grant date during the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both"/>
        <w:rPr/>
      </w:pPr>
      <w:r>
        <w:rPr/>
        <w:t> </w:t>
      </w:r>
    </w:p>
    <w:p>
      <w:pPr>
        <w:pStyle w:val="TextBody"/>
        <w:bidi w:val="0"/>
        <w:spacing w:before="0" w:after="240"/>
        <w:jc w:val="both"/>
        <w:rPr/>
      </w:pPr>
      <w:r>
        <w:rPr>
          <w:rFonts w:ascii="Times New Roman;serif" w:hAnsi="Times New Roman;serif"/>
          <w:b w:val="false"/>
          <w:sz w:val="24"/>
        </w:rPr>
        <w:t>twelve (12) month period immediately preceding such Annual Meeting (with any resulting fractional Share rounded down to the nearest whole Share). The Annual Award will be scheduled to vest as to one</w:t>
        <w:noBreakHyphen/>
        <w:t>twelfth (1/12</w:t>
      </w:r>
      <w:r>
        <w:rPr>
          <w:rFonts w:ascii="Times New Roman;serif" w:hAnsi="Times New Roman;serif"/>
          <w:b w:val="false"/>
          <w:sz w:val="16"/>
        </w:rPr>
        <w:t>th</w:t>
      </w:r>
      <w:r>
        <w:rPr>
          <w:rFonts w:ascii="Times New Roman;serif" w:hAnsi="Times New Roman;serif"/>
          <w:b w:val="false"/>
          <w:sz w:val="24"/>
        </w:rPr>
        <w:t>) of the Shares subject at grant to the Annual Award on a monthly basis following the Annual Award’s grant date on the same day of the month as such grant date (or the last day of the month, if there is no corresponding day in such month), or if earlier, the day before the date of the next Annual Meeting that occurs after the grant date of the Annual Award, subject to the Outside Director remaining a Service Provider through the applicable vesting date.</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val="false"/>
          <w:sz w:val="24"/>
          <w:u w:val="single"/>
        </w:rPr>
        <w:t>Additional Terms of Initial Awards and Annual Awards</w:t>
      </w:r>
      <w:r>
        <w:rPr>
          <w:rFonts w:ascii="Times New Roman;serif" w:hAnsi="Times New Roman;serif"/>
          <w:b w:val="false"/>
          <w:sz w:val="24"/>
        </w:rPr>
        <w:t xml:space="preserve">. The terms and conditions of each Initial Award and Annual Award will be as follows: </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term of each Initial Award and Annual Award will be ten (10) years, subject to earlier termination as provided in the Plan.</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Each Initial Award and Annual Award will have a per Share exercise price equal to one hundred percent (100%) of the Fair Market Value per Share on the grant date. </w:t>
      </w:r>
    </w:p>
    <w:p>
      <w:pPr>
        <w:pStyle w:val="TextBody"/>
        <w:bidi w:val="0"/>
        <w:spacing w:before="0" w:after="0"/>
        <w:jc w:val="both"/>
        <w:rPr>
          <w:rFonts w:ascii="Times New Roman" w:hAnsi="Times New Roman"/>
          <w:b w:val="false"/>
          <w:sz w:val="24"/>
          <w:u w:val="single"/>
        </w:rPr>
      </w:pPr>
      <w:r>
        <w:rPr>
          <w:rFonts w:ascii="Times New Roman" w:hAnsi="Times New Roman"/>
          <w:b w:val="false"/>
          <w:sz w:val="24"/>
          <w:u w:val="single"/>
        </w:rPr>
        <w:t>4.</w:t>
      </w:r>
    </w:p>
    <w:p>
      <w:pPr>
        <w:pStyle w:val="TextBody"/>
        <w:bidi w:val="0"/>
        <w:spacing w:before="0" w:after="0"/>
        <w:jc w:val="both"/>
        <w:rPr/>
      </w:pPr>
      <w:r>
        <w:rPr>
          <w:rFonts w:ascii="Times New Roman;serif" w:hAnsi="Times New Roman;serif"/>
          <w:b w:val="false"/>
          <w:sz w:val="24"/>
          <w:u w:val="single"/>
        </w:rPr>
        <w:t>Change in Control</w:t>
      </w:r>
      <w:r>
        <w:rPr>
          <w:rFonts w:ascii="Times New Roman;serif" w:hAnsi="Times New Roman;serif"/>
          <w:b w:val="false"/>
          <w:sz w:val="24"/>
        </w:rPr>
        <w:t>. In the event of a Change in Control, each Outside Director will fully vest in their outstanding Company equity awards, including any Initial Award and Annual Award, provided that the Outside Director continues to be an Outside Director through the date of such Change in Control.</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5.</w:t>
      </w:r>
    </w:p>
    <w:p>
      <w:pPr>
        <w:pStyle w:val="TextBody"/>
        <w:bidi w:val="0"/>
        <w:spacing w:before="240" w:after="0"/>
        <w:jc w:val="both"/>
        <w:rPr/>
      </w:pPr>
      <w:r>
        <w:rPr>
          <w:rFonts w:ascii="Times New Roman;serif" w:hAnsi="Times New Roman;serif"/>
          <w:b w:val="false"/>
          <w:sz w:val="24"/>
          <w:u w:val="single"/>
        </w:rPr>
        <w:t>Annual Compensation Limit</w:t>
      </w:r>
      <w:r>
        <w:rPr>
          <w:rFonts w:ascii="Times New Roman;serif" w:hAnsi="Times New Roman;serif"/>
          <w:b w:val="false"/>
          <w:sz w:val="24"/>
        </w:rPr>
        <w:t>. No Outside Director may be granted Awards with Values, and be provided any other compensation (including without limitation any cash retainers or fees) with amounts that, in any Fiscal Year, in the aggregate, exceed $1,000,000. Any Awards or other compensation provided to an individual (a) for their services as an Employee, or for their services as a Consultant other than as an Outside Director, or (b) before the Registration Date, will be excluded for purposes of this Section 5. For purposes of this Policy, “</w:t>
      </w:r>
      <w:r>
        <w:rPr>
          <w:rFonts w:ascii="Times New Roman;serif" w:hAnsi="Times New Roman;serif"/>
          <w:b w:val="false"/>
          <w:sz w:val="24"/>
          <w:u w:val="single"/>
        </w:rPr>
        <w:t>Value</w:t>
      </w:r>
      <w:r>
        <w:rPr/>
        <w:t xml:space="preserve">” </w:t>
      </w:r>
      <w:r>
        <w:rPr>
          <w:rFonts w:ascii="Times New Roman;serif" w:hAnsi="Times New Roman;serif"/>
          <w:b w:val="false"/>
          <w:sz w:val="24"/>
        </w:rPr>
        <w:t>means grant date fair value determined in accordance with U.S. generally accepted accounting principles.</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6.</w:t>
      </w:r>
    </w:p>
    <w:p>
      <w:pPr>
        <w:pStyle w:val="TextBody"/>
        <w:bidi w:val="0"/>
        <w:spacing w:before="240" w:after="0"/>
        <w:jc w:val="both"/>
        <w:rPr/>
      </w:pPr>
      <w:r>
        <w:rPr>
          <w:rFonts w:ascii="Times New Roman;serif" w:hAnsi="Times New Roman;serif"/>
          <w:b w:val="false"/>
          <w:sz w:val="24"/>
          <w:u w:val="single"/>
        </w:rPr>
        <w:t>Travel Expenses</w:t>
      </w:r>
      <w:r>
        <w:rPr>
          <w:rFonts w:ascii="Times New Roman;serif" w:hAnsi="Times New Roman;serif"/>
          <w:b w:val="false"/>
          <w:sz w:val="24"/>
        </w:rPr>
        <w:t>. Each Outside Director’s reasonable, customary and documented travel expenses to meetings of the Board and its committees, as applicable, will be reimbursed by the Company.</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7.</w:t>
      </w:r>
    </w:p>
    <w:p>
      <w:pPr>
        <w:pStyle w:val="TextBody"/>
        <w:bidi w:val="0"/>
        <w:spacing w:before="240" w:after="0"/>
        <w:jc w:val="both"/>
        <w:rPr/>
      </w:pPr>
      <w:r>
        <w:rPr>
          <w:rFonts w:ascii="Times New Roman;serif" w:hAnsi="Times New Roman;serif"/>
          <w:b w:val="false"/>
          <w:sz w:val="24"/>
          <w:u w:val="single"/>
        </w:rPr>
        <w:t>Additional Provisions</w:t>
      </w:r>
      <w:r>
        <w:rPr>
          <w:rFonts w:ascii="Times New Roman;serif" w:hAnsi="Times New Roman;serif"/>
          <w:b w:val="false"/>
          <w:sz w:val="24"/>
        </w:rPr>
        <w:t xml:space="preserve">. All provisions of the Plan not inconsistent with this Policy will apply to Awards granted to Outside Directors. Each Award granted under this Policy will be granted under the Plan and will be subject to the applicable Award Agreement adopted by the Board or its Compensation Committee for use under the Plan. </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8.</w:t>
      </w:r>
    </w:p>
    <w:p>
      <w:pPr>
        <w:pStyle w:val="TextBody"/>
        <w:bidi w:val="0"/>
        <w:spacing w:before="240" w:after="283"/>
        <w:jc w:val="both"/>
        <w:rPr/>
      </w:pPr>
      <w:r>
        <w:rPr>
          <w:rFonts w:ascii="Times New Roman;serif" w:hAnsi="Times New Roman;serif"/>
          <w:b w:val="false"/>
          <w:sz w:val="24"/>
          <w:u w:val="single"/>
        </w:rPr>
        <w:t>Adjustments</w:t>
      </w:r>
      <w:r>
        <w:rPr>
          <w:rFonts w:ascii="Times New Roman;serif" w:hAnsi="Times New Roman;serif"/>
          <w:b w:val="false"/>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ordinary dividends or other ordinary distributions), the Administrator, in order to prevent diminution or enlargement of the benefits or potential benefits intended to be made available under this Policy, will adjust the number, class, and price of shares of stock issuable pursuant to Awards granted under this Policy.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both"/>
        <w:rPr/>
      </w:pPr>
      <w:r>
        <w:rPr/>
        <w:t> </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9.</w:t>
      </w:r>
    </w:p>
    <w:p>
      <w:pPr>
        <w:pStyle w:val="TextBody"/>
        <w:bidi w:val="0"/>
        <w:spacing w:before="240" w:after="0"/>
        <w:jc w:val="both"/>
        <w:rPr/>
      </w:pPr>
      <w:r>
        <w:rPr>
          <w:rFonts w:ascii="Times New Roman;serif" w:hAnsi="Times New Roman;serif"/>
          <w:b w:val="false"/>
          <w:sz w:val="24"/>
          <w:u w:val="single"/>
        </w:rPr>
        <w:t>Section 409A</w:t>
      </w:r>
      <w:r>
        <w:rPr>
          <w:rFonts w:ascii="Times New Roman;serif" w:hAnsi="Times New Roman;serif"/>
          <w:b w:val="false"/>
          <w:sz w:val="24"/>
        </w:rPr>
        <w:t>. In no event will cash compensation or expense reimbursement payments under this Policy be paid after the later of (i) the fifteenth (15</w:t>
      </w:r>
      <w:r>
        <w:rPr>
          <w:rFonts w:ascii="Times New Roman;serif" w:hAnsi="Times New Roman;serif"/>
          <w:b w:val="false"/>
          <w:sz w:val="16"/>
        </w:rPr>
        <w:t>th</w:t>
      </w:r>
      <w:r>
        <w:rPr>
          <w:rFonts w:ascii="Times New Roman;serif" w:hAnsi="Times New Roman;serif"/>
          <w:b w:val="false"/>
          <w:sz w:val="24"/>
        </w:rPr>
        <w:t>) day of the third (3</w:t>
      </w:r>
      <w:r>
        <w:rPr>
          <w:rFonts w:ascii="Times New Roman;serif" w:hAnsi="Times New Roman;serif"/>
          <w:b w:val="false"/>
          <w:sz w:val="16"/>
        </w:rPr>
        <w:t>rd</w:t>
      </w:r>
      <w:r>
        <w:rPr>
          <w:rFonts w:ascii="Times New Roman;serif" w:hAnsi="Times New Roman;serif"/>
          <w:b w:val="false"/>
          <w:sz w:val="24"/>
        </w:rPr>
        <w:t>) month following the end of the Company’s taxable year in which the compensation is earned or expenses are incurred, as applicable, or (ii) the fifteenth (15</w:t>
      </w:r>
      <w:r>
        <w:rPr>
          <w:rFonts w:ascii="Times New Roman;serif" w:hAnsi="Times New Roman;serif"/>
          <w:b w:val="false"/>
          <w:sz w:val="16"/>
        </w:rPr>
        <w:t>th</w:t>
      </w:r>
      <w:r>
        <w:rPr>
          <w:rFonts w:ascii="Times New Roman;serif" w:hAnsi="Times New Roman;serif"/>
          <w:b w:val="false"/>
          <w:sz w:val="24"/>
        </w:rPr>
        <w:t>) day of the third (3</w:t>
      </w:r>
      <w:r>
        <w:rPr>
          <w:rFonts w:ascii="Times New Roman;serif" w:hAnsi="Times New Roman;serif"/>
          <w:b w:val="false"/>
          <w:sz w:val="16"/>
        </w:rPr>
        <w:t>rd</w:t>
      </w:r>
      <w:r>
        <w:rPr>
          <w:rFonts w:ascii="Times New Roman;serif" w:hAnsi="Times New Roman;serif"/>
          <w:b w:val="false"/>
          <w:sz w:val="24"/>
        </w:rPr>
        <w:t>)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provided hereunder will be subject to the additional tax imposed under Section 409A, and any ambiguities or ambiguous terms herein will be interpreted to be so exempt or comply. In no event will the Company or any of its Parent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10.</w:t>
      </w:r>
    </w:p>
    <w:p>
      <w:pPr>
        <w:pStyle w:val="TextBody"/>
        <w:bidi w:val="0"/>
        <w:spacing w:before="240" w:after="0"/>
        <w:jc w:val="both"/>
        <w:rPr/>
      </w:pPr>
      <w:r>
        <w:rPr>
          <w:rFonts w:ascii="Times New Roman;serif" w:hAnsi="Times New Roman;serif"/>
          <w:b w:val="false"/>
          <w:sz w:val="24"/>
          <w:u w:val="single"/>
        </w:rPr>
        <w:t>Stockholder Approval</w:t>
      </w:r>
      <w:r>
        <w:rPr>
          <w:rFonts w:ascii="Times New Roman;serif" w:hAnsi="Times New Roman;serif"/>
          <w:b w:val="false"/>
          <w:sz w:val="24"/>
        </w:rPr>
        <w:t>. This Policy was previously approved by the Company’s stockholders.</w:t>
      </w:r>
    </w:p>
    <w:p>
      <w:pPr>
        <w:pStyle w:val="TextBody"/>
        <w:bidi w:val="0"/>
        <w:spacing w:before="240" w:after="0"/>
        <w:jc w:val="both"/>
        <w:rPr>
          <w:rFonts w:ascii="Times New Roman" w:hAnsi="Times New Roman"/>
          <w:b w:val="false"/>
          <w:sz w:val="24"/>
          <w:u w:val="single"/>
        </w:rPr>
      </w:pPr>
      <w:r>
        <w:rPr>
          <w:rFonts w:ascii="Times New Roman" w:hAnsi="Times New Roman"/>
          <w:b w:val="false"/>
          <w:sz w:val="24"/>
          <w:u w:val="single"/>
        </w:rPr>
        <w:t>11.</w:t>
      </w:r>
    </w:p>
    <w:p>
      <w:pPr>
        <w:pStyle w:val="TextBody"/>
        <w:bidi w:val="0"/>
        <w:spacing w:before="240" w:after="283"/>
        <w:jc w:val="both"/>
        <w:rPr/>
      </w:pPr>
      <w:r>
        <w:rPr>
          <w:rFonts w:ascii="Times New Roman;serif" w:hAnsi="Times New Roman;serif"/>
          <w:b w:val="false"/>
          <w:sz w:val="24"/>
          <w:u w:val="single"/>
        </w:rPr>
        <w:t>Revisions</w:t>
      </w:r>
      <w:r>
        <w:rPr>
          <w:rFonts w:ascii="Times New Roman;serif" w:hAnsi="Times New Roman;serif"/>
          <w:b w:val="false"/>
          <w:sz w:val="24"/>
        </w:rPr>
        <w:t>. The Board may amend, alter, suspend or terminate this Policy at any time and for any reason, including without limitation changing the terms of Initial Awards and Annual Awards.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before the date of such termination.</w:t>
      </w:r>
    </w:p>
    <w:p>
      <w:pPr>
        <w:pStyle w:val="TextBody"/>
        <w:bidi w:val="0"/>
        <w:spacing w:before="240" w:after="0"/>
        <w:jc w:val="center"/>
        <w:rPr>
          <w:rFonts w:ascii="Times New Roman;serif" w:hAnsi="Times New Roman;serif"/>
          <w:b w:val="false"/>
          <w:sz w:val="24"/>
        </w:rPr>
      </w:pPr>
      <w:r>
        <w:rPr>
          <w:rFonts w:ascii="Times New Roman;serif" w:hAnsi="Times New Roman;serif"/>
          <w:b w:val="false"/>
          <w:sz w:val="24"/>
        </w:rPr>
        <w:t>* *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5" w:name="alxo-ex31_1.htm"/>
      <w:bookmarkStart w:id="26" w:name="ksalxoex31_1"/>
      <w:bookmarkEnd w:id="25"/>
      <w:bookmarkEnd w:id="26"/>
      <w:r>
        <w:rPr>
          <w:rFonts w:ascii="Times New Roman;serif" w:hAnsi="Times New Roman;serif"/>
          <w:b/>
          <w:sz w:val="20"/>
        </w:rPr>
        <w:t>Exhibit 31.1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Jaume Pons, Ph.D.,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ALX Oncology Holdings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741"/>
        <w:gridCol w:w="109"/>
        <w:gridCol w:w="406"/>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alxo-ex31_2.htm"/>
      <w:bookmarkStart w:id="28" w:name="ksalxoex31_2"/>
      <w:bookmarkEnd w:id="27"/>
      <w:bookmarkEnd w:id="28"/>
      <w:r>
        <w:rPr>
          <w:rFonts w:ascii="Times New Roman;serif" w:hAnsi="Times New Roman;serif"/>
          <w:b/>
          <w:sz w:val="20"/>
        </w:rPr>
        <w:t>Exhibit 31.2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Peter Garcia,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ALX Oncology Holdings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741"/>
        <w:gridCol w:w="109"/>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9" w:name="alxo-ex32_1.htm"/>
      <w:bookmarkStart w:id="30" w:name="ksalxoex32_1"/>
      <w:bookmarkEnd w:id="29"/>
      <w:bookmarkEnd w:id="30"/>
      <w:r>
        <w:rPr>
          <w:rFonts w:ascii="Times New Roman;serif" w:hAnsi="Times New Roman;serif"/>
          <w:b/>
          <w:sz w:val="20"/>
        </w:rPr>
        <w:t>Exhibit 32.1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ALX Oncology Holdings Inc. (the “Company”), on Form 10-Q for the period ended March 31, 2023, as filed with the Securities and Exchange Commission on the date hereof (the “Report”), I certify, pursuant to 18 U.S.C.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741"/>
        <w:gridCol w:w="109"/>
        <w:gridCol w:w="406"/>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Jaume Pons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Jaume Pons, Ph.D.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Chief Executive Officer and Director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1" w:name="alxo-ex32_2.htm"/>
      <w:bookmarkStart w:id="32" w:name="ksalxoex32_2"/>
      <w:bookmarkEnd w:id="31"/>
      <w:bookmarkEnd w:id="32"/>
      <w:r>
        <w:rPr>
          <w:rFonts w:ascii="Times New Roman;serif" w:hAnsi="Times New Roman;serif"/>
          <w:b/>
          <w:sz w:val="20"/>
        </w:rPr>
        <w:t>Exhibit 32.2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ALX Oncology Holdings Inc. (the “Company”), on Form 10-Q for the period ended March 31, 2023, as filed with the Securities and Exchange Commission on the date hereof (the “Report”), I certify, pursuant to 18 U.S.C.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741"/>
        <w:gridCol w:w="109"/>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Peter Garcia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58558</Words>
  <Characters>325652</Characters>
  <CharactersWithSpaces>384428</CharactersWithSpaces>
  <Paragraphs>5110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