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Pinto Shelly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ALX ONCOLOGY HOLDINGS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323 ALLERTON AVENUE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ALX ONCOLOGY HOLDINGS INC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3120" w:type="dxa"/>
            <w:vAlign w:val="bottom"/>
            <w:tcBorders>
              <w:bottom w:val="single" w:sz="8" w:color="0000EE"/>
            </w:tcBorders>
          </w:tcPr>
          <w:p>
            <w:pPr>
              <w:spacing w:after="0"/>
              <w:rPr>
                <w:sz w:val="3"/>
                <w:szCs w:val="3"/>
                <w:color w:val="auto"/>
              </w:rPr>
            </w:pPr>
          </w:p>
        </w:tc>
        <w:tc>
          <w:tcPr>
            <w:tcW w:w="50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37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ALXO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40" w:type="dxa"/>
            <w:vAlign w:val="bottom"/>
            <w:gridSpan w:val="3"/>
            <w:vMerge w:val="continue"/>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1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300" w:type="dxa"/>
            <w:vAlign w:val="bottom"/>
            <w:gridSpan w:val="2"/>
            <w:vMerge w:val="restart"/>
          </w:tcPr>
          <w:p>
            <w:pPr>
              <w:ind w:left="680"/>
              <w:spacing w:after="0"/>
              <w:rPr>
                <w:sz w:val="20"/>
                <w:szCs w:val="20"/>
                <w:color w:val="auto"/>
              </w:rPr>
            </w:pPr>
            <w:r>
              <w:rPr>
                <w:rFonts w:ascii="Times New Roman" w:cs="Times New Roman" w:eastAsia="Times New Roman" w:hAnsi="Times New Roman"/>
                <w:sz w:val="17"/>
                <w:szCs w:val="17"/>
                <w:color w:val="0000FF"/>
              </w:rPr>
              <w:t>SVP, FINANCE AND CAO</w:t>
            </w:r>
          </w:p>
        </w:tc>
        <w:tc>
          <w:tcPr>
            <w:tcW w:w="0" w:type="dxa"/>
            <w:vAlign w:val="bottom"/>
          </w:tcPr>
          <w:p>
            <w:pPr>
              <w:spacing w:after="0"/>
              <w:rPr>
                <w:sz w:val="1"/>
                <w:szCs w:val="1"/>
                <w:color w:val="auto"/>
              </w:rPr>
            </w:pPr>
          </w:p>
        </w:tc>
      </w:tr>
      <w:tr>
        <w:trPr>
          <w:trHeight w:val="15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33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0" w:type="dxa"/>
            <w:vAlign w:val="bottom"/>
            <w:gridSpan w:val="2"/>
            <w:vMerge w:val="continue"/>
          </w:tcPr>
          <w:p>
            <w:pPr>
              <w:spacing w:after="0"/>
              <w:rPr>
                <w:sz w:val="2"/>
                <w:szCs w:val="2"/>
                <w:color w:val="auto"/>
              </w:rPr>
            </w:pPr>
          </w:p>
        </w:tc>
        <w:tc>
          <w:tcPr>
            <w:tcW w:w="3620" w:type="dxa"/>
            <w:vAlign w:val="bottom"/>
            <w:gridSpan w:val="2"/>
            <w:vMerge w:val="continue"/>
          </w:tcPr>
          <w:p>
            <w:pPr>
              <w:spacing w:after="0"/>
              <w:rPr>
                <w:sz w:val="2"/>
                <w:szCs w:val="2"/>
                <w:color w:val="auto"/>
              </w:rPr>
            </w:pPr>
          </w:p>
        </w:tc>
        <w:tc>
          <w:tcPr>
            <w:tcW w:w="18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33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01/06/2026</w:t>
            </w:r>
          </w:p>
        </w:tc>
        <w:tc>
          <w:tcPr>
            <w:tcW w:w="5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3120" w:type="dxa"/>
            <w:vAlign w:val="bottom"/>
            <w:tcBorders>
              <w:bottom w:val="single" w:sz="8" w:color="2C2C2C"/>
            </w:tcBorders>
          </w:tcPr>
          <w:p>
            <w:pPr>
              <w:spacing w:after="0"/>
              <w:rPr>
                <w:sz w:val="19"/>
                <w:szCs w:val="19"/>
                <w:color w:val="auto"/>
              </w:rPr>
            </w:pPr>
          </w:p>
        </w:tc>
        <w:tc>
          <w:tcPr>
            <w:tcW w:w="500" w:type="dxa"/>
            <w:vAlign w:val="bottom"/>
            <w:tcBorders>
              <w:bottom w:val="single" w:sz="8" w:color="2C2C2C"/>
            </w:tcBorders>
          </w:tcPr>
          <w:p>
            <w:pPr>
              <w:spacing w:after="0"/>
              <w:rPr>
                <w:sz w:val="19"/>
                <w:szCs w:val="19"/>
                <w:color w:val="auto"/>
              </w:rPr>
            </w:pPr>
          </w:p>
        </w:tc>
        <w:tc>
          <w:tcPr>
            <w:tcW w:w="3300" w:type="dxa"/>
            <w:vAlign w:val="bottom"/>
            <w:tcBorders>
              <w:bottom w:val="single" w:sz="8" w:color="2C2C2C"/>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01/06/2026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3,925</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1.11</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88,273</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shares were sold to satisfy the reporting person's tax obligations in connection with the vesting of restricted stock units.</w:t>
      </w:r>
    </w:p>
    <w:p>
      <w:pPr>
        <w:spacing w:after="0" w:line="50"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$1.11 to $1.12, inclusive. The reporting person undertakes to provide to the Issuer, any security holder of the Issuer, or the staff of the Securities and Exchange Commission, upon request,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3,000 shares acquired under the Issuer's employee stock purchase plan on December 31, 2025.</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Shelly Pinto</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01/07/2026</w:t>
            </w:r>
          </w:p>
        </w:tc>
      </w:tr>
      <w:tr>
        <w:trPr>
          <w:trHeight w:val="20"/>
        </w:trPr>
        <w:tc>
          <w:tcPr>
            <w:tcW w:w="106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57740" TargetMode="External"/><Relationship Id="rId14" Type="http://schemas.openxmlformats.org/officeDocument/2006/relationships/hyperlink" Target="http://www.sec.gov/cgi-bin/browse-edgar?action=getcompany&amp;CIK=00018101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2026-01-07T15:48:54Z</dcterms:created>
  <dcterms:modified xsi:type="dcterms:W3CDTF">2026-01-07T15:48:54Z</dcterms:modified>
</cp:coreProperties>
</file>