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June 26, 2020.</w:t>
      </w:r>
    </w:p>
    <w:p>
      <w:pPr>
        <w:spacing w:after="0" w:line="19" w:lineRule="exact"/>
        <w:rPr>
          <w:sz w:val="24"/>
          <w:szCs w:val="24"/>
          <w:color w:val="auto"/>
        </w:rPr>
      </w:pPr>
    </w:p>
    <w:p>
      <w:pPr>
        <w:ind w:left="90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111125</wp:posOffset>
            </wp:positionV>
            <wp:extent cx="2245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S-1</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jc w:val="center"/>
        <w:ind w:right="-99"/>
        <w:spacing w:after="0" w:line="234" w:lineRule="auto"/>
        <w:rPr>
          <w:sz w:val="20"/>
          <w:szCs w:val="20"/>
          <w:color w:val="auto"/>
        </w:rPr>
      </w:pPr>
      <w:r>
        <w:rPr>
          <w:rFonts w:ascii="Arial" w:cs="Arial" w:eastAsia="Arial" w:hAnsi="Arial"/>
          <w:sz w:val="17"/>
          <w:szCs w:val="17"/>
          <w:b w:val="1"/>
          <w:bCs w:val="1"/>
          <w:i w:val="1"/>
          <w:iCs w:val="1"/>
          <w:color w:val="auto"/>
        </w:rPr>
        <w:t>Under</w:t>
      </w:r>
    </w:p>
    <w:p>
      <w:pPr>
        <w:jc w:val="center"/>
        <w:ind w:right="-99"/>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111125</wp:posOffset>
            </wp:positionV>
            <wp:extent cx="2245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ALX ONCOLOGY HOLDINGS INC.</w:t>
      </w:r>
    </w:p>
    <w:p>
      <w:pPr>
        <w:spacing w:after="0" w:line="4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60" w:lineRule="exact"/>
        <w:rPr>
          <w:sz w:val="24"/>
          <w:szCs w:val="24"/>
          <w:color w:val="auto"/>
        </w:rPr>
      </w:pPr>
    </w:p>
    <w:tbl>
      <w:tblPr>
        <w:tblLayout w:type="fixed"/>
        <w:tblInd w:w="960" w:type="dxa"/>
        <w:tblCellMar>
          <w:top w:w="0" w:type="dxa"/>
          <w:left w:w="0" w:type="dxa"/>
          <w:bottom w:w="0" w:type="dxa"/>
          <w:right w:w="0" w:type="dxa"/>
        </w:tblCellMar>
      </w:tblPr>
      <w:tr>
        <w:trPr>
          <w:trHeight w:val="162"/>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2834</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85-0642577</w:t>
            </w:r>
          </w:p>
        </w:tc>
      </w:tr>
      <w:tr>
        <w:trPr>
          <w:trHeight w:val="16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(State or other jurisdiction of</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(Primary Standard Industrial</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Classification Code Number)</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Identification Number)</w:t>
            </w:r>
          </w:p>
        </w:tc>
      </w:tr>
    </w:tbl>
    <w:p>
      <w:pPr>
        <w:jc w:val="center"/>
        <w:ind w:right="-99"/>
        <w:spacing w:after="0"/>
        <w:rPr>
          <w:sz w:val="20"/>
          <w:szCs w:val="20"/>
          <w:color w:val="auto"/>
        </w:rPr>
      </w:pPr>
      <w:r>
        <w:rPr>
          <w:rFonts w:ascii="Arial" w:cs="Arial" w:eastAsia="Arial" w:hAnsi="Arial"/>
          <w:sz w:val="14"/>
          <w:szCs w:val="14"/>
          <w:b w:val="1"/>
          <w:bCs w:val="1"/>
          <w:color w:val="auto"/>
        </w:rPr>
        <w:t>866 Malcolm Road, Suite 100</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Burlingame, California 94010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650-466-7125</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Jaume Pons, Ph.D.</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ALX Oncology Holdings Inc.</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866 Malcolm Road, Suite 100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Burlingame, California 94010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650-466-7125</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8" w:lineRule="exact"/>
        <w:rPr>
          <w:sz w:val="24"/>
          <w:szCs w:val="24"/>
          <w:color w:val="auto"/>
        </w:rPr>
      </w:pPr>
    </w:p>
    <w:tbl>
      <w:tblPr>
        <w:tblLayout w:type="fixed"/>
        <w:tblInd w:w="600" w:type="dxa"/>
        <w:tblCellMar>
          <w:top w:w="0" w:type="dxa"/>
          <w:left w:w="0" w:type="dxa"/>
          <w:bottom w:w="0" w:type="dxa"/>
          <w:right w:w="0" w:type="dxa"/>
        </w:tblCellMar>
      </w:tblPr>
      <w:tr>
        <w:trPr>
          <w:trHeight w:val="188"/>
        </w:trPr>
        <w:tc>
          <w:tcPr>
            <w:tcW w:w="3380" w:type="dxa"/>
            <w:vAlign w:val="bottom"/>
          </w:tcPr>
          <w:p>
            <w:pPr>
              <w:spacing w:after="0"/>
              <w:rPr>
                <w:sz w:val="16"/>
                <w:szCs w:val="16"/>
                <w:color w:val="auto"/>
              </w:rPr>
            </w:pPr>
          </w:p>
        </w:tc>
        <w:tc>
          <w:tcPr>
            <w:tcW w:w="3500" w:type="dxa"/>
            <w:vAlign w:val="bottom"/>
          </w:tcPr>
          <w:p>
            <w:pPr>
              <w:ind w:left="1300"/>
              <w:spacing w:after="0"/>
              <w:rPr>
                <w:sz w:val="20"/>
                <w:szCs w:val="20"/>
                <w:color w:val="auto"/>
              </w:rPr>
            </w:pPr>
            <w:r>
              <w:rPr>
                <w:rFonts w:ascii="Arial" w:cs="Arial" w:eastAsia="Arial" w:hAnsi="Arial"/>
                <w:sz w:val="14"/>
                <w:szCs w:val="14"/>
                <w:b w:val="1"/>
                <w:bCs w:val="1"/>
                <w:i w:val="1"/>
                <w:iCs w:val="1"/>
                <w:color w:val="auto"/>
              </w:rPr>
              <w:t>Copies to:</w:t>
            </w:r>
          </w:p>
        </w:tc>
        <w:tc>
          <w:tcPr>
            <w:tcW w:w="2980" w:type="dxa"/>
            <w:vAlign w:val="bottom"/>
          </w:tcPr>
          <w:p>
            <w:pPr>
              <w:spacing w:after="0"/>
              <w:rPr>
                <w:sz w:val="16"/>
                <w:szCs w:val="16"/>
                <w:color w:val="auto"/>
              </w:rPr>
            </w:pPr>
          </w:p>
        </w:tc>
      </w:tr>
      <w:tr>
        <w:trPr>
          <w:trHeight w:val="201"/>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Kenneth A. Clark</w:t>
            </w:r>
          </w:p>
        </w:tc>
        <w:tc>
          <w:tcPr>
            <w:tcW w:w="3500" w:type="dxa"/>
            <w:vAlign w:val="bottom"/>
          </w:tcPr>
          <w:p>
            <w:pPr>
              <w:jc w:val="center"/>
              <w:ind w:right="28"/>
              <w:spacing w:after="0"/>
              <w:rPr>
                <w:sz w:val="20"/>
                <w:szCs w:val="20"/>
                <w:color w:val="auto"/>
              </w:rPr>
            </w:pPr>
            <w:r>
              <w:rPr>
                <w:rFonts w:ascii="Arial" w:cs="Arial" w:eastAsia="Arial" w:hAnsi="Arial"/>
                <w:sz w:val="14"/>
                <w:szCs w:val="14"/>
                <w:b w:val="1"/>
                <w:bCs w:val="1"/>
                <w:color w:val="auto"/>
              </w:rPr>
              <w:t>Peter Garcia</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Dave Peinsipp</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Tony Jeffries</w:t>
            </w:r>
          </w:p>
        </w:tc>
        <w:tc>
          <w:tcPr>
            <w:tcW w:w="3500" w:type="dxa"/>
            <w:vAlign w:val="bottom"/>
          </w:tcPr>
          <w:p>
            <w:pPr>
              <w:jc w:val="center"/>
              <w:ind w:right="28"/>
              <w:spacing w:after="0"/>
              <w:rPr>
                <w:sz w:val="20"/>
                <w:szCs w:val="20"/>
                <w:color w:val="auto"/>
              </w:rPr>
            </w:pPr>
            <w:r>
              <w:rPr>
                <w:rFonts w:ascii="Arial" w:cs="Arial" w:eastAsia="Arial" w:hAnsi="Arial"/>
                <w:sz w:val="14"/>
                <w:szCs w:val="14"/>
                <w:b w:val="1"/>
                <w:bCs w:val="1"/>
                <w:color w:val="auto"/>
              </w:rPr>
              <w:t>Chief Financial Officer</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Kristin E. VanderPas</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Michael E. Coke</w:t>
            </w:r>
          </w:p>
        </w:tc>
        <w:tc>
          <w:tcPr>
            <w:tcW w:w="3500" w:type="dxa"/>
            <w:vAlign w:val="bottom"/>
          </w:tcPr>
          <w:p>
            <w:pPr>
              <w:jc w:val="center"/>
              <w:ind w:right="8"/>
              <w:spacing w:after="0"/>
              <w:rPr>
                <w:sz w:val="20"/>
                <w:szCs w:val="20"/>
                <w:color w:val="auto"/>
              </w:rPr>
            </w:pPr>
            <w:r>
              <w:rPr>
                <w:rFonts w:ascii="Arial" w:cs="Arial" w:eastAsia="Arial" w:hAnsi="Arial"/>
                <w:sz w:val="14"/>
                <w:szCs w:val="14"/>
                <w:b w:val="1"/>
                <w:bCs w:val="1"/>
                <w:color w:val="auto"/>
              </w:rPr>
              <w:t>ALX Oncology Holdings Inc.</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Laura Berezin</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Christina L. Poulsen</w:t>
            </w:r>
          </w:p>
        </w:tc>
        <w:tc>
          <w:tcPr>
            <w:tcW w:w="3500" w:type="dxa"/>
            <w:vAlign w:val="bottom"/>
          </w:tcPr>
          <w:p>
            <w:pPr>
              <w:jc w:val="center"/>
              <w:ind w:right="28"/>
              <w:spacing w:after="0"/>
              <w:rPr>
                <w:sz w:val="20"/>
                <w:szCs w:val="20"/>
                <w:color w:val="auto"/>
              </w:rPr>
            </w:pPr>
            <w:r>
              <w:rPr>
                <w:rFonts w:ascii="Arial" w:cs="Arial" w:eastAsia="Arial" w:hAnsi="Arial"/>
                <w:sz w:val="14"/>
                <w:szCs w:val="14"/>
                <w:b w:val="1"/>
                <w:bCs w:val="1"/>
                <w:color w:val="auto"/>
              </w:rPr>
              <w:t>866 Malcolm Road, Suite 100</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Denny Won</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Wilson Sonsini Goodrich &amp; Rosati, P.C.</w:t>
            </w:r>
          </w:p>
        </w:tc>
        <w:tc>
          <w:tcPr>
            <w:tcW w:w="3500" w:type="dxa"/>
            <w:vAlign w:val="bottom"/>
          </w:tcPr>
          <w:p>
            <w:pPr>
              <w:jc w:val="center"/>
              <w:ind w:right="8"/>
              <w:spacing w:after="0"/>
              <w:rPr>
                <w:sz w:val="20"/>
                <w:szCs w:val="20"/>
                <w:color w:val="auto"/>
              </w:rPr>
            </w:pPr>
            <w:r>
              <w:rPr>
                <w:rFonts w:ascii="Arial" w:cs="Arial" w:eastAsia="Arial" w:hAnsi="Arial"/>
                <w:sz w:val="14"/>
                <w:szCs w:val="14"/>
                <w:b w:val="1"/>
                <w:bCs w:val="1"/>
                <w:color w:val="auto"/>
              </w:rPr>
              <w:t>Burlingame, California 94010</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650 Page Mill Road</w:t>
            </w:r>
          </w:p>
        </w:tc>
        <w:tc>
          <w:tcPr>
            <w:tcW w:w="3500" w:type="dxa"/>
            <w:vAlign w:val="bottom"/>
          </w:tcPr>
          <w:p>
            <w:pPr>
              <w:jc w:val="center"/>
              <w:ind w:right="8"/>
              <w:spacing w:after="0"/>
              <w:rPr>
                <w:sz w:val="20"/>
                <w:szCs w:val="20"/>
                <w:color w:val="auto"/>
              </w:rPr>
            </w:pPr>
            <w:r>
              <w:rPr>
                <w:rFonts w:ascii="Arial" w:cs="Arial" w:eastAsia="Arial" w:hAnsi="Arial"/>
                <w:sz w:val="14"/>
                <w:szCs w:val="14"/>
                <w:b w:val="1"/>
                <w:bCs w:val="1"/>
                <w:color w:val="auto"/>
              </w:rPr>
              <w:t>650-466-7125</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101 California Street</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Palo Alto, California 94304</w:t>
            </w:r>
          </w:p>
        </w:tc>
        <w:tc>
          <w:tcPr>
            <w:tcW w:w="3500" w:type="dxa"/>
            <w:vAlign w:val="bottom"/>
          </w:tcPr>
          <w:p>
            <w:pPr>
              <w:spacing w:after="0"/>
              <w:rPr>
                <w:sz w:val="14"/>
                <w:szCs w:val="14"/>
                <w:color w:val="auto"/>
              </w:rPr>
            </w:pP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San Francisco, California 94111</w:t>
            </w:r>
          </w:p>
        </w:tc>
      </w:tr>
      <w:tr>
        <w:trPr>
          <w:trHeight w:val="190"/>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650-493-9300</w:t>
            </w:r>
          </w:p>
        </w:tc>
        <w:tc>
          <w:tcPr>
            <w:tcW w:w="3500" w:type="dxa"/>
            <w:vAlign w:val="bottom"/>
          </w:tcPr>
          <w:p>
            <w:pPr>
              <w:spacing w:after="0"/>
              <w:rPr>
                <w:sz w:val="16"/>
                <w:szCs w:val="16"/>
                <w:color w:val="auto"/>
              </w:rPr>
            </w:pP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415-693-2000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110490</wp:posOffset>
            </wp:positionV>
            <wp:extent cx="22459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8"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73" w:lineRule="exact"/>
        <w:rPr>
          <w:sz w:val="24"/>
          <w:szCs w:val="24"/>
          <w:color w:val="auto"/>
        </w:rPr>
      </w:pPr>
    </w:p>
    <w:p>
      <w:pPr>
        <w:ind w:left="120" w:right="36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20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3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32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6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120" w:type="dxa"/>
        <w:tblCellMar>
          <w:top w:w="0" w:type="dxa"/>
          <w:left w:w="0" w:type="dxa"/>
          <w:bottom w:w="0" w:type="dxa"/>
          <w:right w:w="0" w:type="dxa"/>
        </w:tblCellMar>
      </w:tblPr>
      <w:tr>
        <w:trPr>
          <w:trHeight w:val="181"/>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2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2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6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5240" w:type="dxa"/>
            <w:vAlign w:val="bottom"/>
          </w:tcPr>
          <w:p>
            <w:pPr>
              <w:ind w:left="3260"/>
              <w:spacing w:after="0"/>
              <w:rPr>
                <w:sz w:val="20"/>
                <w:szCs w:val="20"/>
                <w:color w:val="auto"/>
              </w:rPr>
            </w:pPr>
            <w:r>
              <w:rPr>
                <w:rFonts w:ascii="Arial" w:cs="Arial" w:eastAsia="Arial" w:hAnsi="Arial"/>
                <w:sz w:val="14"/>
                <w:szCs w:val="14"/>
                <w:color w:val="auto"/>
              </w:rPr>
              <w:t>Emerging growth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6" w:lineRule="exact"/>
        <w:rPr>
          <w:sz w:val="24"/>
          <w:szCs w:val="24"/>
          <w:color w:val="auto"/>
        </w:rPr>
      </w:pPr>
    </w:p>
    <w:p>
      <w:pPr>
        <w:ind w:left="120" w:right="220" w:firstLine="44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100330</wp:posOffset>
            </wp:positionV>
            <wp:extent cx="2245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CALCULATION OF REGISTRATION FEE</w:t>
      </w:r>
    </w:p>
    <w:p>
      <w:pPr>
        <w:spacing w:after="0" w:line="67"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7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29"/>
        </w:trPr>
        <w:tc>
          <w:tcPr>
            <w:tcW w:w="774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w:t>
            </w:r>
          </w:p>
        </w:tc>
        <w:tc>
          <w:tcPr>
            <w:tcW w:w="1640" w:type="dxa"/>
            <w:vAlign w:val="bottom"/>
          </w:tcPr>
          <w:p>
            <w:pPr>
              <w:spacing w:after="0"/>
              <w:rPr>
                <w:sz w:val="11"/>
                <w:szCs w:val="11"/>
                <w:color w:val="auto"/>
              </w:rPr>
            </w:pPr>
          </w:p>
        </w:tc>
      </w:tr>
      <w:tr>
        <w:trPr>
          <w:trHeight w:val="162"/>
        </w:trPr>
        <w:tc>
          <w:tcPr>
            <w:tcW w:w="774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640" w:type="dxa"/>
            <w:vAlign w:val="bottom"/>
          </w:tcPr>
          <w:p>
            <w:pPr>
              <w:spacing w:after="0"/>
              <w:rPr>
                <w:sz w:val="14"/>
                <w:szCs w:val="14"/>
                <w:color w:val="auto"/>
              </w:rPr>
            </w:pPr>
          </w:p>
        </w:tc>
      </w:tr>
      <w:tr>
        <w:trPr>
          <w:trHeight w:val="162"/>
        </w:trPr>
        <w:tc>
          <w:tcPr>
            <w:tcW w:w="7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w:t>
            </w:r>
          </w:p>
        </w:tc>
        <w:tc>
          <w:tcPr>
            <w:tcW w:w="164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rPr>
              <w:t>Aggregate</w:t>
            </w:r>
          </w:p>
        </w:tc>
        <w:tc>
          <w:tcPr>
            <w:tcW w:w="1640" w:type="dxa"/>
            <w:vAlign w:val="bottom"/>
          </w:tcPr>
          <w:p>
            <w:pPr>
              <w:jc w:val="center"/>
              <w:ind w:left="8"/>
              <w:spacing w:after="0"/>
              <w:rPr>
                <w:sz w:val="20"/>
                <w:szCs w:val="20"/>
                <w:color w:val="auto"/>
              </w:rPr>
            </w:pPr>
            <w:r>
              <w:rPr>
                <w:rFonts w:ascii="Arial" w:cs="Arial" w:eastAsia="Arial" w:hAnsi="Arial"/>
                <w:sz w:val="14"/>
                <w:szCs w:val="14"/>
                <w:b w:val="1"/>
                <w:bCs w:val="1"/>
                <w:color w:val="auto"/>
              </w:rPr>
              <w:t>Amount of</w:t>
            </w:r>
          </w:p>
        </w:tc>
      </w:tr>
      <w:tr>
        <w:trPr>
          <w:trHeight w:val="189"/>
        </w:trPr>
        <w:tc>
          <w:tcPr>
            <w:tcW w:w="7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1640" w:type="dxa"/>
            <w:vAlign w:val="bottom"/>
            <w:tcBorders>
              <w:bottom w:val="single" w:sz="8" w:color="auto"/>
              <w:right w:val="single" w:sz="8" w:color="auto"/>
            </w:tcBorders>
          </w:tcPr>
          <w:p>
            <w:pPr>
              <w:jc w:val="center"/>
              <w:ind w:left="10"/>
              <w:spacing w:after="0" w:line="189" w:lineRule="exact"/>
              <w:rPr>
                <w:sz w:val="20"/>
                <w:szCs w:val="20"/>
                <w:color w:val="auto"/>
              </w:rPr>
            </w:pPr>
            <w:r>
              <w:rPr>
                <w:rFonts w:ascii="Arial" w:cs="Arial" w:eastAsia="Arial" w:hAnsi="Arial"/>
                <w:sz w:val="13"/>
                <w:szCs w:val="13"/>
                <w:b w:val="1"/>
                <w:bCs w:val="1"/>
                <w:color w:val="auto"/>
              </w:rPr>
              <w:t>Offering Price</w:t>
            </w:r>
            <w:r>
              <w:rPr>
                <w:rFonts w:ascii="Arial" w:cs="Arial" w:eastAsia="Arial" w:hAnsi="Arial"/>
                <w:sz w:val="21"/>
                <w:szCs w:val="21"/>
                <w:b w:val="1"/>
                <w:bCs w:val="1"/>
                <w:color w:val="auto"/>
                <w:vertAlign w:val="superscript"/>
              </w:rPr>
              <w:t>(1)(2)</w:t>
            </w:r>
          </w:p>
        </w:tc>
        <w:tc>
          <w:tcPr>
            <w:tcW w:w="16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Registration Fee</w:t>
            </w:r>
          </w:p>
        </w:tc>
      </w:tr>
      <w:tr>
        <w:trPr>
          <w:trHeight w:val="156"/>
        </w:trPr>
        <w:tc>
          <w:tcPr>
            <w:tcW w:w="77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$ 0.001 par value</w:t>
            </w:r>
          </w:p>
        </w:tc>
        <w:tc>
          <w:tcPr>
            <w:tcW w:w="1640" w:type="dxa"/>
            <w:vAlign w:val="bottom"/>
            <w:tcBorders>
              <w:bottom w:val="single" w:sz="8" w:color="auto"/>
              <w:right w:val="single" w:sz="8" w:color="auto"/>
            </w:tcBorders>
          </w:tcPr>
          <w:p>
            <w:pPr>
              <w:jc w:val="center"/>
              <w:ind w:left="10"/>
              <w:spacing w:after="0" w:line="155" w:lineRule="exact"/>
              <w:rPr>
                <w:sz w:val="20"/>
                <w:szCs w:val="20"/>
                <w:color w:val="auto"/>
              </w:rPr>
            </w:pPr>
            <w:r>
              <w:rPr>
                <w:rFonts w:ascii="Arial" w:cs="Arial" w:eastAsia="Arial" w:hAnsi="Arial"/>
                <w:sz w:val="14"/>
                <w:szCs w:val="14"/>
                <w:color w:val="auto"/>
              </w:rPr>
              <w:t>$100,000,000</w:t>
            </w:r>
          </w:p>
        </w:tc>
        <w:tc>
          <w:tcPr>
            <w:tcW w:w="1640" w:type="dxa"/>
            <w:vAlign w:val="bottom"/>
            <w:tcBorders>
              <w:bottom w:val="single" w:sz="8" w:color="auto"/>
            </w:tcBorders>
          </w:tcPr>
          <w:p>
            <w:pPr>
              <w:jc w:val="center"/>
              <w:ind w:left="8"/>
              <w:spacing w:after="0" w:line="155" w:lineRule="exact"/>
              <w:rPr>
                <w:sz w:val="20"/>
                <w:szCs w:val="20"/>
                <w:color w:val="auto"/>
              </w:rPr>
            </w:pPr>
            <w:r>
              <w:rPr>
                <w:rFonts w:ascii="Arial" w:cs="Arial" w:eastAsia="Arial" w:hAnsi="Arial"/>
                <w:sz w:val="14"/>
                <w:szCs w:val="14"/>
                <w:color w:val="auto"/>
              </w:rPr>
              <w:t>$12,980</w:t>
            </w: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540" w:hanging="276"/>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offering price of any additional shares of common stock that the underwriters have the option to purchase.</w:t>
      </w:r>
    </w:p>
    <w:p>
      <w:pPr>
        <w:spacing w:after="0" w:line="1" w:lineRule="exact"/>
        <w:rPr>
          <w:rFonts w:ascii="Arial" w:cs="Arial" w:eastAsia="Arial" w:hAnsi="Arial"/>
          <w:sz w:val="14"/>
          <w:szCs w:val="14"/>
          <w:color w:val="auto"/>
        </w:rPr>
      </w:pPr>
    </w:p>
    <w:p>
      <w:pPr>
        <w:ind w:left="540" w:hanging="276"/>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6" w:lineRule="exact"/>
        <w:rPr>
          <w:sz w:val="24"/>
          <w:szCs w:val="24"/>
          <w:color w:val="auto"/>
        </w:rPr>
      </w:pPr>
    </w:p>
    <w:p>
      <w:pPr>
        <w:jc w:val="both"/>
        <w:ind w:left="120" w:right="160"/>
        <w:spacing w:after="0" w:line="256"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b w:val="1"/>
          <w:bCs w:val="1"/>
          <w:color w:val="C2112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28" w:lineRule="exact"/>
        <w:rPr>
          <w:sz w:val="20"/>
          <w:szCs w:val="20"/>
          <w:color w:val="auto"/>
        </w:rPr>
      </w:pPr>
    </w:p>
    <w:tbl>
      <w:tblPr>
        <w:tblLayout w:type="fixed"/>
        <w:tblInd w:w="6720" w:type="dxa"/>
        <w:tblCellMar>
          <w:top w:w="0" w:type="dxa"/>
          <w:left w:w="0" w:type="dxa"/>
          <w:bottom w:w="0" w:type="dxa"/>
          <w:right w:w="0" w:type="dxa"/>
        </w:tblCellMar>
      </w:tblPr>
      <w:tr>
        <w:trPr>
          <w:trHeight w:val="217"/>
        </w:trPr>
        <w:tc>
          <w:tcPr>
            <w:tcW w:w="3480" w:type="dxa"/>
            <w:vAlign w:val="bottom"/>
          </w:tcPr>
          <w:p>
            <w:pPr>
              <w:spacing w:after="0"/>
              <w:rPr>
                <w:sz w:val="20"/>
                <w:szCs w:val="20"/>
                <w:color w:val="auto"/>
              </w:rPr>
            </w:pPr>
            <w:r>
              <w:rPr>
                <w:rFonts w:ascii="Arial" w:cs="Arial" w:eastAsia="Arial" w:hAnsi="Arial"/>
                <w:sz w:val="18"/>
                <w:szCs w:val="18"/>
                <w:color w:val="C21128"/>
              </w:rPr>
              <w:t>SUBJECT TO COMPLETION, DATED</w:t>
            </w:r>
          </w:p>
        </w:tc>
        <w:tc>
          <w:tcPr>
            <w:tcW w:w="940" w:type="dxa"/>
            <w:vAlign w:val="bottom"/>
          </w:tcPr>
          <w:p>
            <w:pPr>
              <w:jc w:val="right"/>
              <w:spacing w:after="0"/>
              <w:rPr>
                <w:sz w:val="20"/>
                <w:szCs w:val="20"/>
                <w:color w:val="auto"/>
              </w:rPr>
            </w:pPr>
            <w:r>
              <w:rPr>
                <w:rFonts w:ascii="Arial" w:cs="Arial" w:eastAsia="Arial" w:hAnsi="Arial"/>
                <w:sz w:val="18"/>
                <w:szCs w:val="18"/>
                <w:color w:val="C21128"/>
              </w:rPr>
              <w:t>, 2020</w:t>
            </w:r>
          </w:p>
        </w:tc>
      </w:tr>
    </w:tbl>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140" w:lineRule="exact"/>
        <w:rPr>
          <w:sz w:val="20"/>
          <w:szCs w:val="20"/>
          <w:color w:val="auto"/>
        </w:rPr>
      </w:pPr>
    </w:p>
    <w:p>
      <w:pPr>
        <w:ind w:left="566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182245</wp:posOffset>
            </wp:positionV>
            <wp:extent cx="2065655" cy="10801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6565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Common Stock</w:t>
      </w:r>
    </w:p>
    <w:p>
      <w:pPr>
        <w:spacing w:after="0" w:line="254"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We are offering shares of our common stock. This is our initial public offering of our common stock, and no public market currently exists for our common stock. We expect the initial public offering price to be between $ and $ per share. We have applied to list our common stock on the Nasdaq Global Select Market under the symbol “ALXO.”</w:t>
      </w:r>
    </w:p>
    <w:p>
      <w:pPr>
        <w:spacing w:after="0" w:line="147"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144" w:lineRule="exact"/>
        <w:rPr>
          <w:sz w:val="20"/>
          <w:szCs w:val="20"/>
          <w:color w:val="auto"/>
        </w:rPr>
      </w:pPr>
    </w:p>
    <w:p>
      <w:pPr>
        <w:ind w:left="120"/>
        <w:spacing w:after="0"/>
        <w:rPr>
          <w:rFonts w:ascii="Arial" w:cs="Arial" w:eastAsia="Arial" w:hAnsi="Arial"/>
          <w:sz w:val="17"/>
          <w:szCs w:val="17"/>
          <w:color w:val="auto"/>
        </w:rPr>
      </w:pPr>
      <w:r>
        <w:rPr>
          <w:rFonts w:ascii="Arial" w:cs="Arial" w:eastAsia="Arial" w:hAnsi="Arial"/>
          <w:sz w:val="17"/>
          <w:szCs w:val="17"/>
          <w:color w:val="auto"/>
        </w:rPr>
        <w:t>Investing in our common stock involves a high degree of risk. Please read “</w:t>
      </w:r>
      <w:hyperlink w:anchor="page14">
        <w:r>
          <w:rPr>
            <w:rFonts w:ascii="Arial" w:cs="Arial" w:eastAsia="Arial" w:hAnsi="Arial"/>
            <w:sz w:val="17"/>
            <w:szCs w:val="17"/>
            <w:u w:val="single" w:color="auto"/>
            <w:color w:val="0000EE"/>
          </w:rPr>
          <w:t>Risk Factors</w:t>
        </w:r>
      </w:hyperlink>
      <w:r>
        <w:rPr>
          <w:rFonts w:ascii="Arial" w:cs="Arial" w:eastAsia="Arial" w:hAnsi="Arial"/>
          <w:sz w:val="17"/>
          <w:szCs w:val="17"/>
          <w:color w:val="auto"/>
        </w:rPr>
        <w:t>” beginning on page 11 of this prospectus.</w:t>
      </w:r>
    </w:p>
    <w:p>
      <w:pPr>
        <w:spacing w:after="0" w:line="139" w:lineRule="exact"/>
        <w:rPr>
          <w:sz w:val="20"/>
          <w:szCs w:val="20"/>
          <w:color w:val="auto"/>
        </w:rPr>
      </w:pPr>
    </w:p>
    <w:p>
      <w:pPr>
        <w:ind w:left="120" w:right="300"/>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97790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PER SHARE</w:t>
            </w:r>
          </w:p>
        </w:tc>
        <w:tc>
          <w:tcPr>
            <w:tcW w:w="50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83"/>
        </w:trPr>
        <w:tc>
          <w:tcPr>
            <w:tcW w:w="5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Initial Public Offering Price</w:t>
            </w:r>
          </w:p>
        </w:tc>
        <w:tc>
          <w:tcPr>
            <w:tcW w:w="12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4"/>
        </w:trPr>
        <w:tc>
          <w:tcPr>
            <w:tcW w:w="564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Underwriting Discounts and Commissions</w:t>
            </w:r>
          </w:p>
        </w:tc>
        <w:tc>
          <w:tcPr>
            <w:tcW w:w="2120" w:type="dxa"/>
            <w:vAlign w:val="bottom"/>
            <w:gridSpan w:val="2"/>
            <w:shd w:val="clear" w:color="auto" w:fill="CCEEFF"/>
          </w:tcPr>
          <w:p>
            <w:pPr>
              <w:jc w:val="right"/>
              <w:ind w:right="767"/>
              <w:spacing w:after="0" w:line="4" w:lineRule="exact"/>
              <w:rPr>
                <w:sz w:val="20"/>
                <w:szCs w:val="20"/>
                <w:color w:val="auto"/>
              </w:rPr>
            </w:pPr>
            <w:r>
              <w:rPr>
                <w:rFonts w:ascii="Arial" w:cs="Arial" w:eastAsia="Arial" w:hAnsi="Arial"/>
                <w:sz w:val="1"/>
                <w:szCs w:val="1"/>
                <w:color w:val="auto"/>
              </w:rPr>
              <w:t>$</w:t>
            </w:r>
          </w:p>
        </w:tc>
        <w:tc>
          <w:tcPr>
            <w:tcW w:w="1440" w:type="dxa"/>
            <w:vAlign w:val="bottom"/>
            <w:gridSpan w:val="2"/>
            <w:shd w:val="clear" w:color="auto" w:fill="CCEEFF"/>
          </w:tcPr>
          <w:p>
            <w:pPr>
              <w:jc w:val="right"/>
              <w:ind w:right="787"/>
              <w:spacing w:after="0" w:line="4" w:lineRule="exact"/>
              <w:rPr>
                <w:sz w:val="20"/>
                <w:szCs w:val="20"/>
                <w:color w:val="auto"/>
              </w:rPr>
            </w:pPr>
            <w:r>
              <w:rPr>
                <w:rFonts w:ascii="Arial" w:cs="Arial" w:eastAsia="Arial" w:hAnsi="Arial"/>
                <w:sz w:val="1"/>
                <w:szCs w:val="1"/>
                <w:color w:val="auto"/>
              </w:rPr>
              <w:t>$</w:t>
            </w:r>
          </w:p>
        </w:tc>
        <w:tc>
          <w:tcPr>
            <w:tcW w:w="60" w:type="dxa"/>
            <w:vAlign w:val="bottom"/>
            <w:shd w:val="clear" w:color="auto" w:fill="CCEEFF"/>
          </w:tcPr>
          <w:p>
            <w:pPr>
              <w:spacing w:after="0" w:line="20" w:lineRule="exact"/>
              <w:rPr>
                <w:sz w:val="1"/>
                <w:szCs w:val="1"/>
                <w:color w:val="auto"/>
              </w:rPr>
            </w:pPr>
          </w:p>
        </w:tc>
      </w:tr>
      <w:tr>
        <w:trPr>
          <w:trHeight w:val="173"/>
        </w:trPr>
        <w:tc>
          <w:tcPr>
            <w:tcW w:w="5640" w:type="dxa"/>
            <w:vAlign w:val="bottom"/>
          </w:tcPr>
          <w:p>
            <w:pPr>
              <w:jc w:val="right"/>
              <w:ind w:right="2238"/>
              <w:spacing w:after="0"/>
              <w:rPr>
                <w:sz w:val="20"/>
                <w:szCs w:val="20"/>
                <w:color w:val="auto"/>
              </w:rPr>
            </w:pPr>
            <w:r>
              <w:rPr>
                <w:rFonts w:ascii="Arial" w:cs="Arial" w:eastAsia="Arial" w:hAnsi="Arial"/>
                <w:sz w:val="15"/>
                <w:szCs w:val="15"/>
                <w:color w:val="auto"/>
              </w:rPr>
              <w:t>(1)</w:t>
            </w: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Proceeds to ALX Oncology Holdings Inc., before expenses</w:t>
            </w:r>
          </w:p>
        </w:tc>
        <w:tc>
          <w:tcPr>
            <w:tcW w:w="2120" w:type="dxa"/>
            <w:vAlign w:val="bottom"/>
            <w:gridSpan w:val="2"/>
            <w:shd w:val="clear" w:color="auto" w:fill="CCEEFF"/>
          </w:tcPr>
          <w:p>
            <w:pPr>
              <w:jc w:val="right"/>
              <w:ind w:right="767"/>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787"/>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ind w:left="540" w:hanging="249"/>
        <w:spacing w:after="0"/>
        <w:tabs>
          <w:tab w:leader="none" w:pos="54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See “Underwriting” beginning on page 161 for additional information regarding underwriter compensation.</w:t>
      </w:r>
    </w:p>
    <w:p>
      <w:pPr>
        <w:spacing w:after="0" w:line="134" w:lineRule="exact"/>
        <w:rPr>
          <w:sz w:val="20"/>
          <w:szCs w:val="20"/>
          <w:color w:val="auto"/>
        </w:rPr>
      </w:pPr>
    </w:p>
    <w:p>
      <w:pPr>
        <w:ind w:left="120"/>
        <w:spacing w:after="0"/>
        <w:tabs>
          <w:tab w:leader="none" w:pos="6620" w:val="left"/>
        </w:tabs>
        <w:rPr>
          <w:sz w:val="20"/>
          <w:szCs w:val="20"/>
          <w:color w:val="auto"/>
        </w:rPr>
      </w:pPr>
      <w:r>
        <w:rPr>
          <w:rFonts w:ascii="Arial" w:cs="Arial" w:eastAsia="Arial" w:hAnsi="Arial"/>
          <w:sz w:val="17"/>
          <w:szCs w:val="17"/>
          <w:color w:val="auto"/>
        </w:rPr>
        <w:t>Delivery of the shares of common stock is expected to be made on or about</w:t>
      </w:r>
      <w:r>
        <w:rPr>
          <w:sz w:val="20"/>
          <w:szCs w:val="20"/>
          <w:color w:val="auto"/>
        </w:rPr>
        <w:tab/>
      </w:r>
      <w:r>
        <w:rPr>
          <w:rFonts w:ascii="Arial" w:cs="Arial" w:eastAsia="Arial" w:hAnsi="Arial"/>
          <w:sz w:val="17"/>
          <w:szCs w:val="17"/>
          <w:color w:val="auto"/>
        </w:rPr>
        <w:t>, 2020. We have granted the underwriters an option for a</w:t>
      </w:r>
    </w:p>
    <w:p>
      <w:pPr>
        <w:ind w:left="120"/>
        <w:spacing w:after="0" w:line="232" w:lineRule="auto"/>
        <w:tabs>
          <w:tab w:leader="none" w:pos="4220" w:val="left"/>
        </w:tabs>
        <w:rPr>
          <w:sz w:val="20"/>
          <w:szCs w:val="20"/>
          <w:color w:val="auto"/>
        </w:rPr>
      </w:pPr>
      <w:r>
        <w:rPr>
          <w:rFonts w:ascii="Arial" w:cs="Arial" w:eastAsia="Arial" w:hAnsi="Arial"/>
          <w:sz w:val="17"/>
          <w:szCs w:val="17"/>
          <w:color w:val="auto"/>
        </w:rPr>
        <w:t>period of 30 days to purchase an additional</w:t>
      </w:r>
      <w:r>
        <w:rPr>
          <w:sz w:val="20"/>
          <w:szCs w:val="20"/>
          <w:color w:val="auto"/>
        </w:rPr>
        <w:tab/>
      </w:r>
      <w:r>
        <w:rPr>
          <w:rFonts w:ascii="Arial" w:cs="Arial" w:eastAsia="Arial" w:hAnsi="Arial"/>
          <w:sz w:val="17"/>
          <w:szCs w:val="17"/>
          <w:color w:val="auto"/>
        </w:rPr>
        <w:t>shares of our common stock. If the underwriters exercise the option in full, the total</w:t>
      </w:r>
    </w:p>
    <w:p>
      <w:pPr>
        <w:ind w:left="120"/>
        <w:spacing w:after="0"/>
        <w:tabs>
          <w:tab w:leader="none" w:pos="5740" w:val="left"/>
          <w:tab w:leader="none" w:pos="10680" w:val="left"/>
        </w:tabs>
        <w:rPr>
          <w:sz w:val="20"/>
          <w:szCs w:val="20"/>
          <w:color w:val="auto"/>
        </w:rPr>
      </w:pPr>
      <w:r>
        <w:rPr>
          <w:rFonts w:ascii="Arial" w:cs="Arial" w:eastAsia="Arial" w:hAnsi="Arial"/>
          <w:sz w:val="17"/>
          <w:szCs w:val="17"/>
          <w:color w:val="auto"/>
        </w:rPr>
        <w:t>underwriting discounts and commissions payable by us will be $</w:t>
      </w:r>
      <w:r>
        <w:rPr>
          <w:sz w:val="20"/>
          <w:szCs w:val="20"/>
          <w:color w:val="auto"/>
        </w:rPr>
        <w:tab/>
      </w:r>
      <w:r>
        <w:rPr>
          <w:rFonts w:ascii="Arial" w:cs="Arial" w:eastAsia="Arial" w:hAnsi="Arial"/>
          <w:sz w:val="17"/>
          <w:szCs w:val="17"/>
          <w:color w:val="auto"/>
        </w:rPr>
        <w:t>and the total proceeds to us, before expenses, will be $</w:t>
      </w:r>
      <w:r>
        <w:rPr>
          <w:sz w:val="20"/>
          <w:szCs w:val="20"/>
          <w:color w:val="auto"/>
        </w:rPr>
        <w:tab/>
      </w:r>
      <w:r>
        <w:rPr>
          <w:rFonts w:ascii="Arial" w:cs="Arial" w:eastAsia="Arial" w:hAnsi="Arial"/>
          <w:sz w:val="14"/>
          <w:szCs w:val="14"/>
          <w:color w:val="auto"/>
        </w:rPr>
        <w:t>.</w:t>
      </w:r>
    </w:p>
    <w:p>
      <w:pPr>
        <w:sectPr>
          <w:pgSz w:w="11900" w:h="16838" w:orient="portrait"/>
          <w:cols w:equalWidth="0" w:num="1">
            <w:col w:w="11140"/>
          </w:cols>
          <w:pgMar w:left="320" w:top="459" w:right="439" w:bottom="1440" w:gutter="0" w:footer="0" w:header="0"/>
        </w:sectPr>
      </w:pPr>
    </w:p>
    <w:p>
      <w:pPr>
        <w:spacing w:after="0" w:line="162"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auto"/>
        </w:rPr>
        <w:t>Jefferies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Credit Suisse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Piper Sandler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Cantor</w:t>
      </w:r>
    </w:p>
    <w:p>
      <w:pPr>
        <w:spacing w:after="0" w:line="187" w:lineRule="exact"/>
        <w:rPr>
          <w:sz w:val="20"/>
          <w:szCs w:val="20"/>
          <w:color w:val="auto"/>
        </w:rPr>
      </w:pPr>
    </w:p>
    <w:p>
      <w:pPr>
        <w:sectPr>
          <w:pgSz w:w="11900" w:h="16838" w:orient="portrait"/>
          <w:cols w:equalWidth="0" w:num="4">
            <w:col w:w="2140" w:space="720"/>
            <w:col w:w="3040" w:space="720"/>
            <w:col w:w="2760" w:space="720"/>
            <w:col w:w="104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25"/>
          <w:szCs w:val="25"/>
          <w:b w:val="1"/>
          <w:bCs w:val="1"/>
          <w:color w:val="auto"/>
        </w:rPr>
        <w:t>LifeSci Capital</w:t>
      </w:r>
    </w:p>
    <w:p>
      <w:pPr>
        <w:sectPr>
          <w:pgSz w:w="11900" w:h="16838" w:orient="portrait"/>
          <w:cols w:equalWidth="0" w:num="1">
            <w:col w:w="11140"/>
          </w:cols>
          <w:pgMar w:left="320" w:top="459" w:right="439" w:bottom="1440" w:gutter="0" w:footer="0" w:header="0"/>
          <w:type w:val="continuous"/>
        </w:sectPr>
      </w:pPr>
    </w:p>
    <w:p>
      <w:pPr>
        <w:spacing w:after="0" w:line="250"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Prospectus dated</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 2020</w:t>
      </w:r>
    </w:p>
    <w:p>
      <w:pPr>
        <w:sectPr>
          <w:pgSz w:w="11900" w:h="16838" w:orient="portrait"/>
          <w:cols w:equalWidth="0" w:num="2">
            <w:col w:w="5740" w:space="720"/>
            <w:col w:w="468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560" w:type="dxa"/>
            <w:vAlign w:val="bottom"/>
            <w:vMerge w:val="restart"/>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PROSPECTUS SUMMARY</w:t>
              </w:r>
            </w:hyperlink>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6"/>
        </w:trPr>
        <w:tc>
          <w:tcPr>
            <w:tcW w:w="10560" w:type="dxa"/>
            <w:vAlign w:val="bottom"/>
            <w:vMerge w:val="continue"/>
          </w:tcPr>
          <w:p>
            <w:pPr>
              <w:spacing w:after="0"/>
              <w:rPr>
                <w:sz w:val="15"/>
                <w:szCs w:val="15"/>
                <w:color w:val="auto"/>
              </w:rPr>
            </w:pPr>
          </w:p>
        </w:tc>
        <w:tc>
          <w:tcPr>
            <w:tcW w:w="40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4">
              <w:r>
                <w:rPr>
                  <w:rFonts w:ascii="Arial" w:cs="Arial" w:eastAsia="Arial" w:hAnsi="Arial"/>
                  <w:sz w:val="17"/>
                  <w:szCs w:val="17"/>
                  <w:u w:val="single" w:color="auto"/>
                  <w:color w:val="0000EE"/>
                </w:rPr>
                <w:t>RISK FACTORS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SPECIAL NOTE REGARDING FORWARD-LOOKING STATEMENTS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MARKET, INDUSTRY AND OTHER DATA</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USE OF PROCEEDS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9">
              <w:r>
                <w:rPr>
                  <w:rFonts w:ascii="Arial" w:cs="Arial" w:eastAsia="Arial" w:hAnsi="Arial"/>
                  <w:sz w:val="17"/>
                  <w:szCs w:val="17"/>
                  <w:u w:val="single" w:color="auto"/>
                  <w:color w:val="0000EE"/>
                </w:rPr>
                <w:t>DIVIDEND POLICY</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0">
              <w:r>
                <w:rPr>
                  <w:rFonts w:ascii="Arial" w:cs="Arial" w:eastAsia="Arial" w:hAnsi="Arial"/>
                  <w:sz w:val="17"/>
                  <w:szCs w:val="17"/>
                  <w:u w:val="single" w:color="auto"/>
                  <w:color w:val="0000EE"/>
                </w:rPr>
                <w:t>CAPITALIZATION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DILUTION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5">
              <w:r>
                <w:rPr>
                  <w:rFonts w:ascii="Arial" w:cs="Arial" w:eastAsia="Arial" w:hAnsi="Arial"/>
                  <w:sz w:val="17"/>
                  <w:szCs w:val="17"/>
                  <w:u w:val="single" w:color="auto"/>
                  <w:color w:val="0000EE"/>
                </w:rPr>
                <w:t>SELECTED CONSOLIDATED FINANCIAL DATA</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7">
              <w:r>
                <w:rPr>
                  <w:rFonts w:ascii="Arial" w:cs="Arial" w:eastAsia="Arial" w:hAnsi="Arial"/>
                  <w:sz w:val="17"/>
                  <w:szCs w:val="17"/>
                  <w:u w:val="single" w:color="auto"/>
                  <w:color w:val="0000EE"/>
                </w:rPr>
                <w:t>MANAGEMENT’S DISCUSSION AND ANALYSIS OF FINANCIAL CONDITION AND RESULTS OF OPERATIONS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94">
              <w:r>
                <w:rPr>
                  <w:rFonts w:ascii="Arial" w:cs="Arial" w:eastAsia="Arial" w:hAnsi="Arial"/>
                  <w:sz w:val="17"/>
                  <w:szCs w:val="17"/>
                  <w:u w:val="single" w:color="auto"/>
                  <w:color w:val="0000EE"/>
                </w:rPr>
                <w:t>BUSINESS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27">
              <w:r>
                <w:rPr>
                  <w:rFonts w:ascii="Arial" w:cs="Arial" w:eastAsia="Arial" w:hAnsi="Arial"/>
                  <w:sz w:val="17"/>
                  <w:szCs w:val="17"/>
                  <w:u w:val="single" w:color="auto"/>
                  <w:color w:val="0000EE"/>
                </w:rPr>
                <w:t>MANAGEMENT</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EXECUTIVE COMPENSATION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45">
              <w:r>
                <w:rPr>
                  <w:rFonts w:ascii="Arial" w:cs="Arial" w:eastAsia="Arial" w:hAnsi="Arial"/>
                  <w:sz w:val="17"/>
                  <w:szCs w:val="17"/>
                  <w:u w:val="single" w:color="auto"/>
                  <w:color w:val="0000EE"/>
                </w:rPr>
                <w:t>CERTAIN RELATIONSHIPS AND RELATED-PARTY TRANSACTIONS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1">
              <w:r>
                <w:rPr>
                  <w:rFonts w:ascii="Arial" w:cs="Arial" w:eastAsia="Arial" w:hAnsi="Arial"/>
                  <w:sz w:val="17"/>
                  <w:szCs w:val="17"/>
                  <w:u w:val="single" w:color="auto"/>
                  <w:color w:val="0000EE"/>
                </w:rPr>
                <w:t>PRINCIPAL STOCKHOLDERS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3">
              <w:r>
                <w:rPr>
                  <w:rFonts w:ascii="Arial" w:cs="Arial" w:eastAsia="Arial" w:hAnsi="Arial"/>
                  <w:sz w:val="17"/>
                  <w:szCs w:val="17"/>
                  <w:u w:val="single" w:color="auto"/>
                  <w:color w:val="0000EE"/>
                </w:rPr>
                <w:t>DESCRIPTION OF CAPITAL STOCK</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8">
              <w:r>
                <w:rPr>
                  <w:rFonts w:ascii="Arial" w:cs="Arial" w:eastAsia="Arial" w:hAnsi="Arial"/>
                  <w:sz w:val="17"/>
                  <w:szCs w:val="17"/>
                  <w:u w:val="single" w:color="auto"/>
                  <w:color w:val="0000EE"/>
                </w:rPr>
                <w:t>SHARES ELIGIBLE FOR FUTURE SALE</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0">
              <w:r>
                <w:rPr>
                  <w:rFonts w:ascii="Arial" w:cs="Arial" w:eastAsia="Arial" w:hAnsi="Arial"/>
                  <w:sz w:val="17"/>
                  <w:szCs w:val="17"/>
                  <w:u w:val="single" w:color="auto"/>
                  <w:color w:val="0000EE"/>
                </w:rPr>
                <w:t>MATERIAL U.S. FEDERAL INCOME AND TAX CONSIDERATIONS FOR NON-U.S. HOLDERS OF OUR COMMON STOCK</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4">
              <w:r>
                <w:rPr>
                  <w:rFonts w:ascii="Arial" w:cs="Arial" w:eastAsia="Arial" w:hAnsi="Arial"/>
                  <w:sz w:val="17"/>
                  <w:szCs w:val="17"/>
                  <w:u w:val="single" w:color="auto"/>
                  <w:color w:val="0000EE"/>
                </w:rPr>
                <w:t>UNDERWRITING</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2">
              <w:r>
                <w:rPr>
                  <w:rFonts w:ascii="Arial" w:cs="Arial" w:eastAsia="Arial" w:hAnsi="Arial"/>
                  <w:sz w:val="17"/>
                  <w:szCs w:val="17"/>
                  <w:u w:val="single" w:color="auto"/>
                  <w:color w:val="0000EE"/>
                </w:rPr>
                <w:t>LEGAL MATTERS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2">
              <w:r>
                <w:rPr>
                  <w:rFonts w:ascii="Arial" w:cs="Arial" w:eastAsia="Arial" w:hAnsi="Arial"/>
                  <w:sz w:val="17"/>
                  <w:szCs w:val="17"/>
                  <w:u w:val="single" w:color="auto"/>
                  <w:color w:val="0000EE"/>
                </w:rPr>
                <w:t>EXPERTS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2">
              <w:r>
                <w:rPr>
                  <w:rFonts w:ascii="Arial" w:cs="Arial" w:eastAsia="Arial" w:hAnsi="Arial"/>
                  <w:sz w:val="17"/>
                  <w:szCs w:val="17"/>
                  <w:u w:val="single" w:color="auto"/>
                  <w:color w:val="0000EE"/>
                </w:rPr>
                <w:t>WHERE YOU CAN FIND ADDITIONAL INFORMATION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05"/>
        </w:trPr>
        <w:tc>
          <w:tcPr>
            <w:tcW w:w="10560" w:type="dxa"/>
            <w:vAlign w:val="bottom"/>
          </w:tcPr>
          <w:p>
            <w:pPr>
              <w:spacing w:after="0"/>
              <w:rPr>
                <w:rFonts w:ascii="Arial" w:cs="Arial" w:eastAsia="Arial" w:hAnsi="Arial"/>
                <w:sz w:val="17"/>
                <w:szCs w:val="17"/>
                <w:u w:val="single" w:color="auto"/>
                <w:color w:val="0000EE"/>
              </w:rPr>
            </w:pPr>
            <w:hyperlink w:anchor="page173">
              <w:r>
                <w:rPr>
                  <w:rFonts w:ascii="Arial" w:cs="Arial" w:eastAsia="Arial" w:hAnsi="Arial"/>
                  <w:sz w:val="17"/>
                  <w:szCs w:val="17"/>
                  <w:u w:val="single" w:color="auto"/>
                  <w:color w:val="0000EE"/>
                </w:rPr>
                <w:t>INDEX TO CONSOLIDATED FINANCIAL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6" w:lineRule="exact"/>
        <w:rPr>
          <w:sz w:val="20"/>
          <w:szCs w:val="20"/>
          <w:color w:val="auto"/>
        </w:rPr>
      </w:pPr>
    </w:p>
    <w:p>
      <w:pPr>
        <w:jc w:val="both"/>
        <w:ind w:left="120" w:right="600"/>
        <w:spacing w:after="0" w:line="249" w:lineRule="auto"/>
        <w:rPr>
          <w:sz w:val="20"/>
          <w:szCs w:val="20"/>
          <w:color w:val="auto"/>
        </w:rPr>
      </w:pPr>
      <w:r>
        <w:rPr>
          <w:rFonts w:ascii="Arial" w:cs="Arial" w:eastAsia="Arial" w:hAnsi="Arial"/>
          <w:sz w:val="17"/>
          <w:szCs w:val="17"/>
          <w:b w:val="1"/>
          <w:bCs w:val="1"/>
          <w:color w:val="auto"/>
        </w:rPr>
        <w:t>Through and including , 2020 (the 25</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41"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and the underwriters have not authorized anyone to provide you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of this prospectus unless the information specifically indicates that another date applies, regardless of the time of delivery of this prospectus or of any sale of the shares of common stock offered hereby. Our business, financial condition, results of operations and prospects may have changed since that date.</w:t>
      </w:r>
    </w:p>
    <w:p>
      <w:pPr>
        <w:spacing w:after="0" w:line="15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276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3276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PROSPECTUS SUMMARY</w:t>
      </w:r>
    </w:p>
    <w:p>
      <w:pPr>
        <w:spacing w:after="0" w:line="320" w:lineRule="exact"/>
        <w:rPr>
          <w:sz w:val="20"/>
          <w:szCs w:val="20"/>
          <w:color w:val="auto"/>
        </w:rPr>
      </w:pPr>
    </w:p>
    <w:p>
      <w:pPr>
        <w:ind w:left="300"/>
        <w:spacing w:after="0" w:line="238"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is qualified in its entirety by the more detailed information and consolidated financial statements included elsewhere in this prospectus. It does not contain all of the information that may be important to you and your investment decision. You should carefully read this entire prospectus, including the sections titled “Risk Factors,” “Management’s Discussion and Analysis of Financial Condition and Results of Operations,” and our consolidated financial statements and related notes. In this prospectus, unless the context requires otherwise, references to “we,” “us,” “our,” “ALX,” “ALX Oncology,” or “the Company” refer to ALX Oncology Holdings Inc. and its subsidiaries on a combined basis.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Overview</w:t>
      </w:r>
    </w:p>
    <w:p>
      <w:pPr>
        <w:spacing w:after="0" w:line="81" w:lineRule="exact"/>
        <w:rPr>
          <w:sz w:val="20"/>
          <w:szCs w:val="20"/>
          <w:color w:val="auto"/>
        </w:rPr>
      </w:pPr>
    </w:p>
    <w:p>
      <w:pPr>
        <w:ind w:left="300" w:right="20"/>
        <w:spacing w:after="0" w:line="233"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We have dosed over 150 subjects with ALX148 across a range of hematologic and solid malignancies in combination with a number of leading anti-cancer agents. We intend to advance ALX148 into clinical development for the treatment of myelodysplastic syndromes, or MDS, acute myeloid leukemia, or AML, and to continue clinical development for the treatment of a range of solid tumor indications.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54" w:lineRule="exact"/>
        <w:rPr>
          <w:sz w:val="20"/>
          <w:szCs w:val="20"/>
          <w:color w:val="auto"/>
        </w:rPr>
      </w:pPr>
    </w:p>
    <w:p>
      <w:pPr>
        <w:ind w:left="300" w:right="60"/>
        <w:spacing w:after="0" w:line="233" w:lineRule="auto"/>
        <w:rPr>
          <w:sz w:val="20"/>
          <w:szCs w:val="20"/>
          <w:color w:val="auto"/>
        </w:rPr>
      </w:pPr>
      <w:r>
        <w:rPr>
          <w:rFonts w:ascii="Arial" w:cs="Arial" w:eastAsia="Arial" w:hAnsi="Arial"/>
          <w:sz w:val="17"/>
          <w:szCs w:val="17"/>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154"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ALX Oncology was founded by Corey Goodman, Ph.D., K. Christopher Garcia, Ph.D., and Jaume Pons, Ph.D., to address fundamental challenges in blocking CD47 and to realize the full potential of this therapeutic target. We have developed a new approach to CD47 blockade that is designed to maximize clinical activity and minimize toxicities. All competing clinical data to date have come from product candidates that incorporate an active antibody Fc region in addition to a CD47 blocking region. The Fc region provides a positive, pro-phagocytic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0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spacing w:after="0" w:line="236" w:lineRule="auto"/>
        <w:rPr>
          <w:sz w:val="20"/>
          <w:szCs w:val="20"/>
          <w:color w:val="auto"/>
        </w:rPr>
      </w:pPr>
      <w:r>
        <w:rPr>
          <w:rFonts w:ascii="Arial" w:cs="Arial" w:eastAsia="Arial" w:hAnsi="Arial"/>
          <w:sz w:val="17"/>
          <w:szCs w:val="17"/>
          <w:color w:val="auto"/>
        </w:rPr>
        <w:t>Our lead product candidate, ALX148, is a next-generation CD47 blocking therapeutic that we believe has significantly enhanced properties compared to competing CD47 blocking approaches. ALX148 is a fusion protein that combines a high-affinity CD47 binding domain with a proprietary inactivated Fc domain. The CD47 binding domain of ALX148 is an affinity enhanced extracellular domain of signal regulatory protein alpha, or SIRPa, a protein that is the natural receptor to CD47 found on myeloid cells. We have engineered the Fc domain of ALX148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 Clinical data to date in ALX148 have not shown dose-dependent hematologic toxicities, which are characteristic of other CD47 blockers that incorporate an active Fc domain.</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Pipeline</w:t>
      </w:r>
    </w:p>
    <w:p>
      <w:pPr>
        <w:spacing w:after="0" w:line="81" w:lineRule="exact"/>
        <w:rPr>
          <w:sz w:val="20"/>
          <w:szCs w:val="20"/>
          <w:color w:val="auto"/>
        </w:rPr>
      </w:pPr>
    </w:p>
    <w:p>
      <w:pPr>
        <w:ind w:left="300" w:right="100"/>
        <w:spacing w:after="0" w:line="238" w:lineRule="auto"/>
        <w:rPr>
          <w:sz w:val="20"/>
          <w:szCs w:val="20"/>
          <w:color w:val="auto"/>
        </w:rPr>
      </w:pPr>
      <w:r>
        <w:rPr>
          <w:rFonts w:ascii="Arial" w:cs="Arial" w:eastAsia="Arial" w:hAnsi="Arial"/>
          <w:sz w:val="17"/>
          <w:szCs w:val="17"/>
          <w:color w:val="auto"/>
        </w:rPr>
        <w:t>Our initial programs are focused on targeting CD47 across various oncology indications. Many forms of cancer use CD47 expression as a means of evading immune response. We are targeting the hematologic malignancies and solid tumor indications where we believe we have the greatest potential to address large markets and unmet medical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ALX148 for the Treatment of MDS and AML</w:t>
      </w:r>
    </w:p>
    <w:p>
      <w:pPr>
        <w:spacing w:after="0" w:line="93" w:lineRule="exact"/>
        <w:rPr>
          <w:sz w:val="20"/>
          <w:szCs w:val="20"/>
          <w:color w:val="auto"/>
        </w:rPr>
      </w:pPr>
    </w:p>
    <w:p>
      <w:pPr>
        <w:ind w:left="300" w:right="20"/>
        <w:spacing w:after="0" w:line="235" w:lineRule="auto"/>
        <w:rPr>
          <w:sz w:val="20"/>
          <w:szCs w:val="20"/>
          <w:color w:val="auto"/>
        </w:rPr>
      </w:pPr>
      <w:r>
        <w:rPr>
          <w:rFonts w:ascii="Arial" w:cs="Arial" w:eastAsia="Arial" w:hAnsi="Arial"/>
          <w:sz w:val="17"/>
          <w:szCs w:val="17"/>
          <w:color w:val="auto"/>
        </w:rPr>
        <w:t>We plan to advance ALX148 for the treatment of MDS, a hematologic malignancy affecting over 70,000 people in the United States. We initially explored the treatment of patients with hematologic malignancies in our ongoing Phase 1b trial of ALX148 in combination with rituximab, an anti-CD20 agent in subjects with relapsed/refractory Non-Hodgkin’s lymphoma, or NHL. ALX148 demonstrated a higher response rate at higher doses and achieved a 54.6% objective response rate, or ORR, in the highest dose (15 mg/kg once per week) cohort. We view this ORR as compelling evidence for the role of ALX148 in treating hematologic malignancies and as 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20"/>
          </w:cols>
          <w:pgMar w:left="32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333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right="20"/>
        <w:spacing w:after="0" w:line="234" w:lineRule="auto"/>
        <w:rPr>
          <w:sz w:val="20"/>
          <w:szCs w:val="20"/>
          <w:color w:val="auto"/>
        </w:rPr>
      </w:pPr>
      <w:r>
        <w:rPr>
          <w:rFonts w:ascii="Arial" w:cs="Arial" w:eastAsia="Arial" w:hAnsi="Arial"/>
          <w:sz w:val="17"/>
          <w:szCs w:val="17"/>
          <w:color w:val="auto"/>
        </w:rPr>
        <w:t>favorable comparison to outcomes reported by other CD47 blocking agents in a similar patient population. Furthermore, other CD47 blocking agents in development have demonstrated clinical evidence supporting the role of CD47 blockade in treating hematologic malignances, specifically in MDS, albeit with high rates of cytopenias. We have conducted preclinical studies of ALX148 combined with azacitidine, a standard of care agent for the treatment of MDS, that support our clinical development plan in MDS. Our studies and those of others show that azacitidine increases calreticulin display, an “eat me” signal, in tumor models. The addition of ALX148 to azacitidine shows increased phagocytic activity in vitro and tumor growth inhibition in mouse models as compared to azacitidine alone. We are planning to advance ALX148 into a Phase 1b/2 trial in combination with azacitidine for the first-line treatment of subjects with higher-risk MDS by the end of 2020.</w:t>
      </w:r>
    </w:p>
    <w:p>
      <w:pPr>
        <w:spacing w:after="0" w:line="97"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We also plan to develop ALX148 for the treatment of AML, a hematologic malignancy affecting over 35,000 people in the United States with an expected 20,000 newly diagnosed patients and over 11,000 deaths from the disease in 2020. Over half of these patients are diagnosed at age 65 or older. ALX148’s potential for the treatment of patients with AML is supported by our existing data in NHL, preclinical studies of ALX148 in combination with azacitidine or venetoclax, and clinical evidence from other CD47 blocking agents studied in AML. The addition of ALX148 to venetoclax in preclinical studies also increased tumor growth inhibition as compared to single-agent venetoclax. Both azacitidine and venetoclax are standard of care options for patients with AML who are not candidates for intensive induction chemotherapy regimens. Consequently, we view our preclinical studies as supportive of ALX148’s potential role as a tolerable combination agent that may increase the activity of standard of care agents in an unfit, older population. We are planning to advance ALX148 into a Phase 1b/2 trial in combination with standard of care agents in the first-line treatment of subjects with AML in 2021.</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ALX148 for the Treatment of Solid Tumors</w:t>
      </w:r>
    </w:p>
    <w:p>
      <w:pPr>
        <w:spacing w:after="0" w:line="80" w:lineRule="exact"/>
        <w:rPr>
          <w:sz w:val="20"/>
          <w:szCs w:val="20"/>
          <w:color w:val="auto"/>
        </w:rPr>
      </w:pPr>
    </w:p>
    <w:p>
      <w:pPr>
        <w:ind w:left="300"/>
        <w:spacing w:after="0" w:line="233" w:lineRule="auto"/>
        <w:rPr>
          <w:sz w:val="20"/>
          <w:szCs w:val="20"/>
          <w:color w:val="auto"/>
        </w:rPr>
      </w:pPr>
      <w:r>
        <w:rPr>
          <w:rFonts w:ascii="Arial" w:cs="Arial" w:eastAsia="Arial" w:hAnsi="Arial"/>
          <w:sz w:val="17"/>
          <w:szCs w:val="17"/>
          <w:color w:val="auto"/>
        </w:rPr>
        <w:t>ALX148 has generated clinical data in solid tumors in various combinations, including with a leading tumor antigen targeting antibody, a leading checkpoint inhibitor and chemotherapy. We believe that ALX148 induces multiple responses that bridge innate and adaptive immunity. We are investigating ALX148 for the first-line treatment of head and neck squamous cell carcinoma, or HNSCC and for second-line treatment of human epidermal growth factor receptor 2, or HER2-positive gastric/gastroesophageal junction, or GEJ, carcinoma. In the United States there are over 38,000 people living with metastatic HNSCC, and there are over 25,000 people living with metastatic gastric/GEJ carcinoma. In Phase 1b clinical trials, ALX148 has demonstrated both objective clinical response per the Response Evaluation Criteria in Solid Tumors criteria and tolerability in combination with other broadly used cancer agents. Based on these results, the Food &amp; Drug Administration, or FDA, has granted Fast Track designation for ALX148 for both the treatment of patients with HNSCC in the first-line setting and for HER2-positive advanced gastric/GEJ carcinoma in the second-line setting. While other CD47 blockers have failed to achieve meaningful clinical activity in the treatment of solid tumors, we believe ALX148’s properties, including favorable tolerability and ability to escalate to higher doses, coupled with high affinity and small size for enhanced solid tumor penetration, may underlie the observed anti-tumor activity of ALX148 in solid tumors. We are planning to advance ALX148 into Phase 2 trials in subjects with HNSCC in combination with pembrolizumab, marketed as Keytruda, the market leading anti-programmed cell death protein-1, or PD-1, checkpoint inhibitor, in the first half of 2021, and gastric/GEJ carcinoma in combination with trastuzumab, marketed as Herceptin, the market-leading anti-HER2 antibody, in the second half of 2021.</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goal is to transform treatment options for patients with cancer by developing ALX148 as a foundational checkpoint immunotherapy.</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Key elements of our strategy to support this goal include:</w:t>
      </w:r>
    </w:p>
    <w:p>
      <w:pPr>
        <w:spacing w:after="0" w:line="176" w:lineRule="exact"/>
        <w:rPr>
          <w:sz w:val="20"/>
          <w:szCs w:val="20"/>
          <w:color w:val="auto"/>
        </w:rPr>
      </w:pPr>
    </w:p>
    <w:p>
      <w:pPr>
        <w:ind w:left="1120" w:right="80" w:hanging="403"/>
        <w:spacing w:after="0" w:line="249"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Advance our lead product candidate, ALX148, through clinical development for MDS and AML. </w:t>
      </w:r>
      <w:r>
        <w:rPr>
          <w:rFonts w:ascii="Arial" w:cs="Arial" w:eastAsia="Arial" w:hAnsi="Arial"/>
          <w:sz w:val="17"/>
          <w:szCs w:val="17"/>
          <w:color w:val="auto"/>
        </w:rPr>
        <w:t>We plan to initiate a</w:t>
      </w:r>
      <w:r>
        <w:rPr>
          <w:rFonts w:ascii="Arial" w:cs="Arial" w:eastAsia="Arial" w:hAnsi="Arial"/>
          <w:sz w:val="17"/>
          <w:szCs w:val="17"/>
          <w:b w:val="1"/>
          <w:bCs w:val="1"/>
          <w:color w:val="auto"/>
        </w:rPr>
        <w:t xml:space="preserve"> </w:t>
      </w:r>
      <w:r>
        <w:rPr>
          <w:rFonts w:ascii="Arial" w:cs="Arial" w:eastAsia="Arial" w:hAnsi="Arial"/>
          <w:sz w:val="17"/>
          <w:szCs w:val="17"/>
          <w:color w:val="auto"/>
        </w:rPr>
        <w:t>Phase 1b/2 trial of ALX148, in combination with azacitidine, for the first-line treatment of patients with higher-risk MDS by the end of 2020 and in combination with standard 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81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4819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40" w:right="20"/>
        <w:spacing w:after="0" w:line="234" w:lineRule="auto"/>
        <w:rPr>
          <w:sz w:val="20"/>
          <w:szCs w:val="20"/>
          <w:color w:val="auto"/>
        </w:rPr>
      </w:pPr>
      <w:r>
        <w:rPr>
          <w:rFonts w:ascii="Arial" w:cs="Arial" w:eastAsia="Arial" w:hAnsi="Arial"/>
          <w:sz w:val="17"/>
          <w:szCs w:val="17"/>
          <w:color w:val="auto"/>
        </w:rPr>
        <w:t>care agents for the first-line treatment of patients with AML in 2021. Given the limitations of current treatment options for patients with MDS, preclinical activity of ALX148 in combination with azacitidine, clinical data from competitor programs and the differentiated tolerability profile of ALX148, we intend to pursue a strategy in which we will leverage the data generated from this Phase 1b/2 trial to request from the FDA that ALX148 be a candidate for accelerated approval in the first-line treatment of high-risk MDS. Similarly, we believe ALX148 combination therapies could address the significant unmet need for more active tolerable regimens in the majority of patients with AML who are not fit for intensive induction chemotherapy. While we plan to seek accelerated approval by the FDA for the use of ALX148 in high risk MDS, and potentially AML, and may do so opportunistically for other indications in the future, there is no assurance that this approach will be successful for these as well as other indications.</w:t>
      </w:r>
    </w:p>
    <w:p>
      <w:pPr>
        <w:spacing w:after="0" w:line="6" w:lineRule="exact"/>
        <w:rPr>
          <w:sz w:val="20"/>
          <w:szCs w:val="20"/>
          <w:color w:val="auto"/>
        </w:rPr>
      </w:pPr>
    </w:p>
    <w:p>
      <w:pPr>
        <w:ind w:left="1120" w:right="20" w:hanging="403"/>
        <w:spacing w:after="0" w:line="236"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Expanding the therapeutic potential of CD47 blockade into solid tumors. </w:t>
      </w:r>
      <w:r>
        <w:rPr>
          <w:rFonts w:ascii="Arial" w:cs="Arial" w:eastAsia="Arial" w:hAnsi="Arial"/>
          <w:sz w:val="17"/>
          <w:szCs w:val="17"/>
          <w:color w:val="auto"/>
        </w:rPr>
        <w:t>We believe ALX148 can overcome the limitations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other CD47 blocking approaches in solid tumors. We have generated encouraging data in subjects with HNSCC treated with ALX148 in combination with a PD-1 checkpoint inhibitor and in subjects with HER2-positive gastric/GEJ cancer, who have progressed on prior HER2-targeted therapy and chemotherapy, treated in combination with a HER2-targeted antibody. We have initiated additional Phase 1b cohorts for the first-line treatment of subjects with HNSCC and patients with HER2-positive gastric/GEJ cancer, with Phase 1b data expected in 2021. The FDA has granted ALX148 Fast Track designation in first-line HNSCC and advanced HER2 positive gastric/GEJ cancer. We intend to pursue a strategy in which we will leverage the data generated from our planned Phase 2 randomized trials of ALX148 and pembrolizumab with and without chemotherapy to request from the FDA that ALX148 be a candidate for accelerated approval in the first-line treatment of HNSCC. We are also planning a randomized Phase 2 trial of ALX148, trastuzumab and chemotherapy in first-line HER2-positive gastric/GEJ cancer to inform future paths to registration in this indication.</w:t>
      </w:r>
    </w:p>
    <w:p>
      <w:pPr>
        <w:spacing w:after="0" w:line="5" w:lineRule="exact"/>
        <w:rPr>
          <w:rFonts w:ascii="MS PGothic" w:cs="MS PGothic" w:eastAsia="MS PGothic" w:hAnsi="MS PGothic"/>
          <w:sz w:val="13"/>
          <w:szCs w:val="13"/>
          <w:color w:val="auto"/>
        </w:rPr>
      </w:pPr>
    </w:p>
    <w:p>
      <w:pPr>
        <w:ind w:left="1120" w:right="40" w:hanging="403"/>
        <w:spacing w:after="0" w:line="244"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Continuing development of a pipeline of innovative therapeutics based on our protein engineering expertise and knowledge of the immune system and cancer biology. </w:t>
      </w:r>
      <w:r>
        <w:rPr>
          <w:rFonts w:ascii="Arial" w:cs="Arial" w:eastAsia="Arial" w:hAnsi="Arial"/>
          <w:sz w:val="17"/>
          <w:szCs w:val="17"/>
          <w:color w:val="auto"/>
        </w:rPr>
        <w:t>We specialize in designing and developing drug candidates that</w:t>
      </w:r>
      <w:r>
        <w:rPr>
          <w:rFonts w:ascii="Arial" w:cs="Arial" w:eastAsia="Arial" w:hAnsi="Arial"/>
          <w:sz w:val="17"/>
          <w:szCs w:val="17"/>
          <w:b w:val="1"/>
          <w:bCs w:val="1"/>
          <w:color w:val="auto"/>
        </w:rPr>
        <w:t xml:space="preserve"> </w:t>
      </w:r>
      <w:r>
        <w:rPr>
          <w:rFonts w:ascii="Arial" w:cs="Arial" w:eastAsia="Arial" w:hAnsi="Arial"/>
          <w:sz w:val="17"/>
          <w:szCs w:val="17"/>
          <w:color w:val="auto"/>
        </w:rPr>
        <w:t>engage the immune system. We continue to develop a pipeline of immuno-oncology programs that represent complementary, but differentiated, approaches to engaging the innate and adaptive immune systems.</w:t>
      </w:r>
    </w:p>
    <w:p>
      <w:pPr>
        <w:spacing w:after="0" w:line="1" w:lineRule="exact"/>
        <w:rPr>
          <w:rFonts w:ascii="MS PGothic" w:cs="MS PGothic" w:eastAsia="MS PGothic" w:hAnsi="MS PGothic"/>
          <w:sz w:val="13"/>
          <w:szCs w:val="13"/>
          <w:color w:val="auto"/>
        </w:rPr>
      </w:pPr>
    </w:p>
    <w:p>
      <w:pPr>
        <w:ind w:left="1120" w:right="40" w:hanging="403"/>
        <w:spacing w:after="0" w:line="238"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Developing strategic partnerships to broaden the potential impact of our current and future product candidates across patient populations. </w:t>
      </w:r>
      <w:r>
        <w:rPr>
          <w:rFonts w:ascii="Arial" w:cs="Arial" w:eastAsia="Arial" w:hAnsi="Arial"/>
          <w:sz w:val="17"/>
          <w:szCs w:val="17"/>
          <w:color w:val="auto"/>
        </w:rPr>
        <w:t>In order to advance treatment options for the most patients, we may partner with other companies with</w:t>
      </w:r>
      <w:r>
        <w:rPr>
          <w:rFonts w:ascii="Arial" w:cs="Arial" w:eastAsia="Arial" w:hAnsi="Arial"/>
          <w:sz w:val="17"/>
          <w:szCs w:val="17"/>
          <w:b w:val="1"/>
          <w:bCs w:val="1"/>
          <w:color w:val="auto"/>
        </w:rPr>
        <w:t xml:space="preserve"> </w:t>
      </w:r>
      <w:r>
        <w:rPr>
          <w:rFonts w:ascii="Arial" w:cs="Arial" w:eastAsia="Arial" w:hAnsi="Arial"/>
          <w:sz w:val="17"/>
          <w:szCs w:val="17"/>
          <w:color w:val="auto"/>
        </w:rPr>
        <w:t>complementary resources that will maximize the value of our current and future product candidates. Such partnerships may allow us to pair ALX148 and our future product candidates with other novel agents owned fully or in part by strategic partners. Partnerships may also help realize the full potential of our product candidates in markets where we are unlikely to pursue development or commercialization on our own. We intend to maintain significant economic interest in our product candidates and selectively consider partnership opportunities.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80"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Our team of industry veterans plans to continue to advance a broad development plan for ALX148 that balances speed to market, scale of unmet need and existing clinical evidence for ALX148’s combination mechanisms. Members of our management team have brought multiple drugs to FDA approval. Our President, Chief Executive Officer and founder, Jaume Pons, Ph.D., was Chief Science Officer of Rinat’s (a subsidiary of Pfizer), invented fremanezumab (FDA approved in 2018), tanezumab (Biologics License Application filed in 2020) and additional antibodies in late-stage development at Pfizer and advanced nine more drugs into human trials. Our Chief Medical Officer, Sophia Randolph, M.D., Ph.D., was the global clinical franchise lead for Ibrance at Pfizer, where she oversaw the program from first-in-human trials to regulatory approval. Our Executive Chairman and founder, Corey Goodman, Ph.D., an elected member of the National Academy of Sciences, has co-founded seven biopharmaceutical companies, including Exelixis and Labrys (acquired by Teva Pharmaceuticals in 2014), and led Pfizer’s Biotherapeutics and Bioinnovation Center. Our Chief</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00"/>
          </w:cols>
          <w:pgMar w:left="320" w:top="459" w:right="6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05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right="80"/>
        <w:spacing w:after="0" w:line="236" w:lineRule="auto"/>
        <w:rPr>
          <w:sz w:val="20"/>
          <w:szCs w:val="20"/>
          <w:color w:val="auto"/>
        </w:rPr>
      </w:pPr>
      <w:r>
        <w:rPr>
          <w:rFonts w:ascii="Arial" w:cs="Arial" w:eastAsia="Arial" w:hAnsi="Arial"/>
          <w:sz w:val="17"/>
          <w:szCs w:val="17"/>
          <w:color w:val="auto"/>
        </w:rPr>
        <w:t>Financial Officer, Peter Garcia, has over 20 years of experience guiding public and private life science companies and has raised over $1.5 billion in debt and equity offerings. We have funded ALX Oncology to date primarily through the issuance and sale of our convertible preferred stock to investors including venBio, Lightstone Ventures, Vivo Capital, Logos Capital, Janus Henderson, Foresite Capital, Stanford University, Cormorant Asset Management, BVF Partners, HBM Healthcare Investments and the Longevity Fund.</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80" w:lineRule="exact"/>
        <w:rPr>
          <w:sz w:val="20"/>
          <w:szCs w:val="20"/>
          <w:color w:val="auto"/>
        </w:rPr>
      </w:pPr>
    </w:p>
    <w:p>
      <w:pPr>
        <w:ind w:left="300" w:right="520"/>
        <w:spacing w:after="0" w:line="243" w:lineRule="auto"/>
        <w:rPr>
          <w:sz w:val="20"/>
          <w:szCs w:val="20"/>
          <w:color w:val="auto"/>
        </w:rPr>
      </w:pPr>
      <w:r>
        <w:rPr>
          <w:rFonts w:ascii="Arial" w:cs="Arial" w:eastAsia="Arial" w:hAnsi="Arial"/>
          <w:sz w:val="17"/>
          <w:szCs w:val="17"/>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185" w:lineRule="exact"/>
        <w:rPr>
          <w:sz w:val="20"/>
          <w:szCs w:val="20"/>
          <w:color w:val="auto"/>
        </w:rPr>
      </w:pPr>
    </w:p>
    <w:p>
      <w:pPr>
        <w:ind w:left="1120" w:right="54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have incurred significant net losses since our inception, and we expect to continue to incur significant net losses for the foreseeable future.</w:t>
      </w:r>
    </w:p>
    <w:p>
      <w:pPr>
        <w:spacing w:after="0" w:line="22" w:lineRule="exact"/>
        <w:rPr>
          <w:rFonts w:ascii="MS PGothic" w:cs="MS PGothic" w:eastAsia="MS PGothic" w:hAnsi="MS PGothic"/>
          <w:sz w:val="13"/>
          <w:szCs w:val="13"/>
          <w:color w:val="auto"/>
        </w:rPr>
      </w:pPr>
    </w:p>
    <w:p>
      <w:pPr>
        <w:ind w:left="1120" w:right="400" w:hanging="403"/>
        <w:spacing w:after="0" w:line="238"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will require substantial additional capital to finance our operations, such capital may not be available to us or may only be available on terms that are unfavorable to us and, in addition, our current loan agreement may restrict our ability to take on additional debt without the consent of our lenders.</w:t>
      </w:r>
    </w:p>
    <w:p>
      <w:pPr>
        <w:spacing w:after="0" w:line="25" w:lineRule="exact"/>
        <w:rPr>
          <w:rFonts w:ascii="MS PGothic" w:cs="MS PGothic" w:eastAsia="MS PGothic" w:hAnsi="MS PGothic"/>
          <w:sz w:val="13"/>
          <w:szCs w:val="13"/>
          <w:color w:val="auto"/>
        </w:rPr>
      </w:pPr>
    </w:p>
    <w:p>
      <w:pPr>
        <w:ind w:left="1120" w:hanging="403"/>
        <w:spacing w:after="0"/>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have a limited operating history and have no products approved for commercial sale.</w:t>
      </w:r>
    </w:p>
    <w:p>
      <w:pPr>
        <w:spacing w:after="0" w:line="34" w:lineRule="exact"/>
        <w:rPr>
          <w:rFonts w:ascii="MS PGothic" w:cs="MS PGothic" w:eastAsia="MS PGothic" w:hAnsi="MS PGothic"/>
          <w:sz w:val="13"/>
          <w:szCs w:val="13"/>
          <w:color w:val="auto"/>
        </w:rPr>
      </w:pPr>
    </w:p>
    <w:p>
      <w:pPr>
        <w:ind w:left="1120" w:right="48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are substantially dependent on the success of our lead product candidate, ALX148, which is in clinical development and which has not completed a pivotal trial.</w:t>
      </w:r>
    </w:p>
    <w:p>
      <w:pPr>
        <w:spacing w:after="0" w:line="22" w:lineRule="exact"/>
        <w:rPr>
          <w:rFonts w:ascii="MS PGothic" w:cs="MS PGothic" w:eastAsia="MS PGothic" w:hAnsi="MS PGothic"/>
          <w:sz w:val="13"/>
          <w:szCs w:val="13"/>
          <w:color w:val="auto"/>
        </w:rPr>
      </w:pPr>
    </w:p>
    <w:p>
      <w:pPr>
        <w:ind w:left="1120" w:right="54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22" w:lineRule="exact"/>
        <w:rPr>
          <w:rFonts w:ascii="MS PGothic" w:cs="MS PGothic" w:eastAsia="MS PGothic" w:hAnsi="MS PGothic"/>
          <w:sz w:val="13"/>
          <w:szCs w:val="13"/>
          <w:color w:val="auto"/>
        </w:rPr>
      </w:pPr>
    </w:p>
    <w:p>
      <w:pPr>
        <w:ind w:left="1120" w:right="96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Our product candidates may cause significant adverse events or other undesirable side effects when used alone or in combination with other treatments.</w:t>
      </w:r>
    </w:p>
    <w:p>
      <w:pPr>
        <w:spacing w:after="0" w:line="22" w:lineRule="exact"/>
        <w:rPr>
          <w:rFonts w:ascii="MS PGothic" w:cs="MS PGothic" w:eastAsia="MS PGothic" w:hAnsi="MS PGothic"/>
          <w:sz w:val="13"/>
          <w:szCs w:val="13"/>
          <w:color w:val="auto"/>
        </w:rPr>
      </w:pPr>
    </w:p>
    <w:p>
      <w:pPr>
        <w:ind w:left="1120" w:right="50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22" w:lineRule="exact"/>
        <w:rPr>
          <w:rFonts w:ascii="MS PGothic" w:cs="MS PGothic" w:eastAsia="MS PGothic" w:hAnsi="MS PGothic"/>
          <w:sz w:val="13"/>
          <w:szCs w:val="13"/>
          <w:color w:val="auto"/>
        </w:rPr>
      </w:pPr>
    </w:p>
    <w:p>
      <w:pPr>
        <w:ind w:left="1120" w:right="32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The regulatory approval processes of the FDA and comparable foreign regulatory authorities are lengthy, time-consuming and inherently unpredictable, which could lead to our inability to generate product revenue.</w:t>
      </w:r>
    </w:p>
    <w:p>
      <w:pPr>
        <w:spacing w:after="0" w:line="22" w:lineRule="exact"/>
        <w:rPr>
          <w:rFonts w:ascii="MS PGothic" w:cs="MS PGothic" w:eastAsia="MS PGothic" w:hAnsi="MS PGothic"/>
          <w:sz w:val="13"/>
          <w:szCs w:val="13"/>
          <w:color w:val="auto"/>
        </w:rPr>
      </w:pPr>
    </w:p>
    <w:p>
      <w:pPr>
        <w:ind w:left="1120" w:right="22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If we are unable to obtain, maintain and enforce patent protection and other intellectual property for our product candidates and related technology, our business could be materially harmed.</w:t>
      </w:r>
    </w:p>
    <w:p>
      <w:pPr>
        <w:spacing w:after="0" w:line="22" w:lineRule="exact"/>
        <w:rPr>
          <w:rFonts w:ascii="MS PGothic" w:cs="MS PGothic" w:eastAsia="MS PGothic" w:hAnsi="MS PGothic"/>
          <w:sz w:val="13"/>
          <w:szCs w:val="13"/>
          <w:color w:val="auto"/>
        </w:rPr>
      </w:pPr>
    </w:p>
    <w:p>
      <w:pPr>
        <w:ind w:left="112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are highly dependent on our key personnel, and if we are not successful in attracting, motivating, and retaining highly qualified personnel, we may not be able to successfully implement our business strategy.</w:t>
      </w:r>
    </w:p>
    <w:p>
      <w:pPr>
        <w:spacing w:after="0" w:line="22" w:lineRule="exact"/>
        <w:rPr>
          <w:rFonts w:ascii="MS PGothic" w:cs="MS PGothic" w:eastAsia="MS PGothic" w:hAnsi="MS PGothic"/>
          <w:sz w:val="13"/>
          <w:szCs w:val="13"/>
          <w:color w:val="auto"/>
        </w:rPr>
      </w:pPr>
    </w:p>
    <w:p>
      <w:pPr>
        <w:ind w:left="1120" w:right="420" w:hanging="403"/>
        <w:spacing w:after="0" w:line="238"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Our preclinical research will be conducted solely by a third party service provider, Tallac Therapeutics, Inc. (formerly know as Tollnine, Inc.), or Tallac Therapeutics, following this offering, and we will be dependent on Tallac Therapeutics to perform its contractual research obligations on an effective or timely basis.</w:t>
      </w:r>
    </w:p>
    <w:p>
      <w:pPr>
        <w:spacing w:after="0" w:line="25" w:lineRule="exact"/>
        <w:rPr>
          <w:rFonts w:ascii="MS PGothic" w:cs="MS PGothic" w:eastAsia="MS PGothic" w:hAnsi="MS PGothic"/>
          <w:sz w:val="13"/>
          <w:szCs w:val="13"/>
          <w:color w:val="auto"/>
        </w:rPr>
      </w:pPr>
    </w:p>
    <w:p>
      <w:pPr>
        <w:ind w:left="1120" w:right="20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The novel coronavirus, or COVID-19, pandemic could adversely impact our business including our ongoing and planned clinical trials and preclinical research.</w:t>
      </w:r>
    </w:p>
    <w:p>
      <w:pPr>
        <w:spacing w:after="0" w:line="22" w:lineRule="exact"/>
        <w:rPr>
          <w:rFonts w:ascii="MS PGothic" w:cs="MS PGothic" w:eastAsia="MS PGothic" w:hAnsi="MS PGothic"/>
          <w:sz w:val="13"/>
          <w:szCs w:val="13"/>
          <w:color w:val="auto"/>
        </w:rPr>
      </w:pPr>
    </w:p>
    <w:p>
      <w:pPr>
        <w:ind w:left="1120" w:right="12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have identified material weaknesses in our internal control over financial reporting. If remediation measures are not effective, investors may lose confidence in our financial reports.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 and History</w:t>
      </w:r>
    </w:p>
    <w:p>
      <w:pPr>
        <w:spacing w:after="0" w:line="93" w:lineRule="exact"/>
        <w:rPr>
          <w:sz w:val="20"/>
          <w:szCs w:val="20"/>
          <w:color w:val="auto"/>
        </w:rPr>
      </w:pPr>
    </w:p>
    <w:p>
      <w:pPr>
        <w:ind w:left="300" w:right="80"/>
        <w:spacing w:after="0" w:line="238" w:lineRule="auto"/>
        <w:rPr>
          <w:sz w:val="20"/>
          <w:szCs w:val="20"/>
          <w:color w:val="auto"/>
        </w:rPr>
      </w:pPr>
      <w:r>
        <w:rPr>
          <w:rFonts w:ascii="Arial" w:cs="Arial" w:eastAsia="Arial" w:hAnsi="Arial"/>
          <w:sz w:val="17"/>
          <w:szCs w:val="17"/>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501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465010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the name ALX Oncology Holdings Inc. and completed a reorganization effective as of the same date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ALX Oncology Holdings Inc. as they did in ALX Oncology Limited immediately prior to the reorganization. We present the information included in this prospectus as that of ALX Oncology Holdings Inc. unless such information refers to a date prior to April 1, 2020, in which case it will reflect that of our predecessor company. In addition, we present our capitalization information as “preferred stock” and “common stock” of ALX Oncology Holdings Inc., while we present any capitalization information from a date prior to April 1, 2020 as “preferred shares” and “ordinary shares” of ALX Oncology Limited.</w:t>
      </w:r>
    </w:p>
    <w:p>
      <w:pPr>
        <w:spacing w:after="0" w:line="149" w:lineRule="exact"/>
        <w:rPr>
          <w:sz w:val="20"/>
          <w:szCs w:val="20"/>
          <w:color w:val="auto"/>
        </w:rPr>
      </w:pPr>
    </w:p>
    <w:p>
      <w:pPr>
        <w:ind w:left="300" w:right="80"/>
        <w:spacing w:after="0" w:line="238" w:lineRule="auto"/>
        <w:rPr>
          <w:sz w:val="20"/>
          <w:szCs w:val="20"/>
          <w:color w:val="auto"/>
        </w:rPr>
      </w:pPr>
      <w:r>
        <w:rPr>
          <w:rFonts w:ascii="Arial" w:cs="Arial" w:eastAsia="Arial" w:hAnsi="Arial"/>
          <w:sz w:val="17"/>
          <w:szCs w:val="17"/>
          <w:color w:val="auto"/>
        </w:rPr>
        <w:t>Our principal executive offices are located at 866 Malcolm Road, Suite 100, Burlingame, California 94010. Our telephone number is 650-466-7125. Our website address is http://alxoncology.com. Information contained on, or that can be accessed through, our website is not incorporated by reference into this prospectus and should not be considered to be part of this prospectus.</w:t>
      </w:r>
    </w:p>
    <w:p>
      <w:pPr>
        <w:spacing w:after="0" w:line="147" w:lineRule="exact"/>
        <w:rPr>
          <w:sz w:val="20"/>
          <w:szCs w:val="20"/>
          <w:color w:val="auto"/>
        </w:rPr>
      </w:pPr>
    </w:p>
    <w:p>
      <w:pPr>
        <w:ind w:left="300" w:right="140"/>
        <w:spacing w:after="0" w:line="235" w:lineRule="auto"/>
        <w:rPr>
          <w:sz w:val="20"/>
          <w:szCs w:val="20"/>
          <w:color w:val="auto"/>
        </w:rPr>
      </w:pPr>
      <w:r>
        <w:rPr>
          <w:rFonts w:ascii="Arial" w:cs="Arial" w:eastAsia="Arial" w:hAnsi="Arial"/>
          <w:sz w:val="17"/>
          <w:szCs w:val="17"/>
          <w:color w:val="auto"/>
        </w:rPr>
        <w:t xml:space="preserve">We use ALX Oncology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4"/>
          <w:szCs w:val="14"/>
          <w:color w:val="auto"/>
        </w:rPr>
        <w:t>®</w:t>
      </w:r>
      <w:r>
        <w:rPr>
          <w:rFonts w:ascii="Arial" w:cs="Arial" w:eastAsia="Arial" w:hAnsi="Arial"/>
          <w:sz w:val="17"/>
          <w:szCs w:val="17"/>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80" w:lineRule="exact"/>
        <w:rPr>
          <w:sz w:val="20"/>
          <w:szCs w:val="20"/>
          <w:color w:val="auto"/>
        </w:rPr>
      </w:pPr>
    </w:p>
    <w:p>
      <w:pPr>
        <w:ind w:left="300"/>
        <w:spacing w:after="0" w:line="232"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or the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Securities and Exchange Commission. In particular, in this prospectus, we have provided only two years of audited consolidated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w:t>
      </w:r>
    </w:p>
    <w:p>
      <w:pPr>
        <w:spacing w:after="0" w:line="1" w:lineRule="exact"/>
        <w:rPr>
          <w:sz w:val="20"/>
          <w:szCs w:val="20"/>
          <w:color w:val="auto"/>
        </w:rPr>
      </w:pPr>
    </w:p>
    <w:p>
      <w:pPr>
        <w:ind w:left="300" w:right="180" w:hanging="2"/>
        <w:spacing w:after="0" w:line="238" w:lineRule="auto"/>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04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0045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377" w:lineRule="exact"/>
        <w:rPr>
          <w:sz w:val="20"/>
          <w:szCs w:val="20"/>
          <w:color w:val="auto"/>
        </w:rPr>
      </w:pPr>
    </w:p>
    <w:tbl>
      <w:tblPr>
        <w:tblLayout w:type="fixed"/>
        <w:tblInd w:w="300" w:type="dxa"/>
        <w:tblCellMar>
          <w:top w:w="0" w:type="dxa"/>
          <w:left w:w="0" w:type="dxa"/>
          <w:bottom w:w="0" w:type="dxa"/>
          <w:right w:w="0" w:type="dxa"/>
        </w:tblCellMar>
      </w:tblPr>
      <w:tr>
        <w:trPr>
          <w:trHeight w:val="205"/>
        </w:trPr>
        <w:tc>
          <w:tcPr>
            <w:tcW w:w="4020" w:type="dxa"/>
            <w:vAlign w:val="bottom"/>
          </w:tcPr>
          <w:p>
            <w:pPr>
              <w:spacing w:after="0"/>
              <w:rPr>
                <w:sz w:val="20"/>
                <w:szCs w:val="20"/>
                <w:color w:val="auto"/>
              </w:rPr>
            </w:pPr>
            <w:r>
              <w:rPr>
                <w:rFonts w:ascii="Arial" w:cs="Arial" w:eastAsia="Arial" w:hAnsi="Arial"/>
                <w:sz w:val="17"/>
                <w:szCs w:val="17"/>
                <w:color w:val="auto"/>
              </w:rPr>
              <w:t>Common stock offered</w:t>
            </w:r>
          </w:p>
        </w:tc>
        <w:tc>
          <w:tcPr>
            <w:tcW w:w="700" w:type="dxa"/>
            <w:vAlign w:val="bottom"/>
          </w:tcPr>
          <w:p>
            <w:pPr>
              <w:spacing w:after="0"/>
              <w:rPr>
                <w:sz w:val="17"/>
                <w:szCs w:val="17"/>
                <w:color w:val="auto"/>
              </w:rPr>
            </w:pPr>
          </w:p>
        </w:tc>
        <w:tc>
          <w:tcPr>
            <w:tcW w:w="1600" w:type="dxa"/>
            <w:vAlign w:val="bottom"/>
          </w:tcPr>
          <w:p>
            <w:pPr>
              <w:ind w:left="120"/>
              <w:spacing w:after="0"/>
              <w:rPr>
                <w:sz w:val="20"/>
                <w:szCs w:val="20"/>
                <w:color w:val="auto"/>
              </w:rPr>
            </w:pPr>
            <w:r>
              <w:rPr>
                <w:rFonts w:ascii="Arial" w:cs="Arial" w:eastAsia="Arial" w:hAnsi="Arial"/>
                <w:sz w:val="17"/>
                <w:szCs w:val="17"/>
                <w:color w:val="auto"/>
              </w:rPr>
              <w:t>shares.</w:t>
            </w:r>
          </w:p>
        </w:tc>
        <w:tc>
          <w:tcPr>
            <w:tcW w:w="13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89"/>
        </w:trPr>
        <w:tc>
          <w:tcPr>
            <w:tcW w:w="4020" w:type="dxa"/>
            <w:vAlign w:val="bottom"/>
          </w:tcPr>
          <w:p>
            <w:pPr>
              <w:spacing w:after="0"/>
              <w:rPr>
                <w:sz w:val="20"/>
                <w:szCs w:val="20"/>
                <w:color w:val="auto"/>
              </w:rPr>
            </w:pPr>
            <w:r>
              <w:rPr>
                <w:rFonts w:ascii="Arial" w:cs="Arial" w:eastAsia="Arial" w:hAnsi="Arial"/>
                <w:sz w:val="17"/>
                <w:szCs w:val="17"/>
                <w:color w:val="auto"/>
              </w:rPr>
              <w:t>Underwriters’ option to purchase additional shares of</w:t>
            </w:r>
          </w:p>
        </w:tc>
        <w:tc>
          <w:tcPr>
            <w:tcW w:w="700" w:type="dxa"/>
            <w:vAlign w:val="bottom"/>
          </w:tcPr>
          <w:p>
            <w:pPr>
              <w:spacing w:after="0"/>
              <w:rPr>
                <w:sz w:val="24"/>
                <w:szCs w:val="24"/>
                <w:color w:val="auto"/>
              </w:rPr>
            </w:pPr>
          </w:p>
        </w:tc>
        <w:tc>
          <w:tcPr>
            <w:tcW w:w="1600" w:type="dxa"/>
            <w:vAlign w:val="bottom"/>
          </w:tcPr>
          <w:p>
            <w:pPr>
              <w:ind w:left="120"/>
              <w:spacing w:after="0"/>
              <w:rPr>
                <w:sz w:val="20"/>
                <w:szCs w:val="20"/>
                <w:color w:val="auto"/>
              </w:rPr>
            </w:pPr>
            <w:r>
              <w:rPr>
                <w:rFonts w:ascii="Arial" w:cs="Arial" w:eastAsia="Arial" w:hAnsi="Arial"/>
                <w:sz w:val="17"/>
                <w:szCs w:val="17"/>
                <w:color w:val="auto"/>
              </w:rPr>
              <w:t>shares.</w:t>
            </w:r>
          </w:p>
        </w:tc>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5"/>
        </w:trPr>
        <w:tc>
          <w:tcPr>
            <w:tcW w:w="4020" w:type="dxa"/>
            <w:vAlign w:val="bottom"/>
          </w:tcPr>
          <w:p>
            <w:pPr>
              <w:ind w:left="80"/>
              <w:spacing w:after="0"/>
              <w:rPr>
                <w:sz w:val="20"/>
                <w:szCs w:val="20"/>
                <w:color w:val="auto"/>
              </w:rPr>
            </w:pPr>
            <w:r>
              <w:rPr>
                <w:rFonts w:ascii="Arial" w:cs="Arial" w:eastAsia="Arial" w:hAnsi="Arial"/>
                <w:sz w:val="17"/>
                <w:szCs w:val="17"/>
                <w:color w:val="auto"/>
              </w:rPr>
              <w:t>common stock</w:t>
            </w:r>
          </w:p>
        </w:tc>
        <w:tc>
          <w:tcPr>
            <w:tcW w:w="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89"/>
        </w:trPr>
        <w:tc>
          <w:tcPr>
            <w:tcW w:w="4020" w:type="dxa"/>
            <w:vAlign w:val="bottom"/>
          </w:tcPr>
          <w:p>
            <w:pPr>
              <w:spacing w:after="0"/>
              <w:rPr>
                <w:sz w:val="20"/>
                <w:szCs w:val="20"/>
                <w:color w:val="auto"/>
              </w:rPr>
            </w:pPr>
            <w:r>
              <w:rPr>
                <w:rFonts w:ascii="Arial" w:cs="Arial" w:eastAsia="Arial" w:hAnsi="Arial"/>
                <w:sz w:val="17"/>
                <w:szCs w:val="17"/>
                <w:color w:val="auto"/>
              </w:rPr>
              <w:t>Common stock to be outstanding after the offering</w:t>
            </w:r>
          </w:p>
        </w:tc>
        <w:tc>
          <w:tcPr>
            <w:tcW w:w="700" w:type="dxa"/>
            <w:vAlign w:val="bottom"/>
          </w:tcPr>
          <w:p>
            <w:pPr>
              <w:spacing w:after="0"/>
              <w:rPr>
                <w:sz w:val="24"/>
                <w:szCs w:val="24"/>
                <w:color w:val="auto"/>
              </w:rPr>
            </w:pPr>
          </w:p>
        </w:tc>
        <w:tc>
          <w:tcPr>
            <w:tcW w:w="1600" w:type="dxa"/>
            <w:vAlign w:val="bottom"/>
          </w:tcPr>
          <w:p>
            <w:pPr>
              <w:ind w:left="120"/>
              <w:spacing w:after="0"/>
              <w:rPr>
                <w:sz w:val="20"/>
                <w:szCs w:val="20"/>
                <w:color w:val="auto"/>
              </w:rPr>
            </w:pPr>
            <w:r>
              <w:rPr>
                <w:rFonts w:ascii="Arial" w:cs="Arial" w:eastAsia="Arial" w:hAnsi="Arial"/>
                <w:sz w:val="17"/>
                <w:szCs w:val="17"/>
                <w:color w:val="auto"/>
              </w:rPr>
              <w:t>shares (or</w:t>
            </w:r>
          </w:p>
        </w:tc>
        <w:tc>
          <w:tcPr>
            <w:tcW w:w="4300" w:type="dxa"/>
            <w:vAlign w:val="bottom"/>
            <w:gridSpan w:val="2"/>
          </w:tcPr>
          <w:p>
            <w:pPr>
              <w:ind w:left="140"/>
              <w:spacing w:after="0"/>
              <w:rPr>
                <w:sz w:val="20"/>
                <w:szCs w:val="20"/>
                <w:color w:val="auto"/>
              </w:rPr>
            </w:pPr>
            <w:r>
              <w:rPr>
                <w:rFonts w:ascii="Arial" w:cs="Arial" w:eastAsia="Arial" w:hAnsi="Arial"/>
                <w:sz w:val="17"/>
                <w:szCs w:val="17"/>
                <w:color w:val="auto"/>
              </w:rPr>
              <w:t>shares if the underwriters exercise in full their option to</w:t>
            </w:r>
          </w:p>
        </w:tc>
      </w:tr>
      <w:tr>
        <w:trPr>
          <w:trHeight w:val="205"/>
        </w:trPr>
        <w:tc>
          <w:tcPr>
            <w:tcW w:w="4020" w:type="dxa"/>
            <w:vAlign w:val="bottom"/>
          </w:tcPr>
          <w:p>
            <w:pPr>
              <w:spacing w:after="0"/>
              <w:rPr>
                <w:sz w:val="17"/>
                <w:szCs w:val="17"/>
                <w:color w:val="auto"/>
              </w:rPr>
            </w:pPr>
          </w:p>
        </w:tc>
        <w:tc>
          <w:tcPr>
            <w:tcW w:w="2300" w:type="dxa"/>
            <w:vAlign w:val="bottom"/>
            <w:gridSpan w:val="2"/>
          </w:tcPr>
          <w:p>
            <w:pPr>
              <w:ind w:left="20"/>
              <w:spacing w:after="0"/>
              <w:rPr>
                <w:sz w:val="20"/>
                <w:szCs w:val="20"/>
                <w:color w:val="auto"/>
              </w:rPr>
            </w:pPr>
            <w:r>
              <w:rPr>
                <w:rFonts w:ascii="Arial" w:cs="Arial" w:eastAsia="Arial" w:hAnsi="Arial"/>
                <w:sz w:val="17"/>
                <w:szCs w:val="17"/>
                <w:color w:val="auto"/>
              </w:rPr>
              <w:t>purchase additional shares).</w:t>
            </w:r>
          </w:p>
        </w:tc>
        <w:tc>
          <w:tcPr>
            <w:tcW w:w="13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76"/>
        </w:trPr>
        <w:tc>
          <w:tcPr>
            <w:tcW w:w="4020" w:type="dxa"/>
            <w:vAlign w:val="bottom"/>
          </w:tcPr>
          <w:p>
            <w:pPr>
              <w:spacing w:after="0"/>
              <w:rPr>
                <w:sz w:val="20"/>
                <w:szCs w:val="20"/>
                <w:color w:val="auto"/>
              </w:rPr>
            </w:pPr>
            <w:r>
              <w:rPr>
                <w:rFonts w:ascii="Arial" w:cs="Arial" w:eastAsia="Arial" w:hAnsi="Arial"/>
                <w:sz w:val="17"/>
                <w:szCs w:val="17"/>
                <w:color w:val="auto"/>
              </w:rPr>
              <w:t>Use of proceeds</w:t>
            </w:r>
          </w:p>
        </w:tc>
        <w:tc>
          <w:tcPr>
            <w:tcW w:w="6600" w:type="dxa"/>
            <w:vAlign w:val="bottom"/>
            <w:gridSpan w:val="4"/>
          </w:tcPr>
          <w:p>
            <w:pPr>
              <w:ind w:left="20"/>
              <w:spacing w:after="0"/>
              <w:rPr>
                <w:sz w:val="20"/>
                <w:szCs w:val="20"/>
                <w:color w:val="auto"/>
              </w:rPr>
            </w:pPr>
            <w:r>
              <w:rPr>
                <w:rFonts w:ascii="Arial" w:cs="Arial" w:eastAsia="Arial" w:hAnsi="Arial"/>
                <w:sz w:val="17"/>
                <w:szCs w:val="17"/>
                <w:color w:val="auto"/>
              </w:rPr>
              <w:t>We estimate that the net proceeds to us from this offering will be approximately</w:t>
            </w:r>
          </w:p>
        </w:tc>
      </w:tr>
      <w:tr>
        <w:trPr>
          <w:trHeight w:val="189"/>
        </w:trPr>
        <w:tc>
          <w:tcPr>
            <w:tcW w:w="4020" w:type="dxa"/>
            <w:vAlign w:val="bottom"/>
          </w:tcPr>
          <w:p>
            <w:pPr>
              <w:spacing w:after="0"/>
              <w:rPr>
                <w:sz w:val="16"/>
                <w:szCs w:val="16"/>
                <w:color w:val="auto"/>
              </w:rPr>
            </w:pPr>
          </w:p>
        </w:tc>
        <w:tc>
          <w:tcPr>
            <w:tcW w:w="700" w:type="dxa"/>
            <w:vAlign w:val="bottom"/>
          </w:tcPr>
          <w:p>
            <w:pPr>
              <w:ind w:left="20"/>
              <w:spacing w:after="0" w:line="189" w:lineRule="exact"/>
              <w:rPr>
                <w:sz w:val="20"/>
                <w:szCs w:val="20"/>
                <w:color w:val="auto"/>
              </w:rPr>
            </w:pPr>
            <w:r>
              <w:rPr>
                <w:rFonts w:ascii="Arial" w:cs="Arial" w:eastAsia="Arial" w:hAnsi="Arial"/>
                <w:sz w:val="17"/>
                <w:szCs w:val="17"/>
                <w:color w:val="auto"/>
              </w:rPr>
              <w:t>$</w:t>
            </w:r>
          </w:p>
        </w:tc>
        <w:tc>
          <w:tcPr>
            <w:tcW w:w="5900" w:type="dxa"/>
            <w:vAlign w:val="bottom"/>
            <w:gridSpan w:val="3"/>
          </w:tcPr>
          <w:p>
            <w:pPr>
              <w:jc w:val="center"/>
              <w:ind w:right="575"/>
              <w:spacing w:after="0" w:line="189" w:lineRule="exact"/>
              <w:rPr>
                <w:sz w:val="20"/>
                <w:szCs w:val="20"/>
                <w:color w:val="auto"/>
              </w:rPr>
            </w:pPr>
            <w:r>
              <w:rPr>
                <w:rFonts w:ascii="Arial" w:cs="Arial" w:eastAsia="Arial" w:hAnsi="Arial"/>
                <w:sz w:val="17"/>
                <w:szCs w:val="17"/>
                <w:color w:val="auto"/>
              </w:rPr>
              <w:t>million, based upon the assumed initial public offering price of $</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per share, which is the midpoint of the price range set forth on the cover page of this</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prospectus, after deducting the underwriting discounts and commissions and estimated</w:t>
            </w:r>
          </w:p>
        </w:tc>
      </w:tr>
      <w:tr>
        <w:trPr>
          <w:trHeight w:val="205"/>
        </w:trPr>
        <w:tc>
          <w:tcPr>
            <w:tcW w:w="4020" w:type="dxa"/>
            <w:vAlign w:val="bottom"/>
          </w:tcPr>
          <w:p>
            <w:pPr>
              <w:spacing w:after="0"/>
              <w:rPr>
                <w:sz w:val="17"/>
                <w:szCs w:val="17"/>
                <w:color w:val="auto"/>
              </w:rPr>
            </w:pPr>
          </w:p>
        </w:tc>
        <w:tc>
          <w:tcPr>
            <w:tcW w:w="3600" w:type="dxa"/>
            <w:vAlign w:val="bottom"/>
            <w:gridSpan w:val="3"/>
          </w:tcPr>
          <w:p>
            <w:pPr>
              <w:ind w:left="20"/>
              <w:spacing w:after="0"/>
              <w:rPr>
                <w:sz w:val="20"/>
                <w:szCs w:val="20"/>
                <w:color w:val="auto"/>
              </w:rPr>
            </w:pPr>
            <w:r>
              <w:rPr>
                <w:rFonts w:ascii="Arial" w:cs="Arial" w:eastAsia="Arial" w:hAnsi="Arial"/>
                <w:sz w:val="17"/>
                <w:szCs w:val="17"/>
                <w:color w:val="auto"/>
              </w:rPr>
              <w:t>offering expenses payable by us.</w:t>
            </w:r>
          </w:p>
        </w:tc>
        <w:tc>
          <w:tcPr>
            <w:tcW w:w="3000" w:type="dxa"/>
            <w:vAlign w:val="bottom"/>
          </w:tcPr>
          <w:p>
            <w:pPr>
              <w:spacing w:after="0"/>
              <w:rPr>
                <w:sz w:val="17"/>
                <w:szCs w:val="17"/>
                <w:color w:val="auto"/>
              </w:rPr>
            </w:pPr>
          </w:p>
        </w:tc>
      </w:tr>
      <w:tr>
        <w:trPr>
          <w:trHeight w:val="376"/>
        </w:trPr>
        <w:tc>
          <w:tcPr>
            <w:tcW w:w="4020" w:type="dxa"/>
            <w:vAlign w:val="bottom"/>
          </w:tcPr>
          <w:p>
            <w:pPr>
              <w:spacing w:after="0"/>
              <w:rPr>
                <w:sz w:val="24"/>
                <w:szCs w:val="24"/>
                <w:color w:val="auto"/>
              </w:rPr>
            </w:pPr>
          </w:p>
        </w:tc>
        <w:tc>
          <w:tcPr>
            <w:tcW w:w="6600" w:type="dxa"/>
            <w:vAlign w:val="bottom"/>
            <w:gridSpan w:val="4"/>
          </w:tcPr>
          <w:p>
            <w:pPr>
              <w:ind w:left="20"/>
              <w:spacing w:after="0"/>
              <w:rPr>
                <w:sz w:val="20"/>
                <w:szCs w:val="20"/>
                <w:color w:val="auto"/>
              </w:rPr>
            </w:pPr>
            <w:r>
              <w:rPr>
                <w:rFonts w:ascii="Arial" w:cs="Arial" w:eastAsia="Arial" w:hAnsi="Arial"/>
                <w:sz w:val="17"/>
                <w:szCs w:val="17"/>
                <w:color w:val="auto"/>
              </w:rPr>
              <w:t>We currently intend to use the net proceeds from this offering, together with our</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existing cash and cash equivalents, to fund the development of ALX148 through Phase</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1b and Phase 2 clinical trials in several indications, as well as for working capital and</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other general corporate activities. See “Use of Proceeds” on page 65 for a more</w:t>
            </w:r>
          </w:p>
        </w:tc>
      </w:tr>
      <w:tr>
        <w:trPr>
          <w:trHeight w:val="205"/>
        </w:trPr>
        <w:tc>
          <w:tcPr>
            <w:tcW w:w="4020" w:type="dxa"/>
            <w:vAlign w:val="bottom"/>
          </w:tcPr>
          <w:p>
            <w:pPr>
              <w:spacing w:after="0"/>
              <w:rPr>
                <w:sz w:val="17"/>
                <w:szCs w:val="17"/>
                <w:color w:val="auto"/>
              </w:rPr>
            </w:pPr>
          </w:p>
        </w:tc>
        <w:tc>
          <w:tcPr>
            <w:tcW w:w="6600" w:type="dxa"/>
            <w:vAlign w:val="bottom"/>
            <w:gridSpan w:val="4"/>
          </w:tcPr>
          <w:p>
            <w:pPr>
              <w:ind w:left="20"/>
              <w:spacing w:after="0"/>
              <w:rPr>
                <w:sz w:val="20"/>
                <w:szCs w:val="20"/>
                <w:color w:val="auto"/>
              </w:rPr>
            </w:pPr>
            <w:r>
              <w:rPr>
                <w:rFonts w:ascii="Arial" w:cs="Arial" w:eastAsia="Arial" w:hAnsi="Arial"/>
                <w:sz w:val="17"/>
                <w:szCs w:val="17"/>
                <w:color w:val="auto"/>
              </w:rPr>
              <w:t>complete description of the intended use of proceeds from this offering.</w:t>
            </w:r>
          </w:p>
        </w:tc>
      </w:tr>
      <w:tr>
        <w:trPr>
          <w:trHeight w:val="376"/>
        </w:trPr>
        <w:tc>
          <w:tcPr>
            <w:tcW w:w="4020" w:type="dxa"/>
            <w:vAlign w:val="bottom"/>
          </w:tcPr>
          <w:p>
            <w:pPr>
              <w:spacing w:after="0"/>
              <w:rPr>
                <w:sz w:val="20"/>
                <w:szCs w:val="20"/>
                <w:color w:val="auto"/>
              </w:rPr>
            </w:pPr>
            <w:r>
              <w:rPr>
                <w:rFonts w:ascii="Arial" w:cs="Arial" w:eastAsia="Arial" w:hAnsi="Arial"/>
                <w:sz w:val="17"/>
                <w:szCs w:val="17"/>
                <w:color w:val="auto"/>
              </w:rPr>
              <w:t>Risk factors</w:t>
            </w:r>
          </w:p>
        </w:tc>
        <w:tc>
          <w:tcPr>
            <w:tcW w:w="6600" w:type="dxa"/>
            <w:vAlign w:val="bottom"/>
            <w:gridSpan w:val="4"/>
          </w:tcPr>
          <w:p>
            <w:pPr>
              <w:ind w:left="20"/>
              <w:spacing w:after="0"/>
              <w:rPr>
                <w:sz w:val="20"/>
                <w:szCs w:val="20"/>
                <w:color w:val="auto"/>
              </w:rPr>
            </w:pPr>
            <w:r>
              <w:rPr>
                <w:rFonts w:ascii="Arial" w:cs="Arial" w:eastAsia="Arial" w:hAnsi="Arial"/>
                <w:sz w:val="17"/>
                <w:szCs w:val="17"/>
                <w:color w:val="auto"/>
              </w:rPr>
              <w:t>See “Risk Factors” beginning on page 11 and other information included in this</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prospectus for a discussion of factors that you should consider carefully before</w:t>
            </w:r>
          </w:p>
        </w:tc>
      </w:tr>
      <w:tr>
        <w:trPr>
          <w:trHeight w:val="205"/>
        </w:trPr>
        <w:tc>
          <w:tcPr>
            <w:tcW w:w="4020" w:type="dxa"/>
            <w:vAlign w:val="bottom"/>
          </w:tcPr>
          <w:p>
            <w:pPr>
              <w:spacing w:after="0"/>
              <w:rPr>
                <w:sz w:val="17"/>
                <w:szCs w:val="17"/>
                <w:color w:val="auto"/>
              </w:rPr>
            </w:pPr>
          </w:p>
        </w:tc>
        <w:tc>
          <w:tcPr>
            <w:tcW w:w="3600" w:type="dxa"/>
            <w:vAlign w:val="bottom"/>
            <w:gridSpan w:val="3"/>
          </w:tcPr>
          <w:p>
            <w:pPr>
              <w:ind w:left="20"/>
              <w:spacing w:after="0"/>
              <w:rPr>
                <w:sz w:val="20"/>
                <w:szCs w:val="20"/>
                <w:color w:val="auto"/>
              </w:rPr>
            </w:pPr>
            <w:r>
              <w:rPr>
                <w:rFonts w:ascii="Arial" w:cs="Arial" w:eastAsia="Arial" w:hAnsi="Arial"/>
                <w:sz w:val="17"/>
                <w:szCs w:val="17"/>
                <w:color w:val="auto"/>
              </w:rPr>
              <w:t>deciding to invest in our common stock.</w:t>
            </w:r>
          </w:p>
        </w:tc>
        <w:tc>
          <w:tcPr>
            <w:tcW w:w="3000" w:type="dxa"/>
            <w:vAlign w:val="bottom"/>
          </w:tcPr>
          <w:p>
            <w:pPr>
              <w:spacing w:after="0"/>
              <w:rPr>
                <w:sz w:val="17"/>
                <w:szCs w:val="17"/>
                <w:color w:val="auto"/>
              </w:rPr>
            </w:pPr>
          </w:p>
        </w:tc>
      </w:tr>
      <w:tr>
        <w:trPr>
          <w:trHeight w:val="376"/>
        </w:trPr>
        <w:tc>
          <w:tcPr>
            <w:tcW w:w="4020" w:type="dxa"/>
            <w:vAlign w:val="bottom"/>
          </w:tcPr>
          <w:p>
            <w:pPr>
              <w:spacing w:after="0"/>
              <w:rPr>
                <w:sz w:val="20"/>
                <w:szCs w:val="20"/>
                <w:color w:val="auto"/>
              </w:rPr>
            </w:pPr>
            <w:r>
              <w:rPr>
                <w:rFonts w:ascii="Arial" w:cs="Arial" w:eastAsia="Arial" w:hAnsi="Arial"/>
                <w:sz w:val="17"/>
                <w:szCs w:val="17"/>
                <w:color w:val="auto"/>
              </w:rPr>
              <w:t>Directed share program</w:t>
            </w:r>
          </w:p>
        </w:tc>
        <w:tc>
          <w:tcPr>
            <w:tcW w:w="6600" w:type="dxa"/>
            <w:vAlign w:val="bottom"/>
            <w:gridSpan w:val="4"/>
          </w:tcPr>
          <w:p>
            <w:pPr>
              <w:ind w:left="20"/>
              <w:spacing w:after="0"/>
              <w:rPr>
                <w:sz w:val="20"/>
                <w:szCs w:val="20"/>
                <w:color w:val="auto"/>
              </w:rPr>
            </w:pPr>
            <w:r>
              <w:rPr>
                <w:rFonts w:ascii="Arial" w:cs="Arial" w:eastAsia="Arial" w:hAnsi="Arial"/>
                <w:sz w:val="17"/>
                <w:szCs w:val="17"/>
                <w:color w:val="auto"/>
              </w:rPr>
              <w:t>At our request, an affiliate of Jefferies LLC, a participating underwriter, has reserved up</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to 3% of the shares of common stock being offered by this prospectus for sale, at the</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initial public offering price, to certain of our officers, directors, employees and other</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persons who do business with us. Any reserved shares purchased by our executive</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officers and members of their households will be subject to the 180-day lock-up</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described elsewhere in this prospectus. If these persons purchase reserved shares, it</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will reduce the number of shares available for sale to the general public. Any reserved</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shares that are not so purchased will be offered by the underwriters to the general</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public on the same terms as the other shares offered by this prospectus. For further</w:t>
            </w:r>
          </w:p>
        </w:tc>
      </w:tr>
      <w:tr>
        <w:trPr>
          <w:trHeight w:val="205"/>
        </w:trPr>
        <w:tc>
          <w:tcPr>
            <w:tcW w:w="4020" w:type="dxa"/>
            <w:vAlign w:val="bottom"/>
          </w:tcPr>
          <w:p>
            <w:pPr>
              <w:spacing w:after="0"/>
              <w:rPr>
                <w:sz w:val="17"/>
                <w:szCs w:val="17"/>
                <w:color w:val="auto"/>
              </w:rPr>
            </w:pPr>
          </w:p>
        </w:tc>
        <w:tc>
          <w:tcPr>
            <w:tcW w:w="6600" w:type="dxa"/>
            <w:vAlign w:val="bottom"/>
            <w:gridSpan w:val="4"/>
          </w:tcPr>
          <w:p>
            <w:pPr>
              <w:ind w:left="20"/>
              <w:spacing w:after="0"/>
              <w:rPr>
                <w:sz w:val="20"/>
                <w:szCs w:val="20"/>
                <w:color w:val="auto"/>
              </w:rPr>
            </w:pPr>
            <w:r>
              <w:rPr>
                <w:rFonts w:ascii="Arial" w:cs="Arial" w:eastAsia="Arial" w:hAnsi="Arial"/>
                <w:sz w:val="17"/>
                <w:szCs w:val="17"/>
                <w:color w:val="auto"/>
              </w:rPr>
              <w:t>information regarding our directed share program, see “Underwriting.”</w:t>
            </w:r>
          </w:p>
        </w:tc>
      </w:tr>
      <w:tr>
        <w:trPr>
          <w:trHeight w:val="376"/>
        </w:trPr>
        <w:tc>
          <w:tcPr>
            <w:tcW w:w="4020" w:type="dxa"/>
            <w:vAlign w:val="bottom"/>
          </w:tcPr>
          <w:p>
            <w:pPr>
              <w:spacing w:after="0"/>
              <w:rPr>
                <w:sz w:val="20"/>
                <w:szCs w:val="20"/>
                <w:color w:val="auto"/>
              </w:rPr>
            </w:pPr>
            <w:r>
              <w:rPr>
                <w:rFonts w:ascii="Arial" w:cs="Arial" w:eastAsia="Arial" w:hAnsi="Arial"/>
                <w:sz w:val="17"/>
                <w:szCs w:val="17"/>
                <w:color w:val="auto"/>
              </w:rPr>
              <w:t>Proposed Nasdaq Global Select Market trading</w:t>
            </w:r>
          </w:p>
        </w:tc>
        <w:tc>
          <w:tcPr>
            <w:tcW w:w="700" w:type="dxa"/>
            <w:vAlign w:val="bottom"/>
          </w:tcPr>
          <w:p>
            <w:pPr>
              <w:ind w:left="20"/>
              <w:spacing w:after="0"/>
              <w:rPr>
                <w:sz w:val="20"/>
                <w:szCs w:val="20"/>
                <w:color w:val="auto"/>
              </w:rPr>
            </w:pPr>
            <w:r>
              <w:rPr>
                <w:rFonts w:ascii="Arial" w:cs="Arial" w:eastAsia="Arial" w:hAnsi="Arial"/>
                <w:sz w:val="17"/>
                <w:szCs w:val="17"/>
                <w:color w:val="auto"/>
              </w:rPr>
              <w:t>“ALXO”</w:t>
            </w: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5"/>
        </w:trPr>
        <w:tc>
          <w:tcPr>
            <w:tcW w:w="4020" w:type="dxa"/>
            <w:vAlign w:val="bottom"/>
          </w:tcPr>
          <w:p>
            <w:pPr>
              <w:ind w:left="80"/>
              <w:spacing w:after="0"/>
              <w:rPr>
                <w:sz w:val="20"/>
                <w:szCs w:val="20"/>
                <w:color w:val="auto"/>
              </w:rPr>
            </w:pPr>
            <w:r>
              <w:rPr>
                <w:rFonts w:ascii="Arial" w:cs="Arial" w:eastAsia="Arial" w:hAnsi="Arial"/>
                <w:sz w:val="17"/>
                <w:szCs w:val="17"/>
                <w:color w:val="auto"/>
              </w:rPr>
              <w:t>symbol</w:t>
            </w:r>
          </w:p>
        </w:tc>
        <w:tc>
          <w:tcPr>
            <w:tcW w:w="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49"/>
        </w:trPr>
        <w:tc>
          <w:tcPr>
            <w:tcW w:w="7620" w:type="dxa"/>
            <w:vAlign w:val="bottom"/>
            <w:gridSpan w:val="4"/>
          </w:tcPr>
          <w:p>
            <w:pPr>
              <w:spacing w:after="0"/>
              <w:rPr>
                <w:sz w:val="20"/>
                <w:szCs w:val="20"/>
                <w:color w:val="auto"/>
              </w:rPr>
            </w:pPr>
            <w:r>
              <w:rPr>
                <w:rFonts w:ascii="Arial" w:cs="Arial" w:eastAsia="Arial" w:hAnsi="Arial"/>
                <w:sz w:val="17"/>
                <w:szCs w:val="17"/>
                <w:color w:val="auto"/>
              </w:rPr>
              <w:t>The number of shares of our common stock to be outstanding after this offering is based on the</w:t>
            </w:r>
          </w:p>
        </w:tc>
        <w:tc>
          <w:tcPr>
            <w:tcW w:w="3000" w:type="dxa"/>
            <w:vAlign w:val="bottom"/>
          </w:tcPr>
          <w:p>
            <w:pPr>
              <w:ind w:left="420"/>
              <w:spacing w:after="0"/>
              <w:rPr>
                <w:sz w:val="20"/>
                <w:szCs w:val="20"/>
                <w:color w:val="auto"/>
              </w:rPr>
            </w:pPr>
            <w:r>
              <w:rPr>
                <w:rFonts w:ascii="Arial" w:cs="Arial" w:eastAsia="Arial" w:hAnsi="Arial"/>
                <w:sz w:val="17"/>
                <w:szCs w:val="17"/>
                <w:color w:val="auto"/>
              </w:rPr>
              <w:t>shares of our common stock</w:t>
            </w:r>
          </w:p>
        </w:tc>
      </w:tr>
      <w:tr>
        <w:trPr>
          <w:trHeight w:val="189"/>
        </w:trPr>
        <w:tc>
          <w:tcPr>
            <w:tcW w:w="4020" w:type="dxa"/>
            <w:vAlign w:val="bottom"/>
          </w:tcPr>
          <w:p>
            <w:pPr>
              <w:spacing w:after="0" w:line="189" w:lineRule="exact"/>
              <w:rPr>
                <w:sz w:val="20"/>
                <w:szCs w:val="20"/>
                <w:color w:val="auto"/>
              </w:rPr>
            </w:pPr>
            <w:r>
              <w:rPr>
                <w:rFonts w:ascii="Arial" w:cs="Arial" w:eastAsia="Arial" w:hAnsi="Arial"/>
                <w:sz w:val="17"/>
                <w:szCs w:val="17"/>
                <w:color w:val="auto"/>
              </w:rPr>
              <w:t>outstanding as of March 31, 2020 (including</w:t>
            </w:r>
          </w:p>
        </w:tc>
        <w:tc>
          <w:tcPr>
            <w:tcW w:w="6600" w:type="dxa"/>
            <w:vAlign w:val="bottom"/>
            <w:gridSpan w:val="4"/>
          </w:tcPr>
          <w:p>
            <w:pPr>
              <w:jc w:val="center"/>
              <w:spacing w:after="0" w:line="189" w:lineRule="exact"/>
              <w:rPr>
                <w:sz w:val="20"/>
                <w:szCs w:val="20"/>
                <w:color w:val="auto"/>
              </w:rPr>
            </w:pPr>
            <w:r>
              <w:rPr>
                <w:rFonts w:ascii="Arial" w:cs="Arial" w:eastAsia="Arial" w:hAnsi="Arial"/>
                <w:sz w:val="17"/>
                <w:szCs w:val="17"/>
                <w:color w:val="auto"/>
              </w:rPr>
              <w:t>shares of common stock that are subject to a right of repurchase and our convertible</w:t>
            </w:r>
          </w:p>
        </w:tc>
      </w:tr>
      <w:tr>
        <w:trPr>
          <w:trHeight w:val="205"/>
        </w:trPr>
        <w:tc>
          <w:tcPr>
            <w:tcW w:w="4720" w:type="dxa"/>
            <w:vAlign w:val="bottom"/>
            <w:gridSpan w:val="2"/>
          </w:tcPr>
          <w:p>
            <w:pPr>
              <w:spacing w:after="0"/>
              <w:rPr>
                <w:sz w:val="20"/>
                <w:szCs w:val="20"/>
                <w:color w:val="auto"/>
              </w:rPr>
            </w:pPr>
            <w:r>
              <w:rPr>
                <w:rFonts w:ascii="Arial" w:cs="Arial" w:eastAsia="Arial" w:hAnsi="Arial"/>
                <w:sz w:val="17"/>
                <w:szCs w:val="17"/>
                <w:color w:val="auto"/>
              </w:rPr>
              <w:t>preferred stock on an as-converted basis), and excludes:</w:t>
            </w:r>
          </w:p>
        </w:tc>
        <w:tc>
          <w:tcPr>
            <w:tcW w:w="1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0" w:type="dxa"/>
            <w:vAlign w:val="bottom"/>
          </w:tcPr>
          <w:p>
            <w:pPr>
              <w:spacing w:after="0"/>
              <w:rPr>
                <w:sz w:val="17"/>
                <w:szCs w:val="17"/>
                <w:color w:val="auto"/>
              </w:rPr>
            </w:pPr>
          </w:p>
        </w:tc>
      </w:tr>
    </w:tbl>
    <w:p>
      <w:pPr>
        <w:spacing w:after="0" w:line="187" w:lineRule="exact"/>
        <w:rPr>
          <w:sz w:val="20"/>
          <w:szCs w:val="20"/>
          <w:color w:val="auto"/>
        </w:rPr>
      </w:pPr>
    </w:p>
    <w:p>
      <w:pPr>
        <w:ind w:left="1120" w:right="100" w:hanging="403"/>
        <w:spacing w:after="0" w:line="243"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21,063,923 shares of common stock issuable upon exercise of options outstanding as of March 31, 2020, at a weighted-average exercise price of $0.47 per share;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4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384492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20" w:right="420" w:hanging="403"/>
        <w:spacing w:after="0" w:line="243" w:lineRule="auto"/>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4,435,000 shares of common stock issuable upon exercise of options granted after March 31, 2020, at a weighted-average exercise price of $0.75 per share;</w:t>
      </w:r>
    </w:p>
    <w:p>
      <w:pPr>
        <w:spacing w:after="0" w:line="22" w:lineRule="exact"/>
        <w:rPr>
          <w:rFonts w:ascii="MS PGothic" w:cs="MS PGothic" w:eastAsia="MS PGothic" w:hAnsi="MS PGothic"/>
          <w:sz w:val="13"/>
          <w:szCs w:val="13"/>
          <w:color w:val="auto"/>
        </w:rPr>
      </w:pPr>
    </w:p>
    <w:p>
      <w:pPr>
        <w:ind w:left="1120" w:right="180" w:hanging="403"/>
        <w:spacing w:after="0" w:line="238" w:lineRule="auto"/>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warrants to purchase an aggregate of 403,348 shares of our convertible preferred stock that were outstanding as of March 31, 2020 that will be converted into warrants to purchase an aggregate of 403,348 shares of our common stock, with an exercise price of $1.4432 per share;</w:t>
      </w:r>
    </w:p>
    <w:p>
      <w:pPr>
        <w:spacing w:after="0" w:line="19" w:lineRule="exact"/>
        <w:rPr>
          <w:rFonts w:ascii="MS PGothic" w:cs="MS PGothic" w:eastAsia="MS PGothic" w:hAnsi="MS PGothic"/>
          <w:sz w:val="13"/>
          <w:szCs w:val="13"/>
          <w:color w:val="auto"/>
        </w:rPr>
      </w:pPr>
    </w:p>
    <w:p>
      <w:pPr>
        <w:ind w:left="1120" w:hanging="403"/>
        <w:spacing w:after="0"/>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3,318,445 shares of common stock reserved for issuance pursuant to future awards under our 2020 Equity Incentive Plan, or the</w:t>
      </w:r>
    </w:p>
    <w:p>
      <w:pPr>
        <w:ind w:left="1120" w:right="120"/>
        <w:spacing w:after="0"/>
        <w:rPr>
          <w:sz w:val="20"/>
          <w:szCs w:val="20"/>
          <w:color w:val="auto"/>
        </w:rPr>
      </w:pPr>
      <w:r>
        <w:rPr>
          <w:rFonts w:ascii="Arial" w:cs="Arial" w:eastAsia="Arial" w:hAnsi="Arial"/>
          <w:sz w:val="17"/>
          <w:szCs w:val="17"/>
          <w:color w:val="auto"/>
        </w:rPr>
        <w:t>2020 Plan (which does not give effect to the grant of shares of common stock issuable upon the exercise of stock options which will be granted, as of the effective date of the registration statement of which this prospectus forms a part, under our 2020 Plan, at an exercise price equal to the initial public offering price of our common stock), including the amendment thereto that will become effective immediately prior to the completion of this offering, and any additional shares that become available under our 2020 Plan pursuant to provisions thereof that automatically increase the share reserve under the plan each year; and</w:t>
      </w:r>
    </w:p>
    <w:p>
      <w:pPr>
        <w:spacing w:after="0" w:line="197" w:lineRule="exact"/>
        <w:rPr>
          <w:sz w:val="20"/>
          <w:szCs w:val="20"/>
          <w:color w:val="auto"/>
        </w:rPr>
      </w:pPr>
    </w:p>
    <w:p>
      <w:pPr>
        <w:ind w:left="1120" w:right="160" w:hanging="403"/>
        <w:spacing w:after="0" w:line="238" w:lineRule="auto"/>
        <w:tabs>
          <w:tab w:leader="none" w:pos="1927"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shares of common stock reserved for future issuance under our 2020 Employee Stock Purchase Plan, or the ESPP, which will become effective in connection with this offering, and any additional shares that become available under our ESPP pursuant to provisions thereof that automatically increase the share reserve under the plan each year.</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Unless otherwise indicated or the context otherwise requires, this prospectus reflects and assumes the following:</w:t>
      </w:r>
    </w:p>
    <w:p>
      <w:pPr>
        <w:spacing w:after="0" w:line="177" w:lineRule="exact"/>
        <w:rPr>
          <w:sz w:val="20"/>
          <w:szCs w:val="20"/>
          <w:color w:val="auto"/>
        </w:rPr>
      </w:pPr>
    </w:p>
    <w:p>
      <w:pPr>
        <w:ind w:left="720"/>
        <w:spacing w:after="0"/>
        <w:tabs>
          <w:tab w:leader="none" w:pos="1100" w:val="left"/>
          <w:tab w:leader="none" w:pos="20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-for-1 reverse stock split to be effected prior to the closing of this offering;</w:t>
      </w:r>
    </w:p>
    <w:p>
      <w:pPr>
        <w:spacing w:after="0" w:line="53" w:lineRule="exact"/>
        <w:rPr>
          <w:sz w:val="20"/>
          <w:szCs w:val="20"/>
          <w:color w:val="auto"/>
        </w:rPr>
      </w:pPr>
    </w:p>
    <w:p>
      <w:pPr>
        <w:ind w:left="1120" w:hanging="403"/>
        <w:spacing w:after="0"/>
        <w:tabs>
          <w:tab w:leader="none" w:pos="112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no exercise of the outstanding options and the warrants described above;</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no exercise by the underwriters of their option to purchase additional shares of our common stock;</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the automatic conversion of all of our outstanding shares of convertible preferred stock, including cumulative dividends, into an</w:t>
      </w:r>
    </w:p>
    <w:p>
      <w:pPr>
        <w:sectPr>
          <w:pgSz w:w="11900" w:h="16838" w:orient="portrait"/>
          <w:cols w:equalWidth="0" w:num="1">
            <w:col w:w="10820"/>
          </w:cols>
          <w:pgMar w:left="320" w:top="459" w:right="759" w:bottom="1440" w:gutter="0" w:footer="0" w:header="0"/>
        </w:sectPr>
      </w:pPr>
    </w:p>
    <w:p>
      <w:pPr>
        <w:spacing w:after="0" w:line="3" w:lineRule="exact"/>
        <w:rPr>
          <w:sz w:val="20"/>
          <w:szCs w:val="20"/>
          <w:color w:val="auto"/>
        </w:rPr>
      </w:pPr>
    </w:p>
    <w:p>
      <w:pPr>
        <w:ind w:left="1120"/>
        <w:spacing w:after="0"/>
        <w:tabs>
          <w:tab w:leader="none" w:pos="2920" w:val="left"/>
        </w:tabs>
        <w:rPr>
          <w:sz w:val="20"/>
          <w:szCs w:val="20"/>
          <w:color w:val="auto"/>
        </w:rPr>
      </w:pPr>
      <w:r>
        <w:rPr>
          <w:rFonts w:ascii="Arial" w:cs="Arial" w:eastAsia="Arial" w:hAnsi="Arial"/>
          <w:sz w:val="17"/>
          <w:szCs w:val="17"/>
          <w:color w:val="auto"/>
        </w:rPr>
        <w:t>aggregate of</w:t>
      </w:r>
      <w:r>
        <w:rPr>
          <w:sz w:val="20"/>
          <w:szCs w:val="20"/>
          <w:color w:val="auto"/>
        </w:rPr>
        <w:tab/>
      </w:r>
      <w:r>
        <w:rPr>
          <w:rFonts w:ascii="Arial" w:cs="Arial" w:eastAsia="Arial" w:hAnsi="Arial"/>
          <w:sz w:val="17"/>
          <w:szCs w:val="17"/>
          <w:color w:val="auto"/>
        </w:rPr>
        <w:t>shares of common stock, which will occur immediately prior to the completion of this offering;</w:t>
      </w:r>
    </w:p>
    <w:p>
      <w:pPr>
        <w:sectPr>
          <w:pgSz w:w="11900" w:h="16838" w:orient="portrait"/>
          <w:cols w:equalWidth="0" w:num="1">
            <w:col w:w="10820"/>
          </w:cols>
          <w:pgMar w:left="320" w:top="459" w:right="759" w:bottom="1440" w:gutter="0" w:footer="0" w:header="0"/>
          <w:type w:val="continuous"/>
        </w:sectPr>
      </w:pPr>
    </w:p>
    <w:p>
      <w:pPr>
        <w:spacing w:after="0" w:line="6" w:lineRule="exact"/>
        <w:rPr>
          <w:sz w:val="20"/>
          <w:szCs w:val="20"/>
          <w:color w:val="auto"/>
        </w:rPr>
      </w:pPr>
    </w:p>
    <w:p>
      <w:pPr>
        <w:ind w:left="72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80"/>
        <w:spacing w:after="0"/>
        <w:rPr>
          <w:sz w:val="20"/>
          <w:szCs w:val="20"/>
          <w:color w:val="auto"/>
        </w:rPr>
      </w:pPr>
      <w:r>
        <w:rPr>
          <w:rFonts w:ascii="Arial" w:cs="Arial" w:eastAsia="Arial" w:hAnsi="Arial"/>
          <w:sz w:val="17"/>
          <w:szCs w:val="17"/>
          <w:color w:val="auto"/>
        </w:rPr>
        <w:t>warrants to purchase an aggregate of shares of our convertible preferred stock that will be converted into warrants to purchase an aggregate of shares of our common stock, which will occur immediately prior to the completion of this offering; and</w:t>
      </w:r>
    </w:p>
    <w:p>
      <w:pPr>
        <w:spacing w:after="0" w:line="200" w:lineRule="exact"/>
        <w:rPr>
          <w:sz w:val="20"/>
          <w:szCs w:val="20"/>
          <w:color w:val="auto"/>
        </w:rPr>
      </w:pPr>
    </w:p>
    <w:p>
      <w:pPr>
        <w:sectPr>
          <w:pgSz w:w="11900" w:h="16838" w:orient="portrait"/>
          <w:cols w:equalWidth="0" w:num="2">
            <w:col w:w="800" w:space="320"/>
            <w:col w:w="9700"/>
          </w:cols>
          <w:pgMar w:left="320" w:top="459" w:right="759" w:bottom="1440" w:gutter="0" w:footer="0" w:header="0"/>
          <w:type w:val="continuous"/>
        </w:sectPr>
      </w:pPr>
    </w:p>
    <w:p>
      <w:pPr>
        <w:spacing w:after="0" w:line="17" w:lineRule="exact"/>
        <w:rPr>
          <w:sz w:val="20"/>
          <w:szCs w:val="20"/>
          <w:color w:val="auto"/>
        </w:rPr>
      </w:pPr>
    </w:p>
    <w:p>
      <w:pPr>
        <w:ind w:left="1120" w:right="540" w:hanging="403"/>
        <w:spacing w:after="0" w:line="243" w:lineRule="auto"/>
        <w:tabs>
          <w:tab w:leader="none" w:pos="112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the filing and effectiveness of our amended and restated certificate of incorporation and the adoption of our amended and restated bylaws, each of which will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820"/>
          </w:cols>
          <w:pgMar w:left="320" w:top="459" w:right="7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93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336" w:lineRule="exact"/>
        <w:rPr>
          <w:sz w:val="20"/>
          <w:szCs w:val="20"/>
          <w:color w:val="auto"/>
        </w:rPr>
      </w:pPr>
    </w:p>
    <w:p>
      <w:pPr>
        <w:ind w:left="300" w:right="240"/>
        <w:spacing w:after="0" w:line="233" w:lineRule="auto"/>
        <w:rPr>
          <w:sz w:val="20"/>
          <w:szCs w:val="20"/>
          <w:color w:val="auto"/>
        </w:rPr>
      </w:pPr>
      <w:r>
        <w:rPr>
          <w:rFonts w:ascii="Arial" w:cs="Arial" w:eastAsia="Arial" w:hAnsi="Arial"/>
          <w:sz w:val="17"/>
          <w:szCs w:val="17"/>
          <w:color w:val="auto"/>
        </w:rPr>
        <w:t>The following tables summarize our consolidated financial data for the periods and as of the dates indicated. We derived the summary consolidated statements of operations and comprehensive loss data for the years ended December 31, 2018 and December 31, 2019, and consolidated balance sheet data as of December 31, 2019, from our audited consolidated financial statements included elsewhere in this prospectus. We have derived the consolidated statements of operations and comprehensive loss data for the three months ended March 31, 2019 and March 31, 2020, and the consolidated balance sheet data as of March 31, 2020 from our unaudited interim condensed consolidated financial statements included elsewhere in this prospectus. In our opinion, these unaudited interim condensed consolidated financial statements have been prepared on a basis consistent with our audited consolidated financial statements and contain all adjustments, consisting only of normal and recurring adjustments, necessary for a fair presentation of such financial data. Our historical results are not necessarily indicative of the results that may be expected in the future. You should read the following summary consolidated financial data in conjunction with our consolidated financial statements and the related notes appearing elsewhere in this prospectus and the information in the sections titled “Selected Consolidated Financial Data” and “Management’s Discussion and Analysis of Financial Condition and Results of Operations.”</w:t>
      </w:r>
    </w:p>
    <w:p>
      <w:pPr>
        <w:spacing w:after="0" w:line="200" w:lineRule="exact"/>
        <w:rPr>
          <w:sz w:val="20"/>
          <w:szCs w:val="20"/>
          <w:color w:val="auto"/>
        </w:rPr>
      </w:pP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7"/>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44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Consolidated Statements of Operations and</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420" w:type="dxa"/>
            <w:vAlign w:val="bottom"/>
            <w:gridSpan w:val="2"/>
          </w:tcPr>
          <w:p>
            <w:pPr>
              <w:ind w:left="180"/>
              <w:spacing w:after="0"/>
              <w:rPr>
                <w:sz w:val="20"/>
                <w:szCs w:val="20"/>
                <w:color w:val="auto"/>
              </w:rPr>
            </w:pPr>
            <w:r>
              <w:rPr>
                <w:rFonts w:ascii="Arial" w:cs="Arial" w:eastAsia="Arial" w:hAnsi="Arial"/>
                <w:sz w:val="14"/>
                <w:szCs w:val="14"/>
                <w:b w:val="1"/>
                <w:bCs w:val="1"/>
                <w:color w:val="auto"/>
              </w:rPr>
              <w:t>Comprehensive Loss Data:</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760" w:type="dxa"/>
            <w:vAlign w:val="bottom"/>
            <w:gridSpan w:val="8"/>
          </w:tcPr>
          <w:p>
            <w:pPr>
              <w:jc w:val="right"/>
              <w:ind w:right="120"/>
              <w:spacing w:after="0" w:line="14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4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2,067</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4,796</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1,032</w:t>
            </w:r>
          </w:p>
        </w:tc>
        <w:tc>
          <w:tcPr>
            <w:tcW w:w="5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655</w:t>
            </w: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2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24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11,270</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16,306</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3,733</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3,828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24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2,601</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3,313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588</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1,473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24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1,880</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4,360</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938</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596</w:t>
            </w: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240" w:type="dxa"/>
            <w:vAlign w:val="bottom"/>
          </w:tcPr>
          <w:p>
            <w:pPr>
              <w:ind w:left="1020"/>
              <w:spacing w:after="0"/>
              <w:rPr>
                <w:sz w:val="20"/>
                <w:szCs w:val="20"/>
                <w:color w:val="auto"/>
              </w:rPr>
            </w:pPr>
            <w:r>
              <w:rPr>
                <w:rFonts w:ascii="Arial" w:cs="Arial" w:eastAsia="Arial" w:hAnsi="Arial"/>
                <w:sz w:val="17"/>
                <w:szCs w:val="17"/>
                <w:color w:val="auto"/>
              </w:rPr>
              <w:t>Total operating expenses</w:t>
            </w:r>
          </w:p>
        </w:tc>
        <w:tc>
          <w:tcPr>
            <w:tcW w:w="3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23,979</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(13,684)</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(19,183)</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(4,227)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(5,242)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ind w:left="180"/>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(21)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(215)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(5)</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ind w:left="180"/>
              <w:spacing w:after="0"/>
              <w:rPr>
                <w:sz w:val="20"/>
                <w:szCs w:val="20"/>
                <w:color w:val="auto"/>
              </w:rPr>
            </w:pPr>
            <w:r>
              <w:rPr>
                <w:rFonts w:ascii="Arial" w:cs="Arial" w:eastAsia="Arial" w:hAnsi="Arial"/>
                <w:sz w:val="17"/>
                <w:szCs w:val="17"/>
                <w:color w:val="auto"/>
              </w:rPr>
              <w:t>Loss before income taxes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(13,686)</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(19,209)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7"/>
                <w:szCs w:val="17"/>
                <w:color w:val="auto"/>
              </w:rPr>
              <w:t>(4,229)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(5,450)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(45)</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(34)</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ind w:left="180"/>
              <w:spacing w:after="0"/>
              <w:rPr>
                <w:sz w:val="20"/>
                <w:szCs w:val="20"/>
                <w:color w:val="auto"/>
              </w:rPr>
            </w:pPr>
            <w:r>
              <w:rPr>
                <w:rFonts w:ascii="Arial" w:cs="Arial" w:eastAsia="Arial" w:hAnsi="Arial"/>
                <w:sz w:val="17"/>
                <w:szCs w:val="17"/>
                <w:color w:val="auto"/>
              </w:rPr>
              <w:t>Net loss and comprehensive loss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(13,731)</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(19,243)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7"/>
                <w:szCs w:val="17"/>
                <w:color w:val="auto"/>
              </w:rPr>
              <w:t>(4,238)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(5,454)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4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Cumulative dividends allocated to preferred</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4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shareholders</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(3,671)</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(4,028)</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(905)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(1,983)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ind w:left="180"/>
              <w:spacing w:after="0"/>
              <w:rPr>
                <w:sz w:val="20"/>
                <w:szCs w:val="20"/>
                <w:color w:val="auto"/>
              </w:rPr>
            </w:pPr>
            <w:r>
              <w:rPr>
                <w:rFonts w:ascii="Arial" w:cs="Arial" w:eastAsia="Arial" w:hAnsi="Arial"/>
                <w:sz w:val="17"/>
                <w:szCs w:val="17"/>
                <w:color w:val="auto"/>
              </w:rPr>
              <w:t>Net loss attributable to ordinary shareholders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(17,402)</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(23,271)</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7"/>
                <w:szCs w:val="17"/>
                <w:color w:val="auto"/>
              </w:rPr>
              <w:t>(5,143)</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(7,437)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424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Net loss per share attributable to ordinary</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4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shareholders, basic and 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(0.96)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(0.26)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(0.36)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ind w:left="180"/>
              <w:spacing w:after="0"/>
              <w:rPr>
                <w:sz w:val="20"/>
                <w:szCs w:val="20"/>
                <w:color w:val="auto"/>
              </w:rPr>
            </w:pPr>
            <w:r>
              <w:rPr>
                <w:rFonts w:ascii="Arial" w:cs="Arial" w:eastAsia="Arial" w:hAnsi="Arial"/>
                <w:sz w:val="17"/>
                <w:szCs w:val="17"/>
                <w:color w:val="auto"/>
              </w:rPr>
              <w:t>Weighted-average shares used to compute net loss</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240" w:type="dxa"/>
            <w:vAlign w:val="bottom"/>
          </w:tcPr>
          <w:p>
            <w:pPr>
              <w:ind w:left="260"/>
              <w:spacing w:after="0" w:line="189" w:lineRule="exact"/>
              <w:rPr>
                <w:sz w:val="20"/>
                <w:szCs w:val="20"/>
                <w:color w:val="auto"/>
              </w:rPr>
            </w:pPr>
            <w:r>
              <w:rPr>
                <w:rFonts w:ascii="Arial" w:cs="Arial" w:eastAsia="Arial" w:hAnsi="Arial"/>
                <w:sz w:val="17"/>
                <w:szCs w:val="17"/>
                <w:color w:val="auto"/>
              </w:rPr>
              <w:t>per share attributable to ordinary shareholders,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4240" w:type="dxa"/>
            <w:vAlign w:val="bottom"/>
          </w:tcPr>
          <w:p>
            <w:pPr>
              <w:ind w:left="260"/>
              <w:spacing w:after="0"/>
              <w:rPr>
                <w:sz w:val="20"/>
                <w:szCs w:val="20"/>
                <w:color w:val="auto"/>
              </w:rPr>
            </w:pPr>
            <w:r>
              <w:rPr>
                <w:rFonts w:ascii="Arial" w:cs="Arial" w:eastAsia="Arial" w:hAnsi="Arial"/>
                <w:sz w:val="17"/>
                <w:szCs w:val="17"/>
                <w:color w:val="auto"/>
              </w:rPr>
              <w:t>basic and diluted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18,102,402</w:t>
            </w:r>
          </w:p>
        </w:tc>
        <w:tc>
          <w:tcPr>
            <w:tcW w:w="140" w:type="dxa"/>
            <w:vAlign w:val="bottom"/>
          </w:tcPr>
          <w:p>
            <w:pPr>
              <w:spacing w:after="0"/>
              <w:rPr>
                <w:sz w:val="16"/>
                <w:szCs w:val="16"/>
                <w:color w:val="auto"/>
              </w:rPr>
            </w:pPr>
          </w:p>
        </w:tc>
        <w:tc>
          <w:tcPr>
            <w:tcW w:w="1880" w:type="dxa"/>
            <w:vAlign w:val="bottom"/>
            <w:gridSpan w:val="4"/>
          </w:tcPr>
          <w:p>
            <w:pPr>
              <w:jc w:val="right"/>
              <w:ind w:right="360"/>
              <w:spacing w:after="0"/>
              <w:rPr>
                <w:sz w:val="20"/>
                <w:szCs w:val="20"/>
                <w:color w:val="auto"/>
              </w:rPr>
            </w:pPr>
            <w:r>
              <w:rPr>
                <w:rFonts w:ascii="Arial" w:cs="Arial" w:eastAsia="Arial" w:hAnsi="Arial"/>
                <w:sz w:val="17"/>
                <w:szCs w:val="17"/>
                <w:color w:val="auto"/>
              </w:rPr>
              <w:t>20,245,115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19,749,549</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20,684,025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5"/>
        </w:trPr>
        <w:tc>
          <w:tcPr>
            <w:tcW w:w="1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17"/>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331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2060" w:type="dxa"/>
            <w:vAlign w:val="bottom"/>
          </w:tcPr>
          <w:p>
            <w:pPr>
              <w:jc w:val="center"/>
              <w:ind w:right="2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Statements of Operations and</w:t>
            </w:r>
          </w:p>
        </w:tc>
        <w:tc>
          <w:tcPr>
            <w:tcW w:w="400" w:type="dxa"/>
            <w:vAlign w:val="bottom"/>
          </w:tcPr>
          <w:p>
            <w:pPr>
              <w:spacing w:after="0"/>
              <w:rPr>
                <w:sz w:val="15"/>
                <w:szCs w:val="15"/>
                <w:color w:val="auto"/>
              </w:rPr>
            </w:pPr>
          </w:p>
        </w:tc>
        <w:tc>
          <w:tcPr>
            <w:tcW w:w="24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5"/>
                <w:szCs w:val="15"/>
                <w:color w:val="auto"/>
              </w:rPr>
            </w:pPr>
          </w:p>
        </w:tc>
        <w:tc>
          <w:tcPr>
            <w:tcW w:w="2060" w:type="dxa"/>
            <w:vAlign w:val="bottom"/>
          </w:tcPr>
          <w:p>
            <w:pPr>
              <w:jc w:val="center"/>
              <w:ind w:right="26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5320" w:type="dxa"/>
            <w:vAlign w:val="bottom"/>
            <w:vMerge w:val="continue"/>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320" w:type="dxa"/>
            <w:vAlign w:val="bottom"/>
          </w:tcPr>
          <w:p>
            <w:pPr>
              <w:spacing w:after="0"/>
              <w:rPr>
                <w:sz w:val="20"/>
                <w:szCs w:val="20"/>
                <w:color w:val="auto"/>
              </w:rPr>
            </w:pPr>
            <w:r>
              <w:rPr>
                <w:rFonts w:ascii="Arial" w:cs="Arial" w:eastAsia="Arial" w:hAnsi="Arial"/>
                <w:sz w:val="14"/>
                <w:szCs w:val="14"/>
                <w:b w:val="1"/>
                <w:bCs w:val="1"/>
                <w:color w:val="auto"/>
              </w:rPr>
              <w:t>Comprehensive Loss Data:</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2018</w:t>
            </w:r>
          </w:p>
        </w:tc>
        <w:tc>
          <w:tcPr>
            <w:tcW w:w="16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0" w:type="dxa"/>
            <w:vAlign w:val="bottom"/>
            <w:gridSpan w:val="4"/>
          </w:tcPr>
          <w:p>
            <w:pPr>
              <w:jc w:val="right"/>
              <w:ind w:right="748"/>
              <w:spacing w:after="0" w:line="14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tcPr>
          <w:p>
            <w:pPr>
              <w:jc w:val="center"/>
              <w:ind w:right="26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bl>
    <w:p>
      <w:pPr>
        <w:ind w:left="300"/>
        <w:spacing w:after="0"/>
        <w:rPr>
          <w:sz w:val="20"/>
          <w:szCs w:val="20"/>
          <w:color w:val="auto"/>
        </w:rPr>
      </w:pPr>
      <w:r>
        <w:rPr>
          <w:rFonts w:ascii="Arial" w:cs="Arial" w:eastAsia="Arial" w:hAnsi="Arial"/>
          <w:sz w:val="17"/>
          <w:szCs w:val="17"/>
          <w:color w:val="auto"/>
        </w:rPr>
        <w:t>Pro forma net loss attributable to ordinary shareholders, basic</w:t>
      </w:r>
    </w:p>
    <w:tbl>
      <w:tblPr>
        <w:tblLayout w:type="fixed"/>
        <w:tblInd w:w="300" w:type="dxa"/>
        <w:tblCellMar>
          <w:top w:w="0" w:type="dxa"/>
          <w:left w:w="0" w:type="dxa"/>
          <w:bottom w:w="0" w:type="dxa"/>
          <w:right w:w="0" w:type="dxa"/>
        </w:tblCellMar>
      </w:tblPr>
      <w:tr>
        <w:trPr>
          <w:trHeight w:val="135"/>
        </w:trPr>
        <w:tc>
          <w:tcPr>
            <w:tcW w:w="5460" w:type="dxa"/>
            <w:vAlign w:val="bottom"/>
          </w:tcPr>
          <w:p>
            <w:pPr>
              <w:jc w:val="right"/>
              <w:ind w:right="3217"/>
              <w:spacing w:after="0" w:line="135" w:lineRule="exact"/>
              <w:rPr>
                <w:sz w:val="20"/>
                <w:szCs w:val="20"/>
                <w:color w:val="auto"/>
              </w:rPr>
            </w:pPr>
            <w:r>
              <w:rPr>
                <w:rFonts w:ascii="Arial" w:cs="Arial" w:eastAsia="Arial" w:hAnsi="Arial"/>
                <w:sz w:val="15"/>
                <w:szCs w:val="15"/>
                <w:color w:val="auto"/>
              </w:rPr>
              <w:t>(1)</w:t>
            </w:r>
          </w:p>
        </w:tc>
        <w:tc>
          <w:tcPr>
            <w:tcW w:w="1000" w:type="dxa"/>
            <w:vAlign w:val="bottom"/>
            <w:gridSpan w:val="2"/>
            <w:vMerge w:val="restart"/>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1840" w:type="dxa"/>
            <w:vAlign w:val="bottom"/>
            <w:gridSpan w:val="2"/>
            <w:vMerge w:val="restart"/>
          </w:tcPr>
          <w:p>
            <w:pPr>
              <w:jc w:val="right"/>
              <w:ind w:right="860"/>
              <w:spacing w:after="0" w:line="189" w:lineRule="exact"/>
              <w:rPr>
                <w:sz w:val="20"/>
                <w:szCs w:val="20"/>
                <w:color w:val="auto"/>
              </w:rPr>
            </w:pPr>
            <w:r>
              <w:rPr>
                <w:rFonts w:ascii="Arial" w:cs="Arial" w:eastAsia="Arial" w:hAnsi="Arial"/>
                <w:sz w:val="17"/>
                <w:szCs w:val="17"/>
                <w:color w:val="auto"/>
              </w:rPr>
              <w:t>(0.20)</w:t>
            </w:r>
          </w:p>
        </w:tc>
        <w:tc>
          <w:tcPr>
            <w:tcW w:w="1120" w:type="dxa"/>
            <w:vAlign w:val="bottom"/>
            <w:gridSpan w:val="2"/>
            <w:vMerge w:val="restart"/>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vMerge w:val="restart"/>
          </w:tcPr>
          <w:p>
            <w:pPr>
              <w:jc w:val="right"/>
              <w:spacing w:after="0" w:line="189" w:lineRule="exact"/>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54"/>
        </w:trPr>
        <w:tc>
          <w:tcPr>
            <w:tcW w:w="5460" w:type="dxa"/>
            <w:vAlign w:val="bottom"/>
          </w:tcPr>
          <w:p>
            <w:pPr>
              <w:ind w:left="260"/>
              <w:spacing w:after="0" w:line="54" w:lineRule="exact"/>
              <w:rPr>
                <w:sz w:val="20"/>
                <w:szCs w:val="20"/>
                <w:color w:val="auto"/>
              </w:rPr>
            </w:pPr>
            <w:r>
              <w:rPr>
                <w:rFonts w:ascii="Arial" w:cs="Arial" w:eastAsia="Arial" w:hAnsi="Arial"/>
                <w:sz w:val="6"/>
                <w:szCs w:val="6"/>
                <w:color w:val="auto"/>
              </w:rPr>
              <w:t>and diluted (unaudited)</w:t>
            </w:r>
          </w:p>
        </w:tc>
        <w:tc>
          <w:tcPr>
            <w:tcW w:w="1000" w:type="dxa"/>
            <w:vAlign w:val="bottom"/>
            <w:gridSpan w:val="2"/>
            <w:vMerge w:val="continue"/>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7"/>
                <w:szCs w:val="17"/>
                <w:color w:val="auto"/>
              </w:rPr>
              <w:t>Weighted-average shares used to compute pro forma net</w:t>
            </w: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460" w:type="dxa"/>
            <w:vAlign w:val="bottom"/>
          </w:tcPr>
          <w:p>
            <w:pPr>
              <w:ind w:left="260"/>
              <w:spacing w:after="0"/>
              <w:rPr>
                <w:sz w:val="20"/>
                <w:szCs w:val="20"/>
                <w:color w:val="auto"/>
              </w:rPr>
            </w:pPr>
            <w:r>
              <w:rPr>
                <w:rFonts w:ascii="Arial" w:cs="Arial" w:eastAsia="Arial" w:hAnsi="Arial"/>
                <w:sz w:val="17"/>
                <w:szCs w:val="17"/>
                <w:color w:val="auto"/>
              </w:rPr>
              <w:t>loss per share attributable to ordinary shareholders, basic</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94,274,058</w:t>
            </w: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144,442,583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460" w:type="dxa"/>
            <w:vAlign w:val="bottom"/>
          </w:tcPr>
          <w:p>
            <w:pPr>
              <w:jc w:val="right"/>
              <w:ind w:right="3217"/>
              <w:spacing w:after="0" w:line="131" w:lineRule="exact"/>
              <w:rPr>
                <w:sz w:val="20"/>
                <w:szCs w:val="20"/>
                <w:color w:val="auto"/>
              </w:rPr>
            </w:pPr>
            <w:r>
              <w:rPr>
                <w:rFonts w:ascii="Arial" w:cs="Arial" w:eastAsia="Arial" w:hAnsi="Arial"/>
                <w:sz w:val="15"/>
                <w:szCs w:val="15"/>
                <w:color w:val="auto"/>
              </w:rPr>
              <w:t>(1)</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460" w:type="dxa"/>
            <w:vAlign w:val="bottom"/>
          </w:tcPr>
          <w:p>
            <w:pPr>
              <w:ind w:left="260"/>
              <w:spacing w:after="0" w:line="54" w:lineRule="exact"/>
              <w:rPr>
                <w:sz w:val="20"/>
                <w:szCs w:val="20"/>
                <w:color w:val="auto"/>
              </w:rPr>
            </w:pPr>
            <w:r>
              <w:rPr>
                <w:rFonts w:ascii="Arial" w:cs="Arial" w:eastAsia="Arial" w:hAnsi="Arial"/>
                <w:sz w:val="6"/>
                <w:szCs w:val="6"/>
                <w:color w:val="auto"/>
              </w:rPr>
              <w:t>and diluted (unaudited)</w:t>
            </w:r>
          </w:p>
        </w:tc>
        <w:tc>
          <w:tcPr>
            <w:tcW w:w="8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700" w:right="120" w:hanging="267"/>
        <w:spacing w:after="0" w:line="249" w:lineRule="auto"/>
        <w:tabs>
          <w:tab w:leader="none" w:pos="7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 Note 12 to our audited consolidated financial statements and the Note 8 of our unaudited interim condensed consolidated financial statements included elsewhere in this prospectus for an explanation of the method used to calculate historical and pro forma basic and diluted net loss per share, and the weighted-average number of shares used in the computation of the per share amounts and unaudited pro forma information.</w:t>
      </w:r>
    </w:p>
    <w:p>
      <w:pPr>
        <w:spacing w:after="0" w:line="200" w:lineRule="exact"/>
        <w:rPr>
          <w:sz w:val="20"/>
          <w:szCs w:val="20"/>
          <w:color w:val="auto"/>
        </w:rPr>
      </w:pPr>
    </w:p>
    <w:p>
      <w:pPr>
        <w:spacing w:after="0" w:line="226"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6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9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rPr>
              <w:t>AS OF MARCH 31, 2020</w:t>
            </w:r>
          </w:p>
        </w:tc>
      </w:tr>
      <w:tr>
        <w:trPr>
          <w:trHeight w:val="139"/>
        </w:trPr>
        <w:tc>
          <w:tcPr>
            <w:tcW w:w="63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ind w:left="300"/>
              <w:spacing w:after="0" w:line="139"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r>
      <w:tr>
        <w:trPr>
          <w:trHeight w:val="179"/>
        </w:trPr>
        <w:tc>
          <w:tcPr>
            <w:tcW w:w="6360" w:type="dxa"/>
            <w:vAlign w:val="bottom"/>
          </w:tcPr>
          <w:p>
            <w:pPr>
              <w:spacing w:after="0"/>
              <w:rPr>
                <w:sz w:val="15"/>
                <w:szCs w:val="15"/>
                <w:color w:val="auto"/>
              </w:rPr>
            </w:pPr>
          </w:p>
        </w:tc>
        <w:tc>
          <w:tcPr>
            <w:tcW w:w="980" w:type="dxa"/>
            <w:vAlign w:val="bottom"/>
          </w:tcPr>
          <w:p>
            <w:pPr>
              <w:jc w:val="right"/>
              <w:ind w:right="216"/>
              <w:spacing w:after="0"/>
              <w:rPr>
                <w:sz w:val="20"/>
                <w:szCs w:val="20"/>
                <w:color w:val="auto"/>
              </w:rPr>
            </w:pPr>
            <w:r>
              <w:rPr>
                <w:rFonts w:ascii="Arial" w:cs="Arial" w:eastAsia="Arial" w:hAnsi="Arial"/>
                <w:sz w:val="14"/>
                <w:szCs w:val="14"/>
                <w:b w:val="1"/>
                <w:bCs w:val="1"/>
                <w:color w:val="auto"/>
              </w:rPr>
              <w:t>ACTUAL</w:t>
            </w:r>
          </w:p>
        </w:tc>
        <w:tc>
          <w:tcPr>
            <w:tcW w:w="1620" w:type="dxa"/>
            <w:vAlign w:val="bottom"/>
            <w:gridSpan w:val="2"/>
          </w:tcPr>
          <w:p>
            <w:pPr>
              <w:ind w:left="260"/>
              <w:spacing w:after="0" w:line="179" w:lineRule="exact"/>
              <w:rPr>
                <w:sz w:val="20"/>
                <w:szCs w:val="20"/>
                <w:color w:val="auto"/>
              </w:rPr>
            </w:pPr>
            <w:r>
              <w:rPr>
                <w:rFonts w:ascii="Arial" w:cs="Arial" w:eastAsia="Arial" w:hAnsi="Arial"/>
                <w:sz w:val="12"/>
                <w:szCs w:val="12"/>
                <w:b w:val="1"/>
                <w:bCs w:val="1"/>
                <w:color w:val="auto"/>
              </w:rPr>
              <w:t>PRO FORMA</w:t>
            </w:r>
            <w:r>
              <w:rPr>
                <w:rFonts w:ascii="Arial" w:cs="Arial" w:eastAsia="Arial" w:hAnsi="Arial"/>
                <w:sz w:val="20"/>
                <w:szCs w:val="20"/>
                <w:b w:val="1"/>
                <w:bCs w:val="1"/>
                <w:color w:val="auto"/>
                <w:vertAlign w:val="superscript"/>
              </w:rPr>
              <w:t>(1)</w:t>
            </w:r>
          </w:p>
        </w:tc>
        <w:tc>
          <w:tcPr>
            <w:tcW w:w="1360" w:type="dxa"/>
            <w:vAlign w:val="bottom"/>
            <w:gridSpan w:val="2"/>
          </w:tcPr>
          <w:p>
            <w:pPr>
              <w:ind w:left="160"/>
              <w:spacing w:after="0" w:line="17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r>
      <w:tr>
        <w:trPr>
          <w:trHeight w:val="156"/>
        </w:trPr>
        <w:tc>
          <w:tcPr>
            <w:tcW w:w="636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(unaudited)</w:t>
            </w:r>
          </w:p>
        </w:tc>
        <w:tc>
          <w:tcPr>
            <w:tcW w:w="13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89"/>
        </w:trPr>
        <w:tc>
          <w:tcPr>
            <w:tcW w:w="6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3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Balance Sheet Data:</w:t>
            </w: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6360" w:type="dxa"/>
            <w:vAlign w:val="bottom"/>
          </w:tcPr>
          <w:p>
            <w:pPr>
              <w:spacing w:after="0" w:line="189" w:lineRule="exact"/>
              <w:rPr>
                <w:sz w:val="20"/>
                <w:szCs w:val="20"/>
                <w:color w:val="auto"/>
              </w:rPr>
            </w:pPr>
            <w:r>
              <w:rPr>
                <w:rFonts w:ascii="Arial" w:cs="Arial" w:eastAsia="Arial" w:hAnsi="Arial"/>
                <w:sz w:val="17"/>
                <w:szCs w:val="17"/>
                <w:color w:val="auto"/>
              </w:rPr>
              <w:t>Cash and cash equivalents</w:t>
            </w:r>
          </w:p>
        </w:tc>
        <w:tc>
          <w:tcPr>
            <w:tcW w:w="980" w:type="dxa"/>
            <w:vAlign w:val="bottom"/>
          </w:tcPr>
          <w:p>
            <w:pPr>
              <w:jc w:val="right"/>
              <w:ind w:right="156"/>
              <w:spacing w:after="0" w:line="189" w:lineRule="exact"/>
              <w:rPr>
                <w:sz w:val="20"/>
                <w:szCs w:val="20"/>
                <w:color w:val="auto"/>
              </w:rPr>
            </w:pPr>
            <w:r>
              <w:rPr>
                <w:rFonts w:ascii="Arial" w:cs="Arial" w:eastAsia="Arial" w:hAnsi="Arial"/>
                <w:sz w:val="17"/>
                <w:szCs w:val="17"/>
                <w:color w:val="auto"/>
              </w:rPr>
              <w:t>$105,035</w:t>
            </w:r>
          </w:p>
        </w:tc>
        <w:tc>
          <w:tcPr>
            <w:tcW w:w="420" w:type="dxa"/>
            <w:vAlign w:val="bottom"/>
          </w:tcPr>
          <w:p>
            <w:pPr>
              <w:ind w:left="240"/>
              <w:spacing w:after="0" w:line="189" w:lineRule="exact"/>
              <w:rPr>
                <w:sz w:val="20"/>
                <w:szCs w:val="20"/>
                <w:color w:val="auto"/>
              </w:rPr>
            </w:pPr>
            <w:r>
              <w:rPr>
                <w:rFonts w:ascii="Arial" w:cs="Arial" w:eastAsia="Arial" w:hAnsi="Arial"/>
                <w:sz w:val="17"/>
                <w:szCs w:val="17"/>
                <w:color w:val="auto"/>
              </w:rPr>
              <w:t>$</w:t>
            </w:r>
          </w:p>
        </w:tc>
        <w:tc>
          <w:tcPr>
            <w:tcW w:w="1200" w:type="dxa"/>
            <w:vAlign w:val="bottom"/>
          </w:tcPr>
          <w:p>
            <w:pPr>
              <w:jc w:val="right"/>
              <w:ind w:right="258"/>
              <w:spacing w:after="0" w:line="189" w:lineRule="exact"/>
              <w:rPr>
                <w:sz w:val="20"/>
                <w:szCs w:val="20"/>
                <w:color w:val="auto"/>
              </w:rPr>
            </w:pPr>
            <w:r>
              <w:rPr>
                <w:rFonts w:ascii="Arial" w:cs="Arial" w:eastAsia="Arial" w:hAnsi="Arial"/>
                <w:sz w:val="17"/>
                <w:szCs w:val="17"/>
                <w:color w:val="auto"/>
              </w:rPr>
              <w:t>105,035</w:t>
            </w:r>
          </w:p>
        </w:tc>
        <w:tc>
          <w:tcPr>
            <w:tcW w:w="1300" w:type="dxa"/>
            <w:vAlign w:val="bottom"/>
          </w:tcPr>
          <w:p>
            <w:pPr>
              <w:ind w:left="16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r>
      <w:tr>
        <w:trPr>
          <w:trHeight w:val="189"/>
        </w:trPr>
        <w:tc>
          <w:tcPr>
            <w:tcW w:w="6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Working capital</w:t>
            </w:r>
            <w:r>
              <w:rPr>
                <w:rFonts w:ascii="Arial" w:cs="Arial" w:eastAsia="Arial" w:hAnsi="Arial"/>
                <w:sz w:val="14"/>
                <w:szCs w:val="14"/>
                <w:color w:val="auto"/>
              </w:rPr>
              <w:t>(3)</w:t>
            </w:r>
          </w:p>
        </w:tc>
        <w:tc>
          <w:tcPr>
            <w:tcW w:w="980" w:type="dxa"/>
            <w:vAlign w:val="bottom"/>
            <w:shd w:val="clear" w:color="auto" w:fill="CCEEFF"/>
          </w:tcPr>
          <w:p>
            <w:pPr>
              <w:jc w:val="right"/>
              <w:ind w:right="156"/>
              <w:spacing w:after="0" w:line="189" w:lineRule="exact"/>
              <w:rPr>
                <w:sz w:val="20"/>
                <w:szCs w:val="20"/>
                <w:color w:val="auto"/>
              </w:rPr>
            </w:pPr>
            <w:r>
              <w:rPr>
                <w:rFonts w:ascii="Arial" w:cs="Arial" w:eastAsia="Arial" w:hAnsi="Arial"/>
                <w:sz w:val="17"/>
                <w:szCs w:val="17"/>
                <w:color w:val="auto"/>
              </w:rPr>
              <w:t>103,423</w:t>
            </w: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58"/>
              <w:spacing w:after="0" w:line="189" w:lineRule="exact"/>
              <w:rPr>
                <w:sz w:val="20"/>
                <w:szCs w:val="20"/>
                <w:color w:val="auto"/>
              </w:rPr>
            </w:pPr>
            <w:r>
              <w:rPr>
                <w:rFonts w:ascii="Arial" w:cs="Arial" w:eastAsia="Arial" w:hAnsi="Arial"/>
                <w:sz w:val="17"/>
                <w:szCs w:val="17"/>
                <w:color w:val="auto"/>
              </w:rPr>
              <w:t>103,423</w:t>
            </w: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636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980" w:type="dxa"/>
            <w:vAlign w:val="bottom"/>
          </w:tcPr>
          <w:p>
            <w:pPr>
              <w:jc w:val="right"/>
              <w:ind w:right="156"/>
              <w:spacing w:after="0" w:line="189" w:lineRule="exact"/>
              <w:rPr>
                <w:sz w:val="20"/>
                <w:szCs w:val="20"/>
                <w:color w:val="auto"/>
              </w:rPr>
            </w:pPr>
            <w:r>
              <w:rPr>
                <w:rFonts w:ascii="Arial" w:cs="Arial" w:eastAsia="Arial" w:hAnsi="Arial"/>
                <w:sz w:val="17"/>
                <w:szCs w:val="17"/>
                <w:color w:val="auto"/>
              </w:rPr>
              <w:t>108,399</w:t>
            </w:r>
          </w:p>
        </w:tc>
        <w:tc>
          <w:tcPr>
            <w:tcW w:w="420" w:type="dxa"/>
            <w:vAlign w:val="bottom"/>
          </w:tcPr>
          <w:p>
            <w:pPr>
              <w:spacing w:after="0"/>
              <w:rPr>
                <w:sz w:val="16"/>
                <w:szCs w:val="16"/>
                <w:color w:val="auto"/>
              </w:rPr>
            </w:pPr>
          </w:p>
        </w:tc>
        <w:tc>
          <w:tcPr>
            <w:tcW w:w="1200" w:type="dxa"/>
            <w:vAlign w:val="bottom"/>
          </w:tcPr>
          <w:p>
            <w:pPr>
              <w:jc w:val="right"/>
              <w:ind w:right="258"/>
              <w:spacing w:after="0" w:line="189" w:lineRule="exact"/>
              <w:rPr>
                <w:sz w:val="20"/>
                <w:szCs w:val="20"/>
                <w:color w:val="auto"/>
              </w:rPr>
            </w:pPr>
            <w:r>
              <w:rPr>
                <w:rFonts w:ascii="Arial" w:cs="Arial" w:eastAsia="Arial" w:hAnsi="Arial"/>
                <w:sz w:val="17"/>
                <w:szCs w:val="17"/>
                <w:color w:val="auto"/>
              </w:rPr>
              <w:t>108,399</w:t>
            </w: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980" w:type="dxa"/>
            <w:vAlign w:val="bottom"/>
            <w:shd w:val="clear" w:color="auto" w:fill="CCEEFF"/>
          </w:tcPr>
          <w:p>
            <w:pPr>
              <w:jc w:val="right"/>
              <w:ind w:right="156"/>
              <w:spacing w:after="0" w:line="189" w:lineRule="exact"/>
              <w:rPr>
                <w:sz w:val="20"/>
                <w:szCs w:val="20"/>
                <w:color w:val="auto"/>
              </w:rPr>
            </w:pPr>
            <w:r>
              <w:rPr>
                <w:rFonts w:ascii="Arial" w:cs="Arial" w:eastAsia="Arial" w:hAnsi="Arial"/>
                <w:sz w:val="17"/>
                <w:szCs w:val="17"/>
                <w:color w:val="auto"/>
              </w:rPr>
              <w:t>9,282</w:t>
            </w: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58"/>
              <w:spacing w:after="0" w:line="189" w:lineRule="exact"/>
              <w:rPr>
                <w:sz w:val="20"/>
                <w:szCs w:val="20"/>
                <w:color w:val="auto"/>
              </w:rPr>
            </w:pPr>
            <w:r>
              <w:rPr>
                <w:rFonts w:ascii="Arial" w:cs="Arial" w:eastAsia="Arial" w:hAnsi="Arial"/>
                <w:sz w:val="17"/>
                <w:szCs w:val="17"/>
                <w:color w:val="auto"/>
              </w:rPr>
              <w:t>8,835</w:t>
            </w: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6360" w:type="dxa"/>
            <w:vAlign w:val="bottom"/>
          </w:tcPr>
          <w:p>
            <w:pPr>
              <w:spacing w:after="0" w:line="189" w:lineRule="exact"/>
              <w:rPr>
                <w:sz w:val="20"/>
                <w:szCs w:val="20"/>
                <w:color w:val="auto"/>
              </w:rPr>
            </w:pPr>
            <w:r>
              <w:rPr>
                <w:rFonts w:ascii="Arial" w:cs="Arial" w:eastAsia="Arial" w:hAnsi="Arial"/>
                <w:sz w:val="17"/>
                <w:szCs w:val="17"/>
                <w:color w:val="auto"/>
              </w:rPr>
              <w:t>Convertible preferred shares</w:t>
            </w:r>
          </w:p>
        </w:tc>
        <w:tc>
          <w:tcPr>
            <w:tcW w:w="980" w:type="dxa"/>
            <w:vAlign w:val="bottom"/>
          </w:tcPr>
          <w:p>
            <w:pPr>
              <w:jc w:val="right"/>
              <w:ind w:right="156"/>
              <w:spacing w:after="0" w:line="189" w:lineRule="exact"/>
              <w:rPr>
                <w:sz w:val="20"/>
                <w:szCs w:val="20"/>
                <w:color w:val="auto"/>
              </w:rPr>
            </w:pPr>
            <w:r>
              <w:rPr>
                <w:rFonts w:ascii="Arial" w:cs="Arial" w:eastAsia="Arial" w:hAnsi="Arial"/>
                <w:sz w:val="17"/>
                <w:szCs w:val="17"/>
                <w:color w:val="auto"/>
              </w:rPr>
              <w:t>175,043</w:t>
            </w:r>
          </w:p>
        </w:tc>
        <w:tc>
          <w:tcPr>
            <w:tcW w:w="420" w:type="dxa"/>
            <w:vAlign w:val="bottom"/>
          </w:tcPr>
          <w:p>
            <w:pPr>
              <w:spacing w:after="0"/>
              <w:rPr>
                <w:sz w:val="16"/>
                <w:szCs w:val="16"/>
                <w:color w:val="auto"/>
              </w:rPr>
            </w:pPr>
          </w:p>
        </w:tc>
        <w:tc>
          <w:tcPr>
            <w:tcW w:w="1200" w:type="dxa"/>
            <w:vAlign w:val="bottom"/>
          </w:tcPr>
          <w:p>
            <w:pPr>
              <w:jc w:val="right"/>
              <w:ind w:right="258"/>
              <w:spacing w:after="0" w:line="189" w:lineRule="exact"/>
              <w:rPr>
                <w:sz w:val="20"/>
                <w:szCs w:val="20"/>
                <w:color w:val="auto"/>
              </w:rPr>
            </w:pPr>
            <w:r>
              <w:rPr>
                <w:rFonts w:ascii="Arial" w:cs="Arial" w:eastAsia="Arial" w:hAnsi="Arial"/>
                <w:sz w:val="17"/>
                <w:szCs w:val="17"/>
                <w:color w:val="auto"/>
              </w:rPr>
              <w:t>—</w:t>
            </w: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deficit</w:t>
            </w:r>
          </w:p>
        </w:tc>
        <w:tc>
          <w:tcPr>
            <w:tcW w:w="980" w:type="dxa"/>
            <w:vAlign w:val="bottom"/>
            <w:shd w:val="clear" w:color="auto" w:fill="CCEEFF"/>
          </w:tcPr>
          <w:p>
            <w:pPr>
              <w:jc w:val="right"/>
              <w:ind w:right="96"/>
              <w:spacing w:after="0" w:line="189" w:lineRule="exact"/>
              <w:rPr>
                <w:sz w:val="20"/>
                <w:szCs w:val="20"/>
                <w:color w:val="auto"/>
              </w:rPr>
            </w:pPr>
            <w:r>
              <w:rPr>
                <w:rFonts w:ascii="Arial" w:cs="Arial" w:eastAsia="Arial" w:hAnsi="Arial"/>
                <w:sz w:val="17"/>
                <w:szCs w:val="17"/>
                <w:color w:val="auto"/>
              </w:rPr>
              <w:t>(78,236)</w:t>
            </w: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98"/>
              <w:spacing w:after="0" w:line="189" w:lineRule="exact"/>
              <w:rPr>
                <w:sz w:val="20"/>
                <w:szCs w:val="20"/>
                <w:color w:val="auto"/>
              </w:rPr>
            </w:pPr>
            <w:r>
              <w:rPr>
                <w:rFonts w:ascii="Arial" w:cs="Arial" w:eastAsia="Arial" w:hAnsi="Arial"/>
                <w:sz w:val="17"/>
                <w:szCs w:val="17"/>
                <w:color w:val="auto"/>
              </w:rPr>
              <w:t>(92,968)</w:t>
            </w: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5"/>
        </w:trPr>
        <w:tc>
          <w:tcPr>
            <w:tcW w:w="6360" w:type="dxa"/>
            <w:vAlign w:val="bottom"/>
          </w:tcPr>
          <w:p>
            <w:pPr>
              <w:spacing w:after="0"/>
              <w:rPr>
                <w:sz w:val="20"/>
                <w:szCs w:val="20"/>
                <w:color w:val="auto"/>
              </w:rPr>
            </w:pPr>
            <w:r>
              <w:rPr>
                <w:rFonts w:ascii="Arial" w:cs="Arial" w:eastAsia="Arial" w:hAnsi="Arial"/>
                <w:sz w:val="17"/>
                <w:szCs w:val="17"/>
                <w:color w:val="auto"/>
              </w:rPr>
              <w:t>Total stockholders’ equity (deficit)</w:t>
            </w:r>
          </w:p>
        </w:tc>
        <w:tc>
          <w:tcPr>
            <w:tcW w:w="980" w:type="dxa"/>
            <w:vAlign w:val="bottom"/>
          </w:tcPr>
          <w:p>
            <w:pPr>
              <w:jc w:val="right"/>
              <w:ind w:right="96"/>
              <w:spacing w:after="0"/>
              <w:rPr>
                <w:sz w:val="20"/>
                <w:szCs w:val="20"/>
                <w:color w:val="auto"/>
              </w:rPr>
            </w:pPr>
            <w:r>
              <w:rPr>
                <w:rFonts w:ascii="Arial" w:cs="Arial" w:eastAsia="Arial" w:hAnsi="Arial"/>
                <w:sz w:val="17"/>
                <w:szCs w:val="17"/>
                <w:color w:val="auto"/>
              </w:rPr>
              <w:t>(75,926)</w:t>
            </w:r>
          </w:p>
        </w:tc>
        <w:tc>
          <w:tcPr>
            <w:tcW w:w="420" w:type="dxa"/>
            <w:vAlign w:val="bottom"/>
          </w:tcPr>
          <w:p>
            <w:pPr>
              <w:spacing w:after="0"/>
              <w:rPr>
                <w:sz w:val="17"/>
                <w:szCs w:val="17"/>
                <w:color w:val="auto"/>
              </w:rPr>
            </w:pPr>
          </w:p>
        </w:tc>
        <w:tc>
          <w:tcPr>
            <w:tcW w:w="1200" w:type="dxa"/>
            <w:vAlign w:val="bottom"/>
          </w:tcPr>
          <w:p>
            <w:pPr>
              <w:jc w:val="right"/>
              <w:ind w:right="258"/>
              <w:spacing w:after="0"/>
              <w:rPr>
                <w:sz w:val="20"/>
                <w:szCs w:val="20"/>
                <w:color w:val="auto"/>
              </w:rPr>
            </w:pPr>
            <w:r>
              <w:rPr>
                <w:rFonts w:ascii="Arial" w:cs="Arial" w:eastAsia="Arial" w:hAnsi="Arial"/>
                <w:sz w:val="17"/>
                <w:szCs w:val="17"/>
                <w:color w:val="auto"/>
              </w:rPr>
              <w:t>99,564</w:t>
            </w: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59" w:lineRule="exact"/>
        <w:rPr>
          <w:sz w:val="20"/>
          <w:szCs w:val="20"/>
          <w:color w:val="auto"/>
        </w:rPr>
      </w:pPr>
    </w:p>
    <w:p>
      <w:pPr>
        <w:ind w:left="1120" w:hanging="268"/>
        <w:spacing w:after="0" w:line="247" w:lineRule="auto"/>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pro forma consolidated balance sheet data in the table above reflects the conversion of our outstanding shares of our convertible preferred stock and cumulative dividends into 154,917,050 shares of our common stock, the resulting reclassification of the convertible preferred stock immediately prior to the completion of this offering and the reclassification of our convertible preferred stock warrant liability to additional paid-in capital immediately prior to the completion of this offering.</w:t>
      </w:r>
    </w:p>
    <w:p>
      <w:pPr>
        <w:spacing w:after="0" w:line="25" w:lineRule="exact"/>
        <w:rPr>
          <w:rFonts w:ascii="Arial" w:cs="Arial" w:eastAsia="Arial" w:hAnsi="Arial"/>
          <w:sz w:val="14"/>
          <w:szCs w:val="14"/>
          <w:color w:val="auto"/>
        </w:rPr>
      </w:pPr>
    </w:p>
    <w:p>
      <w:pPr>
        <w:ind w:left="1120" w:hanging="268"/>
        <w:spacing w:after="0"/>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pro forma as adjusted consolidated balance sheet data in the table above reflects the pro forma adjustments described in footnote (1) above plus the</w:t>
      </w:r>
    </w:p>
    <w:p>
      <w:pPr>
        <w:spacing w:after="0" w:line="1" w:lineRule="exact"/>
        <w:rPr>
          <w:sz w:val="20"/>
          <w:szCs w:val="20"/>
          <w:color w:val="auto"/>
        </w:rPr>
      </w:pPr>
    </w:p>
    <w:p>
      <w:pPr>
        <w:ind w:left="1120" w:right="220"/>
        <w:spacing w:after="0" w:line="241" w:lineRule="auto"/>
        <w:rPr>
          <w:sz w:val="20"/>
          <w:szCs w:val="20"/>
          <w:color w:val="auto"/>
        </w:rPr>
      </w:pPr>
      <w:r>
        <w:rPr>
          <w:rFonts w:ascii="Arial" w:cs="Arial" w:eastAsia="Arial" w:hAnsi="Arial"/>
          <w:sz w:val="14"/>
          <w:szCs w:val="14"/>
          <w:color w:val="auto"/>
        </w:rPr>
        <w:t>sale and issuance by us of shares of our common stock in this offering, based upon the assumed initial public offering price of $ per share, which is the midpoint of the price range set forth on the cover page of this prospectus, after deducting the underwriting discounts and commissions and</w:t>
      </w:r>
    </w:p>
    <w:p>
      <w:pPr>
        <w:spacing w:after="0" w:line="1" w:lineRule="exact"/>
        <w:rPr>
          <w:sz w:val="20"/>
          <w:szCs w:val="20"/>
          <w:color w:val="auto"/>
        </w:rPr>
      </w:pPr>
    </w:p>
    <w:p>
      <w:pPr>
        <w:ind w:left="1120" w:right="260"/>
        <w:spacing w:after="0" w:line="241" w:lineRule="auto"/>
        <w:rPr>
          <w:sz w:val="20"/>
          <w:szCs w:val="20"/>
          <w:color w:val="auto"/>
        </w:rPr>
      </w:pPr>
      <w:r>
        <w:rPr>
          <w:rFonts w:ascii="Arial" w:cs="Arial" w:eastAsia="Arial" w:hAnsi="Arial"/>
          <w:sz w:val="14"/>
          <w:szCs w:val="14"/>
          <w:color w:val="auto"/>
        </w:rPr>
        <w:t>estimated offering expenses payable by us. Each $1.00 increase or decrease in the assumed initial public offering price of $ per share would increase or decrease, as applicable, the pro forma as adjusted amount of each of cash and cash equivalents, working capital, total assets and total</w:t>
      </w:r>
    </w:p>
    <w:p>
      <w:pPr>
        <w:spacing w:after="0" w:line="1" w:lineRule="exact"/>
        <w:rPr>
          <w:sz w:val="20"/>
          <w:szCs w:val="20"/>
          <w:color w:val="auto"/>
        </w:rPr>
      </w:pPr>
    </w:p>
    <w:p>
      <w:pPr>
        <w:jc w:val="both"/>
        <w:ind w:left="1120" w:right="40"/>
        <w:spacing w:after="0" w:line="241" w:lineRule="auto"/>
        <w:rPr>
          <w:sz w:val="20"/>
          <w:szCs w:val="20"/>
          <w:color w:val="auto"/>
        </w:rPr>
      </w:pPr>
      <w:r>
        <w:rPr>
          <w:rFonts w:ascii="Arial" w:cs="Arial" w:eastAsia="Arial" w:hAnsi="Arial"/>
          <w:sz w:val="14"/>
          <w:szCs w:val="14"/>
          <w:color w:val="auto"/>
        </w:rPr>
        <w:t>stockholders’ equity (deficit) by approximately $ million, assuming that the number of shares offered by us, as set forth on the cover page of this prospectus, remains the same and after deducting the underwriting discounts and commissions. Similarly, each increase or decrease of 1.0 million shares in the number of shares offered by us would increase or decrease, as applicable, each of cash and cash equivalents, working capital, total assets and</w:t>
      </w:r>
    </w:p>
    <w:p>
      <w:pPr>
        <w:spacing w:after="0" w:line="1" w:lineRule="exact"/>
        <w:rPr>
          <w:sz w:val="20"/>
          <w:szCs w:val="20"/>
          <w:color w:val="auto"/>
        </w:rPr>
      </w:pPr>
    </w:p>
    <w:p>
      <w:pPr>
        <w:jc w:val="both"/>
        <w:ind w:left="1120" w:right="20"/>
        <w:spacing w:after="0" w:line="249" w:lineRule="auto"/>
        <w:rPr>
          <w:sz w:val="20"/>
          <w:szCs w:val="20"/>
          <w:color w:val="auto"/>
        </w:rPr>
      </w:pPr>
      <w:r>
        <w:rPr>
          <w:rFonts w:ascii="Arial" w:cs="Arial" w:eastAsia="Arial" w:hAnsi="Arial"/>
          <w:sz w:val="14"/>
          <w:szCs w:val="14"/>
          <w:color w:val="auto"/>
        </w:rPr>
        <w:t>total stockholders’ equity (deficit) by approximately $ million, assuming the assumed initial public offering price of $ per share remains the same, and after deducting the underwriting discounts and commissions. The pro forma as adjusted information discussed above is illustrative only and will be adjusted based on the actual public offering price and other terms of this offering determined at pricing.</w:t>
      </w:r>
    </w:p>
    <w:p>
      <w:pPr>
        <w:spacing w:after="0" w:line="25" w:lineRule="exact"/>
        <w:rPr>
          <w:sz w:val="20"/>
          <w:szCs w:val="20"/>
          <w:color w:val="auto"/>
        </w:rPr>
      </w:pPr>
    </w:p>
    <w:p>
      <w:pPr>
        <w:ind w:left="1120" w:right="440" w:hanging="268"/>
        <w:spacing w:after="0" w:line="258" w:lineRule="auto"/>
        <w:tabs>
          <w:tab w:leader="none" w:pos="1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consolidated financial statements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left="120" w:right="160"/>
        <w:spacing w:after="0" w:line="237"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the section titled “Management’s Discussion and Analysis of Financial Condition and Results of Operations” in this prospectus,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73" w:lineRule="exact"/>
        <w:rPr>
          <w:sz w:val="20"/>
          <w:szCs w:val="20"/>
          <w:color w:val="auto"/>
        </w:rPr>
      </w:pPr>
    </w:p>
    <w:p>
      <w:pPr>
        <w:ind w:left="120" w:right="880"/>
        <w:spacing w:after="0" w:line="267" w:lineRule="auto"/>
        <w:rPr>
          <w:sz w:val="20"/>
          <w:szCs w:val="20"/>
          <w:color w:val="auto"/>
        </w:rPr>
      </w:pPr>
      <w:r>
        <w:rPr>
          <w:rFonts w:ascii="Arial" w:cs="Arial" w:eastAsia="Arial" w:hAnsi="Arial"/>
          <w:sz w:val="17"/>
          <w:szCs w:val="17"/>
          <w:b w:val="1"/>
          <w:bCs w:val="1"/>
          <w:i w:val="1"/>
          <w:iCs w:val="1"/>
          <w:color w:val="auto"/>
        </w:rPr>
        <w:t>We have incurred significant net losses since our inception, and we expect to continue to incur significant net losses for the foreseeable future.</w:t>
      </w:r>
    </w:p>
    <w:p>
      <w:pPr>
        <w:spacing w:after="0" w:line="125"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We have incurred significant net losses in each reporting period since our inception, have not generated any revenue to date and have financed our operations principally through private placements of our convertible preferred stock. Our net loss was $19.2 million for the year ended December 31, 2019, and $5.5 million for the three months ended March 31, 2020. As of March 31, 2020, we had an accumulated deficit of $78.2 million. We have devoted substantially all of our resources and efforts to research and development. Our lead product candidate, ALX148,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14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30"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4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ALX148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U.S. Food and Drug Administration, or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Commencing upon the closing of this offering, we also expect to incur additional costs associated with operating as a public company.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2" w:lineRule="auto"/>
        <w:rPr>
          <w:sz w:val="20"/>
          <w:szCs w:val="20"/>
          <w:color w:val="auto"/>
        </w:rPr>
      </w:pPr>
      <w:r>
        <w:rPr>
          <w:rFonts w:ascii="Arial" w:cs="Arial" w:eastAsia="Arial" w:hAnsi="Arial"/>
          <w:sz w:val="17"/>
          <w:szCs w:val="17"/>
          <w:color w:val="auto"/>
        </w:rPr>
        <w:t>As of March 31, 2020, we had working capital of $103.4 million and cash and cash equivalents of $105.0 million. Based on our current operating plan, we believe that the proceeds from this offering, together with our existing cash and cash equivalents, will be sufficient to fund our operations</w:t>
      </w:r>
    </w:p>
    <w:p>
      <w:pPr>
        <w:ind w:left="120" w:right="60"/>
        <w:spacing w:after="0" w:line="236" w:lineRule="auto"/>
        <w:rPr>
          <w:sz w:val="20"/>
          <w:szCs w:val="20"/>
          <w:color w:val="auto"/>
        </w:rPr>
      </w:pPr>
      <w:r>
        <w:rPr>
          <w:rFonts w:ascii="Arial" w:cs="Arial" w:eastAsia="Arial" w:hAnsi="Arial"/>
          <w:sz w:val="17"/>
          <w:szCs w:val="17"/>
          <w:color w:val="auto"/>
        </w:rPr>
        <w:t>for at least the next months. Our estimate as to how long we expect the net proceeds from this offering, together with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49"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We plan to use the net proceeds from this offering to advance the clinical development of ALX148, as well as for working capital and other general corporate purposes. This may include additional research, hiring additional personnel, capital expenditures, the potential acquisition of businesses or assets and the costs of operating as a public company, as well as for working capital and other general corporate purposes. Advancing the development of ALX148 and our other programs will require a significant amount of capital. The net proceeds from this offering, together with our cash, may not be sufficient to fund all of the actions that are necessary to complete the development of ALX148 or our other programs.</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In addition, our Loan and Security Agreement, or the Loan Agreement, with Silicon Valley Bank, or SVB, and WestRiver Innovation Lending Fund VIII, LP, or WestRiver, and collectively, the Lenders, restricts our ability to incur additional indebtedness without the consent of the Lenders.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54"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27"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a Phase 1 clinical trial of ALX148.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w:t>
      </w:r>
    </w:p>
    <w:p>
      <w:pPr>
        <w:spacing w:after="0" w:line="14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125"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190" w:lineRule="exact"/>
        <w:rPr>
          <w:sz w:val="20"/>
          <w:szCs w:val="20"/>
          <w:color w:val="auto"/>
        </w:rPr>
      </w:pPr>
    </w:p>
    <w:p>
      <w:pPr>
        <w:ind w:left="980" w:right="18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successful and timely completion of preclinical and clinical development of our lead product candidate, ALX148, and our other future product candidates;</w:t>
      </w:r>
    </w:p>
    <w:p>
      <w:pPr>
        <w:spacing w:after="0" w:line="22" w:lineRule="exact"/>
        <w:rPr>
          <w:rFonts w:ascii="MS PGothic" w:cs="MS PGothic" w:eastAsia="MS PGothic" w:hAnsi="MS PGothic"/>
          <w:sz w:val="13"/>
          <w:szCs w:val="13"/>
          <w:color w:val="auto"/>
        </w:rPr>
      </w:pPr>
    </w:p>
    <w:p>
      <w:pPr>
        <w:ind w:left="980" w:right="102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establishing and maintaining relationships with contract research organizations, or CROs, and clinical sites for the clinical development of ALX148 and our other future product candidates;</w:t>
      </w:r>
    </w:p>
    <w:p>
      <w:pPr>
        <w:spacing w:after="0" w:line="22" w:lineRule="exact"/>
        <w:rPr>
          <w:rFonts w:ascii="MS PGothic" w:cs="MS PGothic" w:eastAsia="MS PGothic" w:hAnsi="MS PGothic"/>
          <w:sz w:val="13"/>
          <w:szCs w:val="13"/>
          <w:color w:val="auto"/>
        </w:rPr>
      </w:pPr>
    </w:p>
    <w:p>
      <w:pPr>
        <w:ind w:left="980" w:right="50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timely receipt of marketing approvals from applicable regulatory authorities for any product candidates for which we successfully complete clinical development;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extent of any required post-marketing approval commitments to applicable regulatory authorities;</w:t>
      </w:r>
    </w:p>
    <w:p>
      <w:pPr>
        <w:spacing w:after="0" w:line="34"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developing an efficient and scalable manufacturing process for ALX148 and any future product candidates, including establishing and maintaining commercially viable supply and manufacturing relationships with third parties to obtain finished products that are appropriately packaged for sale;</w:t>
      </w:r>
    </w:p>
    <w:p>
      <w:pPr>
        <w:spacing w:after="0" w:line="25"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25" w:lineRule="exact"/>
        <w:rPr>
          <w:rFonts w:ascii="MS PGothic" w:cs="MS PGothic" w:eastAsia="MS PGothic" w:hAnsi="MS PGothic"/>
          <w:sz w:val="13"/>
          <w:szCs w:val="13"/>
          <w:color w:val="auto"/>
        </w:rPr>
      </w:pPr>
    </w:p>
    <w:p>
      <w:pPr>
        <w:ind w:left="980" w:right="92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successful commercial launch following any marketing approval, including the development of a commercial infrastructure, whether in-house or with one or more collaborators;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a continued acceptable safety profile following any marketing approval;</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commercial acceptance of ALX148 and any future product candidates as viable treatment options by patients, the medical community and third-party payors;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obtaining favorable coverage and adequate reimbursement by third-party payors for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addressing any competing therapies and technological and market developments;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identifying, assessing, acquiring and developing new product candidates;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obtaining, maintaining and expanding patent protection, trade secret protection and regulatory exclusivity, both in the United States and internationally;</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protecting our rights in our intellectual property portfolio, including our licensed intellectual property;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defending against third-party interference or infringement claims, if any;</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entering into, on favorable terms, any collaboration, licensing or other arrangements that may be necessary or desirable to develop, manufacture or commercialize our product candidates;</w:t>
      </w:r>
    </w:p>
    <w:p>
      <w:pPr>
        <w:spacing w:after="0" w:line="22"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negotiating favorable terms in any collaboration, licensing or other arrangements that may be necessary to develop, manufacture or commercialize our product candidate;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attracting, hiring and retaining qualified personnel.</w:t>
      </w:r>
    </w:p>
    <w:p>
      <w:pPr>
        <w:spacing w:after="0" w:line="156"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73" w:lineRule="exact"/>
        <w:rPr>
          <w:sz w:val="20"/>
          <w:szCs w:val="20"/>
          <w:color w:val="auto"/>
        </w:rPr>
      </w:pPr>
    </w:p>
    <w:p>
      <w:pPr>
        <w:ind w:left="120" w:right="20"/>
        <w:spacing w:after="0" w:line="249" w:lineRule="auto"/>
        <w:rPr>
          <w:sz w:val="20"/>
          <w:szCs w:val="20"/>
          <w:color w:val="auto"/>
        </w:rPr>
      </w:pPr>
      <w:r>
        <w:rPr>
          <w:rFonts w:ascii="Arial" w:cs="Arial" w:eastAsia="Arial" w:hAnsi="Arial"/>
          <w:sz w:val="17"/>
          <w:szCs w:val="17"/>
          <w:b w:val="1"/>
          <w:bCs w:val="1"/>
          <w:i w:val="1"/>
          <w:iCs w:val="1"/>
          <w:color w:val="auto"/>
        </w:rPr>
        <w:t>We are substantially dependent on the success of our lead product candidate, ALX148, which is in clinical development and which has not completed a pivotal trial. If we do not obtain regulatory approval for and successfully commercialize ALX148 in one or more indications, or we experience significant delays in doing so, we may never generate any revenue or become profitable.</w:t>
      </w:r>
    </w:p>
    <w:p>
      <w:pPr>
        <w:spacing w:after="0" w:line="141"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ALX148, in our ongoing clinical trials. As a result, our business currently depends heavily on the successful development, regulatory approval and, if approved, commercialization of ALX148 in one or more of these indications, such as myelodysplastic syndromes, or MDS, acute myeloid leukemia, or AML, head and neck squamous cell carcinoma, or HNSCC, or gastric/gastroesophageal junction, or GEJ, carcinoma. We cannot be certain that ALX148 will receive regulatory approval or will be successfully commercialized even if it receives regulatory approval. The research, testing, manufacturing, safety, efficacy and potency, labeling, approval, sale, marketing and distribution of ALX148 is, and will remain, subject to comprehensive regulation by the FDA and similar foreign regulatory authorities. Our failure to timely complete clinical trials, obtain regulatory approval or, if approved, commercialize ALX148 or any of our future product candidates, would materially harm our business, financial condition and results of operations. We are not permitted to market or promote ALX148, or any other product candidate, before we receive marketing approval from the FDA and comparable foreign regulatory authorities, and we may never receive such marketing approvals. If we do not receive marketing approvals for ALX148, we may not be able to continue our operations.</w:t>
      </w:r>
    </w:p>
    <w:p>
      <w:pPr>
        <w:spacing w:after="0" w:line="133" w:lineRule="exact"/>
        <w:rPr>
          <w:sz w:val="20"/>
          <w:szCs w:val="20"/>
          <w:color w:val="auto"/>
        </w:rPr>
      </w:pPr>
    </w:p>
    <w:p>
      <w:pPr>
        <w:ind w:left="120" w:right="60"/>
        <w:spacing w:after="0" w:line="244" w:lineRule="auto"/>
        <w:rPr>
          <w:sz w:val="20"/>
          <w:szCs w:val="20"/>
          <w:color w:val="auto"/>
        </w:rPr>
      </w:pPr>
      <w:r>
        <w:rPr>
          <w:rFonts w:ascii="Arial" w:cs="Arial" w:eastAsia="Arial" w:hAnsi="Arial"/>
          <w:sz w:val="17"/>
          <w:szCs w:val="17"/>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14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ALX148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28" w:lineRule="exact"/>
        <w:rPr>
          <w:sz w:val="20"/>
          <w:szCs w:val="20"/>
          <w:color w:val="auto"/>
        </w:rPr>
      </w:pPr>
    </w:p>
    <w:p>
      <w:pPr>
        <w:ind w:left="120" w:right="180"/>
        <w:spacing w:after="0" w:line="267" w:lineRule="auto"/>
        <w:rPr>
          <w:sz w:val="20"/>
          <w:szCs w:val="20"/>
          <w:color w:val="auto"/>
        </w:rPr>
      </w:pPr>
      <w:r>
        <w:rPr>
          <w:rFonts w:ascii="Arial" w:cs="Arial" w:eastAsia="Arial" w:hAnsi="Arial"/>
          <w:sz w:val="17"/>
          <w:szCs w:val="17"/>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125"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preclinical development and then extensive clinical trials to demonstrate their safety, purity and efficacy and potency. Clinical trials are expensive and difficult to design and implement. Clinical trials can take many years</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15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do not know whether our future clinical trials will begin on time or enroll patients on time or whether our ongoing and/or future clinical trials will be completed on schedule or at all. Clinical trials can be delayed for a variety of reasons, including delays related to:</w:t>
      </w:r>
    </w:p>
    <w:p>
      <w:pPr>
        <w:spacing w:after="0" w:line="185" w:lineRule="exact"/>
        <w:rPr>
          <w:sz w:val="20"/>
          <w:szCs w:val="20"/>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obtaining approval to commence a clinical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reaching agreement on acceptable terms with prospective CROs and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obtaining institutional review board approval at each clinical trial site;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adding necessary new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recruiting suitable patients to participate in a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failing in having clinical trial sites or patients comply with trial protocols;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suffering clinical trial sites or patients dropping out of trials;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manufacturing sufficient quantities of product candidate for use in clinical trials.</w:t>
      </w:r>
    </w:p>
    <w:p>
      <w:pPr>
        <w:spacing w:after="0" w:line="156"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We may experience numerous unforeseen events during, or as a result of, clinical trials that could delay or prevent receipt of marketing approval or our ability to commercialize our product candidates, including:</w:t>
      </w:r>
    </w:p>
    <w:p>
      <w:pPr>
        <w:spacing w:after="0" w:line="185" w:lineRule="exact"/>
        <w:rPr>
          <w:sz w:val="20"/>
          <w:szCs w:val="20"/>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receipt of feedback from regulatory authorities that requires us to modify the design of our clinical trials;</w:t>
      </w:r>
    </w:p>
    <w:p>
      <w:pPr>
        <w:spacing w:after="0" w:line="34" w:lineRule="exact"/>
        <w:rPr>
          <w:rFonts w:ascii="MS PGothic" w:cs="MS PGothic" w:eastAsia="MS PGothic" w:hAnsi="MS PGothic"/>
          <w:sz w:val="13"/>
          <w:szCs w:val="13"/>
          <w:color w:val="auto"/>
        </w:rPr>
      </w:pPr>
    </w:p>
    <w:p>
      <w:pPr>
        <w:ind w:left="980" w:right="900" w:hanging="432"/>
        <w:spacing w:after="0" w:line="24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negative or inconclusive clinical trial results that may require us to conduct additional clinical trials or abandon certain drug development programs;</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number of patients required for clinical trials being larger than anticipated, enrollment in these clinical trials being slower than anticipated or subjects dropping out of these clinical trials at a higher rate than anticipated;</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delays in clinical trials due to outbreaks or public health crises, such as the COVID-19 pandemic, that impact both trial site operations and patient selection;</w:t>
      </w:r>
    </w:p>
    <w:p>
      <w:pPr>
        <w:spacing w:after="0" w:line="22"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third-party contractors failing to comply with regulatory requirements or meet their contractual obligations to us in a timely manner, or at all;</w:t>
      </w:r>
    </w:p>
    <w:p>
      <w:pPr>
        <w:spacing w:after="0" w:line="22" w:lineRule="exact"/>
        <w:rPr>
          <w:rFonts w:ascii="MS PGothic" w:cs="MS PGothic" w:eastAsia="MS PGothic" w:hAnsi="MS PGothic"/>
          <w:sz w:val="13"/>
          <w:szCs w:val="13"/>
          <w:color w:val="auto"/>
        </w:rPr>
      </w:pPr>
    </w:p>
    <w:p>
      <w:pPr>
        <w:ind w:left="980" w:right="500" w:hanging="432"/>
        <w:spacing w:after="0" w:line="24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cost of clinical trials of our product candidates are greater than anticipated;</w:t>
      </w:r>
    </w:p>
    <w:p>
      <w:pPr>
        <w:spacing w:after="0" w:line="34"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supply or quality of our product candidates or other materials necessary to conduct clinical trials of our product candidates being insufficient or inadequate;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regulators revising the requirements for approving our product candidates.</w:t>
      </w:r>
    </w:p>
    <w:p>
      <w:pPr>
        <w:spacing w:after="0" w:line="156"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147" w:lineRule="exact"/>
        <w:rPr>
          <w:sz w:val="20"/>
          <w:szCs w:val="20"/>
          <w:color w:val="auto"/>
        </w:rPr>
      </w:pPr>
    </w:p>
    <w:p>
      <w:pPr>
        <w:ind w:left="120" w:right="540"/>
        <w:spacing w:after="0" w:line="243" w:lineRule="auto"/>
        <w:rPr>
          <w:sz w:val="20"/>
          <w:szCs w:val="20"/>
          <w:color w:val="auto"/>
        </w:rPr>
      </w:pPr>
      <w:r>
        <w:rPr>
          <w:rFonts w:ascii="Arial" w:cs="Arial" w:eastAsia="Arial" w:hAnsi="Arial"/>
          <w:sz w:val="17"/>
          <w:szCs w:val="17"/>
          <w:color w:val="auto"/>
        </w:rPr>
        <w:t>We do not know whether any clinical trials we may conduct will demonstrate consistent or adequate safety, purity and efficacy and potency sufficient to obtain marketing approval or our product candidates or to market our drugs after any such approval.</w:t>
      </w:r>
    </w:p>
    <w:p>
      <w:pPr>
        <w:spacing w:after="0" w:line="124" w:lineRule="exact"/>
        <w:rPr>
          <w:sz w:val="20"/>
          <w:szCs w:val="20"/>
          <w:color w:val="auto"/>
        </w:rPr>
      </w:pPr>
    </w:p>
    <w:p>
      <w:pPr>
        <w:ind w:left="120" w:right="440"/>
        <w:spacing w:after="0" w:line="267"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clinical trials and/or retention of patients in clinical trials, our regulatory submissions or receipt of necessary marketing approvals could be delayed or prevented.</w:t>
      </w:r>
    </w:p>
    <w:p>
      <w:pPr>
        <w:spacing w:after="0" w:line="125"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comparable</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international regulatory authorities. Patient enrollment is a significant factor in the timing of clinical trials. In particular, because certain of our clinical trials of ALX148 are focused on indications with small patient populations, our ability to enroll eligible patients may be limited or may result in slower enrollment than we anticipate. Patient enrollment may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may also be affected by other factors, including:</w:t>
      </w:r>
    </w:p>
    <w:p>
      <w:pPr>
        <w:spacing w:after="0" w:line="190" w:lineRule="exact"/>
        <w:rPr>
          <w:sz w:val="20"/>
          <w:szCs w:val="20"/>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size and nature of the patient population;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severity of the disease under investigation;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availability and efficacy or potency of approved drugs for the disease under investigation;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patient eligibility criteria for the trial in question;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perceived risks and benefits of the product candidate under study;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efforts to facilitate timely enrollment in clinical trials by us and the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patient referral practices of physicians;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ability to monitor patients adequately during and after treatment;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proximity of clinical trial sites to prospective patients;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risk of patients enrolled in clinical trials dropping out before completion; and</w:t>
      </w:r>
    </w:p>
    <w:p>
      <w:pPr>
        <w:spacing w:after="0" w:line="34" w:lineRule="exact"/>
        <w:rPr>
          <w:rFonts w:ascii="MS PGothic" w:cs="MS PGothic" w:eastAsia="MS PGothic" w:hAnsi="MS PGothic"/>
          <w:sz w:val="13"/>
          <w:szCs w:val="13"/>
          <w:color w:val="auto"/>
        </w:rPr>
      </w:pPr>
    </w:p>
    <w:p>
      <w:pPr>
        <w:ind w:left="980" w:right="60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inability or delay in enrollment of patients due to a variety of reasons, including outbreaks and public health crises, such as the COVID-19 pandemic.</w:t>
      </w:r>
    </w:p>
    <w:p>
      <w:pPr>
        <w:spacing w:after="0" w:line="144"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7"/>
          <w:szCs w:val="17"/>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127"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40"/>
        <w:spacing w:after="0" w:line="249" w:lineRule="auto"/>
        <w:rPr>
          <w:sz w:val="20"/>
          <w:szCs w:val="20"/>
          <w:color w:val="auto"/>
        </w:rPr>
      </w:pPr>
      <w:r>
        <w:rPr>
          <w:rFonts w:ascii="Arial" w:cs="Arial" w:eastAsia="Arial" w:hAnsi="Arial"/>
          <w:sz w:val="17"/>
          <w:szCs w:val="17"/>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1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ALX148 and any of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occurred across each of the trial cohorts in our ALX148 combination clinical trials with pembrolizumab, trastuzumab and rituximab in a heavily pre-treated group of subjects who are typical participants in early stage cancer trials and are often hematologically fragile at baseline. Subjects in our ALX148 combination clinical trials experienced a number of treatment-related adverse events that were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patient recruitment or the ability of enrolled subjects to complete the trial or result in potential product liability claims. Any adverse events as a result of ALX148 or any of our future product candidates, including in combination therapy, may prevent us from achieving or maintaining market acceptance of the affected product candidate and may harm our business, financial condition and prospects significantly.</w:t>
      </w:r>
    </w:p>
    <w:p>
      <w:pPr>
        <w:spacing w:after="0" w:line="132" w:lineRule="exact"/>
        <w:rPr>
          <w:sz w:val="20"/>
          <w:szCs w:val="20"/>
          <w:color w:val="auto"/>
        </w:rPr>
      </w:pPr>
    </w:p>
    <w:p>
      <w:pPr>
        <w:ind w:left="120" w:right="560"/>
        <w:spacing w:after="0" w:line="267"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products before or more successfully than we do.</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5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Arch Therapeutics, Bristol Myers Squibb, Gilead Sciences (through its recent acquisition of Forty Seven), I-Mab, Novimmune, OSE Immunotherapeutics, Seattle Genetics, Surface Oncology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ALX148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148"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131"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b w:val="1"/>
          <w:bCs w:val="1"/>
          <w:i w:val="1"/>
          <w:iCs w:val="1"/>
          <w:color w:val="auto"/>
        </w:rPr>
        <w:t>Even if our product candidates receive regulatory approval, they will be subject to significant post-marketing regulatory requirements and oversight.</w:t>
      </w:r>
    </w:p>
    <w:p>
      <w:pPr>
        <w:spacing w:after="0" w:line="125"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Arial" w:cs="Arial" w:eastAsia="Arial" w:hAnsi="Arial"/>
          <w:sz w:val="17"/>
          <w:szCs w:val="17"/>
          <w:i w:val="1"/>
          <w:iCs w:val="1"/>
          <w:color w:val="auto"/>
        </w:rPr>
        <w:t>e.g.</w:t>
      </w:r>
      <w:r>
        <w:rPr>
          <w:rFonts w:ascii="Arial" w:cs="Arial" w:eastAsia="Arial" w:hAnsi="Arial"/>
          <w:sz w:val="17"/>
          <w:szCs w:val="17"/>
          <w:color w:val="auto"/>
        </w:rPr>
        <w:t>,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148"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p>
    <w:p>
      <w:pPr>
        <w:spacing w:after="0" w:line="191" w:lineRule="exact"/>
        <w:rPr>
          <w:sz w:val="20"/>
          <w:szCs w:val="20"/>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delays in or the rejection of product approvals;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restrictions on our ability to conduct clinical trials, including full or partial clinical holds on ongoing or planned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restrictions on the products, manufacturers or manufacturing process;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warning or untitled letters;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civil and criminal penalties;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injunctions;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suspension or withdrawal of regulatory approvals;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product seizures, detentions or import bans;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voluntary or mandatory product recalls and publicity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total or partial suspension of production;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imposition of restrictions on operations, including costly new manufacturing requirements.</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occurrence of any of these sanctions, enforcement actions, or penalties described above may inhibit our ability to commercialize our product candidates, even if approved, and generate revenue.</w:t>
      </w:r>
    </w:p>
    <w:p>
      <w:pPr>
        <w:spacing w:after="0" w:line="124" w:lineRule="exact"/>
        <w:rPr>
          <w:sz w:val="20"/>
          <w:szCs w:val="20"/>
          <w:color w:val="auto"/>
        </w:rPr>
      </w:pPr>
    </w:p>
    <w:p>
      <w:pPr>
        <w:jc w:val="both"/>
        <w:ind w:left="120" w:right="100"/>
        <w:spacing w:after="0" w:line="249" w:lineRule="auto"/>
        <w:rPr>
          <w:sz w:val="20"/>
          <w:szCs w:val="20"/>
          <w:color w:val="auto"/>
        </w:rPr>
      </w:pPr>
      <w:r>
        <w:rPr>
          <w:rFonts w:ascii="Arial" w:cs="Arial" w:eastAsia="Arial" w:hAnsi="Arial"/>
          <w:sz w:val="17"/>
          <w:szCs w:val="17"/>
          <w:b w:val="1"/>
          <w:bCs w:val="1"/>
          <w:i w:val="1"/>
          <w:iCs w:val="1"/>
          <w:color w:val="auto"/>
        </w:rPr>
        <w:t>Following this offering, we will rely on Tallac Therapeutics, a third-party service provider, to conduct substantially all of our preclinical research activities. If Tallac Therapeutics does not successfully carry out its contractual duties or meet expected deadlines, there may be disruptions or delays to our development pipeline and our business could be substantially harmed.</w:t>
      </w:r>
    </w:p>
    <w:p>
      <w:pPr>
        <w:spacing w:after="0" w:line="1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Following this offering, we will not have the ability to independently conduct our preclinical research activities as we will rely on a third-party service provider to conduct all of our preclinical research activities. Effective as of July 1, 2020, we will transfer all of our preclinical research capabilities and nine of our employees, including our former Chief Scientific Officer, Dr. Hong Wan, to Tallac Therapeutics, Inc. (formerly known as Tollnine, Inc.), or Tallac Therapeutics, and have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 For additional information regarding our arrangements with Tallac Therapeutics, please see “Certain Relationships and Related-Party Transactions—Tallac Therapeutics Agreements.”</w:t>
      </w:r>
    </w:p>
    <w:p>
      <w:pPr>
        <w:spacing w:after="0" w:line="15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their or our preclinical protocols, regulatory requirements or for other reasons, our preclinical research efforts and studies may be extended, delayed or terminated, and there may be disruptions or delays to our development pipeline. As a result, our product candidate research and development efforts may be delayed or harmed, and our costs could increase and our future ability to generate revenues could be delayed.</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Further, Tallac Therapeutics’ employees are not our employees, and we will not be able to control, other than by contract, the amount of resources, including time, that they devote to our preclinical research efforts and studies. If Tallac Therapeutics fails to devote sufficient resources to the research and development of our preclinical research programs and studies, or if its performance is substandard, it may delay or compromise the prospects for approval and commercialization of any product candidates that we develop.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our relationship with Tallac Therapeutics terminates, we may not be able to enter into arrangements with alternative providers or do so in a timely manner or on commercially reasonable terms. If the Tallac Services Agreement is terminated, replacing Tallac Therapeutics or adding additional preclinical research providers will involve additional costs and divert our management’s time and focus. In addition, there is a natural transition period when a new service provider commences work. As a result, delays may occur, which can materially impact our ability to meet our desired preclinical timelines. Since Tallac Therapeutics is an early-stage company with a limited operating history, it may face challenges to its business and cease to operate, and we may need to engage replacement service providers on an accelerated timeline and on even less favorable terms. There can be no assurance that we will not encounter similar challenges or delays in the future or that these delays or challenges will not have a material adverse impact on our business, financial condition and results of operations.</w:t>
      </w:r>
    </w:p>
    <w:p>
      <w:pPr>
        <w:spacing w:after="0" w:line="14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140"/>
        <w:spacing w:after="0" w:line="244"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14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15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152" w:lineRule="exact"/>
        <w:rPr>
          <w:sz w:val="20"/>
          <w:szCs w:val="20"/>
          <w:color w:val="auto"/>
        </w:rPr>
      </w:pPr>
    </w:p>
    <w:p>
      <w:pPr>
        <w:ind w:left="120" w:right="540"/>
        <w:spacing w:after="0" w:line="238" w:lineRule="auto"/>
        <w:rPr>
          <w:sz w:val="20"/>
          <w:szCs w:val="20"/>
          <w:color w:val="auto"/>
        </w:rPr>
      </w:pPr>
      <w:r>
        <w:rPr>
          <w:rFonts w:ascii="Arial" w:cs="Arial" w:eastAsia="Arial" w:hAnsi="Arial"/>
          <w:sz w:val="17"/>
          <w:szCs w:val="17"/>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14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also expect to rely on other third parties to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147"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Material modifications in the methods of product candidate manufacturing or formulation may result in additional costs or delay.</w:t>
      </w:r>
    </w:p>
    <w:p>
      <w:pPr>
        <w:spacing w:after="0" w:line="176"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Lack of third-party combination drugs may materially and adversely affect demand for our product candidates.</w:t>
      </w:r>
    </w:p>
    <w:p>
      <w:pPr>
        <w:spacing w:after="0" w:line="176"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Our product candidates may be administered in combination with drugs of other pharmaceutical companies as one regimen. In addition, we plan to use third-party drugs in our development and clinical trials as controls for our studies, such as our current plans to conduct Phase 2 clinical trials of ALX148 in combination with pembrolizumab for HNSCC and trastuzumab for gastric/GEJ carcinoma. As a result, both the results of our clinical trials and the sales of our drugs may be affected by the availability of these third-party drugs. 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128"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143"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patients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of foreign regulatory authority could determine that any of our clinical trials fail or have failed to comply with applicable cGCPs.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Our business also may be implicated if any of our CROs violates fraud and abuse or false claims laws and regulations or healthcare privacy and security laws.</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134"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125"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ALX148 and any other product candidates, if any are approved, will depend on a number of factors, including, among others:</w:t>
      </w:r>
    </w:p>
    <w:p>
      <w:pPr>
        <w:spacing w:after="0" w:line="190" w:lineRule="exact"/>
        <w:rPr>
          <w:sz w:val="20"/>
          <w:szCs w:val="20"/>
          <w:color w:val="auto"/>
        </w:rPr>
      </w:pPr>
    </w:p>
    <w:p>
      <w:pPr>
        <w:ind w:left="980" w:right="160" w:hanging="432"/>
        <w:spacing w:after="0" w:line="243"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ability of ALX148 and our other product candidates to treat cancer or other applicable targeted diseases, as compared with other available drugs, treatments or therapies;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timing of market introduction of the product candidate as well as competitive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clinical indications for which a product candidate is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approval of other new therapies for the same indications;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prevalence and severity of any adverse side effects associated with ALX148 and our other product candidates;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limitations or warnings contained in the labeling approved for ALX148 or our other product candidates by the FDA or foreign regulatory authorities;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availability of alternative treatments and the potential and perceived advantages of our product candidates over alternative treatments;</w:t>
      </w:r>
    </w:p>
    <w:p>
      <w:pPr>
        <w:spacing w:after="0" w:line="34"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size of the target patient population and the willingness of the target patient population to try new therapies and of physicians to prescribe these therapies;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strength and effectiveness of marketing and distribution support and timing of market introduction of competitive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publicity for our product candidates and competing products and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pricing and cost-effectiveness in relation to alternative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relative convenience and ease of administration;</w:t>
      </w:r>
    </w:p>
    <w:p>
      <w:pPr>
        <w:spacing w:after="0" w:line="34" w:lineRule="exact"/>
        <w:rPr>
          <w:rFonts w:ascii="MS PGothic" w:cs="MS PGothic" w:eastAsia="MS PGothic" w:hAnsi="MS PGothic"/>
          <w:sz w:val="13"/>
          <w:szCs w:val="13"/>
          <w:color w:val="auto"/>
        </w:rPr>
      </w:pPr>
    </w:p>
    <w:p>
      <w:pPr>
        <w:ind w:left="980" w:right="640" w:hanging="432"/>
        <w:spacing w:after="0" w:line="243"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our ability to obtain sufficient third-party coverage or reimbursement, and the willingness of patients to pay out-of-pocket in the absence of third-party coverage; and</w:t>
      </w:r>
    </w:p>
    <w:p>
      <w:pPr>
        <w:spacing w:after="0" w:line="22"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likelihood that the FDA or any foreign regulatory authority may impose additional requirements that limit the promotion, advertising, distribution or sales of our product candidates.</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ALX148 or any other product candidate that we may develop. If public perception is influenced by claims that the use of cancer immunotherapies is unsafe, whether related to our</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147"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If any of our product candidates is approved but does not achieve an adequate level of acceptance by patients, physicians and third-party payors, we may not generate sufficient revenue to become or remain profitable and our business may be harmed.</w:t>
      </w:r>
    </w:p>
    <w:p>
      <w:pPr>
        <w:spacing w:after="0" w:line="124"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125"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We currently have no marketing and sales organization and we have never commercialized a product candidate. To achieve commercial success of our product candidates, if any are approved, we will have to develop our own sales, marketing and supply capabilities or outsource these activities to a third party.</w:t>
      </w:r>
    </w:p>
    <w:p>
      <w:pPr>
        <w:spacing w:after="0" w:line="147"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1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market opportunities for the product candidates we develop, if approved, may be limited to certain smaller patient subsets.</w:t>
      </w:r>
    </w:p>
    <w:p>
      <w:pPr>
        <w:spacing w:after="0" w:line="176"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There is no guarantee that the product candidates we develop, even if approved, would be approved for the currently proposed indications. We may have to conduct additional clinical trials that may be costly, time-consuming and subject to risk. Regulators, like FDA, may require us to narrow our indications to smaller patient subsets, and the number of patients in such subsets may turn out to be lower than expected.</w:t>
      </w:r>
    </w:p>
    <w:p>
      <w:pPr>
        <w:spacing w:after="0" w:line="127"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143"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Our lead product candidate, ALX148, is at an early stage of clinical development and not all adverse effects can be predicted or anticipated. Unforeseen side effects from ALX148 or any of our future product candidates may arise at</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any time during clinical development or, if approved by regulatory authorities, after the approved drug product has been marketed. Any undesirable or unacceptable side effects of ALX148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14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Even if any of our product candidates receive marketing approval, if we or others later identify undesirable or unacceptable side effects caused by such products:</w:t>
      </w:r>
    </w:p>
    <w:p>
      <w:pPr>
        <w:spacing w:after="0" w:line="185" w:lineRule="exact"/>
        <w:rPr>
          <w:sz w:val="20"/>
          <w:szCs w:val="20"/>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regulatory authorities may require us to take our approved product off the market;</w:t>
      </w:r>
    </w:p>
    <w:p>
      <w:pPr>
        <w:spacing w:after="0" w:line="34"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regulatory authorities may require the addition of labeling statements, specific warnings, contraindication, precaution or field alerts to physicians and pharmacies;</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we may be required to change the way the product is administered, limit the patient population who can use the product or conduct additional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we may be subject to limitations on how we may promote the product;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sales of the product may decrease significantly;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we may be subject to litigation or product liability claims;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our reputation may suffer.</w:t>
      </w:r>
    </w:p>
    <w:p>
      <w:pPr>
        <w:spacing w:after="0" w:line="156"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127" w:lineRule="exact"/>
        <w:rPr>
          <w:sz w:val="20"/>
          <w:szCs w:val="20"/>
          <w:color w:val="auto"/>
        </w:rPr>
      </w:pPr>
    </w:p>
    <w:p>
      <w:pPr>
        <w:ind w:left="120" w:right="200"/>
        <w:spacing w:after="0" w:line="267" w:lineRule="auto"/>
        <w:rPr>
          <w:sz w:val="20"/>
          <w:szCs w:val="20"/>
          <w:color w:val="auto"/>
        </w:rPr>
      </w:pPr>
      <w:r>
        <w:rPr>
          <w:rFonts w:ascii="Arial" w:cs="Arial" w:eastAsia="Arial" w:hAnsi="Arial"/>
          <w:sz w:val="17"/>
          <w:szCs w:val="17"/>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148"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Obtaining and maintaining reimbursement status is time-consuming and costly. No uniform policy for coverage and reimbursement for products exists among third-party payors in the United States. Therefore, coverage and</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5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191" w:lineRule="exact"/>
        <w:rPr>
          <w:sz w:val="20"/>
          <w:szCs w:val="20"/>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demand for any products for which we may obtain regulatory approval;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our ability to set a price that we believe is fair for our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coverage and adequate reimbursement for a product;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our ability to generate revenue and achieve or maintain profitability;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level of taxes that we are required to pay.</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FDA and other regulatory agencies actively enforce the laws and regulations prohibiting the promotion of off-label uses.</w:t>
      </w:r>
    </w:p>
    <w:p>
      <w:pPr>
        <w:spacing w:after="0" w:line="17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73" w:lineRule="exact"/>
        <w:rPr>
          <w:sz w:val="20"/>
          <w:szCs w:val="20"/>
          <w:color w:val="auto"/>
        </w:rPr>
      </w:pPr>
    </w:p>
    <w:p>
      <w:pPr>
        <w:ind w:left="120" w:right="600"/>
        <w:spacing w:after="0" w:line="267" w:lineRule="auto"/>
        <w:rPr>
          <w:sz w:val="20"/>
          <w:szCs w:val="20"/>
          <w:color w:val="auto"/>
        </w:rPr>
      </w:pPr>
      <w:r>
        <w:rPr>
          <w:rFonts w:ascii="Arial" w:cs="Arial" w:eastAsia="Arial" w:hAnsi="Arial"/>
          <w:sz w:val="17"/>
          <w:szCs w:val="17"/>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125"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188" w:lineRule="exact"/>
        <w:rPr>
          <w:sz w:val="20"/>
          <w:szCs w:val="20"/>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the drug;</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withdrawal of the drug from the market or voluntary or mandatory product recalls;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adverse publicity, fines, warning letters or holds on clinical trials;</w:t>
      </w:r>
    </w:p>
    <w:p>
      <w:pPr>
        <w:spacing w:after="0" w:line="34" w:lineRule="exact"/>
        <w:rPr>
          <w:rFonts w:ascii="MS PGothic" w:cs="MS PGothic" w:eastAsia="MS PGothic" w:hAnsi="MS PGothic"/>
          <w:sz w:val="13"/>
          <w:szCs w:val="13"/>
          <w:color w:val="auto"/>
        </w:rPr>
      </w:pPr>
    </w:p>
    <w:p>
      <w:pPr>
        <w:ind w:left="980" w:right="840" w:hanging="432"/>
        <w:spacing w:after="0" w:line="24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refusal by the FDA or any other applicable regulatory authority to approve pending applications or supplements to approved applications filed by us, or suspension or revocation of product license approvals;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drug product seizure or detention, or refusal to permit the import or export of product candidates;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injunctions or the imposition of civil or criminal penalties.</w:t>
      </w:r>
    </w:p>
    <w:p>
      <w:pPr>
        <w:spacing w:after="0" w:line="15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128" w:lineRule="exact"/>
        <w:rPr>
          <w:sz w:val="20"/>
          <w:szCs w:val="20"/>
          <w:color w:val="auto"/>
        </w:rPr>
      </w:pPr>
    </w:p>
    <w:p>
      <w:pPr>
        <w:ind w:left="120" w:right="100"/>
        <w:spacing w:after="0" w:line="244"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143"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ALX148 or any product candidates we may seek to develop in the future will ever obtain regulatory approval.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196" w:lineRule="exact"/>
        <w:rPr>
          <w:sz w:val="20"/>
          <w:szCs w:val="20"/>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disagree with the design, implementation or results of our clinical trials;</w:t>
      </w:r>
    </w:p>
    <w:p>
      <w:pPr>
        <w:spacing w:after="0" w:line="34"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25"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population studied in the clinical program may not be sufficiently broad or representative to assure efficacy and potency and safety in the full population for which we seek approval;</w:t>
      </w:r>
    </w:p>
    <w:p>
      <w:pPr>
        <w:spacing w:after="0" w:line="22"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disagree with our interpretation of data from preclinical studies or clinical trials;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180" w:hanging="432"/>
        <w:spacing w:after="0" w:line="243"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we may be unable to demonstrate to the FDA or comparable international regulatory authorities that a product candidate’s risk-benefit ratio for its proposed indication is acceptable;</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22" w:lineRule="exact"/>
        <w:rPr>
          <w:rFonts w:ascii="MS PGothic" w:cs="MS PGothic" w:eastAsia="MS PGothic" w:hAnsi="MS PGothic"/>
          <w:sz w:val="13"/>
          <w:szCs w:val="13"/>
          <w:color w:val="auto"/>
        </w:rPr>
      </w:pPr>
    </w:p>
    <w:p>
      <w:pPr>
        <w:ind w:left="980" w:right="400" w:hanging="432"/>
        <w:spacing w:after="0" w:line="243"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approval policies or regulations of the FDA or international foreign regulatory authorities may significantly change in a manner rendering our clinical data insufficient for approval.</w:t>
      </w:r>
    </w:p>
    <w:p>
      <w:pPr>
        <w:spacing w:after="0" w:line="14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14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28" w:lineRule="exact"/>
        <w:rPr>
          <w:sz w:val="20"/>
          <w:szCs w:val="20"/>
          <w:color w:val="auto"/>
        </w:rPr>
      </w:pPr>
    </w:p>
    <w:p>
      <w:pPr>
        <w:ind w:left="120" w:right="340"/>
        <w:spacing w:after="0" w:line="267" w:lineRule="auto"/>
        <w:rPr>
          <w:sz w:val="20"/>
          <w:szCs w:val="20"/>
          <w:color w:val="auto"/>
        </w:rPr>
      </w:pPr>
      <w:r>
        <w:rPr>
          <w:rFonts w:ascii="Arial" w:cs="Arial" w:eastAsia="Arial" w:hAnsi="Arial"/>
          <w:sz w:val="17"/>
          <w:szCs w:val="17"/>
          <w:b w:val="1"/>
          <w:bCs w:val="1"/>
          <w:i w:val="1"/>
          <w:iCs w:val="1"/>
          <w:color w:val="auto"/>
        </w:rPr>
        <w:t>While we have received certain FDA Fast Track designations, such Fast Track designations may not lead to a faster development or regulatory review or approval process, and does not increase the likelihood that the drug will receive marketing approval.</w:t>
      </w:r>
    </w:p>
    <w:p>
      <w:pPr>
        <w:spacing w:after="0" w:line="125"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In February 2020, the FDA granted Fast Track designations to ALX148 for first-line HNSCC and for second-line treatment of advanced human epidermal growth factor receptor 2, or HER2-positive gastric/GEJ carcinoma.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ALX148,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29"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If we decide to seek orphan drug designation for one or more of our product candidates, we may be unsuccessful or may be unable to maintain the benefits associated with such orphan drug designation.</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We may seek Orphan Drug Designation for certain indications for our product candidates in the future. Orphan Drug Designation neither shortens the development time or regulatory review time of a product candidate nor gives the product candidate any advantage in the regulatory review or approval process. Generally, if a product candidate with an Orphan Drug Designation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p>
    <w:p>
      <w:pPr>
        <w:spacing w:after="0" w:line="130" w:lineRule="exact"/>
        <w:rPr>
          <w:sz w:val="20"/>
          <w:szCs w:val="20"/>
          <w:color w:val="auto"/>
        </w:rPr>
      </w:pPr>
    </w:p>
    <w:p>
      <w:pPr>
        <w:ind w:left="120" w:right="400"/>
        <w:spacing w:after="0" w:line="267"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125"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50"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90" w:lineRule="exact"/>
        <w:rPr>
          <w:sz w:val="20"/>
          <w:szCs w:val="20"/>
          <w:color w:val="auto"/>
        </w:rPr>
      </w:pPr>
    </w:p>
    <w:p>
      <w:pPr>
        <w:ind w:left="9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demand for our drugs, if we obtain regulatory approval;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our ability to receive or set a price that we believe is fair for our drugs;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our ability to generate revenue and achieve or maintain profitability;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level of taxes that we are required to pay;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availability of capital.</w:t>
      </w:r>
    </w:p>
    <w:p>
      <w:pPr>
        <w:spacing w:after="0" w:line="156"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December 2018, the Centers for Medicare &amp; Medicaid Services, or CMS, published a new final rule permitting further collections and payments to and from certain ACA-qualified health plans, or QHPs,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Further, in December 2018, a Texas U.S. District Court Judge ruled that the ACA is unconstitutional in its entirety because the “individual mandate” was repealed by the U.S. Congress as part of a tax act. Additionally, in December 2019, the U.S. Court of Appeals for the 5th Circuit upheld the district court ruling that the individual mandate was unconstitutional and remanded the case back to the district court to determine whether the remaining provisions of the ACA are invalid as well. In March 2020, the U.S. Supreme Court agreed to hear the case, which is expected to occur in the fall of 2020. It is unclear how such litigation and other efforts to repeal and replace the ACA will impact the ACA and our business. Complying with any new legislation or reversing changes implemented under the ACA could be time-intensive and expensive, resulting in a material adverse effect on our business.</w:t>
      </w:r>
    </w:p>
    <w:p>
      <w:pPr>
        <w:spacing w:after="0" w:line="15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or CARES Act, which was signed into law in March 2020 and is designed to provide financial support and resources to individuals and businesses affected by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COVID-19 pandemic, suspended the 2% Medicare sequester from May 1, 2020 through December 31, 2020, and extended the sequester by one year, through 2030, in order to offset the added expense of the 2020 cancellation. Additionally, it is possible that additional governmental action is taken to address the COVID-19 pandemic, resulting in a material adverse effect on our business. For example, on April 18, 2020, CMS announced that QHP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Medicare Part D beneficiary monthly out-of-pocket expenses, and place limits on pharmaceutical price increases.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out-of-pocket costs of drug products paid by consumers. The Department of Health and Human Services, or HHS, has solicited feedback on some of these measures and, at the same, has implemented others under its existing authority. For example, in May 2019, CMS issued a final rule to allow Medicare Advantage plans the option to use step therapy for Part B drugs beginning January 1, 2020, codifying a policy change that was effective January 1, 2019. While some of these and other measures may require additional authorization to become effective, Congress and the Trump administration have each indicated that they would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150"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151"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149"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29" w:lineRule="exact"/>
        <w:rPr>
          <w:sz w:val="20"/>
          <w:szCs w:val="20"/>
          <w:color w:val="auto"/>
        </w:rPr>
      </w:pPr>
    </w:p>
    <w:p>
      <w:pPr>
        <w:jc w:val="both"/>
        <w:ind w:left="120" w:right="300"/>
        <w:spacing w:after="0" w:line="244" w:lineRule="auto"/>
        <w:rPr>
          <w:sz w:val="20"/>
          <w:szCs w:val="20"/>
          <w:color w:val="auto"/>
        </w:rPr>
      </w:pPr>
      <w:r>
        <w:rPr>
          <w:rFonts w:ascii="Arial" w:cs="Arial" w:eastAsia="Arial" w:hAnsi="Arial"/>
          <w:sz w:val="17"/>
          <w:szCs w:val="17"/>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43"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Although we do not currently have any products on the market, if we obtain FDA approval for our product candidates and begin commercializing those products in the United States, our operations may be directly, or indirectly through our prescribers,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physicians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194" w:lineRule="exact"/>
        <w:rPr>
          <w:sz w:val="20"/>
          <w:szCs w:val="20"/>
          <w:color w:val="auto"/>
        </w:rPr>
      </w:pPr>
    </w:p>
    <w:p>
      <w:pPr>
        <w:ind w:left="980" w:right="60" w:hanging="432"/>
        <w:spacing w:after="0" w:line="235"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w:t>
      </w:r>
    </w:p>
    <w:p>
      <w:pPr>
        <w:spacing w:after="0" w:line="26" w:lineRule="exact"/>
        <w:rPr>
          <w:rFonts w:ascii="MS PGothic" w:cs="MS PGothic" w:eastAsia="MS PGothic" w:hAnsi="MS PGothic"/>
          <w:sz w:val="13"/>
          <w:szCs w:val="13"/>
          <w:color w:val="auto"/>
        </w:rPr>
      </w:pPr>
    </w:p>
    <w:p>
      <w:pPr>
        <w:ind w:left="980" w:hanging="432"/>
        <w:spacing w:after="0" w:line="235"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federal civil and criminal false claims, including the civil False Claims Act, or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28" w:lineRule="exact"/>
        <w:rPr>
          <w:rFonts w:ascii="MS PGothic" w:cs="MS PGothic" w:eastAsia="MS PGothic" w:hAnsi="MS PGothic"/>
          <w:sz w:val="13"/>
          <w:szCs w:val="13"/>
          <w:color w:val="auto"/>
        </w:rPr>
      </w:pPr>
    </w:p>
    <w:p>
      <w:pPr>
        <w:ind w:left="980" w:right="20" w:hanging="432"/>
        <w:spacing w:after="0" w:line="235"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8"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U.S. federal Health Insurance Portability and Accountability Act of 1996, or HIPAA, imposes criminal and civil liability for, among other things, knowingly and willfully executing, or attempting to execute, a</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right="160"/>
        <w:spacing w:after="0" w:line="236" w:lineRule="auto"/>
        <w:rPr>
          <w:sz w:val="20"/>
          <w:szCs w:val="20"/>
          <w:color w:val="auto"/>
        </w:rPr>
      </w:pPr>
      <w:r>
        <w:rPr>
          <w:rFonts w:ascii="Arial" w:cs="Arial" w:eastAsia="Arial" w:hAnsi="Arial"/>
          <w:sz w:val="17"/>
          <w:szCs w:val="17"/>
          <w:color w:val="auto"/>
        </w:rPr>
        <w:t>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8" w:lineRule="exact"/>
        <w:rPr>
          <w:sz w:val="20"/>
          <w:szCs w:val="20"/>
          <w:color w:val="auto"/>
        </w:rPr>
      </w:pPr>
    </w:p>
    <w:p>
      <w:pPr>
        <w:ind w:left="980" w:hanging="432"/>
        <w:spacing w:after="0" w:line="234"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Arial" w:cs="Arial" w:eastAsia="Arial" w:hAnsi="Arial"/>
          <w:sz w:val="17"/>
          <w:szCs w:val="17"/>
          <w:i w:val="1"/>
          <w:iCs w:val="1"/>
          <w:color w:val="auto"/>
        </w:rPr>
        <w:t>i.e.</w:t>
      </w:r>
      <w:r>
        <w:rPr>
          <w:rFonts w:ascii="Arial" w:cs="Arial" w:eastAsia="Arial" w:hAnsi="Arial"/>
          <w:sz w:val="17"/>
          <w:szCs w:val="17"/>
          <w:color w:val="auto"/>
        </w:rPr>
        <w:t>, health plans, healthcare clearinghouses and healthcare providers, as well as their business associates that perform certain services for or on their behalf involving the use or disclosure of individually identifiable health information with respect to safeguarding the privacy, security and transmission of individually identifiable health information.</w:t>
      </w:r>
    </w:p>
    <w:p>
      <w:pPr>
        <w:spacing w:after="0" w:line="27"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U.S. Federal Food, Drug and Cosmetic Act prohibits, among other things, the adulteration or misbranding of drugs, biologics and medical devices.</w:t>
      </w:r>
    </w:p>
    <w:p>
      <w:pPr>
        <w:spacing w:after="0" w:line="22" w:lineRule="exact"/>
        <w:rPr>
          <w:rFonts w:ascii="MS PGothic" w:cs="MS PGothic" w:eastAsia="MS PGothic" w:hAnsi="MS PGothic"/>
          <w:sz w:val="13"/>
          <w:szCs w:val="13"/>
          <w:color w:val="auto"/>
        </w:rPr>
      </w:pPr>
    </w:p>
    <w:p>
      <w:pPr>
        <w:ind w:left="980" w:right="140" w:hanging="432"/>
        <w:spacing w:after="0" w:line="234"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for physicians under the Physician Payments Sunshine Act to physician assistants, nurse practitioners and other mid-level practitioners, with reporting requirements going into effect in 2022 for payments made in 2021.</w:t>
      </w:r>
    </w:p>
    <w:p>
      <w:pPr>
        <w:spacing w:after="0" w:line="26" w:lineRule="exact"/>
        <w:rPr>
          <w:rFonts w:ascii="MS PGothic" w:cs="MS PGothic" w:eastAsia="MS PGothic" w:hAnsi="MS PGothic"/>
          <w:sz w:val="13"/>
          <w:szCs w:val="13"/>
          <w:color w:val="auto"/>
        </w:rPr>
      </w:pPr>
    </w:p>
    <w:p>
      <w:pPr>
        <w:ind w:left="980" w:right="80" w:hanging="432"/>
        <w:spacing w:after="0" w:line="235"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26" w:lineRule="exact"/>
        <w:rPr>
          <w:rFonts w:ascii="MS PGothic" w:cs="MS PGothic" w:eastAsia="MS PGothic" w:hAnsi="MS PGothic"/>
          <w:sz w:val="13"/>
          <w:szCs w:val="13"/>
          <w:color w:val="auto"/>
        </w:rPr>
      </w:pPr>
    </w:p>
    <w:p>
      <w:pPr>
        <w:ind w:left="980" w:right="80" w:hanging="432"/>
        <w:spacing w:after="0" w:line="23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3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European and other foreign law equivalents of each of the laws also impose legal requirements, including reporting requirements detailing interactions with and payments to healthcare providers.</w:t>
      </w:r>
    </w:p>
    <w:p>
      <w:pPr>
        <w:spacing w:after="0" w:line="144"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134" w:lineRule="exact"/>
        <w:rPr>
          <w:sz w:val="20"/>
          <w:szCs w:val="20"/>
          <w:color w:val="auto"/>
        </w:rPr>
      </w:pPr>
    </w:p>
    <w:p>
      <w:pPr>
        <w:jc w:val="both"/>
        <w:ind w:left="120" w:right="460"/>
        <w:spacing w:after="0" w:line="249" w:lineRule="auto"/>
        <w:rPr>
          <w:sz w:val="20"/>
          <w:szCs w:val="20"/>
          <w:color w:val="auto"/>
        </w:rPr>
      </w:pPr>
      <w:r>
        <w:rPr>
          <w:rFonts w:ascii="Arial" w:cs="Arial" w:eastAsia="Arial" w:hAnsi="Arial"/>
          <w:sz w:val="17"/>
          <w:szCs w:val="17"/>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14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131" w:lineRule="exact"/>
        <w:rPr>
          <w:sz w:val="20"/>
          <w:szCs w:val="20"/>
          <w:color w:val="auto"/>
        </w:rPr>
      </w:pPr>
    </w:p>
    <w:p>
      <w:pPr>
        <w:ind w:left="120" w:right="660"/>
        <w:spacing w:after="0" w:line="267" w:lineRule="auto"/>
        <w:rPr>
          <w:sz w:val="20"/>
          <w:szCs w:val="20"/>
          <w:color w:val="auto"/>
        </w:rPr>
      </w:pPr>
      <w:r>
        <w:rPr>
          <w:rFonts w:ascii="Arial" w:cs="Arial" w:eastAsia="Arial" w:hAnsi="Arial"/>
          <w:sz w:val="17"/>
          <w:szCs w:val="17"/>
          <w:b w:val="1"/>
          <w:bCs w:val="1"/>
          <w:i w:val="1"/>
          <w:iCs w:val="1"/>
          <w:color w:val="auto"/>
        </w:rPr>
        <w:t>If we do not comply with laws regulating the protection of the environment and health and human safety, our business could be adversely affected.</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3"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 Disruptions at the FDA and other agencies, such as recent furloughs or government shutdowns, may also slow the time necessary for new drugs to be reviewed and/or approved by necessary government agencies, which would adversely affect our business.</w:t>
      </w:r>
    </w:p>
    <w:p>
      <w:pPr>
        <w:spacing w:after="0" w:line="128"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1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business activities may be subject to the U.S.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15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b w:val="1"/>
          <w:bCs w:val="1"/>
          <w:i w:val="1"/>
          <w:iCs w:val="1"/>
          <w:color w:val="auto"/>
        </w:rPr>
        <w:t>Data collection under European and U.S. laws is governed by restrictive regulations addressing the collection, use, processing and, in the case of Europe, cross-border transfer, of personal information.</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may collect, process, use or transfer personal information from individuals located in the European Union in connection with our business, including in connection with conducting clinical trials in the European Union. Additionally, if any of our product candidates are approved, we may seek to commercialize those products in the European Union. The collection and use of personal health data in the European Union is governed, in part,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267"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As we expand our operations, preclinical studies and clinical trials, the CCPA may increase our compliance costs and potential liability. Other states are beginning to consider and pass similar laws.</w:t>
      </w:r>
    </w:p>
    <w:p>
      <w:pPr>
        <w:spacing w:after="0" w:line="1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73" w:lineRule="exact"/>
        <w:rPr>
          <w:sz w:val="20"/>
          <w:szCs w:val="20"/>
          <w:color w:val="auto"/>
        </w:rPr>
      </w:pPr>
    </w:p>
    <w:p>
      <w:pPr>
        <w:ind w:left="120" w:right="400"/>
        <w:spacing w:after="0" w:line="267" w:lineRule="auto"/>
        <w:rPr>
          <w:sz w:val="20"/>
          <w:szCs w:val="20"/>
          <w:color w:val="auto"/>
        </w:rPr>
      </w:pPr>
      <w:r>
        <w:rPr>
          <w:rFonts w:ascii="Arial" w:cs="Arial" w:eastAsia="Arial" w:hAnsi="Arial"/>
          <w:sz w:val="17"/>
          <w:szCs w:val="17"/>
          <w:b w:val="1"/>
          <w:bCs w:val="1"/>
          <w:i w:val="1"/>
          <w:iCs w:val="1"/>
          <w:color w:val="auto"/>
        </w:rPr>
        <w:t>If we are unable to obtain, maintain and enforce patent protection for our product candidates and related technology, our business could be materially harmed.</w:t>
      </w:r>
    </w:p>
    <w:p>
      <w:pPr>
        <w:spacing w:after="0" w:line="125"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that we will fail to identify patentable aspects of our research and development discoveries before it is too late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claims we ultimately get allowed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opposition or derivation proceedings challenging our patent rights or the patent rights of others.</w:t>
      </w:r>
    </w:p>
    <w:p>
      <w:pPr>
        <w:spacing w:after="0" w:line="149"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152"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62"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8"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Additionally, the requirements for patentability may differ in certain countries. For example, in India, unlike the United States, there is no link between regulatory approval of a drug and its patent status, and patenting of medical uses of a claimed drug are prohibited. In addition to India,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131" w:lineRule="exact"/>
        <w:rPr>
          <w:sz w:val="20"/>
          <w:szCs w:val="20"/>
          <w:color w:val="auto"/>
        </w:rPr>
      </w:pPr>
    </w:p>
    <w:p>
      <w:pPr>
        <w:jc w:val="both"/>
        <w:ind w:left="120" w:right="40"/>
        <w:spacing w:after="0" w:line="249"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28"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b w:val="1"/>
          <w:bCs w:val="1"/>
          <w:i w:val="1"/>
          <w:iCs w:val="1"/>
          <w:color w:val="auto"/>
        </w:rPr>
        <w:t>Changes in patent laws or patent jurisprudence could diminish the value of patents in general, thereby impairing our ability to protect our product candidates.</w:t>
      </w:r>
    </w:p>
    <w:p>
      <w:pPr>
        <w:spacing w:after="0" w:line="125"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1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Arial" w:cs="Arial" w:eastAsia="Arial" w:hAnsi="Arial"/>
          <w:sz w:val="17"/>
          <w:szCs w:val="17"/>
          <w:i w:val="1"/>
          <w:iCs w:val="1"/>
          <w:color w:val="auto"/>
        </w:rPr>
        <w:t>e.g.</w:t>
      </w:r>
      <w:r>
        <w:rPr>
          <w:rFonts w:ascii="Arial" w:cs="Arial" w:eastAsia="Arial" w:hAnsi="Arial"/>
          <w:sz w:val="17"/>
          <w:szCs w:val="17"/>
          <w:color w:val="auto"/>
        </w:rPr>
        <w:t xml:space="preserve">, via post-grant reviews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51" w:lineRule="exact"/>
        <w:rPr>
          <w:sz w:val="20"/>
          <w:szCs w:val="20"/>
          <w:color w:val="auto"/>
        </w:rPr>
      </w:pPr>
    </w:p>
    <w:p>
      <w:pPr>
        <w:jc w:val="both"/>
        <w:ind w:left="120" w:right="440"/>
        <w:spacing w:after="0" w:line="238" w:lineRule="auto"/>
        <w:rPr>
          <w:sz w:val="20"/>
          <w:szCs w:val="20"/>
          <w:color w:val="auto"/>
        </w:rPr>
      </w:pPr>
      <w:r>
        <w:rPr>
          <w:rFonts w:ascii="Arial" w:cs="Arial" w:eastAsia="Arial" w:hAnsi="Arial"/>
          <w:sz w:val="17"/>
          <w:szCs w:val="17"/>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patents covering one or more of our product candidates could be found invalid or unenforceable if challenged.</w:t>
      </w:r>
    </w:p>
    <w:p>
      <w:pPr>
        <w:spacing w:after="0" w:line="176"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5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48"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76"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Patent protection, prosecution, assertion and defense for some of our product candidates may be dependent on third parties.</w:t>
      </w:r>
    </w:p>
    <w:p>
      <w:pPr>
        <w:spacing w:after="0" w:line="17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There may be times in the future when certain patents that relate to our product candidates or any approved products are controlled by our licensees or licensors, such as with respect to our Stanford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128" w:lineRule="exact"/>
        <w:rPr>
          <w:sz w:val="20"/>
          <w:szCs w:val="20"/>
          <w:color w:val="auto"/>
        </w:rPr>
      </w:pPr>
    </w:p>
    <w:p>
      <w:pPr>
        <w:ind w:left="120" w:right="420"/>
        <w:spacing w:after="0" w:line="267" w:lineRule="auto"/>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125"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134" w:lineRule="exact"/>
        <w:rPr>
          <w:sz w:val="20"/>
          <w:szCs w:val="20"/>
          <w:color w:val="auto"/>
        </w:rPr>
      </w:pPr>
    </w:p>
    <w:p>
      <w:pPr>
        <w:ind w:left="120" w:right="240"/>
        <w:spacing w:after="0" w:line="267"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and trade secrets, which could be expensive, time-consuming and unsuccessful.</w:t>
      </w:r>
    </w:p>
    <w:p>
      <w:pPr>
        <w:spacing w:after="0" w:line="125"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1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50"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The following are examples of litigation and other adversarial proceedings or disputes that we could become a party to involving our patents or patents licensed to us:</w:t>
      </w:r>
    </w:p>
    <w:p>
      <w:pPr>
        <w:spacing w:after="0" w:line="185" w:lineRule="exact"/>
        <w:rPr>
          <w:sz w:val="20"/>
          <w:szCs w:val="20"/>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we may initiate litigation or other proceedings against third parties to enforce our patent and trade secret rights;</w:t>
      </w:r>
    </w:p>
    <w:p>
      <w:pPr>
        <w:spacing w:after="0" w:line="34" w:lineRule="exact"/>
        <w:rPr>
          <w:rFonts w:ascii="MS PGothic" w:cs="MS PGothic" w:eastAsia="MS PGothic" w:hAnsi="MS PGothic"/>
          <w:sz w:val="13"/>
          <w:szCs w:val="13"/>
          <w:color w:val="auto"/>
        </w:rPr>
      </w:pPr>
    </w:p>
    <w:p>
      <w:pPr>
        <w:ind w:left="980" w:right="720" w:hanging="432"/>
        <w:spacing w:after="0" w:line="24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22" w:lineRule="exact"/>
        <w:rPr>
          <w:rFonts w:ascii="MS PGothic" w:cs="MS PGothic" w:eastAsia="MS PGothic" w:hAnsi="MS PGothic"/>
          <w:sz w:val="13"/>
          <w:szCs w:val="13"/>
          <w:color w:val="auto"/>
        </w:rPr>
      </w:pPr>
    </w:p>
    <w:p>
      <w:pPr>
        <w:ind w:left="980" w:right="140" w:hanging="432"/>
        <w:spacing w:after="0" w:line="238"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w:t>
      </w:r>
    </w:p>
    <w:p>
      <w:pPr>
        <w:spacing w:after="0" w:line="25"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5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128"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125"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 consuming and unsuccessful.”</w:t>
      </w:r>
    </w:p>
    <w:p>
      <w:pPr>
        <w:spacing w:after="0" w:line="134" w:lineRule="exact"/>
        <w:rPr>
          <w:sz w:val="20"/>
          <w:szCs w:val="20"/>
          <w:color w:val="auto"/>
        </w:rPr>
      </w:pPr>
    </w:p>
    <w:p>
      <w:pPr>
        <w:ind w:left="120" w:right="260"/>
        <w:spacing w:after="0" w:line="267" w:lineRule="auto"/>
        <w:rPr>
          <w:sz w:val="20"/>
          <w:szCs w:val="20"/>
          <w:color w:val="auto"/>
        </w:rPr>
      </w:pPr>
      <w:r>
        <w:rPr>
          <w:rFonts w:ascii="Arial" w:cs="Arial" w:eastAsia="Arial" w:hAnsi="Arial"/>
          <w:sz w:val="17"/>
          <w:szCs w:val="17"/>
          <w:b w:val="1"/>
          <w:bCs w:val="1"/>
          <w:i w:val="1"/>
          <w:iCs w:val="1"/>
          <w:color w:val="auto"/>
        </w:rPr>
        <w:t>Our commercial success depends significantly on our ability to operate without infringing the patents and other proprietary rights of third parties.</w:t>
      </w:r>
    </w:p>
    <w:p>
      <w:pPr>
        <w:spacing w:after="0" w:line="125"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149" w:lineRule="exact"/>
        <w:rPr>
          <w:sz w:val="20"/>
          <w:szCs w:val="20"/>
          <w:color w:val="auto"/>
        </w:rPr>
      </w:pPr>
    </w:p>
    <w:p>
      <w:pPr>
        <w:ind w:left="120" w:right="40"/>
        <w:spacing w:after="0" w:line="241" w:lineRule="auto"/>
        <w:rPr>
          <w:sz w:val="20"/>
          <w:szCs w:val="20"/>
          <w:color w:val="auto"/>
        </w:rPr>
      </w:pPr>
      <w:r>
        <w:rPr>
          <w:rFonts w:ascii="Arial" w:cs="Arial" w:eastAsia="Arial" w:hAnsi="Arial"/>
          <w:sz w:val="17"/>
          <w:szCs w:val="17"/>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SIRPa, pathways, and others that are based on entirely different approaches. These patents and applications could potentially be construed to cover our product candidates and their use. For example, we are aware of a revoked European patent (EP 2 429 574) owned by University Health Network,</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or UHN, and The Hospital for Sick Children that may encompass certain therapies for the treatment of cancer using polypeptides comprising soluble human SIRPa, or a CD47-binding fragment thereof. This revoked patent related to the treatment of cancer with polypeptides comprising soluble human SIRPa, or a CD47-binding fragment thereof. This patent was revoked by the European Patent Office and UHN and The Hospital for Sick Children have appealed the decision. The U.S. counterpart is not yet granted. If UHN and the Hospital for Sick Children win their appeal of the European Patent Office decision revoking their European patent, or if the U.S. counterpart grants them a patent, the resulting patent claims could potentially limit our ability to pursue ALX148 in certain new indications or geographies in the future.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149"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151"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intellectual property rights will not necessarily provide us with competitive advantages.</w:t>
      </w:r>
    </w:p>
    <w:p>
      <w:pPr>
        <w:spacing w:after="0" w:line="176"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85" w:lineRule="exact"/>
        <w:rPr>
          <w:sz w:val="20"/>
          <w:szCs w:val="20"/>
          <w:color w:val="auto"/>
        </w:rPr>
      </w:pPr>
    </w:p>
    <w:p>
      <w:pPr>
        <w:ind w:left="980" w:right="200" w:hanging="432"/>
        <w:spacing w:after="0" w:line="24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others may be able to make products that are similar to our product candidates but that are not covered by the claims of the patents that we own or have exclusively licensed;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others may independently develop similar or alternative technologies without infringing our intellectual property rights;</w:t>
      </w:r>
    </w:p>
    <w:p>
      <w:pPr>
        <w:spacing w:after="0" w:line="34" w:lineRule="exact"/>
        <w:rPr>
          <w:rFonts w:ascii="MS PGothic" w:cs="MS PGothic" w:eastAsia="MS PGothic" w:hAnsi="MS PGothic"/>
          <w:sz w:val="13"/>
          <w:szCs w:val="13"/>
          <w:color w:val="auto"/>
        </w:rPr>
      </w:pPr>
    </w:p>
    <w:p>
      <w:pPr>
        <w:ind w:left="980" w:right="280" w:hanging="432"/>
        <w:spacing w:after="0" w:line="24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issued patents that we own or have exclusively licensed may not provide us with competitive advantages, or may be held invalid or unenforceable, as a result of legal challenges by our competitors;</w:t>
      </w:r>
    </w:p>
    <w:p>
      <w:pPr>
        <w:spacing w:after="0" w:line="22" w:lineRule="exact"/>
        <w:rPr>
          <w:rFonts w:ascii="MS PGothic" w:cs="MS PGothic" w:eastAsia="MS PGothic" w:hAnsi="MS PGothic"/>
          <w:sz w:val="13"/>
          <w:szCs w:val="13"/>
          <w:color w:val="auto"/>
        </w:rPr>
      </w:pPr>
    </w:p>
    <w:p>
      <w:pPr>
        <w:ind w:left="980" w:right="140" w:hanging="432"/>
        <w:spacing w:after="0" w:line="238"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25"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we may fail to develop additional proprietary technologies that are patentable;</w:t>
      </w:r>
    </w:p>
    <w:p>
      <w:pPr>
        <w:spacing w:after="0" w:line="34"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patents of others may have an adverse effect on our business, for example by preventing us from marketing one or more of our product candidates for one or more indications.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of the aforementioned threats to our competitive advantage could have a material adverse effect on our business.</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480"/>
        <w:spacing w:after="0" w:line="267" w:lineRule="auto"/>
        <w:rPr>
          <w:sz w:val="20"/>
          <w:szCs w:val="20"/>
          <w:color w:val="auto"/>
        </w:rPr>
      </w:pPr>
      <w:r>
        <w:rPr>
          <w:rFonts w:ascii="Arial" w:cs="Arial" w:eastAsia="Arial" w:hAnsi="Arial"/>
          <w:sz w:val="17"/>
          <w:szCs w:val="17"/>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28" w:lineRule="exact"/>
        <w:rPr>
          <w:sz w:val="20"/>
          <w:szCs w:val="20"/>
          <w:color w:val="auto"/>
        </w:rPr>
      </w:pPr>
    </w:p>
    <w:p>
      <w:pPr>
        <w:ind w:left="120" w:right="300"/>
        <w:spacing w:after="0" w:line="267" w:lineRule="auto"/>
        <w:rPr>
          <w:sz w:val="20"/>
          <w:szCs w:val="20"/>
          <w:color w:val="auto"/>
        </w:rPr>
      </w:pPr>
      <w:r>
        <w:rPr>
          <w:rFonts w:ascii="Arial" w:cs="Arial" w:eastAsia="Arial" w:hAnsi="Arial"/>
          <w:sz w:val="17"/>
          <w:szCs w:val="17"/>
          <w:b w:val="1"/>
          <w:bCs w:val="1"/>
          <w:i w:val="1"/>
          <w:iCs w:val="1"/>
          <w:color w:val="auto"/>
        </w:rPr>
        <w:t>Our rights to develop and commercialize our product candidates may be subject, in part, to the terms and conditions of agreements with others.</w:t>
      </w:r>
    </w:p>
    <w:p>
      <w:pPr>
        <w:spacing w:after="0" w:line="125"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15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141"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Moreover, disputes may arise regarding intellectual property subject to a collaboration agreement, including:</w:t>
      </w:r>
    </w:p>
    <w:p>
      <w:pPr>
        <w:spacing w:after="0" w:line="196" w:lineRule="exact"/>
        <w:rPr>
          <w:sz w:val="20"/>
          <w:szCs w:val="20"/>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scope of the option or license rights granted under the agreement and other interpretation-related issues;</w:t>
      </w:r>
    </w:p>
    <w:p>
      <w:pPr>
        <w:spacing w:after="0" w:line="34"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extent to which our technology and processes infringe on intellectual property of the collaborator that is not subject to the option or license rights granted under the agreement;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sublicensing of patent and other rights under our collaborative development relationships;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diligence obligations under the agreement and what activities satisfy those diligence obligations;</w:t>
      </w:r>
    </w:p>
    <w:p>
      <w:pPr>
        <w:spacing w:after="0" w:line="34"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inventorship and ownership of inventions and know-how resulting from the joint creation or use of intellectual property by our collaborators and us and our other partners;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priority of invention of patented technology.</w:t>
      </w:r>
    </w:p>
    <w:p>
      <w:pPr>
        <w:spacing w:after="0" w:line="15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w:t>
      </w:r>
    </w:p>
    <w:p>
      <w:pPr>
        <w:spacing w:after="0" w:line="73"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In order to successfully implement our plans and strategies, we will need to grow the size of our organization, and we may experience difficulties in managing this growth.</w:t>
      </w:r>
    </w:p>
    <w:p>
      <w:pPr>
        <w:spacing w:after="0" w:line="125"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As of May 31, 2020, we had 24 full-time employees, including 16 employees engaged in research and development. In order to successfully implement our development and commercialization plans and strategies, and as we transition into operating as a public company, we expect to need additional managerial, scientific, technical, medical, operational, sales, marketing, financial and other personnel. Future growth would impose significant added responsibilities on members of management, including:</w:t>
      </w:r>
    </w:p>
    <w:p>
      <w:pPr>
        <w:spacing w:after="0" w:line="190" w:lineRule="exact"/>
        <w:rPr>
          <w:sz w:val="20"/>
          <w:szCs w:val="20"/>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identifying, recruiting, integrating, maintaining and motivating additional employees;</w:t>
      </w:r>
    </w:p>
    <w:p>
      <w:pPr>
        <w:spacing w:after="0" w:line="34"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managing our internal development efforts effectively, including the clinical and FDA review process for ALX148 and any other future product candidates, while complying with any contractual obligations to contractors and other third parties we may have;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improving our operational, financial and management controls, reporting systems and procedures.</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Our future financial performance and our ability to successfully develop and, if approved, commercialize ALX148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9"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ALX148 and any other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If we are not able to effectively expand our organization by hiring new employees and/or engaging additional third-party service providers, we may not be able to successfully implement the tasks necessary to further develop and commercialize ALX148 and other future product candidates and, accordingly, may not achieve our research, development and commercialization goals.</w:t>
      </w:r>
    </w:p>
    <w:p>
      <w:pPr>
        <w:spacing w:after="0" w:line="127" w:lineRule="exact"/>
        <w:rPr>
          <w:sz w:val="20"/>
          <w:szCs w:val="20"/>
          <w:color w:val="auto"/>
        </w:rPr>
      </w:pPr>
    </w:p>
    <w:p>
      <w:pPr>
        <w:ind w:left="120" w:right="420"/>
        <w:spacing w:after="0" w:line="267" w:lineRule="auto"/>
        <w:rPr>
          <w:sz w:val="20"/>
          <w:szCs w:val="20"/>
          <w:color w:val="auto"/>
        </w:rPr>
      </w:pPr>
      <w:r>
        <w:rPr>
          <w:rFonts w:ascii="Arial" w:cs="Arial" w:eastAsia="Arial" w:hAnsi="Arial"/>
          <w:sz w:val="17"/>
          <w:szCs w:val="17"/>
          <w:b w:val="1"/>
          <w:bCs w:val="1"/>
          <w:i w:val="1"/>
          <w:iCs w:val="1"/>
          <w:color w:val="auto"/>
        </w:rPr>
        <w:t>Our product candidates are based on a novel technology, which makes it difficult to predict the time and cost of product candidate development.</w:t>
      </w:r>
    </w:p>
    <w:p>
      <w:pPr>
        <w:spacing w:after="0" w:line="125"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have concentrated our product research and development efforts on our novel immuno-oncology approach, and our future success depends on the successful development of our lead product candidate, ALX148,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128" w:lineRule="exact"/>
        <w:rPr>
          <w:sz w:val="20"/>
          <w:szCs w:val="20"/>
          <w:color w:val="auto"/>
        </w:rPr>
      </w:pPr>
    </w:p>
    <w:p>
      <w:pPr>
        <w:ind w:left="120" w:right="460"/>
        <w:spacing w:after="0" w:line="267" w:lineRule="auto"/>
        <w:rPr>
          <w:sz w:val="20"/>
          <w:szCs w:val="20"/>
          <w:color w:val="auto"/>
        </w:rPr>
      </w:pPr>
      <w:r>
        <w:rPr>
          <w:rFonts w:ascii="Arial" w:cs="Arial" w:eastAsia="Arial" w:hAnsi="Arial"/>
          <w:sz w:val="17"/>
          <w:szCs w:val="17"/>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25"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15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148" w:lineRule="exact"/>
        <w:rPr>
          <w:sz w:val="20"/>
          <w:szCs w:val="20"/>
          <w:color w:val="auto"/>
        </w:rPr>
      </w:pPr>
    </w:p>
    <w:p>
      <w:pPr>
        <w:ind w:left="120" w:right="780"/>
        <w:spacing w:after="0" w:line="243" w:lineRule="auto"/>
        <w:rPr>
          <w:sz w:val="20"/>
          <w:szCs w:val="20"/>
          <w:color w:val="auto"/>
        </w:rPr>
      </w:pPr>
      <w:r>
        <w:rPr>
          <w:rFonts w:ascii="Arial" w:cs="Arial" w:eastAsia="Arial" w:hAnsi="Arial"/>
          <w:sz w:val="17"/>
          <w:szCs w:val="17"/>
          <w:color w:val="auto"/>
        </w:rPr>
        <w:t>Many of the other biotechnology companies that we compete against for qualified personnel have considerably more financial and other resources, different risk profiles and a more extended history in the industry than we do. They</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 Our international operations may expose us to business, regulatory, political, operational, financial, pricing and reimbursement risks associated with doing business outside of the United States.</w:t>
      </w:r>
    </w:p>
    <w:p>
      <w:pPr>
        <w:spacing w:after="0" w:line="153"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predecessor company, which after our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188" w:lineRule="exact"/>
        <w:rPr>
          <w:sz w:val="20"/>
          <w:szCs w:val="20"/>
          <w:color w:val="auto"/>
        </w:rPr>
      </w:pPr>
    </w:p>
    <w:p>
      <w:pPr>
        <w:ind w:left="980" w:right="84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multiple, conflicting and changing laws and regulations such as privacy regulations, tax laws, export and import restrictions, employment laws, regulatory requirements and other governmental approvals, permits and licenses;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failure by us to obtain and maintain regulatory approvals for the use of our products in various countries;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rejection or qualification of foreign clinical trial data by the competent authorities of other countries;</w:t>
      </w:r>
    </w:p>
    <w:p>
      <w:pPr>
        <w:spacing w:after="0" w:line="34"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complexities and difficulties in obtaining, maintaining, protecting and enforcing our intellectual property, including as a result of potentially relevant third-party patent rights;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difficulties in staffing and managing foreign operations;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complexities associated with managing multiple payor reimbursement regimes, government payors or patient self-pay systems;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limits in our ability to penetrate international markets;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financial risks, such as longer payment cycles, difficulty collecting accounts receivable, the impact of local and regional financial crises on demand and payment for our drugs;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exposure to foreign currency exchange rate fluctuations;</w:t>
      </w:r>
    </w:p>
    <w:p>
      <w:pPr>
        <w:spacing w:after="0" w:line="34" w:lineRule="exact"/>
        <w:rPr>
          <w:rFonts w:ascii="MS PGothic" w:cs="MS PGothic" w:eastAsia="MS PGothic" w:hAnsi="MS PGothic"/>
          <w:sz w:val="13"/>
          <w:szCs w:val="13"/>
          <w:color w:val="auto"/>
        </w:rPr>
      </w:pPr>
    </w:p>
    <w:p>
      <w:pPr>
        <w:ind w:left="980" w:right="50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political and economic instability, including wars, terrorism and political unrest, boycotts, curtailment of trade and other business restrictions;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natural disasters, outbreaks or public health crises, such as the COVID-19 pandemic;</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certain expenses including, among others, expenses for travel, translation and insurance; and</w:t>
      </w:r>
    </w:p>
    <w:p>
      <w:pPr>
        <w:spacing w:after="0" w:line="34" w:lineRule="exact"/>
        <w:rPr>
          <w:rFonts w:ascii="MS PGothic" w:cs="MS PGothic" w:eastAsia="MS PGothic" w:hAnsi="MS PGothic"/>
          <w:sz w:val="13"/>
          <w:szCs w:val="13"/>
          <w:color w:val="auto"/>
        </w:rPr>
      </w:pPr>
    </w:p>
    <w:p>
      <w:pPr>
        <w:jc w:val="both"/>
        <w:ind w:left="980" w:right="30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of these factors could harm our future international expansion and operations and, consequently, our results of operations.</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560"/>
        <w:spacing w:after="0" w:line="249" w:lineRule="auto"/>
        <w:rPr>
          <w:sz w:val="20"/>
          <w:szCs w:val="20"/>
          <w:color w:val="auto"/>
        </w:rPr>
      </w:pPr>
      <w:r>
        <w:rPr>
          <w:rFonts w:ascii="Arial" w:cs="Arial" w:eastAsia="Arial" w:hAnsi="Arial"/>
          <w:sz w:val="17"/>
          <w:szCs w:val="17"/>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128"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149"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149"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We may expend our limited resources to pursue a particular product candidate or indication and fail to capitalize on product candidates or indications that may be more profitable or for which there is a greater likelihood of success.</w:t>
      </w:r>
    </w:p>
    <w:p>
      <w:pPr>
        <w:spacing w:after="0" w:line="151"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us to fail to capitalize on viable commercial therapies or profitable market opportunities. Our spending on current and future research and development programs, such as ALX148,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Business disruptions could seriously harm our future revenue and financial condition and increase our costs and expenses.</w:t>
      </w:r>
    </w:p>
    <w:p>
      <w:pPr>
        <w:spacing w:after="0" w:line="176"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130" w:lineRule="exact"/>
        <w:rPr>
          <w:sz w:val="20"/>
          <w:szCs w:val="20"/>
          <w:color w:val="auto"/>
        </w:rPr>
      </w:pPr>
    </w:p>
    <w:p>
      <w:pPr>
        <w:ind w:left="120" w:right="740"/>
        <w:spacing w:after="0" w:line="267" w:lineRule="auto"/>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clinical trials and preclinical research.</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In December 2019, COVID-19 was reported to have surfaced in Wuhan, China, resulting in significant disruptions to Chinese manufacturing and travel. Since then, the virus has spread to numerous other countries, including the United States, resulting in the World Health Organization characterizing COVID-19 as a pandemic. The extent to which the COVID-19 pandemic impacts our business will depend on future developments, which are highly uncertain and cannot be predicted,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to spread around the globe, we could experience other disruptions that could severely impact our business, current and planned clinical trials and preclinical research, including:</w:t>
      </w:r>
    </w:p>
    <w:p>
      <w:pPr>
        <w:spacing w:after="0" w:line="190" w:lineRule="exact"/>
        <w:rPr>
          <w:sz w:val="20"/>
          <w:szCs w:val="20"/>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delays or difficulties in enrolling and retaining subjects in our ongoing clinical trial of ALX148 and our future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clinical trials;</w:t>
      </w:r>
    </w:p>
    <w:p>
      <w:pPr>
        <w:spacing w:after="0" w:line="22" w:lineRule="exact"/>
        <w:rPr>
          <w:rFonts w:ascii="MS PGothic" w:cs="MS PGothic" w:eastAsia="MS PGothic" w:hAnsi="MS PGothic"/>
          <w:sz w:val="13"/>
          <w:szCs w:val="13"/>
          <w:color w:val="auto"/>
        </w:rPr>
      </w:pPr>
    </w:p>
    <w:p>
      <w:pPr>
        <w:ind w:left="980" w:right="140" w:hanging="432"/>
        <w:spacing w:after="0" w:line="238"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25" w:lineRule="exact"/>
        <w:rPr>
          <w:rFonts w:ascii="MS PGothic" w:cs="MS PGothic" w:eastAsia="MS PGothic" w:hAnsi="MS PGothic"/>
          <w:sz w:val="13"/>
          <w:szCs w:val="13"/>
          <w:color w:val="auto"/>
        </w:rPr>
      </w:pPr>
    </w:p>
    <w:p>
      <w:pPr>
        <w:ind w:left="980" w:right="60" w:hanging="432"/>
        <w:spacing w:after="0" w:line="238"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limitations in resources, including our employees, that would otherwise be focused on the conduct of our business or our current or planned clinical trials or preclinical research, including because of sickness, the desire to avoid contact with large groups of people, or restrictions on movement or access to our facility as a result of government-imposed “shelter in place” or similar working restrictions;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180" w:hanging="432"/>
        <w:spacing w:after="0" w:line="243"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interruptions or delays in the operations of the FDA or other domestic or foreign regulatory authorities, which may impact review and approval timelines;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delays in receiving the supplies, materials and services needed to conduct clinical trials and preclinical research;</w:t>
      </w:r>
    </w:p>
    <w:p>
      <w:pPr>
        <w:spacing w:after="0" w:line="34"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changes in regulations as part of a response to the COVID-19 pandemic which may require us to change the ways in which our clinical trials are conducted, which may result in unexpected costs or require us to discontinue the clinical trial altogether;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interruptions or delays to our development pipeline;</w:t>
      </w:r>
    </w:p>
    <w:p>
      <w:pPr>
        <w:spacing w:after="0" w:line="34"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delays in necessary interactions with regulators, ethics committees and other important agencies and contractors due to limitations in employee resources or furlough of government or contractor personnel;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refusal of the FDA to accept data from clinical trials in affected geographies outside of the United States.</w:t>
      </w:r>
    </w:p>
    <w:p>
      <w:pPr>
        <w:spacing w:after="0" w:line="15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We are still assessing the impact that COVID-19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 For example, on March 16, 2020, San Mateo County, where our headquarters are located, issued a “shelter-in-place” order, effective March 17, 2020, and on March 19, 2020, the Executive Department of the State of California issued Executive Order N-33-20, ordering all individuals in the State of California to stay home or at their place of residence except as needed to maintain continuity of operations of the federal critical infrastructure sectors. Our primary operations are located in Burlingame, California. As a result of such county and California state orders, the majority of our employees are currently telecommuting, which may impact certain of our operations over the near term and long term.</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Further, as a result of the COVID-19 pandemic, the extent and length of which is uncertain, we may be required to develop and implement additional clinical trial policies and procedures designed to help protect subjects from the COVID-19 virus, which may include using telemedicine visits, remote monitoring of subjects and clinical sites and measures to ensure that data from clinical trials that may be disrupted as a result of the pandemic are collected pursuant to the study protocol and consistent with GCPs, with any material protocol deviation reviewed and approved by the site Institutional Review Board. Subjects who may miss scheduled appointments, any interruption in study drug supply, or other consequences that may result in incomplete data being generated during a clinical trial as a result of the pandemic must be adequately documented and justified. For example, in March 2020, the FDA issued a guidance on conducting clinical trials during the pandemic, which describe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7"/>
          <w:szCs w:val="17"/>
          <w:i w:val="1"/>
          <w:iCs w:val="1"/>
          <w:color w:val="auto"/>
        </w:rPr>
        <w:t>e.g.</w:t>
      </w:r>
      <w:r>
        <w:rPr>
          <w:rFonts w:ascii="Arial" w:cs="Arial" w:eastAsia="Arial" w:hAnsi="Arial"/>
          <w:sz w:val="17"/>
          <w:szCs w:val="17"/>
          <w:color w:val="auto"/>
        </w:rPr>
        <w:t>, participant discontinuation from investigational product and/or study, alternative procedures used to collect critical safety and/or efficacy data) on the safety and efficacy results reported for the trial.</w:t>
      </w:r>
    </w:p>
    <w:p>
      <w:pPr>
        <w:spacing w:after="0" w:line="152" w:lineRule="exact"/>
        <w:rPr>
          <w:sz w:val="20"/>
          <w:szCs w:val="20"/>
          <w:color w:val="auto"/>
        </w:rPr>
      </w:pPr>
    </w:p>
    <w:p>
      <w:pPr>
        <w:jc w:val="both"/>
        <w:ind w:left="120" w:right="380"/>
        <w:spacing w:after="0" w:line="238" w:lineRule="auto"/>
        <w:rPr>
          <w:sz w:val="20"/>
          <w:szCs w:val="20"/>
          <w:color w:val="auto"/>
        </w:rPr>
      </w:pPr>
      <w:r>
        <w:rPr>
          <w:rFonts w:ascii="Arial" w:cs="Arial" w:eastAsia="Arial" w:hAnsi="Arial"/>
          <w:sz w:val="17"/>
          <w:szCs w:val="17"/>
          <w:color w:val="auto"/>
        </w:rPr>
        <w:t>The global outbreak of COVID-19 continues to rapidly evolve.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47"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this section and in this “Risk Factors” section.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experience disruptions and delays or incur financial damages as a result of system failures or security breaches.</w:t>
      </w:r>
    </w:p>
    <w:p>
      <w:pPr>
        <w:spacing w:after="0" w:line="176"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or our third-party service providers are vulnerable to damage from computer viruses, unauthorized access, natural disasters, terrorism, war and telecommunication and electrical failure. Any system failure, accident or security breach that causes interruptions in our own or in third-party service providers’ operations could result in a material disruption of our drug discovery and development programs. A system failure or security breach that causes the loss of clinical trial</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data from completed or future clinical trials could result in delays in our regulatory approval efforts and significantly increase our costs in order to recover or reproduce the lost data. In addition, to the extent that any disruption or security breach results in a loss or damage to our data or applications or inappropriate disclosure of confidential or proprietary information, including personal information related to the subjects in our clinical trial, we may incur liability as a result, our drug discovery programs and competitive position may be adversely affected and further development of our product candidates may be delayed. Any such disruption, failure or security breach could also cause us to incur additional costs to remedy the damages that arise from such disruption, failure or security breach.</w:t>
      </w:r>
    </w:p>
    <w:p>
      <w:pPr>
        <w:spacing w:after="0" w:line="14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29"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14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may seek to enter into collaborations, licenses and other similar arrangements for the development or commercialization of our product candidates, due to capital costs required to develop or commercialize the product candidate in such markets.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15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Even if we are successful in our efforts to establish such collaborations, the terms that we agree upon may not be favorable to us, and we may not be able to maintain such collaborations if, for example, development or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acquire businesses or assets and we may not realize the benefits of such acquisitions.</w:t>
      </w:r>
    </w:p>
    <w:p>
      <w:pPr>
        <w:spacing w:after="0" w:line="176"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7"/>
          <w:szCs w:val="17"/>
          <w:color w:val="auto"/>
        </w:rPr>
        <w:t>We may acquire businesses or assets or create joint ventures with third parties that we believe may complement our existing product candidates. We may not be able to realize the benefit of acquiring such businesses or joint ventures if we are not able to successfully integrate them with our existing operations and company culture. We may encounter difficulties in developing, manufacturing and marketing any new product candidates resulting from an acquisition or that delay or prevent us from realizing their expected benefits.</w:t>
      </w:r>
    </w:p>
    <w:p>
      <w:pPr>
        <w:spacing w:after="0" w:line="14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Also, the anticipated benefit of any joint venture or acquisition may not materialize or such joint venture or acquisition may be prohibited. The Loan Agreement which governs our term loan limits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28" w:lineRule="exact"/>
        <w:rPr>
          <w:sz w:val="20"/>
          <w:szCs w:val="20"/>
          <w:color w:val="auto"/>
        </w:rPr>
      </w:pPr>
    </w:p>
    <w:p>
      <w:pPr>
        <w:jc w:val="both"/>
        <w:ind w:left="120" w:right="60"/>
        <w:spacing w:after="0" w:line="249" w:lineRule="auto"/>
        <w:rPr>
          <w:sz w:val="20"/>
          <w:szCs w:val="20"/>
          <w:color w:val="auto"/>
        </w:rPr>
      </w:pPr>
      <w:r>
        <w:rPr>
          <w:rFonts w:ascii="Arial" w:cs="Arial" w:eastAsia="Arial" w:hAnsi="Arial"/>
          <w:sz w:val="17"/>
          <w:szCs w:val="17"/>
          <w:b w:val="1"/>
          <w:bCs w:val="1"/>
          <w:i w:val="1"/>
          <w:iCs w:val="1"/>
          <w:color w:val="auto"/>
        </w:rPr>
        <w:t>The terms of our Loan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4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The loans under the Loan Agreement are secured by substantially all of our assets, except our intellectual property, which is the subject of a negative pledge. The $6.0 million in term loans under the Loan Agreement bear interest at a floating per annum interest rate equal to the greater of 7.0% or 2.0% plus the prime rate as reported in The Wall Street Journal. We are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4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Loan Agreement contains customary affirmative and negative covenants, indemnification provisions and events of default. The affirmative covenants include, among others, covenants requiring us and our subsidiaries to maintain legal existence and good standing, deliver certain financial reports, keep inventory in good and marketable condition, timely file tax returns and reports, maintain insurance, maintain operating accounts and maintain certain intellectual property rights. The negative covenants include, among others, restrictions on transferring or licensing our assets, changing our business, engaging in mergers or acquisitions, incurring additional indebtedness, paying dividends or making other distributions and creating other liens on our assets, in each case subject to customary exceptions.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080"/>
          </w:cols>
          <w:pgMar w:left="32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Lenders could declare a default under the Loan Agreement upon the occurrence of any event that the Lenders interpret as a material adverse change as defined under the Loan Agreement,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76" w:lineRule="exact"/>
        <w:rPr>
          <w:sz w:val="20"/>
          <w:szCs w:val="20"/>
          <w:color w:val="auto"/>
        </w:rPr>
      </w:pPr>
    </w:p>
    <w:p>
      <w:pPr>
        <w:ind w:left="120" w:right="180"/>
        <w:spacing w:after="0" w:line="232" w:lineRule="auto"/>
        <w:rPr>
          <w:sz w:val="20"/>
          <w:szCs w:val="20"/>
          <w:color w:val="auto"/>
        </w:rPr>
      </w:pPr>
      <w:r>
        <w:rPr>
          <w:rFonts w:ascii="Arial" w:cs="Arial" w:eastAsia="Arial" w:hAnsi="Arial"/>
          <w:sz w:val="17"/>
          <w:szCs w:val="17"/>
          <w:color w:val="auto"/>
        </w:rPr>
        <w:t>Under the U.S. Internal Revenue Code of 1986, as amended, if a corporation undergoes an “ownership change” (generally defined as a greater than 50 percentage points change (by value) in the ownership of its equity over a rolling three-year period), the corporation’s ability to use</w:t>
      </w:r>
    </w:p>
    <w:p>
      <w:pPr>
        <w:ind w:left="120"/>
        <w:spacing w:after="0" w:line="235" w:lineRule="auto"/>
        <w:rPr>
          <w:sz w:val="20"/>
          <w:szCs w:val="20"/>
          <w:color w:val="auto"/>
        </w:rPr>
      </w:pPr>
      <w:r>
        <w:rPr>
          <w:rFonts w:ascii="Arial" w:cs="Arial" w:eastAsia="Arial" w:hAnsi="Arial"/>
          <w:sz w:val="17"/>
          <w:szCs w:val="17"/>
          <w:color w:val="auto"/>
        </w:rPr>
        <w:t>its pre-change net operating loss carryforwards and other pre-change tax attributes to offset its post-change income and taxes may be limited. We may have experienced such ownership changes in the past, and we may experience ownership changes in the future as a result of this offering or subsequent shifts in our stock ownership, some of which are outside our control. As of December 31, 2019, we had net operating loss carryforwards for U.S. state income tax purposes of approximately $30.9 million, and our ability to utilize those net operating loss carryforwards could be limited by an “ownership change” as described above, which could result in increased tax liability to our company.</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As of December 31, 2019, we had Irish net operating loss carryforwards of approximately $4.0 million. These Irish net operating loss carryforwards do not expire but may not be fully utilized unless we generate sufficient income in Ireland. Under Irish law, where a company makes a loss in its trade, it can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this initial public offering and subsequent movements in our share ownership.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73"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125"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Prior to this offering, no market for shares of our common stock existed and an active trading market for our shares may never develop or be sustained following this offering.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The initial public offering price of our common stock will be determined through negotiations between us and the underwriters. The initial public offering price may not be indicative of the market price of our common stock after the offering and the market value of our common stock may decrease from the initial public offering price. Any inactive trading market for our common stock may also impair our ability to raise capital to</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continue to fund our operations by selling shares and may impair our ability to acquire other companies or technologies by using our shares as consideration.</w:t>
      </w:r>
    </w:p>
    <w:p>
      <w:pPr>
        <w:spacing w:after="0" w:line="124"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b w:val="1"/>
          <w:bCs w:val="1"/>
          <w:i w:val="1"/>
          <w:iCs w:val="1"/>
          <w:color w:val="auto"/>
        </w:rPr>
        <w:t>Investors in this offering will pay a much higher price than the book value of our common stock and therefore you will incur immediate and substantial dilution of your investment.</w:t>
      </w:r>
    </w:p>
    <w:p>
      <w:pPr>
        <w:spacing w:after="0" w:line="125" w:lineRule="exact"/>
        <w:rPr>
          <w:sz w:val="20"/>
          <w:szCs w:val="20"/>
          <w:color w:val="auto"/>
        </w:rPr>
      </w:pPr>
    </w:p>
    <w:p>
      <w:pPr>
        <w:ind w:left="120" w:right="420"/>
        <w:spacing w:after="0" w:line="232" w:lineRule="auto"/>
        <w:rPr>
          <w:sz w:val="20"/>
          <w:szCs w:val="20"/>
          <w:color w:val="auto"/>
        </w:rPr>
      </w:pPr>
      <w:r>
        <w:rPr>
          <w:rFonts w:ascii="Arial" w:cs="Arial" w:eastAsia="Arial" w:hAnsi="Arial"/>
          <w:sz w:val="17"/>
          <w:szCs w:val="17"/>
          <w:color w:val="auto"/>
        </w:rPr>
        <w:t>The initial public offering price will be substantially higher than the net tangible book value per common share based on the total value of our tangible assets less our total liabilities immediately following this offering. Therefore, if you purchase common stock in this offering, you will</w:t>
      </w:r>
    </w:p>
    <w:p>
      <w:pPr>
        <w:ind w:left="120"/>
        <w:spacing w:after="0" w:line="232" w:lineRule="auto"/>
        <w:rPr>
          <w:sz w:val="20"/>
          <w:szCs w:val="20"/>
          <w:color w:val="auto"/>
        </w:rPr>
      </w:pPr>
      <w:r>
        <w:rPr>
          <w:rFonts w:ascii="Arial" w:cs="Arial" w:eastAsia="Arial" w:hAnsi="Arial"/>
          <w:sz w:val="17"/>
          <w:szCs w:val="17"/>
          <w:color w:val="auto"/>
        </w:rPr>
        <w:t>experience immediate and substantial dilution of approximately $ per share, representing the difference between our pro forma as adjusted net tangible book value per share after giving effect to this offering at an assumed initial public offering price of $ per share, the midpoint of the price range set forth on the cover page of this prospectus. As of 2020, we had outstanding stock options to purchase shares of our common stock, some of which have exercise prices below the assumed initial public offering price. In addition, following this offering, purchasers in this offering will have contributed approximately % of the total gross consideration paid by stockholders to us to purchase shares of our common stock, but will own only approximately % of the shares of common stock outstanding immediately after this</w:t>
      </w:r>
    </w:p>
    <w:p>
      <w:pPr>
        <w:ind w:left="120" w:right="160"/>
        <w:spacing w:after="0" w:line="238" w:lineRule="auto"/>
        <w:rPr>
          <w:sz w:val="20"/>
          <w:szCs w:val="20"/>
          <w:color w:val="auto"/>
        </w:rPr>
      </w:pPr>
      <w:r>
        <w:rPr>
          <w:rFonts w:ascii="Arial" w:cs="Arial" w:eastAsia="Arial" w:hAnsi="Arial"/>
          <w:sz w:val="17"/>
          <w:szCs w:val="17"/>
          <w:color w:val="auto"/>
        </w:rPr>
        <w:t>offering. Furthermore, if the underwriters exercise their option to purchase additional shares, or outstanding options and warrants are exercised, you could experience further dilution. For a further description of the dilution that you will experience immediately after this offering, see the section titled “Dilution.”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price of our stock may be volatile, and you could lose all or part of your investment.</w:t>
      </w:r>
    </w:p>
    <w:p>
      <w:pPr>
        <w:spacing w:after="0" w:line="176"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You should consider an investment in our common stock as risky and invest only if you can withstand a significant loss and wide fluctuations in the market value of your investment. You may be unable to sell your common stock at or above the initial public offering price due to fluctuations in the market price of our common stock arising from changes in our operating performance or prospects. In addition, the stock market has recently experienced significant volatility, particularly with respect to biotechnology and other life sciences company stocks. The volatility of biotechnology and other life sciences company stocks often does not relate to the operating performance of the companies represented by the stock. Some of the factors that may cause the market price of our common stock to fluctuate or decrease below the price paid in this offering include:</w:t>
      </w:r>
    </w:p>
    <w:p>
      <w:pPr>
        <w:spacing w:after="0" w:line="191" w:lineRule="exact"/>
        <w:rPr>
          <w:sz w:val="20"/>
          <w:szCs w:val="20"/>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results and timing of our preclinical studies and clinical trials and studies and trials of our competitors;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failure or discontinuation of any of our development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issues in manufacturing our product candidates or any future approved products;</w:t>
      </w:r>
    </w:p>
    <w:p>
      <w:pPr>
        <w:spacing w:after="0" w:line="34"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regulatory developments or enforcement in the United States and foreign countries with respect to our product candidates or our competitors’ products;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competition from existing products or new products that may emerge;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our growth and development relative to our competitors;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developments or disputes concerning patents or other proprietary rights;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introduction of new product candidates or technological innovations by us or our competitors;</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announcements by us, our future strategic partners or our competitors of significant acquisitions, strategic partnerships, joint ventures or capital commitments;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estimates or recommendations by securities analysts, if any cover our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fluctuations in the valuation of companies perceived by investors to be comparable to us;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public concern over our product candidates or any future approved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litigation;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future sales of our common stock by us, our insiders or our other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expiration of market stand-off or lock-up agreements;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share price and volume fluctuations attributable to inconsistent trading volume levels of our 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additions or departures of key personnel;</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changes in the structure of health care payment systems in the United States or overseas;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failure of any of our product candidates, if approved, to achieve commercial success;</w:t>
      </w:r>
    </w:p>
    <w:p>
      <w:pPr>
        <w:spacing w:after="0" w:line="34" w:lineRule="exact"/>
        <w:rPr>
          <w:rFonts w:ascii="MS PGothic" w:cs="MS PGothic" w:eastAsia="MS PGothic" w:hAnsi="MS PGothic"/>
          <w:sz w:val="13"/>
          <w:szCs w:val="13"/>
          <w:color w:val="auto"/>
        </w:rPr>
      </w:pPr>
    </w:p>
    <w:p>
      <w:pPr>
        <w:ind w:left="980" w:right="80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economic and other external factors such as macroeconomic, disasters, crises or health matters, including the impact of the COVID-19 pandemic;</w:t>
      </w:r>
    </w:p>
    <w:p>
      <w:pPr>
        <w:spacing w:after="0" w:line="22" w:lineRule="exact"/>
        <w:rPr>
          <w:rFonts w:ascii="MS PGothic" w:cs="MS PGothic" w:eastAsia="MS PGothic" w:hAnsi="MS PGothic"/>
          <w:sz w:val="13"/>
          <w:szCs w:val="13"/>
          <w:color w:val="auto"/>
        </w:rPr>
      </w:pPr>
    </w:p>
    <w:p>
      <w:pPr>
        <w:ind w:left="980" w:right="2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period-to-period fluctuations in our financial condition and results of operations, including the timing of payment or receipt of any future milestone or other payments under commercialization or licensing agreements;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announcements or expectations of additional financing efforts;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overall fluctuations in U.S. equity markets, general market conditions and market conditions for biotechnology stocks;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other factors that may be unanticipated or out of our control.</w:t>
      </w:r>
    </w:p>
    <w:p>
      <w:pPr>
        <w:spacing w:after="0" w:line="156"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147"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24" w:lineRule="exact"/>
        <w:rPr>
          <w:sz w:val="20"/>
          <w:szCs w:val="20"/>
          <w:color w:val="auto"/>
        </w:rPr>
      </w:pPr>
    </w:p>
    <w:p>
      <w:pPr>
        <w:ind w:left="120" w:right="440"/>
        <w:spacing w:after="0" w:line="267" w:lineRule="auto"/>
        <w:rPr>
          <w:sz w:val="20"/>
          <w:szCs w:val="20"/>
          <w:color w:val="auto"/>
        </w:rPr>
      </w:pPr>
      <w:r>
        <w:rPr>
          <w:rFonts w:ascii="Arial" w:cs="Arial" w:eastAsia="Arial" w:hAnsi="Arial"/>
          <w:sz w:val="17"/>
          <w:szCs w:val="17"/>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25"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50"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after the closing of this offering, our underlying stock price and stock price volatility, the magnitude of the expense that we must recognize may vary significantly.</w:t>
      </w:r>
    </w:p>
    <w:p>
      <w:pPr>
        <w:spacing w:after="0" w:line="149"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Furthermore, our operating results may fluctuate due to a variety of other factors, many of which are outside of our control and may be difficult to predict, including the following:</w:t>
      </w:r>
    </w:p>
    <w:p>
      <w:pPr>
        <w:spacing w:after="0" w:line="185" w:lineRule="exact"/>
        <w:rPr>
          <w:sz w:val="20"/>
          <w:szCs w:val="20"/>
          <w:color w:val="auto"/>
        </w:rPr>
      </w:pPr>
    </w:p>
    <w:p>
      <w:pPr>
        <w:ind w:left="980" w:right="180" w:hanging="432"/>
        <w:spacing w:after="0" w:line="243"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ability to enroll subjects in clinical trials and the timing of enrollment;</w:t>
      </w:r>
    </w:p>
    <w:p>
      <w:pPr>
        <w:spacing w:after="0" w:line="34"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expenditures that we will or may incur to acquire or develop additional product candidates and technologies or other assets;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the timing and outcomes of clinical trials for ALX148, and any of our other product candidates, or competing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the need to conduct unanticipated clinical trials or trials that are larger or more complex than anticipated;</w:t>
      </w:r>
    </w:p>
    <w:p>
      <w:pPr>
        <w:spacing w:after="0" w:line="34"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competition from existing and potential future products that compete with ALX148 and any of our other product candidates, and changes in the competitive landscape of our industry, including consolidation among our competitors or partners;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any delays in regulatory review or approval of ALX148 or any of our other product candidates;</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level of demand for ALX148 and any of our other product candidates, if approved, which may fluctuate significantly and be difficult to predict;</w:t>
      </w:r>
    </w:p>
    <w:p>
      <w:pPr>
        <w:spacing w:after="0" w:line="22"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risk/benefit profile, cost and reimbursement policies with respect to our product candidates, if approved, and existing and potential future products that compete with ALX148 and any of our other product candidates;</w:t>
      </w:r>
    </w:p>
    <w:p>
      <w:pPr>
        <w:spacing w:after="0" w:line="22" w:lineRule="exact"/>
        <w:rPr>
          <w:rFonts w:ascii="MS PGothic" w:cs="MS PGothic" w:eastAsia="MS PGothic" w:hAnsi="MS PGothic"/>
          <w:sz w:val="13"/>
          <w:szCs w:val="13"/>
          <w:color w:val="auto"/>
        </w:rPr>
      </w:pPr>
    </w:p>
    <w:p>
      <w:pPr>
        <w:ind w:left="980" w:right="36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ability to commercialize ALX148 and any of our other product candidates, if approved, inside and outside of the United States, either independently or working with third parties;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ability to establish and maintain collaborations, licensing or other arrangements;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ability to adequately support future growth;</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potential unforeseen business disruptions that increase our costs or expenses;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future accounting pronouncements or changes in our accounting policies;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COVID-19 pandemic;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changing and volatile global economic and political environment.</w:t>
      </w:r>
    </w:p>
    <w:p>
      <w:pPr>
        <w:spacing w:after="0" w:line="156"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176"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 After this offering and after giving</w:t>
      </w:r>
    </w:p>
    <w:p>
      <w:pPr>
        <w:ind w:left="120" w:right="140"/>
        <w:spacing w:after="0" w:line="232" w:lineRule="auto"/>
        <w:rPr>
          <w:sz w:val="20"/>
          <w:szCs w:val="20"/>
          <w:color w:val="auto"/>
        </w:rPr>
      </w:pPr>
      <w:r>
        <w:rPr>
          <w:rFonts w:ascii="Arial" w:cs="Arial" w:eastAsia="Arial" w:hAnsi="Arial"/>
          <w:sz w:val="17"/>
          <w:szCs w:val="17"/>
          <w:color w:val="auto"/>
        </w:rPr>
        <w:t>effect to the automatic conversion of all outstanding shares of our convertible preferred stock into shares of our common stock immediately prior to the completion of this offering, we will have shares of common stock outstanding based on shares of our common stock outstanding as of , 2020. Of these shares, the shares we are selling in this offering may be resold in the public market immediately, unless purchased by our affiliates. The remaining shares, or % of our outstanding shares after this offering, are</w:t>
      </w:r>
    </w:p>
    <w:p>
      <w:pPr>
        <w:ind w:left="120"/>
        <w:spacing w:after="0" w:line="234" w:lineRule="auto"/>
        <w:rPr>
          <w:sz w:val="20"/>
          <w:szCs w:val="20"/>
          <w:color w:val="auto"/>
        </w:rPr>
      </w:pPr>
      <w:r>
        <w:rPr>
          <w:rFonts w:ascii="Arial" w:cs="Arial" w:eastAsia="Arial" w:hAnsi="Arial"/>
          <w:sz w:val="17"/>
          <w:szCs w:val="17"/>
          <w:color w:val="auto"/>
        </w:rPr>
        <w:t>currently prohibited without the permission of the underwriters or otherwise restricted under securities laws, market standoff agreements entered into by our stockholders with us or lock-up agreements entered into by our directors, officers and stockholders with the underwriters. However, subject to applicable securities law restrictions and excluding shares of restricted stock that will remain unvested, these shares will be able to be sold in the public market beginning after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Securities Act. See the section titled “Shares Eligible for Future Sale” for additional information.</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Moreover, after this offering, holders of an aggregate of shares of our common stock will have rights, subject to conditions, to require us to file registration statements covering their shares or to include their shares in registration statements that we may file for ourselves or other stockholders. We also plan to register all shares of common stock that we may issue under our equity compensation plans. Once we register these shares, they can be freely sold in the public market upon issuance and once vested, subject to volume limitations applicable to affiliates and the lock-up agreements described in the section titled “Underwriting.” If any of these additional shares are sold, or if it is perceived that they will be sold, in the public market, the market price of our common stock could decline.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Our executive officers, directors and the holders of substantially all of our capital stock and securities convertible into or exchangeable for our capital stock have entered into market stand-off agreements with us and lock-up agreements with the underwriters under which they have agreed, subject to specific exceptions described in the section titled “Underwriting,” not to sell, directly or indirectly, any shares of common stock without the permission of Jefferies LLC, Credit Suisse Securities (USA) LLC and Piper Sandler &amp; Co. for a period of 180 days following the date of this prospectus. We refer to such period as the lock-up period. When the lock-up period expires, we and our securityholders subject to</w:t>
      </w:r>
    </w:p>
    <w:p>
      <w:pPr>
        <w:ind w:left="120" w:right="60"/>
        <w:spacing w:after="0" w:line="232" w:lineRule="auto"/>
        <w:rPr>
          <w:sz w:val="20"/>
          <w:szCs w:val="20"/>
          <w:color w:val="auto"/>
        </w:rPr>
      </w:pPr>
      <w:r>
        <w:rPr>
          <w:rFonts w:ascii="Arial" w:cs="Arial" w:eastAsia="Arial" w:hAnsi="Arial"/>
          <w:sz w:val="17"/>
          <w:szCs w:val="17"/>
          <w:color w:val="auto"/>
        </w:rPr>
        <w:t>a lock-up agreement or market stand-off agreement will be able to sell our shares in the public market. In addition, the underwriters may, in their sole discretion, release all or some portion of the shares subject to lock-up agreements at any time and for any reason. See the description of the market stand-off agreement with us and the lock-up agreement with the underwriters in the section of this prospectus titled “Shares Eligible for Future Sale” for additional information. Sales of a substantial number of such shares upon expiration of the lock-up and</w:t>
      </w:r>
    </w:p>
    <w:p>
      <w:pPr>
        <w:ind w:left="120"/>
        <w:spacing w:after="0" w:line="243" w:lineRule="auto"/>
        <w:rPr>
          <w:sz w:val="20"/>
          <w:szCs w:val="20"/>
          <w:color w:val="auto"/>
        </w:rPr>
      </w:pPr>
      <w:r>
        <w:rPr>
          <w:rFonts w:ascii="Arial" w:cs="Arial" w:eastAsia="Arial" w:hAnsi="Arial"/>
          <w:sz w:val="17"/>
          <w:szCs w:val="17"/>
          <w:color w:val="auto"/>
        </w:rPr>
        <w:t>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124"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share price and trading volume could decline.</w:t>
      </w:r>
    </w:p>
    <w:p>
      <w:pPr>
        <w:spacing w:after="0" w:line="125"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trading market for our common stock is expected to depend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will incur significant increased costs and management resources as a result of operating as a public company.</w:t>
      </w:r>
    </w:p>
    <w:p>
      <w:pPr>
        <w:spacing w:after="0" w:line="176"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For example, in anticipation of becoming a public company, we will need to adopt additional internal controls and disclosure controls and procedures, retain a transfer agent and adopt an insider trading policy. As a public company, we will bear all of the internal and external costs of preparing and distributing periodic public reports in compliance with our obligations under the securities laws.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addition, we anticipate implementing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in the future, we may be limited in our ability to convert any business that we acquire to the ERP. Any disruptions or difficulties in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15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Sarbanes-Oxley Act, or SOX, and the related rules and regulations implemented by the SEC and the Nasdaq Stock Market LLC, or Nasdaq,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this offering, we intend to increase our directors’ and officers’ insurance coverage, which will</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7"/>
          <w:szCs w:val="17"/>
          <w:color w:val="auto"/>
        </w:rPr>
        <w:t>increase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29" w:lineRule="exact"/>
        <w:rPr>
          <w:sz w:val="20"/>
          <w:szCs w:val="20"/>
          <w:color w:val="auto"/>
        </w:rPr>
      </w:pPr>
    </w:p>
    <w:p>
      <w:pPr>
        <w:ind w:left="120" w:right="360"/>
        <w:spacing w:after="0" w:line="267"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comply with the auditor attestation requirements of Section 404(b),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completion of this offering, although, if we have more than $1.07 billion in annual revenue, if the market value of our common stock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stock less attractive if we choose to rely on these exemptions. In addition, the JOBS Act provides that an emerging growth company can take advantage of an extended transition period for complying with new or revised accounting standards. We have elected to use this extended transition period. As a result, our consolidated financial statements may not be comparable to companies that comply with the new or revised accounting standards as of public company effective dates. If some investors find our common stock less attractive as a result of any of our reliance on these exemptions, there may be a less active trading market for our common stock and our share price may be more volatile.</w:t>
      </w:r>
    </w:p>
    <w:p>
      <w:pPr>
        <w:spacing w:after="0" w:line="131"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Our management team will have broad discretion to use the net proceeds from this offering and its investment of these proceeds may not yield a favorable return.</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management team will have broad discretion in the application of the net proceeds from this offering and could spend or invest the proceeds in ways with which our stockholders disagree.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and royalties on sales of any future approved product. Accordingly, we will have broad discretion in using these proceeds. Until the net proceeds are used, they may be placed in investments that do not produce significant income or that may lose.</w:t>
      </w:r>
    </w:p>
    <w:p>
      <w:pPr>
        <w:spacing w:after="0" w:line="129"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125" w:lineRule="exact"/>
        <w:rPr>
          <w:sz w:val="20"/>
          <w:szCs w:val="20"/>
          <w:color w:val="auto"/>
        </w:rPr>
      </w:pPr>
    </w:p>
    <w:p>
      <w:pPr>
        <w:ind w:left="120" w:right="40"/>
        <w:spacing w:after="0" w:line="232" w:lineRule="auto"/>
        <w:rPr>
          <w:sz w:val="20"/>
          <w:szCs w:val="20"/>
          <w:color w:val="auto"/>
        </w:rPr>
      </w:pPr>
      <w:r>
        <w:rPr>
          <w:rFonts w:ascii="Arial" w:cs="Arial" w:eastAsia="Arial" w:hAnsi="Arial"/>
          <w:sz w:val="17"/>
          <w:szCs w:val="17"/>
          <w:color w:val="auto"/>
        </w:rPr>
        <w:t>Prior to this offering, our executive officers, directors, holders of 5% or more of our capital stock and their respective affiliates beneficially owned approximately 61.6% of our voting stock and, upon the completion of this offering, that same group will beneficially own approximately % of our</w:t>
      </w:r>
    </w:p>
    <w:p>
      <w:pPr>
        <w:ind w:left="120" w:right="40"/>
        <w:spacing w:after="0"/>
        <w:rPr>
          <w:sz w:val="20"/>
          <w:szCs w:val="20"/>
          <w:color w:val="auto"/>
        </w:rPr>
      </w:pPr>
      <w:r>
        <w:rPr>
          <w:rFonts w:ascii="Arial" w:cs="Arial" w:eastAsia="Arial" w:hAnsi="Arial"/>
          <w:sz w:val="17"/>
          <w:szCs w:val="17"/>
          <w:color w:val="auto"/>
        </w:rPr>
        <w:t>outstanding voting stock (based on the number of shares of common stock outstanding as of , 2020, assuming no exercise of the underwriters’ option to purchase additional shares, no exercise of outstanding options and no purchases of shares in this offering by any of this group), in each case assuming the conversion of all outstanding shares of our convertible preferred stock into shares of our common stock immediately prior to the completion of this offering. Further, certain of our directors, executive officers, employees and other persons associated with us have indicated an interest to purchase an aggregate of up to 3% of the common stock in this offering at the initial public offering price in a directed share program. After this offering, this group of stockholders will have the ability to control us through this ownership position even if they do</w:t>
      </w: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31" w:lineRule="exact"/>
        <w:rPr>
          <w:sz w:val="20"/>
          <w:szCs w:val="20"/>
          <w:color w:val="auto"/>
        </w:rPr>
      </w:pPr>
    </w:p>
    <w:p>
      <w:pPr>
        <w:ind w:left="120" w:right="420"/>
        <w:spacing w:after="0" w:line="267" w:lineRule="auto"/>
        <w:rPr>
          <w:sz w:val="20"/>
          <w:szCs w:val="20"/>
          <w:color w:val="auto"/>
        </w:rPr>
      </w:pPr>
      <w:r>
        <w:rPr>
          <w:rFonts w:ascii="Arial" w:cs="Arial" w:eastAsia="Arial" w:hAnsi="Arial"/>
          <w:sz w:val="17"/>
          <w:szCs w:val="17"/>
          <w:b w:val="1"/>
          <w:bCs w:val="1"/>
          <w:i w:val="1"/>
          <w:iCs w:val="1"/>
          <w:color w:val="auto"/>
        </w:rPr>
        <w:t>We do not anticipate paying cash dividends and, accordingly, stockholders must rely on share appreciation for any return on their investment.</w:t>
      </w:r>
    </w:p>
    <w:p>
      <w:pPr>
        <w:spacing w:after="0" w:line="125"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In addition, the Loan Agreement restricts our ability to pay dividends or make other distributions. As a result, capital appreciation, if any, of our common stock will be your sole source of gain on your investment for the foreseeable future. Investors seeking cash dividends should not invest in our common stock.</w:t>
      </w:r>
    </w:p>
    <w:p>
      <w:pPr>
        <w:spacing w:after="0" w:line="130" w:lineRule="exact"/>
        <w:rPr>
          <w:sz w:val="20"/>
          <w:szCs w:val="20"/>
          <w:color w:val="auto"/>
        </w:rPr>
      </w:pPr>
    </w:p>
    <w:p>
      <w:pPr>
        <w:ind w:left="120" w:right="180"/>
        <w:spacing w:after="0" w:line="267"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our common stock in this offering, restrict our operations or require us to relinquish substantial rights.</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34" w:lineRule="exact"/>
        <w:rPr>
          <w:sz w:val="20"/>
          <w:szCs w:val="20"/>
          <w:color w:val="auto"/>
        </w:rPr>
      </w:pPr>
    </w:p>
    <w:p>
      <w:pPr>
        <w:ind w:left="120" w:right="20"/>
        <w:spacing w:after="0" w:line="249"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bylaws that will become effective upon the completion of this offering might discourage, delay or prevent a change in control of our company or changes in our management and, therefore, depress the trading price of our common stock.</w:t>
      </w:r>
    </w:p>
    <w:p>
      <w:pPr>
        <w:spacing w:after="0" w:line="14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Provisions in our amended and restated certificate of incorporation and bylaws that will become effective upon the completion of this offering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will:</w:t>
      </w:r>
    </w:p>
    <w:p>
      <w:pPr>
        <w:spacing w:after="0" w:line="190" w:lineRule="exact"/>
        <w:rPr>
          <w:sz w:val="20"/>
          <w:szCs w:val="20"/>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establish that our board of directors is divided into three classes, with each class serving staggered three-year terms;</w:t>
      </w:r>
    </w:p>
    <w:p>
      <w:pPr>
        <w:spacing w:after="0" w:line="34"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provide that our directors may only be removed for cause;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eliminate cumulative voting in the election of directors;</w:t>
      </w:r>
    </w:p>
    <w:p>
      <w:pPr>
        <w:spacing w:after="0" w:line="34"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authorize our board of directors to issue shares of convertible preferred stock and determine the price and other terms of those shares, including preferences and voting rights, without stockholder approval;</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provide our board of directors with the exclusive right to elect a director to fill a vacancy or newly created directorship;</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permit stockholders to only take actions at a duly called annual or special meeting and not by written consent;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prohibit stockholders from calling a special meeting of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require that stockholders give advance notice to nominate directors or submit proposals for consideration at stockholder meetings;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authorize our board of directors to amend the bylaws; and</w:t>
      </w:r>
    </w:p>
    <w:p>
      <w:pPr>
        <w:spacing w:after="0" w:line="34"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require the affirmative vote of at least 66 2/3% or more of the outstanding shares of common stock to amend many of the provisions described above.</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27"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b w:val="1"/>
          <w:bCs w:val="1"/>
          <w:i w:val="1"/>
          <w:iCs w:val="1"/>
          <w:color w:val="auto"/>
        </w:rPr>
        <w:t>Our amended and restated bylaws that will become effective upon the completion of this offering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43"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Our amended and restated bylaws that will become effective upon the completion of this offering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188" w:lineRule="exact"/>
        <w:rPr>
          <w:sz w:val="20"/>
          <w:szCs w:val="20"/>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any derivative action or proceeding brought on behalf of us;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any action asserting a claim of breach of a fiduciary duty;</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that is governed by the internal affairs doctrine.</w:t>
      </w:r>
    </w:p>
    <w:p>
      <w:pPr>
        <w:spacing w:after="0" w:line="156"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144"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380"/>
        <w:spacing w:after="0" w:line="238" w:lineRule="auto"/>
        <w:rPr>
          <w:sz w:val="20"/>
          <w:szCs w:val="20"/>
          <w:color w:val="auto"/>
        </w:rPr>
      </w:pPr>
      <w:r>
        <w:rPr>
          <w:rFonts w:ascii="Arial" w:cs="Arial" w:eastAsia="Arial" w:hAnsi="Arial"/>
          <w:sz w:val="17"/>
          <w:szCs w:val="17"/>
          <w:color w:val="auto"/>
        </w:rPr>
        <w:t>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27" w:lineRule="exact"/>
        <w:rPr>
          <w:sz w:val="20"/>
          <w:szCs w:val="20"/>
          <w:color w:val="auto"/>
        </w:rPr>
      </w:pPr>
    </w:p>
    <w:p>
      <w:pPr>
        <w:ind w:left="120" w:right="220"/>
        <w:spacing w:after="0" w:line="267"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our remediation measures are not effective, we may not be able to report our financial condition or results of operations accurately or on a timely basis.</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To date, we have never conducted a review of our internal control for the purpose of providing the reports required by SOX. During our review and testing, we may identify deficiencies and be unable to remediate them before we must provide the required reports. In connection with the audit of our consolidated financial statements for each of the years ended December 31, 2018 and December 31, 2019, we and our independent registered public accounting firm identified material weaknesses in our internal control over financial reporting resulting from a lack of sufficient qualified personnel. For the year ended December 31, 2018, the material weaknesses related to (i) independent reviews of journal entries not being performed prior to posting, (ii) account reconciliations not being performed and independently reviewed on a timely basis and (iii) lack of independent review of technical accounting matters. For the year ended in December 31, 2019, (i) and (ii) remained unremediated.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 During the first quarter of 2020, we have undertaken specific remediation actions to address the control deficiencies in our financial reporting. We have established more robust processes related to the review of complex accounting transactions, preparation of account reconciliations and review of journal entries which are outlined elsewhere in this prospectus.</w:t>
      </w:r>
    </w:p>
    <w:p>
      <w:pPr>
        <w:spacing w:after="0" w:line="153"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While we have begun taking measures and plan to continue to take measures to design and implement an effective control environment, we cannot assure you that the measures we have taken to date, and are continuing to implement, will be sufficient to remediate or prevent future material weaknesses. 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29" w:lineRule="exact"/>
        <w:rPr>
          <w:sz w:val="20"/>
          <w:szCs w:val="20"/>
          <w:color w:val="auto"/>
        </w:rPr>
      </w:pPr>
    </w:p>
    <w:p>
      <w:pPr>
        <w:ind w:left="120" w:right="680"/>
        <w:spacing w:after="0" w:line="267"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w:t>
      </w:r>
    </w:p>
    <w:p>
      <w:pPr>
        <w:ind w:left="120"/>
        <w:spacing w:after="0" w:line="232" w:lineRule="auto"/>
        <w:rPr>
          <w:sz w:val="20"/>
          <w:szCs w:val="20"/>
          <w:color w:val="auto"/>
        </w:rPr>
      </w:pPr>
      <w:r>
        <w:rPr>
          <w:rFonts w:ascii="Arial" w:cs="Arial" w:eastAsia="Arial" w:hAnsi="Arial"/>
          <w:sz w:val="17"/>
          <w:szCs w:val="17"/>
          <w:color w:val="auto"/>
        </w:rPr>
        <w:t>controls and procedures, are designed to prevent fraud. Any failure to implement required new or improved controls, or difficulties encountered in</w:t>
      </w:r>
    </w:p>
    <w:p>
      <w:pPr>
        <w:ind w:left="120"/>
        <w:spacing w:after="0" w:line="232" w:lineRule="auto"/>
        <w:rPr>
          <w:sz w:val="20"/>
          <w:szCs w:val="20"/>
          <w:color w:val="auto"/>
        </w:rPr>
      </w:pPr>
      <w:r>
        <w:rPr>
          <w:rFonts w:ascii="Arial" w:cs="Arial" w:eastAsia="Arial" w:hAnsi="Arial"/>
          <w:sz w:val="17"/>
          <w:szCs w:val="17"/>
          <w:color w:val="auto"/>
        </w:rPr>
        <w:t>their implementation, could cause us to fail to meet our reporting obligations. In addition, any testing by us conducted in connection with</w:t>
      </w:r>
    </w:p>
    <w:p>
      <w:pPr>
        <w:ind w:left="120"/>
        <w:spacing w:after="0" w:line="232" w:lineRule="auto"/>
        <w:rPr>
          <w:sz w:val="20"/>
          <w:szCs w:val="20"/>
          <w:color w:val="auto"/>
        </w:rPr>
      </w:pPr>
      <w:r>
        <w:rPr>
          <w:rFonts w:ascii="Arial" w:cs="Arial" w:eastAsia="Arial" w:hAnsi="Arial"/>
          <w:sz w:val="17"/>
          <w:szCs w:val="17"/>
          <w:color w:val="auto"/>
        </w:rPr>
        <w:t>Section 404(a) of SOX or any subsequent testing by our independent registered public accounting firm in connection with Section 404(b) of SOX,</w:t>
      </w:r>
    </w:p>
    <w:p>
      <w:pPr>
        <w:ind w:left="120"/>
        <w:spacing w:after="0" w:line="232" w:lineRule="auto"/>
        <w:rPr>
          <w:sz w:val="20"/>
          <w:szCs w:val="20"/>
          <w:color w:val="auto"/>
        </w:rPr>
      </w:pPr>
      <w:r>
        <w:rPr>
          <w:rFonts w:ascii="Arial" w:cs="Arial" w:eastAsia="Arial" w:hAnsi="Arial"/>
          <w:sz w:val="17"/>
          <w:szCs w:val="17"/>
          <w:color w:val="auto"/>
        </w:rPr>
        <w:t>may reveal deficiencies in our internal controls over financial reporting that are deemed to be significant deficiencies or material weaknesses or</w:t>
      </w:r>
    </w:p>
    <w:p>
      <w:pPr>
        <w:ind w:left="120"/>
        <w:spacing w:after="0" w:line="232" w:lineRule="auto"/>
        <w:rPr>
          <w:sz w:val="20"/>
          <w:szCs w:val="20"/>
          <w:color w:val="auto"/>
        </w:rPr>
      </w:pPr>
      <w:r>
        <w:rPr>
          <w:rFonts w:ascii="Arial" w:cs="Arial" w:eastAsia="Arial" w:hAnsi="Arial"/>
          <w:sz w:val="17"/>
          <w:szCs w:val="17"/>
          <w:color w:val="auto"/>
        </w:rPr>
        <w:t>that may require prospective or retroactive changes to our consolidated financial statements or identify other areas for further attention or</w:t>
      </w:r>
    </w:p>
    <w:p>
      <w:pPr>
        <w:ind w:left="120"/>
        <w:spacing w:after="0" w:line="232" w:lineRule="auto"/>
        <w:rPr>
          <w:sz w:val="20"/>
          <w:szCs w:val="20"/>
          <w:color w:val="auto"/>
        </w:rPr>
      </w:pPr>
      <w:r>
        <w:rPr>
          <w:rFonts w:ascii="Arial" w:cs="Arial" w:eastAsia="Arial" w:hAnsi="Arial"/>
          <w:sz w:val="17"/>
          <w:szCs w:val="17"/>
          <w:color w:val="auto"/>
        </w:rPr>
        <w:t>improvement. As discussed above, we have identified material weaknesses in the past which we are in the process of remedying. However, our</w:t>
      </w:r>
    </w:p>
    <w:p>
      <w:pPr>
        <w:ind w:left="120"/>
        <w:spacing w:after="0" w:line="232" w:lineRule="auto"/>
        <w:rPr>
          <w:sz w:val="20"/>
          <w:szCs w:val="20"/>
          <w:color w:val="auto"/>
        </w:rPr>
      </w:pPr>
      <w:r>
        <w:rPr>
          <w:rFonts w:ascii="Arial" w:cs="Arial" w:eastAsia="Arial" w:hAnsi="Arial"/>
          <w:sz w:val="17"/>
          <w:szCs w:val="17"/>
          <w:color w:val="auto"/>
        </w:rPr>
        <w:t>efforts to remediate previous material weaknesses may not be effective or prevent any future deficiency in our internal control over financial</w:t>
      </w:r>
    </w:p>
    <w:p>
      <w:pPr>
        <w:ind w:left="120"/>
        <w:spacing w:after="0" w:line="232" w:lineRule="auto"/>
        <w:rPr>
          <w:sz w:val="20"/>
          <w:szCs w:val="20"/>
          <w:color w:val="auto"/>
        </w:rPr>
      </w:pPr>
      <w:r>
        <w:rPr>
          <w:rFonts w:ascii="Arial" w:cs="Arial" w:eastAsia="Arial" w:hAnsi="Arial"/>
          <w:sz w:val="17"/>
          <w:szCs w:val="17"/>
          <w:color w:val="auto"/>
        </w:rPr>
        <w:t>reporting. Inferior internal controls could also cause investors to lose confidence in our reported financial information, which could have a negative</w:t>
      </w:r>
    </w:p>
    <w:p>
      <w:pPr>
        <w:ind w:left="120"/>
        <w:spacing w:after="0"/>
        <w:rPr>
          <w:sz w:val="20"/>
          <w:szCs w:val="20"/>
          <w:color w:val="auto"/>
        </w:rPr>
      </w:pPr>
      <w:r>
        <w:rPr>
          <w:rFonts w:ascii="Arial" w:cs="Arial" w:eastAsia="Arial" w:hAnsi="Arial"/>
          <w:sz w:val="17"/>
          <w:szCs w:val="17"/>
          <w:color w:val="auto"/>
        </w:rPr>
        <w:t>effect on the trading price of our common stock.</w:t>
      </w:r>
    </w:p>
    <w:p>
      <w:pPr>
        <w:spacing w:after="0" w:line="156"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In connection with our evaluation of our internal controls over financial reporting, we expect to upgrade our finance and accounting systems and team. If we are unable to accomplish these objectives in a timely and effective manner, our ability to comply with the financial reporting requirements and other rules that apply to reporting companies could be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adversely impacted. Any failure to maintain effective internal control over financial reporting could have a material adverse effect on our business, financial condition and results of operations and the trading price of our common stock.</w:t>
      </w:r>
    </w:p>
    <w:p>
      <w:pPr>
        <w:spacing w:after="0" w:line="144"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50" w:lineRule="exact"/>
        <w:rPr>
          <w:sz w:val="20"/>
          <w:szCs w:val="20"/>
          <w:color w:val="auto"/>
        </w:rPr>
      </w:pPr>
    </w:p>
    <w:p>
      <w:pPr>
        <w:ind w:left="120" w:right="260"/>
        <w:spacing w:after="0" w:line="238" w:lineRule="auto"/>
        <w:rPr>
          <w:sz w:val="20"/>
          <w:szCs w:val="20"/>
          <w:color w:val="auto"/>
        </w:rPr>
      </w:pPr>
      <w:r>
        <w:rPr>
          <w:rFonts w:ascii="Arial" w:cs="Arial" w:eastAsia="Arial" w:hAnsi="Arial"/>
          <w:sz w:val="17"/>
          <w:szCs w:val="17"/>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consolidated financial statement restatements and require us to incur the expense of remediation.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76"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50" w:lineRule="exact"/>
        <w:rPr>
          <w:sz w:val="20"/>
          <w:szCs w:val="20"/>
          <w:color w:val="auto"/>
        </w:rPr>
      </w:pPr>
    </w:p>
    <w:p>
      <w:pPr>
        <w:jc w:val="both"/>
        <w:ind w:left="120" w:right="220"/>
        <w:spacing w:after="0" w:line="236" w:lineRule="auto"/>
        <w:rPr>
          <w:sz w:val="20"/>
          <w:szCs w:val="20"/>
          <w:color w:val="auto"/>
        </w:rPr>
      </w:pPr>
      <w:r>
        <w:rPr>
          <w:rFonts w:ascii="Arial" w:cs="Arial" w:eastAsia="Arial" w:hAnsi="Arial"/>
          <w:sz w:val="17"/>
          <w:szCs w:val="17"/>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29" w:lineRule="exact"/>
        <w:rPr>
          <w:sz w:val="20"/>
          <w:szCs w:val="20"/>
          <w:color w:val="auto"/>
        </w:rPr>
      </w:pPr>
    </w:p>
    <w:p>
      <w:pPr>
        <w:ind w:left="120" w:right="380"/>
        <w:spacing w:after="0" w:line="267" w:lineRule="auto"/>
        <w:rPr>
          <w:sz w:val="20"/>
          <w:szCs w:val="20"/>
          <w:color w:val="auto"/>
        </w:rPr>
      </w:pPr>
      <w:r>
        <w:rPr>
          <w:rFonts w:ascii="Arial" w:cs="Arial" w:eastAsia="Arial" w:hAnsi="Arial"/>
          <w:sz w:val="17"/>
          <w:szCs w:val="17"/>
          <w:b w:val="1"/>
          <w:bCs w:val="1"/>
          <w:i w:val="1"/>
          <w:iCs w:val="1"/>
          <w:color w:val="auto"/>
        </w:rPr>
        <w:t>Participation in this offering by our existing stockholders and/or their affiliated entities may reduce the public float for our common stock.</w:t>
      </w:r>
    </w:p>
    <w:p>
      <w:pPr>
        <w:spacing w:after="0" w:line="125"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30" w:lineRule="exact"/>
        <w:rPr>
          <w:sz w:val="20"/>
          <w:szCs w:val="20"/>
          <w:color w:val="auto"/>
        </w:rPr>
      </w:pPr>
    </w:p>
    <w:p>
      <w:pPr>
        <w:ind w:left="120" w:right="180"/>
        <w:spacing w:after="0" w:line="267" w:lineRule="auto"/>
        <w:rPr>
          <w:sz w:val="20"/>
          <w:szCs w:val="20"/>
          <w:color w:val="auto"/>
        </w:rPr>
      </w:pPr>
      <w:r>
        <w:rPr>
          <w:rFonts w:ascii="Arial" w:cs="Arial" w:eastAsia="Arial" w:hAnsi="Arial"/>
          <w:sz w:val="17"/>
          <w:szCs w:val="17"/>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125"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176"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5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188" w:lineRule="exact"/>
        <w:rPr>
          <w:sz w:val="20"/>
          <w:szCs w:val="20"/>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financial performance;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sufficiency of our existing cash to fund our future operating expenses and capital expenditure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plans relating to commercializing our product candidates, if approved, including the geographic areas of focus and our ability to grow a sales team;</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implementation of our strategic plans for our business and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size of the market opportunity for our product candidates in each of the diseases we target;</w:t>
      </w:r>
    </w:p>
    <w:p>
      <w:pPr>
        <w:spacing w:after="0" w:line="34" w:lineRule="exact"/>
        <w:rPr>
          <w:rFonts w:ascii="MS PGothic" w:cs="MS PGothic" w:eastAsia="MS PGothic" w:hAnsi="MS PGothic"/>
          <w:sz w:val="13"/>
          <w:szCs w:val="13"/>
          <w:color w:val="auto"/>
        </w:rPr>
      </w:pPr>
    </w:p>
    <w:p>
      <w:pPr>
        <w:jc w:val="both"/>
        <w:ind w:left="980" w:right="260" w:hanging="432"/>
        <w:spacing w:after="0" w:line="238"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reliance on third parties to conduct preclinical research activities, and for the manufacture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beneficial characteristics, safety, efficacy and therapeutic effects of our product candidates;</w:t>
      </w:r>
    </w:p>
    <w:p>
      <w:pPr>
        <w:spacing w:after="0" w:line="34"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estimates of the number of patients in the United States who suffer from the diseases we target and the number of subjects that will enroll in our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progress and focus of our current and future clinical trials, and the reporting of data from those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ability to advance product candidates into and successfully complete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ability of our clinical trials to demonstrate the safety and efficacy of our product candidates, and other positive results;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success of competing therapies that are or may become available;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developments relating to our competitors and our industry, including competing product candidates and therapies;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plans relating to the further development and manufacturing of our product candidates, including additional indications that we may pursue;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existing regulations and regulatory developments in the United States and other jurisdictions;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potential and ability to successfully manufacture and supply our product candidates for clinical trials and for commercial use, if approved;</w:t>
      </w:r>
    </w:p>
    <w:p>
      <w:pPr>
        <w:spacing w:after="0" w:line="22" w:lineRule="exact"/>
        <w:rPr>
          <w:rFonts w:ascii="MS PGothic" w:cs="MS PGothic" w:eastAsia="MS PGothic" w:hAnsi="MS PGothic"/>
          <w:sz w:val="13"/>
          <w:szCs w:val="13"/>
          <w:color w:val="auto"/>
        </w:rPr>
      </w:pPr>
    </w:p>
    <w:p>
      <w:pPr>
        <w:ind w:left="980" w:right="28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continued reliance on third parties to conduct additional clinical trials of our product candidates, and for the manufacture of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080"/>
          </w:cols>
          <w:pgMar w:left="32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340" w:hanging="432"/>
        <w:spacing w:after="0" w:line="243" w:lineRule="auto"/>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the scope of protection we are able to establish and maintain for intellectual property rights, including our technology platform and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impact of the COVID-19 pandemic on our business;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period during which we will qualify as an emerging growth company under the JOBS Act;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our anticipated use of our existing cash and cash equivalents and the proceeds from this offering.</w:t>
      </w:r>
    </w:p>
    <w:p>
      <w:pPr>
        <w:spacing w:after="0" w:line="156"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MARKET, INDUSTRY AND OTHER DATA</w:t>
      </w:r>
    </w:p>
    <w:p>
      <w:pPr>
        <w:spacing w:after="0" w:line="33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dataset forth in this prospectus from our internal estimates and research and from academic and industry research, publications, surveys and studies conducted by third parties, including governmental agencies.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020"/>
          </w:cols>
          <w:pgMar w:left="320" w:top="459" w:right="5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estimate that the net proceeds from our issuance and sale of shares of our common stock in this offering will be approximately $</w:t>
      </w:r>
    </w:p>
    <w:p>
      <w:pPr>
        <w:ind w:left="120" w:right="60"/>
        <w:spacing w:after="0" w:line="238" w:lineRule="auto"/>
        <w:rPr>
          <w:sz w:val="20"/>
          <w:szCs w:val="20"/>
          <w:color w:val="auto"/>
        </w:rPr>
      </w:pPr>
      <w:r>
        <w:rPr>
          <w:rFonts w:ascii="Arial" w:cs="Arial" w:eastAsia="Arial" w:hAnsi="Arial"/>
          <w:sz w:val="17"/>
          <w:szCs w:val="17"/>
          <w:color w:val="auto"/>
        </w:rPr>
        <w:t>million, or approximately $ million if the underwriters exercise their option to purchase additional shares in full, based on an initial public offering price of $ per share, which is the midpoint of the price range set forth on the cover page of this prospectus, and after deducting the underwriting discounts and commissions and estimated offering expenses payable by us.</w:t>
      </w:r>
    </w:p>
    <w:p>
      <w:pPr>
        <w:spacing w:after="0" w:line="147" w:lineRule="exact"/>
        <w:rPr>
          <w:sz w:val="20"/>
          <w:szCs w:val="20"/>
          <w:color w:val="auto"/>
        </w:rPr>
      </w:pPr>
    </w:p>
    <w:p>
      <w:pPr>
        <w:ind w:left="120" w:right="180"/>
        <w:spacing w:after="0" w:line="232" w:lineRule="auto"/>
        <w:rPr>
          <w:sz w:val="20"/>
          <w:szCs w:val="20"/>
          <w:color w:val="auto"/>
        </w:rPr>
      </w:pPr>
      <w:r>
        <w:rPr>
          <w:rFonts w:ascii="Arial" w:cs="Arial" w:eastAsia="Arial" w:hAnsi="Arial"/>
          <w:sz w:val="17"/>
          <w:szCs w:val="17"/>
          <w:color w:val="auto"/>
        </w:rPr>
        <w:t>Each $1.00 increase or decrease in the assumed initial public offering price of $ per share would increase or decrease, as applicable, the aggregate net proceeds to us from this offering by approximately $ million, assuming the number of shares offered by us, as set</w:t>
      </w:r>
    </w:p>
    <w:p>
      <w:pPr>
        <w:ind w:left="120" w:right="100"/>
        <w:spacing w:after="0" w:line="232" w:lineRule="auto"/>
        <w:rPr>
          <w:sz w:val="20"/>
          <w:szCs w:val="20"/>
          <w:color w:val="auto"/>
        </w:rPr>
      </w:pPr>
      <w:r>
        <w:rPr>
          <w:rFonts w:ascii="Arial" w:cs="Arial" w:eastAsia="Arial" w:hAnsi="Arial"/>
          <w:sz w:val="17"/>
          <w:szCs w:val="17"/>
          <w:color w:val="auto"/>
        </w:rPr>
        <w:t>forth on the cover page of this prospectus, remains the same and after deducting the underwriting discounts and commissions and estimated offering expenses payable by us. Similarly, each increase or decrease of 1.0 million shares in the number of shares offered by us would increase</w:t>
      </w:r>
    </w:p>
    <w:p>
      <w:pPr>
        <w:ind w:left="120"/>
        <w:spacing w:after="0" w:line="236" w:lineRule="auto"/>
        <w:rPr>
          <w:sz w:val="20"/>
          <w:szCs w:val="20"/>
          <w:color w:val="auto"/>
        </w:rPr>
      </w:pPr>
      <w:r>
        <w:rPr>
          <w:rFonts w:ascii="Arial" w:cs="Arial" w:eastAsia="Arial" w:hAnsi="Arial"/>
          <w:sz w:val="17"/>
          <w:szCs w:val="17"/>
          <w:color w:val="auto"/>
        </w:rPr>
        <w:t>or decrease, as applicable, the net proceeds to us from this offering by approximately $ million, assuming that the assumed initial public offering price remains the same, and after deducting the underwriting discounts and commissions and estimated offering expenses payable by us. We do not expect that a change in the initial public offering price or the number of shares by these amounts would have a material effect on our uses of the proceeds from this offering, although it may change the time at which we will need to seek additional capital.</w:t>
      </w:r>
    </w:p>
    <w:p>
      <w:pPr>
        <w:spacing w:after="0" w:line="149"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The principal purposes of this offering are to obtain additional capital to support our operations, establish a public market for our common stock and facilitate our future access to the public capital markets.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currently intend to use the net proceeds, together with our existing cash and cash equivalents, from the offering as follows:</w:t>
      </w:r>
    </w:p>
    <w:p>
      <w:pPr>
        <w:spacing w:after="0" w:line="177" w:lineRule="exact"/>
        <w:rPr>
          <w:sz w:val="20"/>
          <w:szCs w:val="20"/>
          <w:color w:val="auto"/>
        </w:rPr>
      </w:pPr>
    </w:p>
    <w:tbl>
      <w:tblPr>
        <w:tblLayout w:type="fixed"/>
        <w:tblInd w:w="540" w:type="dxa"/>
        <w:tblCellMar>
          <w:top w:w="0" w:type="dxa"/>
          <w:left w:w="0" w:type="dxa"/>
          <w:bottom w:w="0" w:type="dxa"/>
          <w:right w:w="0" w:type="dxa"/>
        </w:tblCellMar>
      </w:tblPr>
      <w:tr>
        <w:trPr>
          <w:trHeight w:val="208"/>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7"/>
                <w:szCs w:val="17"/>
                <w:color w:val="auto"/>
              </w:rPr>
              <w:t>approximately $</w:t>
            </w:r>
          </w:p>
        </w:tc>
        <w:tc>
          <w:tcPr>
            <w:tcW w:w="1640" w:type="dxa"/>
            <w:vAlign w:val="bottom"/>
          </w:tcPr>
          <w:p>
            <w:pPr>
              <w:ind w:left="420"/>
              <w:spacing w:after="0"/>
              <w:rPr>
                <w:sz w:val="20"/>
                <w:szCs w:val="20"/>
                <w:color w:val="auto"/>
              </w:rPr>
            </w:pPr>
            <w:r>
              <w:rPr>
                <w:rFonts w:ascii="Arial" w:cs="Arial" w:eastAsia="Arial" w:hAnsi="Arial"/>
                <w:sz w:val="17"/>
                <w:szCs w:val="17"/>
                <w:color w:val="auto"/>
              </w:rPr>
              <w:t>million to $</w:t>
            </w:r>
          </w:p>
        </w:tc>
        <w:tc>
          <w:tcPr>
            <w:tcW w:w="6880" w:type="dxa"/>
            <w:vAlign w:val="bottom"/>
          </w:tcPr>
          <w:p>
            <w:pPr>
              <w:ind w:left="400"/>
              <w:spacing w:after="0"/>
              <w:rPr>
                <w:sz w:val="20"/>
                <w:szCs w:val="20"/>
                <w:color w:val="auto"/>
              </w:rPr>
            </w:pPr>
            <w:r>
              <w:rPr>
                <w:rFonts w:ascii="Arial" w:cs="Arial" w:eastAsia="Arial" w:hAnsi="Arial"/>
                <w:sz w:val="17"/>
                <w:szCs w:val="17"/>
                <w:color w:val="auto"/>
              </w:rPr>
              <w:t>million to advance the clinical development of ALX148 through completion of our</w:t>
            </w:r>
          </w:p>
        </w:tc>
      </w:tr>
      <w:tr>
        <w:trPr>
          <w:trHeight w:val="205"/>
        </w:trPr>
        <w:tc>
          <w:tcPr>
            <w:tcW w:w="260" w:type="dxa"/>
            <w:vAlign w:val="bottom"/>
          </w:tcPr>
          <w:p>
            <w:pPr>
              <w:spacing w:after="0"/>
              <w:rPr>
                <w:sz w:val="17"/>
                <w:szCs w:val="17"/>
                <w:color w:val="auto"/>
              </w:rPr>
            </w:pPr>
          </w:p>
        </w:tc>
        <w:tc>
          <w:tcPr>
            <w:tcW w:w="10300" w:type="dxa"/>
            <w:vAlign w:val="bottom"/>
            <w:gridSpan w:val="3"/>
          </w:tcPr>
          <w:p>
            <w:pPr>
              <w:ind w:left="180"/>
              <w:spacing w:after="0"/>
              <w:rPr>
                <w:sz w:val="20"/>
                <w:szCs w:val="20"/>
                <w:color w:val="auto"/>
              </w:rPr>
            </w:pPr>
            <w:r>
              <w:rPr>
                <w:rFonts w:ascii="Arial" w:cs="Arial" w:eastAsia="Arial" w:hAnsi="Arial"/>
                <w:sz w:val="17"/>
                <w:szCs w:val="17"/>
                <w:color w:val="auto"/>
              </w:rPr>
              <w:t>existing Phase 1b clinical trials in HNSCC and gastric/GEJ cancer;</w:t>
            </w: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7"/>
                <w:szCs w:val="17"/>
                <w:color w:val="auto"/>
              </w:rPr>
              <w:t>approximately $</w:t>
            </w:r>
          </w:p>
        </w:tc>
        <w:tc>
          <w:tcPr>
            <w:tcW w:w="1640" w:type="dxa"/>
            <w:vAlign w:val="bottom"/>
          </w:tcPr>
          <w:p>
            <w:pPr>
              <w:ind w:left="420"/>
              <w:spacing w:after="0"/>
              <w:rPr>
                <w:sz w:val="20"/>
                <w:szCs w:val="20"/>
                <w:color w:val="auto"/>
              </w:rPr>
            </w:pPr>
            <w:r>
              <w:rPr>
                <w:rFonts w:ascii="Arial" w:cs="Arial" w:eastAsia="Arial" w:hAnsi="Arial"/>
                <w:sz w:val="17"/>
                <w:szCs w:val="17"/>
                <w:color w:val="auto"/>
              </w:rPr>
              <w:t>million to $</w:t>
            </w:r>
          </w:p>
        </w:tc>
        <w:tc>
          <w:tcPr>
            <w:tcW w:w="6880" w:type="dxa"/>
            <w:vAlign w:val="bottom"/>
          </w:tcPr>
          <w:p>
            <w:pPr>
              <w:ind w:left="400"/>
              <w:spacing w:after="0"/>
              <w:rPr>
                <w:sz w:val="20"/>
                <w:szCs w:val="20"/>
                <w:color w:val="auto"/>
              </w:rPr>
            </w:pPr>
            <w:r>
              <w:rPr>
                <w:rFonts w:ascii="Arial" w:cs="Arial" w:eastAsia="Arial" w:hAnsi="Arial"/>
                <w:sz w:val="17"/>
                <w:szCs w:val="17"/>
                <w:color w:val="auto"/>
              </w:rPr>
              <w:t>million to advance the clinical development of ALX148 through initiation and</w:t>
            </w:r>
          </w:p>
        </w:tc>
      </w:tr>
      <w:tr>
        <w:trPr>
          <w:trHeight w:val="205"/>
        </w:trPr>
        <w:tc>
          <w:tcPr>
            <w:tcW w:w="260" w:type="dxa"/>
            <w:vAlign w:val="bottom"/>
          </w:tcPr>
          <w:p>
            <w:pPr>
              <w:spacing w:after="0"/>
              <w:rPr>
                <w:sz w:val="17"/>
                <w:szCs w:val="17"/>
                <w:color w:val="auto"/>
              </w:rPr>
            </w:pPr>
          </w:p>
        </w:tc>
        <w:tc>
          <w:tcPr>
            <w:tcW w:w="10300" w:type="dxa"/>
            <w:vAlign w:val="bottom"/>
            <w:gridSpan w:val="3"/>
          </w:tcPr>
          <w:p>
            <w:pPr>
              <w:ind w:left="180"/>
              <w:spacing w:after="0"/>
              <w:rPr>
                <w:sz w:val="20"/>
                <w:szCs w:val="20"/>
                <w:color w:val="auto"/>
              </w:rPr>
            </w:pPr>
            <w:r>
              <w:rPr>
                <w:rFonts w:ascii="Arial" w:cs="Arial" w:eastAsia="Arial" w:hAnsi="Arial"/>
                <w:sz w:val="17"/>
                <w:szCs w:val="17"/>
                <w:color w:val="auto"/>
              </w:rPr>
              <w:t>completion of our Phase 1b/2 combination clinical trial in MDS;</w:t>
            </w: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7"/>
                <w:szCs w:val="17"/>
                <w:color w:val="auto"/>
              </w:rPr>
              <w:t>approximately $</w:t>
            </w:r>
          </w:p>
        </w:tc>
        <w:tc>
          <w:tcPr>
            <w:tcW w:w="1640" w:type="dxa"/>
            <w:vAlign w:val="bottom"/>
          </w:tcPr>
          <w:p>
            <w:pPr>
              <w:ind w:left="420"/>
              <w:spacing w:after="0"/>
              <w:rPr>
                <w:sz w:val="20"/>
                <w:szCs w:val="20"/>
                <w:color w:val="auto"/>
              </w:rPr>
            </w:pPr>
            <w:r>
              <w:rPr>
                <w:rFonts w:ascii="Arial" w:cs="Arial" w:eastAsia="Arial" w:hAnsi="Arial"/>
                <w:sz w:val="17"/>
                <w:szCs w:val="17"/>
                <w:color w:val="auto"/>
              </w:rPr>
              <w:t>million to $</w:t>
            </w:r>
          </w:p>
        </w:tc>
        <w:tc>
          <w:tcPr>
            <w:tcW w:w="6880" w:type="dxa"/>
            <w:vAlign w:val="bottom"/>
          </w:tcPr>
          <w:p>
            <w:pPr>
              <w:ind w:left="400"/>
              <w:spacing w:after="0"/>
              <w:rPr>
                <w:sz w:val="20"/>
                <w:szCs w:val="20"/>
                <w:color w:val="auto"/>
              </w:rPr>
            </w:pPr>
            <w:r>
              <w:rPr>
                <w:rFonts w:ascii="Arial" w:cs="Arial" w:eastAsia="Arial" w:hAnsi="Arial"/>
                <w:sz w:val="17"/>
                <w:szCs w:val="17"/>
                <w:color w:val="auto"/>
              </w:rPr>
              <w:t>million to advance the clinical development of ALX148 through initiation and</w:t>
            </w:r>
          </w:p>
        </w:tc>
      </w:tr>
      <w:tr>
        <w:trPr>
          <w:trHeight w:val="205"/>
        </w:trPr>
        <w:tc>
          <w:tcPr>
            <w:tcW w:w="260" w:type="dxa"/>
            <w:vAlign w:val="bottom"/>
          </w:tcPr>
          <w:p>
            <w:pPr>
              <w:spacing w:after="0"/>
              <w:rPr>
                <w:sz w:val="17"/>
                <w:szCs w:val="17"/>
                <w:color w:val="auto"/>
              </w:rPr>
            </w:pPr>
          </w:p>
        </w:tc>
        <w:tc>
          <w:tcPr>
            <w:tcW w:w="10300" w:type="dxa"/>
            <w:vAlign w:val="bottom"/>
            <w:gridSpan w:val="3"/>
          </w:tcPr>
          <w:p>
            <w:pPr>
              <w:ind w:left="180"/>
              <w:spacing w:after="0"/>
              <w:rPr>
                <w:sz w:val="20"/>
                <w:szCs w:val="20"/>
                <w:color w:val="auto"/>
              </w:rPr>
            </w:pPr>
            <w:r>
              <w:rPr>
                <w:rFonts w:ascii="Arial" w:cs="Arial" w:eastAsia="Arial" w:hAnsi="Arial"/>
                <w:sz w:val="17"/>
                <w:szCs w:val="17"/>
                <w:color w:val="auto"/>
              </w:rPr>
              <w:t>completion of our Phase 1b/2 combination clinical trial in AML;</w:t>
            </w: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7"/>
                <w:szCs w:val="17"/>
                <w:color w:val="auto"/>
              </w:rPr>
              <w:t>approximately $</w:t>
            </w:r>
          </w:p>
        </w:tc>
        <w:tc>
          <w:tcPr>
            <w:tcW w:w="1640" w:type="dxa"/>
            <w:vAlign w:val="bottom"/>
          </w:tcPr>
          <w:p>
            <w:pPr>
              <w:ind w:left="420"/>
              <w:spacing w:after="0"/>
              <w:rPr>
                <w:sz w:val="20"/>
                <w:szCs w:val="20"/>
                <w:color w:val="auto"/>
              </w:rPr>
            </w:pPr>
            <w:r>
              <w:rPr>
                <w:rFonts w:ascii="Arial" w:cs="Arial" w:eastAsia="Arial" w:hAnsi="Arial"/>
                <w:sz w:val="17"/>
                <w:szCs w:val="17"/>
                <w:color w:val="auto"/>
              </w:rPr>
              <w:t>million to $</w:t>
            </w:r>
          </w:p>
        </w:tc>
        <w:tc>
          <w:tcPr>
            <w:tcW w:w="6880" w:type="dxa"/>
            <w:vAlign w:val="bottom"/>
          </w:tcPr>
          <w:p>
            <w:pPr>
              <w:ind w:left="400"/>
              <w:spacing w:after="0"/>
              <w:rPr>
                <w:sz w:val="20"/>
                <w:szCs w:val="20"/>
                <w:color w:val="auto"/>
              </w:rPr>
            </w:pPr>
            <w:r>
              <w:rPr>
                <w:rFonts w:ascii="Arial" w:cs="Arial" w:eastAsia="Arial" w:hAnsi="Arial"/>
                <w:sz w:val="17"/>
                <w:szCs w:val="17"/>
                <w:color w:val="auto"/>
                <w:w w:val="99"/>
              </w:rPr>
              <w:t>million for manufacturing activities related to chemistry, manufacturing and controls, or</w:t>
            </w:r>
          </w:p>
        </w:tc>
      </w:tr>
      <w:tr>
        <w:trPr>
          <w:trHeight w:val="205"/>
        </w:trPr>
        <w:tc>
          <w:tcPr>
            <w:tcW w:w="260" w:type="dxa"/>
            <w:vAlign w:val="bottom"/>
          </w:tcPr>
          <w:p>
            <w:pPr>
              <w:spacing w:after="0"/>
              <w:rPr>
                <w:sz w:val="17"/>
                <w:szCs w:val="17"/>
                <w:color w:val="auto"/>
              </w:rPr>
            </w:pPr>
          </w:p>
        </w:tc>
        <w:tc>
          <w:tcPr>
            <w:tcW w:w="1780" w:type="dxa"/>
            <w:vAlign w:val="bottom"/>
          </w:tcPr>
          <w:p>
            <w:pPr>
              <w:ind w:left="180"/>
              <w:spacing w:after="0"/>
              <w:rPr>
                <w:sz w:val="20"/>
                <w:szCs w:val="20"/>
                <w:color w:val="auto"/>
              </w:rPr>
            </w:pPr>
            <w:r>
              <w:rPr>
                <w:rFonts w:ascii="Arial" w:cs="Arial" w:eastAsia="Arial" w:hAnsi="Arial"/>
                <w:sz w:val="17"/>
                <w:szCs w:val="17"/>
                <w:color w:val="auto"/>
              </w:rPr>
              <w:t>CMC, activities;</w:t>
            </w:r>
          </w:p>
        </w:tc>
        <w:tc>
          <w:tcPr>
            <w:tcW w:w="1640" w:type="dxa"/>
            <w:vAlign w:val="bottom"/>
          </w:tcPr>
          <w:p>
            <w:pPr>
              <w:spacing w:after="0"/>
              <w:rPr>
                <w:sz w:val="17"/>
                <w:szCs w:val="17"/>
                <w:color w:val="auto"/>
              </w:rPr>
            </w:pPr>
          </w:p>
        </w:tc>
        <w:tc>
          <w:tcPr>
            <w:tcW w:w="6880" w:type="dxa"/>
            <w:vAlign w:val="bottom"/>
          </w:tcPr>
          <w:p>
            <w:pPr>
              <w:spacing w:after="0"/>
              <w:rPr>
                <w:sz w:val="17"/>
                <w:szCs w:val="17"/>
                <w:color w:val="auto"/>
              </w:rPr>
            </w:pP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7"/>
                <w:szCs w:val="17"/>
                <w:color w:val="auto"/>
              </w:rPr>
              <w:t>approximately $</w:t>
            </w:r>
          </w:p>
        </w:tc>
        <w:tc>
          <w:tcPr>
            <w:tcW w:w="1640" w:type="dxa"/>
            <w:vAlign w:val="bottom"/>
          </w:tcPr>
          <w:p>
            <w:pPr>
              <w:ind w:left="420"/>
              <w:spacing w:after="0"/>
              <w:rPr>
                <w:sz w:val="20"/>
                <w:szCs w:val="20"/>
                <w:color w:val="auto"/>
              </w:rPr>
            </w:pPr>
            <w:r>
              <w:rPr>
                <w:rFonts w:ascii="Arial" w:cs="Arial" w:eastAsia="Arial" w:hAnsi="Arial"/>
                <w:sz w:val="17"/>
                <w:szCs w:val="17"/>
                <w:color w:val="auto"/>
              </w:rPr>
              <w:t>million to $</w:t>
            </w:r>
          </w:p>
        </w:tc>
        <w:tc>
          <w:tcPr>
            <w:tcW w:w="6880" w:type="dxa"/>
            <w:vAlign w:val="bottom"/>
          </w:tcPr>
          <w:p>
            <w:pPr>
              <w:ind w:left="400"/>
              <w:spacing w:after="0"/>
              <w:rPr>
                <w:sz w:val="20"/>
                <w:szCs w:val="20"/>
                <w:color w:val="auto"/>
              </w:rPr>
            </w:pPr>
            <w:r>
              <w:rPr>
                <w:rFonts w:ascii="Arial" w:cs="Arial" w:eastAsia="Arial" w:hAnsi="Arial"/>
                <w:sz w:val="17"/>
                <w:szCs w:val="17"/>
                <w:color w:val="auto"/>
              </w:rPr>
              <w:t>million to advance the clinical development of ALX148 through initiation and</w:t>
            </w:r>
          </w:p>
        </w:tc>
      </w:tr>
      <w:tr>
        <w:trPr>
          <w:trHeight w:val="189"/>
        </w:trPr>
        <w:tc>
          <w:tcPr>
            <w:tcW w:w="260" w:type="dxa"/>
            <w:vAlign w:val="bottom"/>
          </w:tcPr>
          <w:p>
            <w:pPr>
              <w:spacing w:after="0"/>
              <w:rPr>
                <w:sz w:val="16"/>
                <w:szCs w:val="16"/>
                <w:color w:val="auto"/>
              </w:rPr>
            </w:pPr>
          </w:p>
        </w:tc>
        <w:tc>
          <w:tcPr>
            <w:tcW w:w="1030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completion of our Phase 2 combination clinical trials in HNSCC and gastric/GEJ cancer or alternative Phase 2 indications if there are</w:t>
            </w:r>
          </w:p>
        </w:tc>
      </w:tr>
      <w:tr>
        <w:trPr>
          <w:trHeight w:val="205"/>
        </w:trPr>
        <w:tc>
          <w:tcPr>
            <w:tcW w:w="260" w:type="dxa"/>
            <w:vAlign w:val="bottom"/>
          </w:tcPr>
          <w:p>
            <w:pPr>
              <w:spacing w:after="0"/>
              <w:rPr>
                <w:sz w:val="17"/>
                <w:szCs w:val="17"/>
                <w:color w:val="auto"/>
              </w:rPr>
            </w:pPr>
          </w:p>
        </w:tc>
        <w:tc>
          <w:tcPr>
            <w:tcW w:w="3420" w:type="dxa"/>
            <w:vAlign w:val="bottom"/>
            <w:gridSpan w:val="2"/>
          </w:tcPr>
          <w:p>
            <w:pPr>
              <w:ind w:left="180"/>
              <w:spacing w:after="0"/>
              <w:rPr>
                <w:sz w:val="20"/>
                <w:szCs w:val="20"/>
                <w:color w:val="auto"/>
              </w:rPr>
            </w:pPr>
            <w:r>
              <w:rPr>
                <w:rFonts w:ascii="Arial" w:cs="Arial" w:eastAsia="Arial" w:hAnsi="Arial"/>
                <w:sz w:val="17"/>
                <w:szCs w:val="17"/>
                <w:color w:val="auto"/>
              </w:rPr>
              <w:t>compelling clinical data; and</w:t>
            </w:r>
          </w:p>
        </w:tc>
        <w:tc>
          <w:tcPr>
            <w:tcW w:w="6880" w:type="dxa"/>
            <w:vAlign w:val="bottom"/>
          </w:tcPr>
          <w:p>
            <w:pPr>
              <w:spacing w:after="0"/>
              <w:rPr>
                <w:sz w:val="17"/>
                <w:szCs w:val="17"/>
                <w:color w:val="auto"/>
              </w:rPr>
            </w:pPr>
          </w:p>
        </w:tc>
      </w:tr>
    </w:tbl>
    <w:p>
      <w:pPr>
        <w:spacing w:after="0" w:line="25" w:lineRule="exact"/>
        <w:rPr>
          <w:sz w:val="20"/>
          <w:szCs w:val="20"/>
          <w:color w:val="auto"/>
        </w:rPr>
      </w:pPr>
    </w:p>
    <w:p>
      <w:pPr>
        <w:ind w:left="980" w:hanging="432"/>
        <w:spacing w:after="0"/>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the remainder for working capital and other general corporate purposes.</w:t>
      </w:r>
    </w:p>
    <w:p>
      <w:pPr>
        <w:spacing w:after="0" w:line="15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expected use of proceeds from this offering represents our current intentions based on our present plans and business condition. As of the date of this prospectus,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48" w:lineRule="exact"/>
        <w:rPr>
          <w:sz w:val="20"/>
          <w:szCs w:val="20"/>
          <w:color w:val="auto"/>
        </w:rPr>
      </w:pPr>
    </w:p>
    <w:p>
      <w:pPr>
        <w:jc w:val="both"/>
        <w:ind w:left="120" w:right="20"/>
        <w:spacing w:after="0" w:line="232" w:lineRule="auto"/>
        <w:rPr>
          <w:sz w:val="20"/>
          <w:szCs w:val="20"/>
          <w:color w:val="auto"/>
        </w:rPr>
      </w:pPr>
      <w:r>
        <w:rPr>
          <w:rFonts w:ascii="Arial" w:cs="Arial" w:eastAsia="Arial" w:hAnsi="Arial"/>
          <w:sz w:val="17"/>
          <w:szCs w:val="17"/>
          <w:color w:val="auto"/>
        </w:rPr>
        <w:t>The net proceeds from this offering, together with our existing cash and cash equivalents, will not be sufficient for us to fund our clinical programs, and we will need to raise additional capital to achieve our business objectives. Based on current business plans, we believe that the net proceeds from this offering, together with our existing cash and cash equivalents, will be sufficient to fund our planned operations for at least the next</w:t>
      </w:r>
    </w:p>
    <w:p>
      <w:pPr>
        <w:ind w:left="920"/>
        <w:spacing w:after="0"/>
        <w:rPr>
          <w:sz w:val="20"/>
          <w:szCs w:val="20"/>
          <w:color w:val="auto"/>
        </w:rPr>
      </w:pPr>
      <w:r>
        <w:rPr>
          <w:rFonts w:ascii="Arial" w:cs="Arial" w:eastAsia="Arial" w:hAnsi="Arial"/>
          <w:sz w:val="17"/>
          <w:szCs w:val="17"/>
          <w:color w:val="auto"/>
        </w:rPr>
        <w:t>months.</w:t>
      </w:r>
    </w:p>
    <w:p>
      <w:pPr>
        <w:spacing w:after="0" w:line="156"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147"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Pending their uses, we plan to invest the net proceeds of this offering in short-term, interest-bearing, investment-grade instruments, certificates of deposit or direct or guaranteed obligations of the U.S. government.</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DIVIDEND POLICY</w:t>
      </w:r>
    </w:p>
    <w:p>
      <w:pPr>
        <w:spacing w:after="0" w:line="33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 In addition, the terms of our Loan Agreement place certain limitations on the amount of cash dividends we can pay.</w:t>
      </w:r>
    </w:p>
    <w:p>
      <w:pPr>
        <w:spacing w:after="0" w:line="14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0900"/>
          </w:cols>
          <w:pgMar w:left="320" w:top="459" w:right="6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our cash and cash equivalents and our capitalization as of March 31, 2020:</w:t>
      </w:r>
    </w:p>
    <w:p>
      <w:pPr>
        <w:spacing w:after="0" w:line="196" w:lineRule="exact"/>
        <w:rPr>
          <w:sz w:val="20"/>
          <w:szCs w:val="20"/>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on an actual basis;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on a pro forma basis to give effect to:</w:t>
      </w:r>
    </w:p>
    <w:p>
      <w:pPr>
        <w:spacing w:after="0" w:line="34" w:lineRule="exact"/>
        <w:rPr>
          <w:rFonts w:ascii="MS PGothic" w:cs="MS PGothic" w:eastAsia="MS PGothic" w:hAnsi="MS PGothic"/>
          <w:sz w:val="13"/>
          <w:szCs w:val="13"/>
          <w:color w:val="auto"/>
        </w:rPr>
      </w:pPr>
    </w:p>
    <w:p>
      <w:pPr>
        <w:ind w:left="1420" w:right="60" w:hanging="427"/>
        <w:spacing w:after="0" w:line="243" w:lineRule="auto"/>
        <w:tabs>
          <w:tab w:leader="none" w:pos="1420" w:val="left"/>
        </w:tabs>
        <w:numPr>
          <w:ilvl w:val="1"/>
          <w:numId w:val="47"/>
        </w:numPr>
        <w:rPr>
          <w:rFonts w:ascii="MS PGothic" w:cs="MS PGothic" w:eastAsia="MS PGothic" w:hAnsi="MS PGothic"/>
          <w:sz w:val="13"/>
          <w:szCs w:val="13"/>
          <w:color w:val="auto"/>
        </w:rPr>
      </w:pPr>
      <w:r>
        <w:rPr>
          <w:rFonts w:ascii="Arial" w:cs="Arial" w:eastAsia="Arial" w:hAnsi="Arial"/>
          <w:sz w:val="17"/>
          <w:szCs w:val="17"/>
          <w:color w:val="auto"/>
        </w:rPr>
        <w:t>the automatic conversion of all of our outstanding shares of convertible preferred stock into an aggregate of 154,917,050 shares of common stock upon the completion of this offering as if such conversion had occurred on March 31, 2020;</w:t>
      </w:r>
    </w:p>
    <w:p>
      <w:pPr>
        <w:spacing w:after="0" w:line="22" w:lineRule="exact"/>
        <w:rPr>
          <w:rFonts w:ascii="MS PGothic" w:cs="MS PGothic" w:eastAsia="MS PGothic" w:hAnsi="MS PGothic"/>
          <w:sz w:val="13"/>
          <w:szCs w:val="13"/>
          <w:color w:val="auto"/>
        </w:rPr>
      </w:pPr>
    </w:p>
    <w:p>
      <w:pPr>
        <w:ind w:left="1420" w:right="140" w:hanging="427"/>
        <w:spacing w:after="0" w:line="236" w:lineRule="auto"/>
        <w:tabs>
          <w:tab w:leader="none" w:pos="1420" w:val="left"/>
        </w:tabs>
        <w:numPr>
          <w:ilvl w:val="1"/>
          <w:numId w:val="47"/>
        </w:numPr>
        <w:rPr>
          <w:rFonts w:ascii="MS PGothic" w:cs="MS PGothic" w:eastAsia="MS PGothic" w:hAnsi="MS PGothic"/>
          <w:sz w:val="13"/>
          <w:szCs w:val="13"/>
          <w:color w:val="auto"/>
        </w:rPr>
      </w:pPr>
      <w:r>
        <w:rPr>
          <w:rFonts w:ascii="Arial" w:cs="Arial" w:eastAsia="Arial" w:hAnsi="Arial"/>
          <w:sz w:val="17"/>
          <w:szCs w:val="17"/>
          <w:color w:val="auto"/>
        </w:rPr>
        <w:t>warrants to purchase an aggregate of 403,348 shares of our convertible preferred stock that were outstanding as of March 31, 2020 that will be converted into warrants to purchase an aggregate of 403,348 shares of our common stock, with an exercise price of $1.4432 per share and the reclassification of our convertible preferred stock warrant liability to additional paid-in capital immediately prior to the completion of this offering;</w:t>
      </w:r>
    </w:p>
    <w:p>
      <w:pPr>
        <w:spacing w:after="0" w:line="27" w:lineRule="exact"/>
        <w:rPr>
          <w:rFonts w:ascii="MS PGothic" w:cs="MS PGothic" w:eastAsia="MS PGothic" w:hAnsi="MS PGothic"/>
          <w:sz w:val="13"/>
          <w:szCs w:val="13"/>
          <w:color w:val="auto"/>
        </w:rPr>
      </w:pPr>
    </w:p>
    <w:p>
      <w:pPr>
        <w:ind w:left="1420" w:right="360" w:hanging="427"/>
        <w:spacing w:after="0" w:line="243" w:lineRule="auto"/>
        <w:tabs>
          <w:tab w:leader="none" w:pos="1420" w:val="left"/>
        </w:tabs>
        <w:numPr>
          <w:ilvl w:val="1"/>
          <w:numId w:val="47"/>
        </w:numPr>
        <w:rPr>
          <w:rFonts w:ascii="MS PGothic" w:cs="MS PGothic" w:eastAsia="MS PGothic" w:hAnsi="MS PGothic"/>
          <w:sz w:val="13"/>
          <w:szCs w:val="13"/>
          <w:color w:val="auto"/>
        </w:rPr>
      </w:pPr>
      <w:r>
        <w:rPr>
          <w:rFonts w:ascii="Arial" w:cs="Arial" w:eastAsia="Arial" w:hAnsi="Arial"/>
          <w:sz w:val="17"/>
          <w:szCs w:val="17"/>
          <w:color w:val="auto"/>
        </w:rPr>
        <w:t>the filing and effectiveness of our amended and restated certificate of incorporation, which will occur immediately prior to the completion of this offering;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on a pro forma as adjusted basis, to give effect to:</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47"/>
        </w:numPr>
        <w:rPr>
          <w:rFonts w:ascii="MS PGothic" w:cs="MS PGothic" w:eastAsia="MS PGothic" w:hAnsi="MS PGothic"/>
          <w:sz w:val="13"/>
          <w:szCs w:val="13"/>
          <w:color w:val="auto"/>
        </w:rPr>
      </w:pPr>
      <w:r>
        <w:rPr>
          <w:rFonts w:ascii="Arial" w:cs="Arial" w:eastAsia="Arial" w:hAnsi="Arial"/>
          <w:sz w:val="17"/>
          <w:szCs w:val="17"/>
          <w:color w:val="auto"/>
        </w:rPr>
        <w:t>the pro forma adjustments set forth above; and</w:t>
      </w:r>
    </w:p>
    <w:p>
      <w:pPr>
        <w:sectPr>
          <w:pgSz w:w="11900" w:h="16838" w:orient="portrait"/>
          <w:cols w:equalWidth="0" w:num="1">
            <w:col w:w="11140"/>
          </w:cols>
          <w:pgMar w:left="320" w:top="459" w:right="439" w:bottom="1440" w:gutter="0" w:footer="0" w:header="0"/>
        </w:sectPr>
      </w:pPr>
    </w:p>
    <w:p>
      <w:pPr>
        <w:spacing w:after="0" w:line="15" w:lineRule="exact"/>
        <w:rPr>
          <w:sz w:val="20"/>
          <w:szCs w:val="20"/>
          <w:color w:val="auto"/>
        </w:rPr>
      </w:pPr>
    </w:p>
    <w:p>
      <w:pPr>
        <w:ind w:left="100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the sale and issuance of shares of our common stock by us in this offering, based upon the assumed initial public offering price of $ per share, which is the midpoint of the price range set forth on the cover page of this prospectus, after deducting underwriting discounts and commissions and estimated offering expenses payable by us.</w:t>
      </w:r>
    </w:p>
    <w:p>
      <w:pPr>
        <w:spacing w:after="0" w:line="147" w:lineRule="exact"/>
        <w:rPr>
          <w:sz w:val="20"/>
          <w:szCs w:val="20"/>
          <w:color w:val="auto"/>
        </w:rPr>
      </w:pPr>
    </w:p>
    <w:p>
      <w:pPr>
        <w:sectPr>
          <w:pgSz w:w="11900" w:h="16838" w:orient="portrait"/>
          <w:cols w:equalWidth="0" w:num="2">
            <w:col w:w="1080" w:space="340"/>
            <w:col w:w="9720"/>
          </w:cols>
          <w:pgMar w:left="320" w:top="459" w:right="439" w:bottom="1440" w:gutter="0" w:footer="0" w:header="0"/>
          <w:type w:val="continuous"/>
        </w:sectPr>
      </w:pPr>
    </w:p>
    <w:p>
      <w:pPr>
        <w:ind w:left="120" w:right="120"/>
        <w:spacing w:after="0" w:line="243" w:lineRule="auto"/>
        <w:rPr>
          <w:sz w:val="20"/>
          <w:szCs w:val="20"/>
          <w:color w:val="auto"/>
        </w:rPr>
      </w:pPr>
      <w:r>
        <w:rPr>
          <w:rFonts w:ascii="Arial" w:cs="Arial" w:eastAsia="Arial" w:hAnsi="Arial"/>
          <w:sz w:val="17"/>
          <w:szCs w:val="17"/>
          <w:color w:val="auto"/>
        </w:rPr>
        <w:t>The pro forma as adjusted information set forth in the table below is illustrative only and will be adjusted based on the actual initial public offering price and other terms of this offering determined at pricing.</w:t>
      </w:r>
    </w:p>
    <w:p>
      <w:pPr>
        <w:spacing w:after="0" w:line="144"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You should read this information in conjunction with our consolidated financial statements and the related notes and the sections titled “Selected Consolidated Financial Data” and “Management’s Discussion and Analysis of Financial Condition and Results of Operations” that are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157480</wp:posOffset>
            </wp:positionV>
            <wp:extent cx="6995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center"/>
              <w:ind w:right="142"/>
              <w:spacing w:after="0"/>
              <w:rPr>
                <w:sz w:val="20"/>
                <w:szCs w:val="20"/>
                <w:color w:val="auto"/>
              </w:rPr>
            </w:pPr>
            <w:r>
              <w:rPr>
                <w:rFonts w:ascii="Arial" w:cs="Arial" w:eastAsia="Arial" w:hAnsi="Arial"/>
                <w:sz w:val="14"/>
                <w:szCs w:val="14"/>
                <w:b w:val="1"/>
                <w:bCs w:val="1"/>
                <w:color w:val="auto"/>
              </w:rPr>
              <w:t>AS OF MARCH 31, 2020</w:t>
            </w: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2"/>
          </w:tcPr>
          <w:p>
            <w:pPr>
              <w:jc w:val="right"/>
              <w:ind w:right="17"/>
              <w:spacing w:after="0" w:line="143"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0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92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1140" w:type="dxa"/>
            <w:vAlign w:val="bottom"/>
            <w:gridSpan w:val="3"/>
          </w:tcPr>
          <w:p>
            <w:pPr>
              <w:spacing w:after="0" w:line="179"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(1)(2)</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ind w:left="660"/>
              <w:spacing w:after="0" w:line="143" w:lineRule="exact"/>
              <w:rPr>
                <w:sz w:val="20"/>
                <w:szCs w:val="20"/>
                <w:color w:val="auto"/>
              </w:rPr>
            </w:pPr>
            <w:r>
              <w:rPr>
                <w:rFonts w:ascii="Arial" w:cs="Arial" w:eastAsia="Arial" w:hAnsi="Arial"/>
                <w:sz w:val="14"/>
                <w:szCs w:val="14"/>
                <w:b w:val="1"/>
                <w:bCs w:val="1"/>
                <w:color w:val="auto"/>
              </w:rPr>
              <w:t>(unaudited)</w:t>
            </w: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40" w:type="dxa"/>
            <w:vAlign w:val="bottom"/>
            <w:gridSpan w:val="6"/>
          </w:tcPr>
          <w:p>
            <w:pPr>
              <w:jc w:val="center"/>
              <w:spacing w:after="0"/>
              <w:rPr>
                <w:sz w:val="20"/>
                <w:szCs w:val="20"/>
                <w:color w:val="auto"/>
              </w:rPr>
            </w:pPr>
            <w:r>
              <w:rPr>
                <w:rFonts w:ascii="Arial" w:cs="Arial" w:eastAsia="Arial" w:hAnsi="Arial"/>
                <w:sz w:val="14"/>
                <w:szCs w:val="14"/>
                <w:b w:val="1"/>
                <w:bCs w:val="1"/>
                <w:color w:val="auto"/>
              </w:rPr>
              <w:t>(in thousands, except share and</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4"/>
          </w:tcPr>
          <w:p>
            <w:pPr>
              <w:jc w:val="center"/>
              <w:ind w:left="84"/>
              <w:spacing w:after="0"/>
              <w:rPr>
                <w:sz w:val="20"/>
                <w:szCs w:val="20"/>
                <w:color w:val="auto"/>
              </w:rPr>
            </w:pPr>
            <w:r>
              <w:rPr>
                <w:rFonts w:ascii="Arial" w:cs="Arial" w:eastAsia="Arial" w:hAnsi="Arial"/>
                <w:sz w:val="14"/>
                <w:szCs w:val="14"/>
                <w:b w:val="1"/>
                <w:bCs w:val="1"/>
                <w:color w:val="auto"/>
              </w:rPr>
              <w:t>per share amounts)</w:t>
            </w: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0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2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w w:val="84"/>
              </w:rPr>
              <w:t>$</w:t>
            </w: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105,035</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105,035</w:t>
            </w:r>
          </w:p>
        </w:tc>
        <w:tc>
          <w:tcPr>
            <w:tcW w:w="4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17"/>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7"/>
                <w:szCs w:val="17"/>
                <w:color w:val="auto"/>
              </w:rPr>
              <w:t>Convertible preferred stock warrant liability</w:t>
            </w:r>
          </w:p>
        </w:tc>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vMerge w:val="continue"/>
          </w:tcPr>
          <w:p>
            <w:pPr>
              <w:spacing w:after="0"/>
              <w:rPr>
                <w:sz w:val="15"/>
                <w:szCs w:val="15"/>
                <w:color w:val="auto"/>
              </w:rPr>
            </w:pPr>
          </w:p>
        </w:tc>
        <w:tc>
          <w:tcPr>
            <w:tcW w:w="236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08"/>
              <w:spacing w:after="0" w:line="183" w:lineRule="exact"/>
              <w:rPr>
                <w:sz w:val="20"/>
                <w:szCs w:val="20"/>
                <w:color w:val="auto"/>
              </w:rPr>
            </w:pPr>
            <w:r>
              <w:rPr>
                <w:rFonts w:ascii="Arial" w:cs="Arial" w:eastAsia="Arial" w:hAnsi="Arial"/>
                <w:sz w:val="17"/>
                <w:szCs w:val="17"/>
                <w:color w:val="auto"/>
              </w:rPr>
              <w:t>447</w:t>
            </w:r>
          </w:p>
        </w:tc>
        <w:tc>
          <w:tcPr>
            <w:tcW w:w="480" w:type="dxa"/>
            <w:vAlign w:val="bottom"/>
            <w:gridSpan w:val="2"/>
          </w:tcPr>
          <w:p>
            <w:pPr>
              <w:ind w:left="300"/>
              <w:spacing w:after="0" w:line="183"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580"/>
              <w:spacing w:after="0" w:line="183" w:lineRule="exact"/>
              <w:rPr>
                <w:sz w:val="20"/>
                <w:szCs w:val="20"/>
                <w:color w:val="auto"/>
              </w:rPr>
            </w:pPr>
            <w:r>
              <w:rPr>
                <w:rFonts w:ascii="Arial" w:cs="Arial" w:eastAsia="Arial" w:hAnsi="Arial"/>
                <w:sz w:val="17"/>
                <w:szCs w:val="17"/>
                <w:color w:val="auto"/>
              </w:rPr>
              <w:t>—</w:t>
            </w:r>
          </w:p>
        </w:tc>
        <w:tc>
          <w:tcPr>
            <w:tcW w:w="380" w:type="dxa"/>
            <w:vAlign w:val="bottom"/>
          </w:tcPr>
          <w:p>
            <w:pPr>
              <w:spacing w:after="0" w:line="183"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6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Term loan</w:t>
            </w: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8"/>
              <w:spacing w:after="0" w:line="189" w:lineRule="exact"/>
              <w:rPr>
                <w:sz w:val="20"/>
                <w:szCs w:val="20"/>
                <w:color w:val="auto"/>
              </w:rPr>
            </w:pPr>
            <w:r>
              <w:rPr>
                <w:rFonts w:ascii="Arial" w:cs="Arial" w:eastAsia="Arial" w:hAnsi="Arial"/>
                <w:sz w:val="17"/>
                <w:szCs w:val="17"/>
                <w:color w:val="auto"/>
              </w:rPr>
              <w:t>5,529</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5,529</w:t>
            </w: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380" w:type="dxa"/>
            <w:vAlign w:val="bottom"/>
            <w:gridSpan w:val="3"/>
          </w:tcPr>
          <w:p>
            <w:pPr>
              <w:spacing w:after="0" w:line="183" w:lineRule="exact"/>
              <w:rPr>
                <w:sz w:val="20"/>
                <w:szCs w:val="20"/>
                <w:color w:val="auto"/>
              </w:rPr>
            </w:pPr>
            <w:r>
              <w:rPr>
                <w:rFonts w:ascii="Arial" w:cs="Arial" w:eastAsia="Arial" w:hAnsi="Arial"/>
                <w:sz w:val="17"/>
                <w:szCs w:val="17"/>
                <w:color w:val="auto"/>
              </w:rPr>
              <w:t>Convertible preferred stock, par value $0.001 per share; 141,231,241 shares authorized,</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80" w:type="dxa"/>
            <w:vAlign w:val="bottom"/>
            <w:gridSpan w:val="3"/>
          </w:tcPr>
          <w:p>
            <w:pPr>
              <w:ind w:left="240"/>
              <w:spacing w:after="0" w:line="189" w:lineRule="exact"/>
              <w:rPr>
                <w:sz w:val="20"/>
                <w:szCs w:val="20"/>
                <w:color w:val="auto"/>
              </w:rPr>
            </w:pPr>
            <w:r>
              <w:rPr>
                <w:rFonts w:ascii="Arial" w:cs="Arial" w:eastAsia="Arial" w:hAnsi="Arial"/>
                <w:sz w:val="17"/>
                <w:szCs w:val="17"/>
                <w:color w:val="auto"/>
              </w:rPr>
              <w:t>140,626,218 shares issued and outstanding, actual; no shares authorized, no shares</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240"/>
              <w:spacing w:after="0"/>
              <w:rPr>
                <w:sz w:val="20"/>
                <w:szCs w:val="20"/>
                <w:color w:val="auto"/>
              </w:rPr>
            </w:pPr>
            <w:r>
              <w:rPr>
                <w:rFonts w:ascii="Arial" w:cs="Arial" w:eastAsia="Arial" w:hAnsi="Arial"/>
                <w:sz w:val="17"/>
                <w:szCs w:val="17"/>
                <w:color w:val="auto"/>
              </w:rPr>
              <w:t>issued or outstanding, pro forma and pro forma as adjusted</w:t>
            </w: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7"/>
                <w:szCs w:val="17"/>
                <w:color w:val="auto"/>
              </w:rPr>
              <w:t>175,043</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Stockholders’ deficit:</w:t>
            </w: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380" w:type="dxa"/>
            <w:vAlign w:val="bottom"/>
            <w:gridSpan w:val="3"/>
          </w:tcPr>
          <w:p>
            <w:pPr>
              <w:spacing w:after="0" w:line="183" w:lineRule="exact"/>
              <w:rPr>
                <w:sz w:val="20"/>
                <w:szCs w:val="20"/>
                <w:color w:val="auto"/>
              </w:rPr>
            </w:pPr>
            <w:r>
              <w:rPr>
                <w:rFonts w:ascii="Arial" w:cs="Arial" w:eastAsia="Arial" w:hAnsi="Arial"/>
                <w:sz w:val="17"/>
                <w:szCs w:val="17"/>
                <w:color w:val="auto"/>
              </w:rPr>
              <w:t>Preferred stock, par value $0.001 per share; no shares authorized, issued or outstanding,</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80" w:type="dxa"/>
            <w:vAlign w:val="bottom"/>
            <w:gridSpan w:val="3"/>
          </w:tcPr>
          <w:p>
            <w:pPr>
              <w:ind w:left="240"/>
              <w:spacing w:after="0" w:line="189" w:lineRule="exact"/>
              <w:rPr>
                <w:sz w:val="20"/>
                <w:szCs w:val="20"/>
                <w:color w:val="auto"/>
              </w:rPr>
            </w:pPr>
            <w:r>
              <w:rPr>
                <w:rFonts w:ascii="Arial" w:cs="Arial" w:eastAsia="Arial" w:hAnsi="Arial"/>
                <w:sz w:val="17"/>
                <w:szCs w:val="17"/>
                <w:color w:val="auto"/>
              </w:rPr>
              <w:t>actual; 100,000,000 shares authorized, no shares issued or outstanding, pro forma and</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240"/>
              <w:spacing w:after="0"/>
              <w:rPr>
                <w:sz w:val="20"/>
                <w:szCs w:val="20"/>
                <w:color w:val="auto"/>
              </w:rPr>
            </w:pPr>
            <w:r>
              <w:rPr>
                <w:rFonts w:ascii="Arial" w:cs="Arial" w:eastAsia="Arial" w:hAnsi="Arial"/>
                <w:sz w:val="17"/>
                <w:szCs w:val="17"/>
                <w:color w:val="auto"/>
              </w:rPr>
              <w:t>pro forma as adjusted</w:t>
            </w: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08"/>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7380" w:type="dxa"/>
            <w:vAlign w:val="bottom"/>
            <w:gridSpan w:val="3"/>
            <w:shd w:val="clear" w:color="auto" w:fill="CCEEFF"/>
          </w:tcPr>
          <w:p>
            <w:pPr>
              <w:spacing w:after="0" w:line="183" w:lineRule="exact"/>
              <w:rPr>
                <w:sz w:val="20"/>
                <w:szCs w:val="20"/>
                <w:color w:val="auto"/>
              </w:rPr>
            </w:pPr>
            <w:r>
              <w:rPr>
                <w:rFonts w:ascii="Arial" w:cs="Arial" w:eastAsia="Arial" w:hAnsi="Arial"/>
                <w:sz w:val="17"/>
                <w:szCs w:val="17"/>
                <w:color w:val="auto"/>
              </w:rPr>
              <w:t>Common stock, par value $0.001 per share; 10,000,000,000 shares authorized,</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80" w:type="dxa"/>
            <w:vAlign w:val="bottom"/>
            <w:gridSpan w:val="3"/>
            <w:shd w:val="clear" w:color="auto" w:fill="CCEEFF"/>
          </w:tcPr>
          <w:p>
            <w:pPr>
              <w:ind w:left="240"/>
              <w:spacing w:after="0" w:line="189" w:lineRule="exact"/>
              <w:rPr>
                <w:sz w:val="20"/>
                <w:szCs w:val="20"/>
                <w:color w:val="auto"/>
              </w:rPr>
            </w:pPr>
            <w:r>
              <w:rPr>
                <w:rFonts w:ascii="Arial" w:cs="Arial" w:eastAsia="Arial" w:hAnsi="Arial"/>
                <w:sz w:val="17"/>
                <w:szCs w:val="17"/>
                <w:color w:val="auto"/>
              </w:rPr>
              <w:t>20,840,532 shares issued and outstanding, actual; 1,000,000,000 shares authorized,</w:t>
            </w: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175,757,582 shares issued and outstanding, pro forma,</w:t>
            </w:r>
          </w:p>
        </w:tc>
        <w:tc>
          <w:tcPr>
            <w:tcW w:w="2360" w:type="dxa"/>
            <w:vAlign w:val="bottom"/>
            <w:gridSpan w:val="2"/>
            <w:shd w:val="clear" w:color="auto" w:fill="CCEEFF"/>
          </w:tcPr>
          <w:p>
            <w:pPr>
              <w:jc w:val="right"/>
              <w:ind w:right="619"/>
              <w:spacing w:after="0" w:line="189" w:lineRule="exact"/>
              <w:rPr>
                <w:sz w:val="20"/>
                <w:szCs w:val="20"/>
                <w:color w:val="auto"/>
              </w:rPr>
            </w:pPr>
            <w:r>
              <w:rPr>
                <w:rFonts w:ascii="Arial" w:cs="Arial" w:eastAsia="Arial" w:hAnsi="Arial"/>
                <w:sz w:val="17"/>
                <w:szCs w:val="17"/>
                <w:color w:val="auto"/>
              </w:rPr>
              <w:t>shares issued and</w:t>
            </w: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outstanding, pro forma as adjusted</w:t>
            </w: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8"/>
              <w:spacing w:after="0"/>
              <w:rPr>
                <w:sz w:val="20"/>
                <w:szCs w:val="20"/>
                <w:color w:val="auto"/>
              </w:rPr>
            </w:pPr>
            <w:r>
              <w:rPr>
                <w:rFonts w:ascii="Arial" w:cs="Arial" w:eastAsia="Arial" w:hAnsi="Arial"/>
                <w:sz w:val="17"/>
                <w:szCs w:val="17"/>
                <w:color w:val="auto"/>
              </w:rPr>
              <w:t>21</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176</w:t>
            </w: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500"/>
              <w:spacing w:after="0" w:line="189" w:lineRule="exact"/>
              <w:rPr>
                <w:sz w:val="20"/>
                <w:szCs w:val="20"/>
                <w:color w:val="auto"/>
              </w:rPr>
            </w:pPr>
            <w:r>
              <w:rPr>
                <w:rFonts w:ascii="Arial" w:cs="Arial" w:eastAsia="Arial" w:hAnsi="Arial"/>
                <w:sz w:val="17"/>
                <w:szCs w:val="17"/>
                <w:color w:val="auto"/>
              </w:rPr>
              <w:t>Additional paid-in capital</w:t>
            </w: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8"/>
              <w:spacing w:after="0" w:line="189" w:lineRule="exact"/>
              <w:rPr>
                <w:sz w:val="20"/>
                <w:szCs w:val="20"/>
                <w:color w:val="auto"/>
              </w:rPr>
            </w:pPr>
            <w:r>
              <w:rPr>
                <w:rFonts w:ascii="Arial" w:cs="Arial" w:eastAsia="Arial" w:hAnsi="Arial"/>
                <w:sz w:val="17"/>
                <w:szCs w:val="17"/>
                <w:color w:val="auto"/>
              </w:rPr>
              <w:t>2,289</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192,356</w:t>
            </w: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Accumulated deficit</w:t>
            </w: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8"/>
              <w:spacing w:after="0" w:line="189" w:lineRule="exact"/>
              <w:rPr>
                <w:sz w:val="20"/>
                <w:szCs w:val="20"/>
                <w:color w:val="auto"/>
              </w:rPr>
            </w:pPr>
            <w:r>
              <w:rPr>
                <w:rFonts w:ascii="Arial" w:cs="Arial" w:eastAsia="Arial" w:hAnsi="Arial"/>
                <w:sz w:val="17"/>
                <w:szCs w:val="17"/>
                <w:color w:val="auto"/>
              </w:rPr>
              <w:t>(78,236)</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(92,968)</w:t>
            </w: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jc w:val="right"/>
              <w:ind w:right="2035"/>
              <w:spacing w:after="0"/>
              <w:rPr>
                <w:sz w:val="20"/>
                <w:szCs w:val="20"/>
                <w:color w:val="auto"/>
              </w:rPr>
            </w:pPr>
            <w:r>
              <w:rPr>
                <w:rFonts w:ascii="Arial" w:cs="Arial" w:eastAsia="Arial" w:hAnsi="Arial"/>
                <w:sz w:val="17"/>
                <w:szCs w:val="17"/>
                <w:color w:val="auto"/>
              </w:rPr>
              <w:t>Total stockholders’ deficit</w:t>
            </w:r>
          </w:p>
        </w:tc>
        <w:tc>
          <w:tcPr>
            <w:tcW w:w="2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7"/>
                <w:szCs w:val="17"/>
                <w:color w:val="auto"/>
              </w:rPr>
              <w:t>(75,926)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99,564</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jc w:val="right"/>
              <w:ind w:right="2035"/>
              <w:spacing w:after="0" w:line="189" w:lineRule="exact"/>
              <w:rPr>
                <w:sz w:val="20"/>
                <w:szCs w:val="20"/>
                <w:color w:val="auto"/>
              </w:rPr>
            </w:pPr>
            <w:r>
              <w:rPr>
                <w:rFonts w:ascii="Arial" w:cs="Arial" w:eastAsia="Arial" w:hAnsi="Arial"/>
                <w:sz w:val="17"/>
                <w:szCs w:val="17"/>
                <w:color w:val="auto"/>
              </w:rPr>
              <w:t>Total capitalization</w:t>
            </w:r>
          </w:p>
        </w:tc>
        <w:tc>
          <w:tcPr>
            <w:tcW w:w="226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99,117</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99,564</w:t>
            </w:r>
          </w:p>
        </w:tc>
        <w:tc>
          <w:tcPr>
            <w:tcW w:w="480" w:type="dxa"/>
            <w:vAlign w:val="bottom"/>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shd w:val="clear" w:color="auto" w:fill="CCEEFF"/>
          </w:tcPr>
          <w:p>
            <w:pPr>
              <w:jc w:val="right"/>
              <w:ind w:right="17"/>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5020" w:type="dxa"/>
            <w:vAlign w:val="bottom"/>
          </w:tcPr>
          <w:p>
            <w:pPr>
              <w:spacing w:after="0"/>
              <w:rPr>
                <w:sz w:val="24"/>
                <w:szCs w:val="24"/>
                <w:color w:val="auto"/>
              </w:rPr>
            </w:pPr>
          </w:p>
        </w:tc>
        <w:tc>
          <w:tcPr>
            <w:tcW w:w="2260" w:type="dxa"/>
            <w:vAlign w:val="bottom"/>
          </w:tcPr>
          <w:p>
            <w:pPr>
              <w:jc w:val="right"/>
              <w:ind w:right="1596"/>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540" w:hanging="279"/>
        <w:spacing w:after="0" w:line="243" w:lineRule="auto"/>
        <w:tabs>
          <w:tab w:leader="none" w:pos="52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Each $1.00 increase or decrease in the assumed initial public offering price of $ per share, which is the midpoint of the price range set forth on the cover page of this prospectus, would increase or decrease, as applicable, our cash and cash equivalents and total stockholders’ equity by approximately $ million,</w:t>
      </w:r>
    </w:p>
    <w:p>
      <w:pPr>
        <w:spacing w:after="0" w:line="5" w:lineRule="exact"/>
        <w:rPr>
          <w:sz w:val="20"/>
          <w:szCs w:val="20"/>
          <w:color w:val="auto"/>
        </w:rPr>
      </w:pPr>
    </w:p>
    <w:p>
      <w:pPr>
        <w:ind w:left="540" w:right="80"/>
        <w:spacing w:after="0" w:line="241" w:lineRule="auto"/>
        <w:rPr>
          <w:sz w:val="20"/>
          <w:szCs w:val="20"/>
          <w:color w:val="auto"/>
        </w:rPr>
      </w:pPr>
      <w:r>
        <w:rPr>
          <w:rFonts w:ascii="Arial" w:cs="Arial" w:eastAsia="Arial" w:hAnsi="Arial"/>
          <w:sz w:val="14"/>
          <w:szCs w:val="14"/>
          <w:color w:val="auto"/>
        </w:rPr>
        <w:t>assuming that the number of shares of our common stock offered by us, as set forth on the cover page of this prospectus, remains the same and after deducting the underwriting discounts and commissions and estimated offering expenses payable by us. Similarly, each increase or decrease of 1.0 million shares in the number of shares offered by us would increase or decrease, as applicable, the amount of our cash and cash equivalents and total stockholders’ equity (deficit) by approximately</w:t>
      </w:r>
    </w:p>
    <w:p>
      <w:pPr>
        <w:spacing w:after="0" w:line="1" w:lineRule="exact"/>
        <w:rPr>
          <w:sz w:val="20"/>
          <w:szCs w:val="20"/>
          <w:color w:val="auto"/>
        </w:rPr>
      </w:pPr>
    </w:p>
    <w:p>
      <w:pPr>
        <w:ind w:left="540" w:right="340"/>
        <w:spacing w:after="0" w:line="241" w:lineRule="auto"/>
        <w:rPr>
          <w:sz w:val="20"/>
          <w:szCs w:val="20"/>
          <w:color w:val="auto"/>
        </w:rPr>
      </w:pPr>
      <w:r>
        <w:rPr>
          <w:rFonts w:ascii="Arial" w:cs="Arial" w:eastAsia="Arial" w:hAnsi="Arial"/>
          <w:sz w:val="14"/>
          <w:szCs w:val="14"/>
          <w:color w:val="auto"/>
        </w:rPr>
        <w:t>$ million, based upon the assumed initial public offering price of $ per share, which is the midpoint of the price range set forth on the cover page of this prospectus, after deducting the underwriting discounts and commissions and estimated offering expenses payable by us.</w:t>
      </w:r>
    </w:p>
    <w:p>
      <w:pPr>
        <w:ind w:left="540" w:right="360" w:hanging="289"/>
        <w:spacing w:after="0" w:line="199" w:lineRule="auto"/>
        <w:tabs>
          <w:tab w:leader="none" w:pos="54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Upon the completion of this offering and the filing of our amended and restated certificate of incorporation to be effective upon completion of this offering, our authorized capital stock will consist of 1,000,000,000 shares of common stock, par value $0.001 per share, and 100,000,000 shares of preferred stock, par value $0.001 per share.</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number of shares of our common stock to be outstanding after this offering, pro forma and pro forma as adjusted in the table above, is based</w:t>
      </w:r>
    </w:p>
    <w:p>
      <w:pPr>
        <w:ind w:left="120" w:right="140"/>
        <w:spacing w:after="0" w:line="243" w:lineRule="auto"/>
        <w:rPr>
          <w:sz w:val="20"/>
          <w:szCs w:val="20"/>
          <w:color w:val="auto"/>
        </w:rPr>
      </w:pPr>
      <w:r>
        <w:rPr>
          <w:rFonts w:ascii="Arial" w:cs="Arial" w:eastAsia="Arial" w:hAnsi="Arial"/>
          <w:sz w:val="17"/>
          <w:szCs w:val="17"/>
          <w:color w:val="auto"/>
        </w:rPr>
        <w:t>on shares of our common stock outstanding as of March 31, 2020 (including shares of common stock that are subject to a right of repurchase and our convertible preferred stock on an as-converted basis), and excludes:</w:t>
      </w:r>
    </w:p>
    <w:p>
      <w:pPr>
        <w:spacing w:after="0" w:line="185" w:lineRule="exact"/>
        <w:rPr>
          <w:sz w:val="20"/>
          <w:szCs w:val="20"/>
          <w:color w:val="auto"/>
        </w:rPr>
      </w:pPr>
    </w:p>
    <w:p>
      <w:pPr>
        <w:ind w:left="980" w:right="44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21,063,923 shares of common stock issuable upon exercise of options outstanding as of March 31, 2020, at a weighted-average exercise price of $0.47 per share;</w:t>
      </w:r>
    </w:p>
    <w:p>
      <w:pPr>
        <w:spacing w:after="0" w:line="22"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4,435,000 shares of common stock issuable upon exercise of options granted after March 31, 2020, at a weighted-average exercise price of $0.75 per share;</w:t>
      </w:r>
    </w:p>
    <w:p>
      <w:pPr>
        <w:spacing w:after="0" w:line="22" w:lineRule="exact"/>
        <w:rPr>
          <w:rFonts w:ascii="MS PGothic" w:cs="MS PGothic" w:eastAsia="MS PGothic" w:hAnsi="MS PGothic"/>
          <w:sz w:val="13"/>
          <w:szCs w:val="13"/>
          <w:color w:val="auto"/>
        </w:rPr>
      </w:pPr>
    </w:p>
    <w:p>
      <w:pPr>
        <w:ind w:left="980" w:right="200" w:hanging="432"/>
        <w:spacing w:after="0" w:line="238"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warrants to purchase an aggregate of 403,348 shares of our convertible preferred stock that were outstanding as of March 31, 2020 that will be converted into warrants to purchase an aggregate of 403,348 shares of our common stock, with an exercise price of $1.4432 per share;</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3,318,445 shares of common stock reserved for issuance pursuant to future awards under our 2020 Plan (which does not give effect</w:t>
      </w:r>
    </w:p>
    <w:p>
      <w:pPr>
        <w:sectPr>
          <w:pgSz w:w="11900" w:h="16838" w:orient="portrait"/>
          <w:cols w:equalWidth="0" w:num="1">
            <w:col w:w="11120"/>
          </w:cols>
          <w:pgMar w:left="320" w:top="459" w:right="459" w:bottom="1440" w:gutter="0" w:footer="0" w:header="0"/>
        </w:sectPr>
      </w:pPr>
    </w:p>
    <w:p>
      <w:pPr>
        <w:spacing w:after="0" w:line="9" w:lineRule="exact"/>
        <w:rPr>
          <w:sz w:val="20"/>
          <w:szCs w:val="20"/>
          <w:color w:val="auto"/>
        </w:rPr>
      </w:pPr>
    </w:p>
    <w:p>
      <w:pPr>
        <w:ind w:left="980"/>
        <w:spacing w:after="0" w:line="232" w:lineRule="auto"/>
        <w:rPr>
          <w:sz w:val="20"/>
          <w:szCs w:val="20"/>
          <w:color w:val="auto"/>
        </w:rPr>
      </w:pPr>
      <w:r>
        <w:rPr>
          <w:rFonts w:ascii="Arial" w:cs="Arial" w:eastAsia="Arial" w:hAnsi="Arial"/>
          <w:sz w:val="17"/>
          <w:szCs w:val="17"/>
          <w:color w:val="auto"/>
        </w:rPr>
        <w:t>to the grant of shares of common stock issuable upon the exercise of stock options which will be granted, as of the effective date of the registration statement of which this prospectus forms a part, under our 2020 Plan, at an exercise price equal to the initial public offering price of our common stock), including the amendment thereto that will become effective in connection with this offering, and any additional shares that become available under our 2020 Plan pursuant to provisions thereof that automatically increase the share reserve under the plan each year; and</w:t>
      </w:r>
    </w:p>
    <w:p>
      <w:pPr>
        <w:sectPr>
          <w:pgSz w:w="11900" w:h="16838" w:orient="portrait"/>
          <w:cols w:equalWidth="0" w:num="1">
            <w:col w:w="11120"/>
          </w:cols>
          <w:pgMar w:left="320" w:top="459" w:right="459" w:bottom="1440" w:gutter="0" w:footer="0" w:header="0"/>
          <w:type w:val="continuous"/>
        </w:sectPr>
      </w:pPr>
    </w:p>
    <w:p>
      <w:pPr>
        <w:spacing w:after="0" w:line="6"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right="220" w:firstLine="997"/>
        <w:spacing w:after="0" w:line="238" w:lineRule="auto"/>
        <w:rPr>
          <w:sz w:val="20"/>
          <w:szCs w:val="20"/>
          <w:color w:val="auto"/>
        </w:rPr>
      </w:pPr>
      <w:r>
        <w:rPr>
          <w:rFonts w:ascii="Arial" w:cs="Arial" w:eastAsia="Arial" w:hAnsi="Arial"/>
          <w:sz w:val="17"/>
          <w:szCs w:val="17"/>
          <w:color w:val="auto"/>
        </w:rPr>
        <w:t>shares of common stock reserved for future issuance under our 2020 Employee Stock Purchase Plan, or ESPP, which will become effective in connection with this offering, and any additional shares that become available under our ESPP pursuant to provisions thereof that automatically increase the share reserve under the plan each year.</w:t>
      </w:r>
    </w:p>
    <w:p>
      <w:pPr>
        <w:spacing w:after="0" w:line="142" w:lineRule="exact"/>
        <w:rPr>
          <w:sz w:val="20"/>
          <w:szCs w:val="20"/>
          <w:color w:val="auto"/>
        </w:rPr>
      </w:pPr>
    </w:p>
    <w:p>
      <w:pPr>
        <w:sectPr>
          <w:pgSz w:w="11900" w:h="16838" w:orient="portrait"/>
          <w:cols w:equalWidth="0" w:num="2">
            <w:col w:w="620" w:space="360"/>
            <w:col w:w="1014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120"/>
          </w:cols>
          <w:pgMar w:left="320" w:top="459" w:right="45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36"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47" w:lineRule="exact"/>
        <w:rPr>
          <w:sz w:val="20"/>
          <w:szCs w:val="20"/>
          <w:color w:val="auto"/>
        </w:rPr>
      </w:pPr>
    </w:p>
    <w:p>
      <w:pPr>
        <w:ind w:left="120" w:right="140"/>
        <w:spacing w:after="0" w:line="232" w:lineRule="auto"/>
        <w:rPr>
          <w:sz w:val="20"/>
          <w:szCs w:val="20"/>
          <w:color w:val="auto"/>
        </w:rPr>
      </w:pPr>
      <w:r>
        <w:rPr>
          <w:rFonts w:ascii="Arial" w:cs="Arial" w:eastAsia="Arial" w:hAnsi="Arial"/>
          <w:sz w:val="17"/>
          <w:szCs w:val="17"/>
          <w:color w:val="auto"/>
        </w:rPr>
        <w:t>Our historical net tangible book value (deficit) as of March 31, 2020 was ($75.9 million), or $(3.64) per share of our common stock. Our historical net tangible book value (deficit) is the amount of our total assets less our total liabilities and convertible preferred stock, which is not included in our stockholders’ deficit. Historical net tangible book value per share represents historical net tangible book value (deficit) divided by the number</w:t>
      </w:r>
    </w:p>
    <w:p>
      <w:pPr>
        <w:ind w:left="120" w:right="500"/>
        <w:spacing w:after="0" w:line="243" w:lineRule="auto"/>
        <w:rPr>
          <w:sz w:val="20"/>
          <w:szCs w:val="20"/>
          <w:color w:val="auto"/>
        </w:rPr>
      </w:pPr>
      <w:r>
        <w:rPr>
          <w:rFonts w:ascii="Arial" w:cs="Arial" w:eastAsia="Arial" w:hAnsi="Arial"/>
          <w:sz w:val="17"/>
          <w:szCs w:val="17"/>
          <w:color w:val="auto"/>
        </w:rPr>
        <w:t>of shares of our common stock outstanding as of March 31, 2020 (including shares of common stock that are subject to a right of repurchase).</w:t>
      </w:r>
    </w:p>
    <w:p>
      <w:pPr>
        <w:spacing w:after="0" w:line="144" w:lineRule="exact"/>
        <w:rPr>
          <w:sz w:val="20"/>
          <w:szCs w:val="20"/>
          <w:color w:val="auto"/>
        </w:rPr>
      </w:pPr>
    </w:p>
    <w:p>
      <w:pPr>
        <w:ind w:left="120" w:right="140"/>
        <w:spacing w:after="0" w:line="232" w:lineRule="auto"/>
        <w:rPr>
          <w:sz w:val="20"/>
          <w:szCs w:val="20"/>
          <w:color w:val="auto"/>
        </w:rPr>
      </w:pPr>
      <w:r>
        <w:rPr>
          <w:rFonts w:ascii="Arial" w:cs="Arial" w:eastAsia="Arial" w:hAnsi="Arial"/>
          <w:sz w:val="17"/>
          <w:szCs w:val="17"/>
          <w:color w:val="auto"/>
        </w:rPr>
        <w:t>Our pro forma net tangible book value as of March 31, 2020 was $99.6 million, or $0.57 per share of our common stock. Pro forma net tangible book value represents the amount of our total assets less our total liabilities, after giving effect to the reclassification of our convertible preferred stock warrant liability to additional paid-in capital immediately prior to the completion of this offering and the conversion of all outstanding shares of our convertible preferred stock into an aggregate of 154,917,050 shares of common stock upon the completion of this offering. Pro forma net tangible book value per share represents pro forma net tangible book value divided by the total number of shares outstanding as of March 31, 2020, after giving effect to the conversion of all outstanding shares of our convertible preferred stock into an aggregate of 175,757,582 shares of</w:t>
      </w:r>
    </w:p>
    <w:p>
      <w:pPr>
        <w:ind w:left="120"/>
        <w:spacing w:after="0"/>
        <w:tabs>
          <w:tab w:leader="none" w:pos="5820" w:val="left"/>
        </w:tabs>
        <w:rPr>
          <w:sz w:val="20"/>
          <w:szCs w:val="20"/>
          <w:color w:val="auto"/>
        </w:rPr>
      </w:pPr>
      <w:r>
        <w:rPr>
          <w:rFonts w:ascii="Arial" w:cs="Arial" w:eastAsia="Arial" w:hAnsi="Arial"/>
          <w:sz w:val="17"/>
          <w:szCs w:val="17"/>
          <w:color w:val="auto"/>
        </w:rPr>
        <w:t>our common stock upon the completion of this offering (including</w:t>
      </w:r>
      <w:r>
        <w:rPr>
          <w:sz w:val="20"/>
          <w:szCs w:val="20"/>
          <w:color w:val="auto"/>
        </w:rPr>
        <w:tab/>
      </w:r>
      <w:r>
        <w:rPr>
          <w:rFonts w:ascii="Arial" w:cs="Arial" w:eastAsia="Arial" w:hAnsi="Arial"/>
          <w:sz w:val="17"/>
          <w:szCs w:val="17"/>
          <w:color w:val="auto"/>
        </w:rPr>
        <w:t>shares issuable upon conversion of our convertible preferred stock).</w:t>
      </w:r>
    </w:p>
    <w:p>
      <w:pPr>
        <w:spacing w:after="0" w:line="149" w:lineRule="exact"/>
        <w:rPr>
          <w:sz w:val="20"/>
          <w:szCs w:val="20"/>
          <w:color w:val="auto"/>
        </w:rPr>
      </w:pPr>
    </w:p>
    <w:p>
      <w:pPr>
        <w:ind w:left="120"/>
        <w:spacing w:after="0"/>
        <w:tabs>
          <w:tab w:leader="none" w:pos="3840" w:val="left"/>
        </w:tabs>
        <w:rPr>
          <w:sz w:val="20"/>
          <w:szCs w:val="20"/>
          <w:color w:val="auto"/>
        </w:rPr>
      </w:pPr>
      <w:r>
        <w:rPr>
          <w:rFonts w:ascii="Arial" w:cs="Arial" w:eastAsia="Arial" w:hAnsi="Arial"/>
          <w:sz w:val="17"/>
          <w:szCs w:val="17"/>
          <w:color w:val="auto"/>
        </w:rPr>
        <w:t>After giving further effect to our sale of</w:t>
      </w:r>
      <w:r>
        <w:rPr>
          <w:sz w:val="20"/>
          <w:szCs w:val="20"/>
          <w:color w:val="auto"/>
        </w:rPr>
        <w:tab/>
      </w:r>
      <w:r>
        <w:rPr>
          <w:rFonts w:ascii="Arial" w:cs="Arial" w:eastAsia="Arial" w:hAnsi="Arial"/>
          <w:sz w:val="17"/>
          <w:szCs w:val="17"/>
          <w:color w:val="auto"/>
        </w:rPr>
        <w:t>shares of common stock in this offering at the assumed initial public offering price of</w:t>
      </w:r>
    </w:p>
    <w:p>
      <w:pPr>
        <w:ind w:left="1020" w:hanging="904"/>
        <w:spacing w:after="0" w:line="232"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per share, which is the midpoint of the price range set forth on the cover page of this prospectus, and after deducting the underwriting</w:t>
      </w:r>
    </w:p>
    <w:p>
      <w:pPr>
        <w:ind w:left="120"/>
        <w:spacing w:after="0"/>
        <w:rPr>
          <w:rFonts w:ascii="Arial" w:cs="Arial" w:eastAsia="Arial" w:hAnsi="Arial"/>
          <w:sz w:val="17"/>
          <w:szCs w:val="17"/>
          <w:color w:val="auto"/>
        </w:rPr>
      </w:pPr>
      <w:r>
        <w:rPr>
          <w:rFonts w:ascii="Arial" w:cs="Arial" w:eastAsia="Arial" w:hAnsi="Arial"/>
          <w:sz w:val="17"/>
          <w:szCs w:val="17"/>
          <w:color w:val="auto"/>
        </w:rPr>
        <w:t>discounts and commissions and estimated offering expenses payable by us, our pro forma as adjusted net tangible book value as of March 31,</w:t>
      </w:r>
    </w:p>
    <w:p>
      <w:pPr>
        <w:spacing w:after="0" w:line="189" w:lineRule="exact"/>
        <w:rPr>
          <w:sz w:val="20"/>
          <w:szCs w:val="20"/>
          <w:color w:val="auto"/>
        </w:rPr>
      </w:pPr>
    </w:p>
    <w:p>
      <w:pPr>
        <w:ind w:left="120" w:right="180"/>
        <w:spacing w:after="0" w:line="232" w:lineRule="auto"/>
        <w:rPr>
          <w:sz w:val="20"/>
          <w:szCs w:val="20"/>
          <w:color w:val="auto"/>
        </w:rPr>
      </w:pPr>
      <w:r>
        <w:rPr>
          <w:rFonts w:ascii="Arial" w:cs="Arial" w:eastAsia="Arial" w:hAnsi="Arial"/>
          <w:sz w:val="17"/>
          <w:szCs w:val="17"/>
          <w:color w:val="auto"/>
        </w:rPr>
        <w:t>2020 would have been approximately $ million, or approximately $ per share. This represents an immediate increase in pro forma as adjusted net tangible book value of $ per share to our existing stockholders and an immediate dilution in pro forma as adjusted net tangible book value of approximately $ per share to new investors purchasing common stock in this offering. Dilution per</w:t>
      </w:r>
    </w:p>
    <w:p>
      <w:pPr>
        <w:ind w:left="120" w:right="200"/>
        <w:spacing w:after="0" w:line="243" w:lineRule="auto"/>
        <w:rPr>
          <w:sz w:val="20"/>
          <w:szCs w:val="20"/>
          <w:color w:val="auto"/>
        </w:rPr>
      </w:pPr>
      <w:r>
        <w:rPr>
          <w:rFonts w:ascii="Arial" w:cs="Arial" w:eastAsia="Arial" w:hAnsi="Arial"/>
          <w:sz w:val="17"/>
          <w:szCs w:val="17"/>
          <w:color w:val="auto"/>
        </w:rPr>
        <w:t>share to new investors purchasing common stock in this offering is determined by subtracting pro forma as adjusted net tangible book value per share after this offering from the assumed initial public offering price per share paid by new investors.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illustrates this dilution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8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2240" w:type="dxa"/>
            <w:vAlign w:val="bottom"/>
            <w:gridSpan w:val="4"/>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r>
      <w:tr>
        <w:trPr>
          <w:trHeight w:val="189"/>
        </w:trPr>
        <w:tc>
          <w:tcPr>
            <w:tcW w:w="6440" w:type="dxa"/>
            <w:vAlign w:val="bottom"/>
            <w:gridSpan w:val="2"/>
          </w:tcPr>
          <w:p>
            <w:pPr>
              <w:ind w:left="500"/>
              <w:spacing w:after="0" w:line="189" w:lineRule="exact"/>
              <w:rPr>
                <w:sz w:val="20"/>
                <w:szCs w:val="20"/>
                <w:color w:val="auto"/>
              </w:rPr>
            </w:pPr>
            <w:r>
              <w:rPr>
                <w:rFonts w:ascii="Arial" w:cs="Arial" w:eastAsia="Arial" w:hAnsi="Arial"/>
                <w:sz w:val="17"/>
                <w:szCs w:val="17"/>
                <w:color w:val="auto"/>
              </w:rPr>
              <w:t>Historical net tangible book value (deficit) per share as of March 31, 2020</w:t>
            </w:r>
          </w:p>
        </w:tc>
        <w:tc>
          <w:tcPr>
            <w:tcW w:w="2000" w:type="dxa"/>
            <w:vAlign w:val="bottom"/>
          </w:tcPr>
          <w:p>
            <w:pPr>
              <w:spacing w:after="0"/>
              <w:rPr>
                <w:sz w:val="16"/>
                <w:szCs w:val="16"/>
                <w:color w:val="auto"/>
              </w:rPr>
            </w:pPr>
          </w:p>
        </w:tc>
        <w:tc>
          <w:tcPr>
            <w:tcW w:w="1640" w:type="dxa"/>
            <w:vAlign w:val="bottom"/>
            <w:gridSpan w:val="3"/>
          </w:tcPr>
          <w:p>
            <w:pPr>
              <w:jc w:val="right"/>
              <w:ind w:right="540"/>
              <w:spacing w:after="0" w:line="189" w:lineRule="exact"/>
              <w:rPr>
                <w:sz w:val="20"/>
                <w:szCs w:val="20"/>
                <w:color w:val="auto"/>
              </w:rPr>
            </w:pPr>
            <w:r>
              <w:rPr>
                <w:rFonts w:ascii="Arial" w:cs="Arial" w:eastAsia="Arial" w:hAnsi="Arial"/>
                <w:sz w:val="17"/>
                <w:szCs w:val="17"/>
                <w:color w:val="auto"/>
              </w:rPr>
              <w:t>$(3.64)</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8440" w:type="dxa"/>
            <w:vAlign w:val="bottom"/>
            <w:gridSpan w:val="3"/>
            <w:shd w:val="clear" w:color="auto" w:fill="CCEEFF"/>
          </w:tcPr>
          <w:p>
            <w:pPr>
              <w:ind w:left="500"/>
              <w:spacing w:after="0" w:line="189" w:lineRule="exact"/>
              <w:rPr>
                <w:sz w:val="20"/>
                <w:szCs w:val="20"/>
                <w:color w:val="auto"/>
              </w:rPr>
            </w:pPr>
            <w:r>
              <w:rPr>
                <w:rFonts w:ascii="Arial" w:cs="Arial" w:eastAsia="Arial" w:hAnsi="Arial"/>
                <w:sz w:val="17"/>
                <w:szCs w:val="17"/>
                <w:color w:val="auto"/>
              </w:rPr>
              <w:t>Pro forma increase in net tangible book value (deficit) per share as of March 31, 2020</w:t>
            </w:r>
          </w:p>
        </w:tc>
        <w:tc>
          <w:tcPr>
            <w:tcW w:w="54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6440" w:type="dxa"/>
            <w:vAlign w:val="bottom"/>
            <w:gridSpan w:val="2"/>
          </w:tcPr>
          <w:p>
            <w:pPr>
              <w:ind w:left="500"/>
              <w:spacing w:after="0"/>
              <w:rPr>
                <w:sz w:val="20"/>
                <w:szCs w:val="20"/>
                <w:color w:val="auto"/>
              </w:rPr>
            </w:pPr>
            <w:r>
              <w:rPr>
                <w:rFonts w:ascii="Arial" w:cs="Arial" w:eastAsia="Arial" w:hAnsi="Arial"/>
                <w:sz w:val="17"/>
                <w:szCs w:val="17"/>
                <w:color w:val="auto"/>
              </w:rPr>
              <w:t>Pro forma net tangible book value (deficit) per share as of March 31, 2020</w:t>
            </w:r>
          </w:p>
        </w:tc>
        <w:tc>
          <w:tcPr>
            <w:tcW w:w="2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3"/>
        </w:trPr>
        <w:tc>
          <w:tcPr>
            <w:tcW w:w="8440" w:type="dxa"/>
            <w:vAlign w:val="bottom"/>
            <w:gridSpan w:val="3"/>
            <w:shd w:val="clear" w:color="auto" w:fill="CCEEFF"/>
          </w:tcPr>
          <w:p>
            <w:pPr>
              <w:ind w:left="500"/>
              <w:spacing w:after="0" w:line="183" w:lineRule="exact"/>
              <w:rPr>
                <w:sz w:val="20"/>
                <w:szCs w:val="20"/>
                <w:color w:val="auto"/>
              </w:rPr>
            </w:pPr>
            <w:r>
              <w:rPr>
                <w:rFonts w:ascii="Arial" w:cs="Arial" w:eastAsia="Arial" w:hAnsi="Arial"/>
                <w:sz w:val="17"/>
                <w:szCs w:val="17"/>
                <w:color w:val="auto"/>
              </w:rPr>
              <w:t>Increase in pro forma net tangible book value per share attributable to investors purchasing shares in this</w:t>
            </w:r>
          </w:p>
        </w:tc>
        <w:tc>
          <w:tcPr>
            <w:tcW w:w="5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5"/>
        </w:trPr>
        <w:tc>
          <w:tcPr>
            <w:tcW w:w="56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offering</w:t>
            </w:r>
          </w:p>
        </w:tc>
        <w:tc>
          <w:tcPr>
            <w:tcW w:w="8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5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per share to new investors purchasing shares in this offering</w:t>
            </w:r>
          </w:p>
        </w:tc>
        <w:tc>
          <w:tcPr>
            <w:tcW w:w="8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15"/>
              <w:spacing w:after="0" w:line="189" w:lineRule="exact"/>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w w:val="93"/>
              </w:rPr>
              <w:t>—</w:t>
            </w:r>
          </w:p>
        </w:tc>
        <w:tc>
          <w:tcPr>
            <w:tcW w:w="60" w:type="dxa"/>
            <w:vAlign w:val="bottom"/>
            <w:shd w:val="clear" w:color="auto" w:fill="CCEEFF"/>
          </w:tcPr>
          <w:p>
            <w:pPr>
              <w:spacing w:after="0"/>
              <w:rPr>
                <w:sz w:val="16"/>
                <w:szCs w:val="16"/>
                <w:color w:val="auto"/>
              </w:rPr>
            </w:pPr>
          </w:p>
        </w:tc>
      </w:tr>
      <w:tr>
        <w:trPr>
          <w:trHeight w:val="20"/>
        </w:trPr>
        <w:tc>
          <w:tcPr>
            <w:tcW w:w="6440" w:type="dxa"/>
            <w:vAlign w:val="bottom"/>
            <w:gridSpan w:val="2"/>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440" w:type="dxa"/>
            <w:vAlign w:val="bottom"/>
            <w:tcBorders>
              <w:bottom w:val="single" w:sz="8" w:color="auto"/>
            </w:tcBorders>
            <w:gridSpan w:val="2"/>
          </w:tcPr>
          <w:p>
            <w:pPr>
              <w:spacing w:after="0"/>
              <w:rPr>
                <w:sz w:val="18"/>
                <w:szCs w:val="18"/>
                <w:color w:val="auto"/>
              </w:rPr>
            </w:pPr>
          </w:p>
        </w:tc>
        <w:tc>
          <w:tcPr>
            <w:tcW w:w="4580" w:type="dxa"/>
            <w:vAlign w:val="bottom"/>
            <w:tcBorders>
              <w:bottom w:val="single" w:sz="8" w:color="auto"/>
            </w:tcBorders>
            <w:gridSpan w:val="7"/>
          </w:tcPr>
          <w:p>
            <w:pPr>
              <w:spacing w:after="0"/>
              <w:rPr>
                <w:sz w:val="18"/>
                <w:szCs w:val="18"/>
                <w:color w:val="auto"/>
              </w:rPr>
            </w:pPr>
          </w:p>
        </w:tc>
      </w:tr>
      <w:tr>
        <w:trPr>
          <w:trHeight w:val="338"/>
        </w:trPr>
        <w:tc>
          <w:tcPr>
            <w:tcW w:w="6440" w:type="dxa"/>
            <w:vAlign w:val="bottom"/>
            <w:gridSpan w:val="2"/>
          </w:tcPr>
          <w:p>
            <w:pPr>
              <w:spacing w:after="0"/>
              <w:rPr>
                <w:sz w:val="20"/>
                <w:szCs w:val="20"/>
                <w:color w:val="auto"/>
              </w:rPr>
            </w:pPr>
            <w:r>
              <w:rPr>
                <w:rFonts w:ascii="Arial" w:cs="Arial" w:eastAsia="Arial" w:hAnsi="Arial"/>
                <w:sz w:val="17"/>
                <w:szCs w:val="17"/>
                <w:color w:val="auto"/>
              </w:rPr>
              <w:t>Each $1.00 increase or decrease in the assumed initial public offering price of $</w:t>
            </w:r>
          </w:p>
        </w:tc>
        <w:tc>
          <w:tcPr>
            <w:tcW w:w="4580" w:type="dxa"/>
            <w:vAlign w:val="bottom"/>
            <w:gridSpan w:val="7"/>
          </w:tcPr>
          <w:p>
            <w:pPr>
              <w:ind w:left="380"/>
              <w:spacing w:after="0"/>
              <w:rPr>
                <w:sz w:val="20"/>
                <w:szCs w:val="20"/>
                <w:color w:val="auto"/>
              </w:rPr>
            </w:pPr>
            <w:r>
              <w:rPr>
                <w:rFonts w:ascii="Arial" w:cs="Arial" w:eastAsia="Arial" w:hAnsi="Arial"/>
                <w:sz w:val="17"/>
                <w:szCs w:val="17"/>
                <w:color w:val="auto"/>
              </w:rPr>
              <w:t>per share, the midpoint of the estimated offering price</w:t>
            </w:r>
          </w:p>
        </w:tc>
      </w:tr>
      <w:tr>
        <w:trPr>
          <w:trHeight w:val="189"/>
        </w:trPr>
        <w:tc>
          <w:tcPr>
            <w:tcW w:w="10680" w:type="dxa"/>
            <w:vAlign w:val="bottom"/>
            <w:gridSpan w:val="7"/>
          </w:tcPr>
          <w:p>
            <w:pPr>
              <w:spacing w:after="0" w:line="189" w:lineRule="exact"/>
              <w:rPr>
                <w:sz w:val="20"/>
                <w:szCs w:val="20"/>
                <w:color w:val="auto"/>
              </w:rPr>
            </w:pPr>
            <w:r>
              <w:rPr>
                <w:rFonts w:ascii="Arial" w:cs="Arial" w:eastAsia="Arial" w:hAnsi="Arial"/>
                <w:sz w:val="17"/>
                <w:szCs w:val="17"/>
                <w:color w:val="auto"/>
              </w:rPr>
              <w:t>range set forth on the cover page of this prospectus, would increase or decrease, as applicable, our pro forma as adjusted net tangible book</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7"/>
                <w:szCs w:val="17"/>
                <w:color w:val="auto"/>
              </w:rPr>
              <w:t>value as of March 31, 2020 after this offering by approximately $</w:t>
            </w:r>
          </w:p>
        </w:tc>
        <w:tc>
          <w:tcPr>
            <w:tcW w:w="282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million, or approximately $</w:t>
            </w:r>
          </w:p>
        </w:tc>
        <w:tc>
          <w:tcPr>
            <w:tcW w:w="2580" w:type="dxa"/>
            <w:vAlign w:val="bottom"/>
            <w:gridSpan w:val="6"/>
          </w:tcPr>
          <w:p>
            <w:pPr>
              <w:ind w:left="20"/>
              <w:spacing w:after="0" w:line="189" w:lineRule="exact"/>
              <w:rPr>
                <w:sz w:val="20"/>
                <w:szCs w:val="20"/>
                <w:color w:val="auto"/>
              </w:rPr>
            </w:pPr>
            <w:r>
              <w:rPr>
                <w:rFonts w:ascii="Arial" w:cs="Arial" w:eastAsia="Arial" w:hAnsi="Arial"/>
                <w:sz w:val="17"/>
                <w:szCs w:val="17"/>
                <w:color w:val="auto"/>
              </w:rPr>
              <w:t>per share, and would decrease</w:t>
            </w:r>
          </w:p>
        </w:tc>
      </w:tr>
      <w:tr>
        <w:trPr>
          <w:trHeight w:val="205"/>
        </w:trPr>
        <w:tc>
          <w:tcPr>
            <w:tcW w:w="5620" w:type="dxa"/>
            <w:vAlign w:val="bottom"/>
          </w:tcPr>
          <w:p>
            <w:pPr>
              <w:spacing w:after="0"/>
              <w:rPr>
                <w:sz w:val="20"/>
                <w:szCs w:val="20"/>
                <w:color w:val="auto"/>
              </w:rPr>
            </w:pPr>
            <w:r>
              <w:rPr>
                <w:rFonts w:ascii="Arial" w:cs="Arial" w:eastAsia="Arial" w:hAnsi="Arial"/>
                <w:sz w:val="17"/>
                <w:szCs w:val="17"/>
                <w:color w:val="auto"/>
              </w:rPr>
              <w:t>(increase) dilution to investors in this offering by approximately $</w:t>
            </w:r>
          </w:p>
        </w:tc>
        <w:tc>
          <w:tcPr>
            <w:tcW w:w="5060" w:type="dxa"/>
            <w:vAlign w:val="bottom"/>
            <w:gridSpan w:val="6"/>
          </w:tcPr>
          <w:p>
            <w:pPr>
              <w:ind w:left="40"/>
              <w:spacing w:after="0"/>
              <w:rPr>
                <w:sz w:val="20"/>
                <w:szCs w:val="20"/>
                <w:color w:val="auto"/>
              </w:rPr>
            </w:pPr>
            <w:r>
              <w:rPr>
                <w:rFonts w:ascii="Arial" w:cs="Arial" w:eastAsia="Arial" w:hAnsi="Arial"/>
                <w:sz w:val="17"/>
                <w:szCs w:val="17"/>
                <w:color w:val="auto"/>
              </w:rPr>
              <w:t>per share, assuming that the number of shares offered by us,</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35"/>
        </w:trPr>
        <w:tc>
          <w:tcPr>
            <w:tcW w:w="5620" w:type="dxa"/>
            <w:vAlign w:val="bottom"/>
          </w:tcPr>
          <w:p>
            <w:pPr>
              <w:ind w:left="5420"/>
              <w:spacing w:after="0"/>
              <w:rPr>
                <w:sz w:val="20"/>
                <w:szCs w:val="20"/>
                <w:color w:val="auto"/>
              </w:rPr>
            </w:pPr>
            <w:r>
              <w:rPr>
                <w:rFonts w:ascii="Arial" w:cs="Arial" w:eastAsia="Arial" w:hAnsi="Arial"/>
                <w:sz w:val="16"/>
                <w:szCs w:val="16"/>
                <w:color w:val="auto"/>
              </w:rPr>
              <w:t>69</w:t>
            </w: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2" w:lineRule="auto"/>
        <w:rPr>
          <w:sz w:val="20"/>
          <w:szCs w:val="20"/>
          <w:color w:val="auto"/>
        </w:rPr>
      </w:pPr>
      <w:r>
        <w:rPr>
          <w:rFonts w:ascii="Arial" w:cs="Arial" w:eastAsia="Arial" w:hAnsi="Arial"/>
          <w:sz w:val="17"/>
          <w:szCs w:val="17"/>
          <w:color w:val="auto"/>
        </w:rPr>
        <w:t>as set forth on the cover page of this prospectus, remains the same, after deducting the underwriting discounts and commissions and estimated offering expenses payable by us. We may also increase or decrease the number of shares we are offering. An increase or decrease of 1.0 million in the number of shares we are offering would increase or decrease, as applicable, our pro forma as adjusted net tangible book value as of March</w:t>
      </w:r>
    </w:p>
    <w:p>
      <w:pPr>
        <w:ind w:left="120" w:right="440"/>
        <w:spacing w:after="0" w:line="232" w:lineRule="auto"/>
        <w:rPr>
          <w:sz w:val="20"/>
          <w:szCs w:val="20"/>
          <w:color w:val="auto"/>
        </w:rPr>
      </w:pPr>
      <w:r>
        <w:rPr>
          <w:rFonts w:ascii="Arial" w:cs="Arial" w:eastAsia="Arial" w:hAnsi="Arial"/>
          <w:sz w:val="17"/>
          <w:szCs w:val="17"/>
          <w:color w:val="auto"/>
        </w:rPr>
        <w:t>31, 2020 after this offering by approximately $ million, or approximately $ per share, and would decrease or increase, as applicable, dilution to investors in this offering by approximately $ per share, assuming the assumed initial public offering price per</w:t>
      </w:r>
    </w:p>
    <w:p>
      <w:pPr>
        <w:ind w:left="120" w:right="60"/>
        <w:spacing w:after="0" w:line="238" w:lineRule="auto"/>
        <w:rPr>
          <w:sz w:val="20"/>
          <w:szCs w:val="20"/>
          <w:color w:val="auto"/>
        </w:rPr>
      </w:pPr>
      <w:r>
        <w:rPr>
          <w:rFonts w:ascii="Arial" w:cs="Arial" w:eastAsia="Arial" w:hAnsi="Arial"/>
          <w:sz w:val="17"/>
          <w:szCs w:val="17"/>
          <w:color w:val="auto"/>
        </w:rPr>
        <w:t>share remains the same,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the underwriters fully exercise their option to purchase additional shares of common stock at the assumed initial public offering price of</w:t>
      </w:r>
    </w:p>
    <w:p>
      <w:pPr>
        <w:ind w:left="120" w:right="20" w:hanging="4"/>
        <w:spacing w:after="0" w:line="232" w:lineRule="auto"/>
        <w:tabs>
          <w:tab w:leader="none" w:pos="1022" w:val="left"/>
        </w:tabs>
        <w:numPr>
          <w:ilvl w:val="0"/>
          <w:numId w:val="51"/>
        </w:numPr>
        <w:rPr>
          <w:rFonts w:ascii="Arial" w:cs="Arial" w:eastAsia="Arial" w:hAnsi="Arial"/>
          <w:sz w:val="17"/>
          <w:szCs w:val="17"/>
          <w:color w:val="auto"/>
        </w:rPr>
      </w:pPr>
      <w:r>
        <w:rPr>
          <w:rFonts w:ascii="Arial" w:cs="Arial" w:eastAsia="Arial" w:hAnsi="Arial"/>
          <w:sz w:val="17"/>
          <w:szCs w:val="17"/>
          <w:color w:val="auto"/>
        </w:rPr>
        <w:t>per share, which is the midpoint of the price range set forth on the cover of this prospectus, assuming the number of shares offered by us as set forth on the cover page of this prospectus remains the same, and after deducting underwriting discounts and commissions and estimated offering expenses payable by us, pro forma as adjusted net tangible book value after this offering would increase to approximately</w:t>
      </w:r>
    </w:p>
    <w:p>
      <w:pPr>
        <w:ind w:left="120"/>
        <w:spacing w:after="0"/>
        <w:tabs>
          <w:tab w:leader="none" w:pos="1000" w:val="left"/>
          <w:tab w:leader="none" w:pos="71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per share, and there would be an immediate dilution of approximately $</w:t>
      </w:r>
      <w:r>
        <w:rPr>
          <w:sz w:val="20"/>
          <w:szCs w:val="20"/>
          <w:color w:val="auto"/>
        </w:rPr>
        <w:tab/>
      </w:r>
      <w:r>
        <w:rPr>
          <w:rFonts w:ascii="Arial" w:cs="Arial" w:eastAsia="Arial" w:hAnsi="Arial"/>
          <w:sz w:val="17"/>
          <w:szCs w:val="17"/>
          <w:color w:val="auto"/>
        </w:rPr>
        <w:t>per share to new investors.</w:t>
      </w:r>
    </w:p>
    <w:p>
      <w:pPr>
        <w:spacing w:after="0" w:line="156" w:lineRule="exact"/>
        <w:rPr>
          <w:sz w:val="20"/>
          <w:szCs w:val="20"/>
          <w:color w:val="auto"/>
        </w:rPr>
      </w:pPr>
    </w:p>
    <w:p>
      <w:pPr>
        <w:ind w:left="120" w:right="140"/>
        <w:spacing w:after="0" w:line="232" w:lineRule="auto"/>
        <w:rPr>
          <w:sz w:val="20"/>
          <w:szCs w:val="20"/>
          <w:color w:val="auto"/>
        </w:rPr>
      </w:pPr>
      <w:r>
        <w:rPr>
          <w:rFonts w:ascii="Arial" w:cs="Arial" w:eastAsia="Arial" w:hAnsi="Arial"/>
          <w:sz w:val="17"/>
          <w:szCs w:val="17"/>
          <w:color w:val="auto"/>
        </w:rPr>
        <w:t>The following table summarizes, on a pro forma as adjusted basis, as of March 31, 2020, the difference between the number of shares of common stock purchased from us (on an as converted to common stock basis), the total consideration paid, and the weighted-average price per</w:t>
      </w:r>
    </w:p>
    <w:p>
      <w:pPr>
        <w:ind w:left="120" w:right="140"/>
        <w:spacing w:after="0" w:line="238" w:lineRule="auto"/>
        <w:rPr>
          <w:sz w:val="20"/>
          <w:szCs w:val="20"/>
          <w:color w:val="auto"/>
        </w:rPr>
      </w:pPr>
      <w:r>
        <w:rPr>
          <w:rFonts w:ascii="Arial" w:cs="Arial" w:eastAsia="Arial" w:hAnsi="Arial"/>
          <w:sz w:val="17"/>
          <w:szCs w:val="17"/>
          <w:color w:val="auto"/>
        </w:rPr>
        <w:t>share paid, by existing stockholders and by new investors in this offering, assuming an initial public offering price of $ per share, which is the midpoint of the price range set forth on the cover page of this prospectus, and before deducting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gridSpan w:val="3"/>
          </w:tcPr>
          <w:p>
            <w:pPr>
              <w:jc w:val="right"/>
              <w:ind w:right="95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r>
      <w:tr>
        <w:trPr>
          <w:trHeight w:val="175"/>
        </w:trPr>
        <w:tc>
          <w:tcPr>
            <w:tcW w:w="5240" w:type="dxa"/>
            <w:vAlign w:val="bottom"/>
          </w:tcPr>
          <w:p>
            <w:pPr>
              <w:spacing w:after="0"/>
              <w:rPr>
                <w:sz w:val="15"/>
                <w:szCs w:val="15"/>
                <w:color w:val="auto"/>
              </w:rPr>
            </w:pPr>
          </w:p>
        </w:tc>
        <w:tc>
          <w:tcPr>
            <w:tcW w:w="224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15"/>
                <w:szCs w:val="15"/>
                <w:color w:val="auto"/>
              </w:rPr>
            </w:pPr>
          </w:p>
        </w:tc>
        <w:tc>
          <w:tcPr>
            <w:tcW w:w="2180" w:type="dxa"/>
            <w:vAlign w:val="bottom"/>
            <w:gridSpan w:val="4"/>
          </w:tcPr>
          <w:p>
            <w:pPr>
              <w:ind w:left="300"/>
              <w:spacing w:after="0"/>
              <w:rPr>
                <w:sz w:val="20"/>
                <w:szCs w:val="20"/>
                <w:color w:val="auto"/>
              </w:rPr>
            </w:pPr>
            <w:r>
              <w:rPr>
                <w:rFonts w:ascii="Arial" w:cs="Arial" w:eastAsia="Arial" w:hAnsi="Arial"/>
                <w:sz w:val="14"/>
                <w:szCs w:val="14"/>
                <w:b w:val="1"/>
                <w:bCs w:val="1"/>
                <w:color w:val="auto"/>
              </w:rPr>
              <w:t>CONSIDERATION</w:t>
            </w:r>
          </w:p>
        </w:tc>
        <w:tc>
          <w:tcPr>
            <w:tcW w:w="220" w:type="dxa"/>
            <w:vAlign w:val="bottom"/>
          </w:tcPr>
          <w:p>
            <w:pPr>
              <w:spacing w:after="0"/>
              <w:rPr>
                <w:sz w:val="15"/>
                <w:szCs w:val="15"/>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PRICE</w:t>
            </w:r>
          </w:p>
        </w:tc>
      </w:tr>
      <w:tr>
        <w:trPr>
          <w:trHeight w:val="156"/>
        </w:trPr>
        <w:tc>
          <w:tcPr>
            <w:tcW w:w="5240" w:type="dxa"/>
            <w:vAlign w:val="bottom"/>
          </w:tcPr>
          <w:p>
            <w:pPr>
              <w:spacing w:after="0"/>
              <w:rPr>
                <w:sz w:val="13"/>
                <w:szCs w:val="13"/>
                <w:color w:val="auto"/>
              </w:rPr>
            </w:pPr>
          </w:p>
        </w:tc>
        <w:tc>
          <w:tcPr>
            <w:tcW w:w="6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PERCENT</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PER SHARE</w:t>
            </w:r>
          </w:p>
        </w:tc>
      </w:tr>
      <w:tr>
        <w:trPr>
          <w:trHeight w:val="183"/>
        </w:trPr>
        <w:tc>
          <w:tcPr>
            <w:tcW w:w="52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Existing stockholders before this offering</w:t>
            </w: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w w:val="79"/>
              </w:rPr>
              <w:t>%</w:t>
            </w: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w w:val="92"/>
              </w:rPr>
              <w:t>%</w:t>
            </w: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96"/>
        </w:trPr>
        <w:tc>
          <w:tcPr>
            <w:tcW w:w="5240" w:type="dxa"/>
            <w:vAlign w:val="bottom"/>
          </w:tcPr>
          <w:p>
            <w:pPr>
              <w:spacing w:after="0" w:line="189" w:lineRule="exact"/>
              <w:rPr>
                <w:sz w:val="20"/>
                <w:szCs w:val="20"/>
                <w:color w:val="auto"/>
              </w:rPr>
            </w:pPr>
            <w:r>
              <w:rPr>
                <w:rFonts w:ascii="Arial" w:cs="Arial" w:eastAsia="Arial" w:hAnsi="Arial"/>
                <w:sz w:val="17"/>
                <w:szCs w:val="17"/>
                <w:color w:val="auto"/>
              </w:rPr>
              <w:t>Investors participating in this offering</w:t>
            </w:r>
          </w:p>
        </w:tc>
        <w:tc>
          <w:tcPr>
            <w:tcW w:w="66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r>
      <w:tr>
        <w:trPr>
          <w:trHeight w:val="189"/>
        </w:trPr>
        <w:tc>
          <w:tcPr>
            <w:tcW w:w="524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w:t>
            </w: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100%</w:t>
            </w:r>
          </w:p>
        </w:tc>
        <w:tc>
          <w:tcPr>
            <w:tcW w:w="8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540" w:type="dxa"/>
            <w:vAlign w:val="bottom"/>
            <w:gridSpan w:val="3"/>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100%</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5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900" w:type="dxa"/>
            <w:vAlign w:val="bottom"/>
            <w:tcBorders>
              <w:bottom w:val="single" w:sz="8" w:color="auto"/>
            </w:tcBorders>
            <w:gridSpan w:val="2"/>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gridSpan w:val="10"/>
          </w:tcPr>
          <w:p>
            <w:pPr>
              <w:spacing w:after="0"/>
              <w:rPr>
                <w:sz w:val="18"/>
                <w:szCs w:val="18"/>
                <w:color w:val="auto"/>
              </w:rPr>
            </w:pPr>
          </w:p>
        </w:tc>
      </w:tr>
      <w:tr>
        <w:trPr>
          <w:trHeight w:val="338"/>
        </w:trPr>
        <w:tc>
          <w:tcPr>
            <w:tcW w:w="5900" w:type="dxa"/>
            <w:vAlign w:val="bottom"/>
            <w:gridSpan w:val="2"/>
          </w:tcPr>
          <w:p>
            <w:pPr>
              <w:spacing w:after="0"/>
              <w:rPr>
                <w:sz w:val="20"/>
                <w:szCs w:val="20"/>
                <w:color w:val="auto"/>
              </w:rPr>
            </w:pPr>
            <w:r>
              <w:rPr>
                <w:rFonts w:ascii="Arial" w:cs="Arial" w:eastAsia="Arial" w:hAnsi="Arial"/>
                <w:sz w:val="17"/>
                <w:szCs w:val="17"/>
                <w:color w:val="auto"/>
              </w:rPr>
              <w:t>The table above assumes no exercise of the underwriters’ option to purchase</w:t>
            </w:r>
          </w:p>
        </w:tc>
        <w:tc>
          <w:tcPr>
            <w:tcW w:w="460" w:type="dxa"/>
            <w:vAlign w:val="bottom"/>
          </w:tcPr>
          <w:p>
            <w:pPr>
              <w:spacing w:after="0"/>
              <w:rPr>
                <w:sz w:val="24"/>
                <w:szCs w:val="24"/>
                <w:color w:val="auto"/>
              </w:rPr>
            </w:pPr>
          </w:p>
        </w:tc>
        <w:tc>
          <w:tcPr>
            <w:tcW w:w="4660" w:type="dxa"/>
            <w:vAlign w:val="bottom"/>
            <w:gridSpan w:val="10"/>
          </w:tcPr>
          <w:p>
            <w:pPr>
              <w:ind w:left="320"/>
              <w:spacing w:after="0"/>
              <w:rPr>
                <w:sz w:val="20"/>
                <w:szCs w:val="20"/>
                <w:color w:val="auto"/>
              </w:rPr>
            </w:pPr>
            <w:r>
              <w:rPr>
                <w:rFonts w:ascii="Arial" w:cs="Arial" w:eastAsia="Arial" w:hAnsi="Arial"/>
                <w:sz w:val="17"/>
                <w:szCs w:val="17"/>
                <w:color w:val="auto"/>
              </w:rPr>
              <w:t>additional shares in this offering. If the underwriters’</w:t>
            </w:r>
          </w:p>
        </w:tc>
      </w:tr>
    </w:tbl>
    <w:p>
      <w:pPr>
        <w:ind w:left="120" w:right="340"/>
        <w:spacing w:after="0" w:line="238" w:lineRule="auto"/>
        <w:rPr>
          <w:sz w:val="20"/>
          <w:szCs w:val="20"/>
          <w:color w:val="auto"/>
        </w:rPr>
      </w:pPr>
      <w:r>
        <w:rPr>
          <w:rFonts w:ascii="Arial" w:cs="Arial" w:eastAsia="Arial" w:hAnsi="Arial"/>
          <w:sz w:val="17"/>
          <w:szCs w:val="17"/>
          <w:color w:val="auto"/>
        </w:rPr>
        <w:t>option to purchase additional shares is exercised in full, the number of shares of our common stock held by existing stockholders would be reduced to % of the total number of shares of our common stock outstanding after this offering, and the number of shares of common stock held by new investors participating in the offering would be increased to % of the total number of shares outstanding after this offering.</w:t>
      </w:r>
    </w:p>
    <w:p>
      <w:pPr>
        <w:spacing w:after="0" w:line="147" w:lineRule="exact"/>
        <w:rPr>
          <w:sz w:val="20"/>
          <w:szCs w:val="20"/>
          <w:color w:val="auto"/>
        </w:rPr>
      </w:pPr>
    </w:p>
    <w:p>
      <w:pPr>
        <w:ind w:left="120" w:right="160"/>
        <w:spacing w:after="0" w:line="232" w:lineRule="auto"/>
        <w:rPr>
          <w:sz w:val="20"/>
          <w:szCs w:val="20"/>
          <w:color w:val="auto"/>
        </w:rPr>
      </w:pPr>
      <w:r>
        <w:rPr>
          <w:rFonts w:ascii="Arial" w:cs="Arial" w:eastAsia="Arial" w:hAnsi="Arial"/>
          <w:sz w:val="17"/>
          <w:szCs w:val="17"/>
          <w:color w:val="auto"/>
        </w:rPr>
        <w:t>Each $1.00 increase or decrease in the assumed initial public offering price of $ per share, which is the midpoint of the price range set forth on the cover page of this prospectus, would increase or decrease, as applicable, the total consideration paid by new investors by $ million, assuming that the number of shares offered by us, as set forth on the cover page of this prospectus, remains the same and after deducting the underwriting discounts and commissions payable by us. Similarly, an increase or decrease of 1.0 million shares in the number of</w:t>
      </w:r>
    </w:p>
    <w:p>
      <w:pPr>
        <w:ind w:left="120" w:right="60"/>
        <w:spacing w:after="0" w:line="243" w:lineRule="auto"/>
        <w:rPr>
          <w:sz w:val="20"/>
          <w:szCs w:val="20"/>
          <w:color w:val="auto"/>
        </w:rPr>
      </w:pPr>
      <w:r>
        <w:rPr>
          <w:rFonts w:ascii="Arial" w:cs="Arial" w:eastAsia="Arial" w:hAnsi="Arial"/>
          <w:sz w:val="17"/>
          <w:szCs w:val="17"/>
          <w:color w:val="auto"/>
        </w:rPr>
        <w:t>shares offered by us would increase or decrease, as applicable, the total consideration paid by new investors by $ million, assuming no change in the assumed initial public offering price and after deducting the underwriting discounts and commissions payable by us.</w:t>
      </w:r>
    </w:p>
    <w:p>
      <w:pPr>
        <w:spacing w:after="0" w:line="144"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The foregoing tables and calculations (other than the historical net tangible book value calculations) are based on shares of our common stock outstanding as of March 31, 2020 (including shares of common stock that are subject to a right of repurchase and our convertible preferred stock on an as-converted basis), and excludes:</w:t>
      </w:r>
    </w:p>
    <w:p>
      <w:pPr>
        <w:spacing w:after="0" w:line="188" w:lineRule="exact"/>
        <w:rPr>
          <w:sz w:val="20"/>
          <w:szCs w:val="20"/>
          <w:color w:val="auto"/>
        </w:rPr>
      </w:pPr>
    </w:p>
    <w:p>
      <w:pPr>
        <w:ind w:left="980" w:right="460" w:hanging="432"/>
        <w:spacing w:after="0" w:line="243" w:lineRule="auto"/>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21,063,923 shares of common stock issuable upon exercise of options outstanding as of March 31, 2020, at a weighted-average exercise price of $0.47 per share;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180" w:hanging="432"/>
        <w:spacing w:after="0" w:line="243"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4,435,000 shares of common stock issuable upon exercise of options granted after March 31, 2020, at a weighted-average exercise price of $0.75 per share;</w:t>
      </w:r>
    </w:p>
    <w:p>
      <w:pPr>
        <w:spacing w:after="0" w:line="22" w:lineRule="exact"/>
        <w:rPr>
          <w:rFonts w:ascii="MS PGothic" w:cs="MS PGothic" w:eastAsia="MS PGothic" w:hAnsi="MS PGothic"/>
          <w:sz w:val="13"/>
          <w:szCs w:val="13"/>
          <w:color w:val="auto"/>
        </w:rPr>
      </w:pPr>
    </w:p>
    <w:p>
      <w:pPr>
        <w:ind w:left="980" w:right="200" w:hanging="432"/>
        <w:spacing w:after="0" w:line="238"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warrants to purchase an aggregate of 403,348 shares of our convertible preferred stock that were outstanding as of March 31, 2020 that will be converted into warrants to purchase an aggregate of 403,348 shares of our common stock, with an exercise price of $1.4432 per share;</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3,318,445 shares of common stock reserved for issuance pursuant to future awards under our 2020 Plan (which does not give effect</w:t>
      </w:r>
    </w:p>
    <w:p>
      <w:pPr>
        <w:sectPr>
          <w:pgSz w:w="11900" w:h="16838" w:orient="portrait"/>
          <w:cols w:equalWidth="0" w:num="1">
            <w:col w:w="11120"/>
          </w:cols>
          <w:pgMar w:left="320" w:top="459" w:right="459" w:bottom="1440" w:gutter="0" w:footer="0" w:header="0"/>
        </w:sectPr>
      </w:pPr>
    </w:p>
    <w:p>
      <w:pPr>
        <w:spacing w:after="0" w:line="9" w:lineRule="exact"/>
        <w:rPr>
          <w:sz w:val="20"/>
          <w:szCs w:val="20"/>
          <w:color w:val="auto"/>
        </w:rPr>
      </w:pPr>
    </w:p>
    <w:p>
      <w:pPr>
        <w:ind w:left="980"/>
        <w:spacing w:after="0" w:line="232" w:lineRule="auto"/>
        <w:rPr>
          <w:sz w:val="20"/>
          <w:szCs w:val="20"/>
          <w:color w:val="auto"/>
        </w:rPr>
      </w:pPr>
      <w:r>
        <w:rPr>
          <w:rFonts w:ascii="Arial" w:cs="Arial" w:eastAsia="Arial" w:hAnsi="Arial"/>
          <w:sz w:val="17"/>
          <w:szCs w:val="17"/>
          <w:color w:val="auto"/>
        </w:rPr>
        <w:t>to the grant of shares of common stock issuable upon the exercise of stock options which will be granted, as of the effective date of the registration statement of which this prospectus forms a part, under our 2020 Plan, at an exercise price equal to the initial public offering price of our common stock), including the amendment thereto that will become effective in connection with this offering, and any additional shares that become available under our 2020 Plan pursuant to provisions thereof that automatically increase the share reserve under the plan each year; and</w:t>
      </w:r>
    </w:p>
    <w:p>
      <w:pPr>
        <w:sectPr>
          <w:pgSz w:w="11900" w:h="16838" w:orient="portrait"/>
          <w:cols w:equalWidth="0" w:num="1">
            <w:col w:w="11120"/>
          </w:cols>
          <w:pgMar w:left="320" w:top="459" w:right="459" w:bottom="1440" w:gutter="0" w:footer="0" w:header="0"/>
          <w:type w:val="continuous"/>
        </w:sectPr>
      </w:pPr>
    </w:p>
    <w:p>
      <w:pPr>
        <w:spacing w:after="0" w:line="6"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firstLine="997"/>
        <w:spacing w:after="0" w:line="238" w:lineRule="auto"/>
        <w:rPr>
          <w:sz w:val="20"/>
          <w:szCs w:val="20"/>
          <w:color w:val="auto"/>
        </w:rPr>
      </w:pPr>
      <w:r>
        <w:rPr>
          <w:rFonts w:ascii="Arial" w:cs="Arial" w:eastAsia="Arial" w:hAnsi="Arial"/>
          <w:sz w:val="17"/>
          <w:szCs w:val="17"/>
          <w:color w:val="auto"/>
        </w:rPr>
        <w:t>shares of common stock reserved for future issuance under our ESPP, which will become effective in connection with this offering, and any additional shares that become available under our ESPP pursuant to provisions thereof that automatically increase the share reserve under the plan each year.</w:t>
      </w:r>
    </w:p>
    <w:p>
      <w:pPr>
        <w:spacing w:after="0" w:line="147" w:lineRule="exact"/>
        <w:rPr>
          <w:sz w:val="20"/>
          <w:szCs w:val="20"/>
          <w:color w:val="auto"/>
        </w:rPr>
      </w:pPr>
    </w:p>
    <w:p>
      <w:pPr>
        <w:sectPr>
          <w:pgSz w:w="11900" w:h="16838" w:orient="portrait"/>
          <w:cols w:equalWidth="0" w:num="2">
            <w:col w:w="620" w:space="360"/>
            <w:col w:w="10140"/>
          </w:cols>
          <w:pgMar w:left="320" w:top="459" w:right="459" w:bottom="1440" w:gutter="0" w:footer="0" w:header="0"/>
          <w:type w:val="continuous"/>
        </w:sectPr>
      </w:pPr>
    </w:p>
    <w:p>
      <w:pPr>
        <w:ind w:left="120" w:right="140"/>
        <w:spacing w:after="0" w:line="238" w:lineRule="auto"/>
        <w:rPr>
          <w:sz w:val="20"/>
          <w:szCs w:val="20"/>
          <w:color w:val="auto"/>
        </w:rPr>
      </w:pPr>
      <w:r>
        <w:rPr>
          <w:rFonts w:ascii="Arial" w:cs="Arial" w:eastAsia="Arial" w:hAnsi="Arial"/>
          <w:sz w:val="17"/>
          <w:szCs w:val="17"/>
          <w:color w:val="auto"/>
        </w:rPr>
        <w:t>To the extent that any outstanding options are exercised or new options are issued under the equity benefit plans, the warrants described above are exercised or we issue additional shares of common stock or convertible securities in the future, there will be further dilution to investors participating in this offering.</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120"/>
          </w:cols>
          <w:pgMar w:left="320" w:top="459" w:right="45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36" w:lineRule="exact"/>
        <w:rPr>
          <w:sz w:val="20"/>
          <w:szCs w:val="20"/>
          <w:color w:val="auto"/>
        </w:rPr>
      </w:pPr>
    </w:p>
    <w:p>
      <w:pPr>
        <w:ind w:left="120" w:right="100"/>
        <w:spacing w:after="0" w:line="233" w:lineRule="auto"/>
        <w:rPr>
          <w:sz w:val="20"/>
          <w:szCs w:val="20"/>
          <w:color w:val="auto"/>
        </w:rPr>
      </w:pPr>
      <w:r>
        <w:rPr>
          <w:rFonts w:ascii="Arial" w:cs="Arial" w:eastAsia="Arial" w:hAnsi="Arial"/>
          <w:sz w:val="17"/>
          <w:szCs w:val="17"/>
          <w:color w:val="auto"/>
        </w:rPr>
        <w:t>The following tables set forth our selected consolidated financial data for the periods and as of the dates indicated. We derived our consolidated statements of operations and comprehensive loss data for the years ended December 31, 2018 and December 31, 2019, and our consolidated balance sheet data as of December 31, 2018 and December 31, 2019, from our audited consolidated financial statements included elsewhere in this prospectus. The consolidated statements of operations and comprehensive loss data for the three months ended March 31, 2019 and March 31, 2020, and the consolidated balance sheet data as of March 31, 2020 have been derived from our unaudited interim condensed consolidated financial statements included elsewhere in this prospectus. In our opinion, these unaudited interim condensed consolidated financial statements have been prepared on a basis consistent with our audited consolidated financial statements and contain all adjustments, consisting only of normal and recurring adjustments, necessary for a fair presentation of such consolidated financial data. Our historical results are not necessarily indicative of the results that may be expected in the future. You should read the following selected consolidated financial data in conjunction with our consolidated financial statements and related notes included elsewhere in this prospectus and the information in the section titled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995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6"/>
          </w:tcPr>
          <w:p>
            <w:pPr>
              <w:jc w:val="right"/>
              <w:ind w:right="14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26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Statements of Operations and Comprehensive</w:t>
            </w:r>
          </w:p>
        </w:tc>
        <w:tc>
          <w:tcPr>
            <w:tcW w:w="100" w:type="dxa"/>
            <w:vAlign w:val="bottom"/>
          </w:tcPr>
          <w:p>
            <w:pPr>
              <w:spacing w:after="0"/>
              <w:rPr>
                <w:sz w:val="15"/>
                <w:szCs w:val="15"/>
                <w:color w:val="auto"/>
              </w:rPr>
            </w:pPr>
          </w:p>
        </w:tc>
        <w:tc>
          <w:tcPr>
            <w:tcW w:w="3060" w:type="dxa"/>
            <w:vAlign w:val="bottom"/>
            <w:gridSpan w:val="6"/>
          </w:tcPr>
          <w:p>
            <w:pPr>
              <w:jc w:val="right"/>
              <w:ind w:right="13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6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100" w:type="dxa"/>
            <w:vAlign w:val="bottom"/>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100" w:type="dxa"/>
            <w:vAlign w:val="bottom"/>
          </w:tcPr>
          <w:p>
            <w:pPr>
              <w:spacing w:after="0"/>
              <w:rPr>
                <w:sz w:val="20"/>
                <w:szCs w:val="20"/>
                <w:color w:val="auto"/>
              </w:rPr>
            </w:pPr>
            <w:r>
              <w:rPr>
                <w:rFonts w:ascii="Arial" w:cs="Arial" w:eastAsia="Arial" w:hAnsi="Arial"/>
                <w:sz w:val="14"/>
                <w:szCs w:val="14"/>
                <w:b w:val="1"/>
                <w:bCs w:val="1"/>
                <w:color w:val="auto"/>
              </w:rPr>
              <w:t>Loss Data:</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tcPr>
          <w:p>
            <w:pPr>
              <w:jc w:val="right"/>
              <w:ind w:right="40"/>
              <w:spacing w:after="0" w:line="14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2,067</w:t>
            </w: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4,796</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1,032</w:t>
            </w:r>
          </w:p>
        </w:tc>
        <w:tc>
          <w:tcPr>
            <w:tcW w:w="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189"/>
        </w:trPr>
        <w:tc>
          <w:tcPr>
            <w:tcW w:w="510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11,270</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16,306</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3,733</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3,828</w:t>
            </w:r>
          </w:p>
        </w:tc>
        <w:tc>
          <w:tcPr>
            <w:tcW w:w="0" w:type="dxa"/>
            <w:vAlign w:val="bottom"/>
          </w:tcPr>
          <w:p>
            <w:pPr>
              <w:spacing w:after="0"/>
              <w:rPr>
                <w:sz w:val="1"/>
                <w:szCs w:val="1"/>
                <w:color w:val="auto"/>
              </w:rPr>
            </w:pPr>
          </w:p>
        </w:tc>
      </w:tr>
      <w:tr>
        <w:trPr>
          <w:trHeight w:val="189"/>
        </w:trPr>
        <w:tc>
          <w:tcPr>
            <w:tcW w:w="510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2,601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3,313</w:t>
            </w:r>
          </w:p>
        </w:tc>
        <w:tc>
          <w:tcPr>
            <w:tcW w:w="100" w:type="dxa"/>
            <w:vAlign w:val="bottom"/>
          </w:tcPr>
          <w:p>
            <w:pPr>
              <w:spacing w:after="0"/>
              <w:rPr>
                <w:sz w:val="16"/>
                <w:szCs w:val="16"/>
                <w:color w:val="auto"/>
              </w:rPr>
            </w:pPr>
          </w:p>
        </w:tc>
        <w:tc>
          <w:tcPr>
            <w:tcW w:w="146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588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1,473</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1,880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4,360</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938</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596</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00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15,751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23,979</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7"/>
                <w:szCs w:val="17"/>
                <w:color w:val="auto"/>
              </w:rPr>
              <w:t>5,259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5,897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(13,684)</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(19,183)</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(4,227)</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(5,242)</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(13,686)</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7"/>
                <w:szCs w:val="17"/>
                <w:color w:val="auto"/>
              </w:rPr>
              <w:t>(19,209)</w:t>
            </w:r>
          </w:p>
        </w:tc>
        <w:tc>
          <w:tcPr>
            <w:tcW w:w="100" w:type="dxa"/>
            <w:vAlign w:val="bottom"/>
          </w:tcPr>
          <w:p>
            <w:pPr>
              <w:spacing w:after="0"/>
              <w:rPr>
                <w:sz w:val="17"/>
                <w:szCs w:val="17"/>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7"/>
                <w:szCs w:val="17"/>
                <w:color w:val="auto"/>
              </w:rPr>
              <w:t>(4,229)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(5,450)</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(45)</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(9)</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(13,731)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7"/>
                <w:szCs w:val="17"/>
                <w:color w:val="auto"/>
              </w:rPr>
              <w:t>(19,243)</w:t>
            </w:r>
          </w:p>
        </w:tc>
        <w:tc>
          <w:tcPr>
            <w:tcW w:w="100" w:type="dxa"/>
            <w:vAlign w:val="bottom"/>
          </w:tcPr>
          <w:p>
            <w:pPr>
              <w:spacing w:after="0"/>
              <w:rPr>
                <w:sz w:val="17"/>
                <w:szCs w:val="17"/>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7"/>
                <w:szCs w:val="17"/>
                <w:color w:val="auto"/>
              </w:rPr>
              <w:t>(4,238)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(3,671)</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(4,028)</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(905)</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(17,402)</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560"/>
              <w:spacing w:after="0"/>
              <w:rPr>
                <w:sz w:val="20"/>
                <w:szCs w:val="20"/>
                <w:color w:val="auto"/>
              </w:rPr>
            </w:pPr>
            <w:r>
              <w:rPr>
                <w:rFonts w:ascii="Arial" w:cs="Arial" w:eastAsia="Arial" w:hAnsi="Arial"/>
                <w:sz w:val="17"/>
                <w:szCs w:val="17"/>
                <w:color w:val="auto"/>
              </w:rPr>
              <w:t>(23,271)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gridSpan w:val="2"/>
          </w:tcPr>
          <w:p>
            <w:pPr>
              <w:jc w:val="right"/>
              <w:ind w:right="540"/>
              <w:spacing w:after="0"/>
              <w:rPr>
                <w:sz w:val="20"/>
                <w:szCs w:val="20"/>
                <w:color w:val="auto"/>
              </w:rPr>
            </w:pPr>
            <w:r>
              <w:rPr>
                <w:rFonts w:ascii="Arial" w:cs="Arial" w:eastAsia="Arial" w:hAnsi="Arial"/>
                <w:sz w:val="17"/>
                <w:szCs w:val="17"/>
                <w:color w:val="auto"/>
              </w:rPr>
              <w:t>(5,143)</w:t>
            </w: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(7,437)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0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Net loss per share attributable to ordinary shareholders,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1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(0.96)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(0.26)</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7"/>
                <w:szCs w:val="17"/>
                <w:color w:val="auto"/>
              </w:rPr>
              <w:t>Weighted-average shares used to compute net loss per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40"/>
              <w:spacing w:after="0" w:line="189" w:lineRule="exact"/>
              <w:rPr>
                <w:sz w:val="20"/>
                <w:szCs w:val="20"/>
                <w:color w:val="auto"/>
              </w:rPr>
            </w:pPr>
            <w:r>
              <w:rPr>
                <w:rFonts w:ascii="Arial" w:cs="Arial" w:eastAsia="Arial" w:hAnsi="Arial"/>
                <w:sz w:val="17"/>
                <w:szCs w:val="17"/>
                <w:color w:val="auto"/>
              </w:rPr>
              <w:t>share attributable to ordinary shareholders, basic and</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tcPr>
          <w:p>
            <w:pPr>
              <w:ind w:left="240"/>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18,102,402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7"/>
                <w:szCs w:val="17"/>
                <w:color w:val="auto"/>
              </w:rPr>
              <w:t>20,245,115</w:t>
            </w:r>
          </w:p>
        </w:tc>
        <w:tc>
          <w:tcPr>
            <w:tcW w:w="100" w:type="dxa"/>
            <w:vAlign w:val="bottom"/>
          </w:tcPr>
          <w:p>
            <w:pPr>
              <w:spacing w:after="0"/>
              <w:rPr>
                <w:sz w:val="16"/>
                <w:szCs w:val="16"/>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7"/>
                <w:szCs w:val="17"/>
                <w:color w:val="auto"/>
              </w:rPr>
              <w:t>19,749,549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20,684,025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0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Pro forma net loss attributable to ordinary shareholders,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1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basic and diluted (unaudited)</w:t>
            </w: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(0.20)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7"/>
                <w:szCs w:val="17"/>
                <w:color w:val="auto"/>
              </w:rPr>
              <w:t>Weighted-average shares used to compute pro forma net</w:t>
            </w: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40"/>
              <w:spacing w:after="0" w:line="189" w:lineRule="exact"/>
              <w:rPr>
                <w:sz w:val="20"/>
                <w:szCs w:val="20"/>
                <w:color w:val="auto"/>
              </w:rPr>
            </w:pPr>
            <w:r>
              <w:rPr>
                <w:rFonts w:ascii="Arial" w:cs="Arial" w:eastAsia="Arial" w:hAnsi="Arial"/>
                <w:sz w:val="17"/>
                <w:szCs w:val="17"/>
                <w:color w:val="auto"/>
              </w:rPr>
              <w:t>loss per share attributable to ordinary shareholders, basic</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restart"/>
          </w:tcPr>
          <w:p>
            <w:pPr>
              <w:jc w:val="right"/>
              <w:ind w:right="600"/>
              <w:spacing w:after="0"/>
              <w:rPr>
                <w:sz w:val="20"/>
                <w:szCs w:val="20"/>
                <w:color w:val="auto"/>
              </w:rPr>
            </w:pPr>
            <w:r>
              <w:rPr>
                <w:rFonts w:ascii="Arial" w:cs="Arial" w:eastAsia="Arial" w:hAnsi="Arial"/>
                <w:sz w:val="17"/>
                <w:szCs w:val="17"/>
                <w:color w:val="auto"/>
              </w:rPr>
              <w:t>94,274,058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gridSpan w:val="4"/>
            <w:vMerge w:val="restart"/>
          </w:tcPr>
          <w:p>
            <w:pPr>
              <w:jc w:val="right"/>
              <w:ind w:right="120"/>
              <w:spacing w:after="0"/>
              <w:rPr>
                <w:sz w:val="20"/>
                <w:szCs w:val="20"/>
                <w:color w:val="auto"/>
              </w:rPr>
            </w:pPr>
            <w:r>
              <w:rPr>
                <w:rFonts w:ascii="Arial" w:cs="Arial" w:eastAsia="Arial" w:hAnsi="Arial"/>
                <w:sz w:val="17"/>
                <w:szCs w:val="17"/>
                <w:color w:val="auto"/>
              </w:rPr>
              <w:t>144,442,583</w:t>
            </w:r>
          </w:p>
        </w:tc>
        <w:tc>
          <w:tcPr>
            <w:tcW w:w="0" w:type="dxa"/>
            <w:vAlign w:val="bottom"/>
          </w:tcPr>
          <w:p>
            <w:pPr>
              <w:spacing w:after="0"/>
              <w:rPr>
                <w:sz w:val="1"/>
                <w:szCs w:val="1"/>
                <w:color w:val="auto"/>
              </w:rPr>
            </w:pPr>
          </w:p>
        </w:tc>
      </w:tr>
      <w:tr>
        <w:trPr>
          <w:trHeight w:val="10"/>
        </w:trPr>
        <w:tc>
          <w:tcPr>
            <w:tcW w:w="5100" w:type="dxa"/>
            <w:vAlign w:val="bottom"/>
          </w:tcPr>
          <w:p>
            <w:pPr>
              <w:ind w:left="240"/>
              <w:spacing w:after="0" w:line="10" w:lineRule="exact"/>
              <w:rPr>
                <w:sz w:val="20"/>
                <w:szCs w:val="20"/>
                <w:color w:val="auto"/>
              </w:rPr>
            </w:pPr>
            <w:r>
              <w:rPr>
                <w:rFonts w:ascii="Arial" w:cs="Arial" w:eastAsia="Arial" w:hAnsi="Arial"/>
                <w:sz w:val="1"/>
                <w:szCs w:val="1"/>
                <w:color w:val="auto"/>
              </w:rPr>
              <w:t>and diluted (unaudited)</w:t>
            </w: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100" w:type="dxa"/>
            <w:vAlign w:val="bottom"/>
          </w:tcPr>
          <w:p>
            <w:pPr>
              <w:ind w:left="200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540" w:right="100" w:hanging="289"/>
        <w:spacing w:after="0" w:line="199" w:lineRule="auto"/>
        <w:tabs>
          <w:tab w:leader="none" w:pos="54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See Note 12 to our audited consolidated financial statements and Note 8 to our unaudited interim condensed consolidated financial statements included elsewhere in this prospectus for an explanation of the method used to calculate historical and pro forma basic and diluted net loss per share, and the weighted-average number of shares used in the computation of the per share amounts and unaudited pro forma information.</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213995</wp:posOffset>
            </wp:positionV>
            <wp:extent cx="67119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4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3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8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2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3440" w:type="dxa"/>
            <w:vAlign w:val="bottom"/>
            <w:gridSpan w:val="2"/>
          </w:tcPr>
          <w:p>
            <w:pPr>
              <w:jc w:val="right"/>
              <w:ind w:right="168"/>
              <w:spacing w:after="0"/>
              <w:rPr>
                <w:sz w:val="20"/>
                <w:szCs w:val="20"/>
                <w:color w:val="auto"/>
              </w:rPr>
            </w:pPr>
            <w:r>
              <w:rPr>
                <w:rFonts w:ascii="Arial" w:cs="Arial" w:eastAsia="Arial" w:hAnsi="Arial"/>
                <w:sz w:val="14"/>
                <w:szCs w:val="14"/>
                <w:color w:val="auto"/>
              </w:rPr>
              <w:t>$   8,262</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4"/>
                <w:szCs w:val="14"/>
                <w:color w:val="auto"/>
              </w:rPr>
              <w:t>9,017</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   105,035</w:t>
            </w: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Working capital</w:t>
            </w:r>
            <w:r>
              <w:rPr>
                <w:rFonts w:ascii="Arial" w:cs="Arial" w:eastAsia="Arial" w:hAnsi="Arial"/>
                <w:sz w:val="18"/>
                <w:szCs w:val="18"/>
                <w:color w:val="auto"/>
                <w:vertAlign w:val="superscript"/>
              </w:rPr>
              <w:t>(1)</w:t>
            </w:r>
          </w:p>
        </w:tc>
        <w:tc>
          <w:tcPr>
            <w:tcW w:w="3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8,335</w:t>
            </w:r>
          </w:p>
        </w:tc>
        <w:tc>
          <w:tcPr>
            <w:tcW w:w="4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4,825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103,423</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4"/>
                <w:szCs w:val="14"/>
                <w:color w:val="auto"/>
              </w:rPr>
              <w:t>Total assets</w:t>
            </w:r>
          </w:p>
        </w:tc>
        <w:tc>
          <w:tcPr>
            <w:tcW w:w="3440" w:type="dxa"/>
            <w:vAlign w:val="bottom"/>
            <w:gridSpan w:val="2"/>
          </w:tcPr>
          <w:p>
            <w:pPr>
              <w:jc w:val="right"/>
              <w:ind w:right="168"/>
              <w:spacing w:after="0"/>
              <w:rPr>
                <w:sz w:val="20"/>
                <w:szCs w:val="20"/>
                <w:color w:val="auto"/>
              </w:rPr>
            </w:pPr>
            <w:r>
              <w:rPr>
                <w:rFonts w:ascii="Arial" w:cs="Arial" w:eastAsia="Arial" w:hAnsi="Arial"/>
                <w:sz w:val="14"/>
                <w:szCs w:val="14"/>
                <w:color w:val="auto"/>
              </w:rPr>
              <w:t>11,164</w:t>
            </w:r>
          </w:p>
        </w:tc>
        <w:tc>
          <w:tcPr>
            <w:tcW w:w="40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color w:val="auto"/>
              </w:rPr>
              <w:t>10,676</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108,399</w:t>
            </w: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3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2,009</w:t>
            </w:r>
          </w:p>
        </w:tc>
        <w:tc>
          <w:tcPr>
            <w:tcW w:w="4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10,952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9,282</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4"/>
                <w:szCs w:val="14"/>
                <w:color w:val="auto"/>
              </w:rPr>
              <w:t>Convertible preferred shares</w:t>
            </w:r>
          </w:p>
        </w:tc>
        <w:tc>
          <w:tcPr>
            <w:tcW w:w="3440" w:type="dxa"/>
            <w:vAlign w:val="bottom"/>
            <w:gridSpan w:val="2"/>
          </w:tcPr>
          <w:p>
            <w:pPr>
              <w:jc w:val="right"/>
              <w:ind w:right="168"/>
              <w:spacing w:after="0"/>
              <w:rPr>
                <w:sz w:val="20"/>
                <w:szCs w:val="20"/>
                <w:color w:val="auto"/>
              </w:rPr>
            </w:pPr>
            <w:r>
              <w:rPr>
                <w:rFonts w:ascii="Arial" w:cs="Arial" w:eastAsia="Arial" w:hAnsi="Arial"/>
                <w:sz w:val="14"/>
                <w:szCs w:val="14"/>
                <w:color w:val="auto"/>
              </w:rPr>
              <w:t>60,933</w:t>
            </w:r>
          </w:p>
        </w:tc>
        <w:tc>
          <w:tcPr>
            <w:tcW w:w="40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color w:val="auto"/>
              </w:rPr>
              <w:t>70,363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175,043</w:t>
            </w: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344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(53,539)</w:t>
            </w:r>
          </w:p>
        </w:tc>
        <w:tc>
          <w:tcPr>
            <w:tcW w:w="4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(72,782)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(78,236)</w:t>
            </w:r>
          </w:p>
        </w:tc>
        <w:tc>
          <w:tcPr>
            <w:tcW w:w="0" w:type="dxa"/>
            <w:vAlign w:val="bottom"/>
          </w:tcPr>
          <w:p>
            <w:pPr>
              <w:spacing w:after="0"/>
              <w:rPr>
                <w:sz w:val="1"/>
                <w:szCs w:val="1"/>
                <w:color w:val="auto"/>
              </w:rPr>
            </w:pPr>
          </w:p>
        </w:tc>
      </w:tr>
      <w:tr>
        <w:trPr>
          <w:trHeight w:val="177"/>
        </w:trPr>
        <w:tc>
          <w:tcPr>
            <w:tcW w:w="4880" w:type="dxa"/>
            <w:vAlign w:val="bottom"/>
          </w:tcPr>
          <w:p>
            <w:pPr>
              <w:spacing w:after="0"/>
              <w:rPr>
                <w:sz w:val="20"/>
                <w:szCs w:val="20"/>
                <w:color w:val="auto"/>
              </w:rPr>
            </w:pPr>
            <w:r>
              <w:rPr>
                <w:rFonts w:ascii="Arial" w:cs="Arial" w:eastAsia="Arial" w:hAnsi="Arial"/>
                <w:sz w:val="14"/>
                <w:szCs w:val="14"/>
                <w:color w:val="auto"/>
              </w:rPr>
              <w:t>Total shareholders’ deficit</w:t>
            </w:r>
          </w:p>
        </w:tc>
        <w:tc>
          <w:tcPr>
            <w:tcW w:w="3440" w:type="dxa"/>
            <w:vAlign w:val="bottom"/>
            <w:gridSpan w:val="2"/>
          </w:tcPr>
          <w:p>
            <w:pPr>
              <w:jc w:val="right"/>
              <w:ind w:right="128"/>
              <w:spacing w:after="0"/>
              <w:rPr>
                <w:sz w:val="20"/>
                <w:szCs w:val="20"/>
                <w:color w:val="auto"/>
              </w:rPr>
            </w:pPr>
            <w:r>
              <w:rPr>
                <w:rFonts w:ascii="Arial" w:cs="Arial" w:eastAsia="Arial" w:hAnsi="Arial"/>
                <w:sz w:val="14"/>
                <w:szCs w:val="14"/>
                <w:color w:val="auto"/>
              </w:rPr>
              <w:t>(51,778)</w:t>
            </w:r>
          </w:p>
        </w:tc>
        <w:tc>
          <w:tcPr>
            <w:tcW w:w="40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(70,639)</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(75,926)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127635</wp:posOffset>
            </wp:positionV>
            <wp:extent cx="67119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361" w:lineRule="exact"/>
        <w:rPr>
          <w:sz w:val="20"/>
          <w:szCs w:val="20"/>
          <w:color w:val="auto"/>
        </w:rPr>
      </w:pPr>
    </w:p>
    <w:p>
      <w:pPr>
        <w:ind w:left="980" w:right="40" w:hanging="297"/>
        <w:spacing w:after="0" w:line="183" w:lineRule="auto"/>
        <w:tabs>
          <w:tab w:leader="none" w:pos="98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consolidated financial statements for further details regarding our current assets and current liabilities.</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RESULTS OF OPERATIONS</w:t>
      </w:r>
    </w:p>
    <w:p>
      <w:pPr>
        <w:spacing w:after="0" w:line="296"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together with the section titled “Selected Consolidated Financial Data” and our consolidated financial statements and related notes included elsewhere in this prospectus. Some of the information contained in this discussion and analysis or set forth elsewhere in this prospectus,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prospectus.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120" w:right="160"/>
        <w:spacing w:after="0" w:line="233"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We have dosed over 150 subjects with ALX148 across a range of hematologic and solid malignancies in combination with a number of leading anti-cancer agents. We intend to advance ALX148 into clinical development for the treatment of MDS and AML and to continue clinical development for the treatment of solid tumors.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54"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 reorganization effective as of the same date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us as they did in ALX Oncology Limited immediately prior to the reorganization. The information included herein are presented as that of ALX Oncology Holdings Inc., unless such information refers to a date prior to April 1, 2020, in which case it will reflect that of our predecessor company. Relatedly, our capitalization information will be presented as “preferred stock” and “common stock,” while capitalization information from a date prior to April 1, 2020 will be presented as “preferred shares” and “ordinary shares.”</w:t>
      </w:r>
    </w:p>
    <w:p>
      <w:pPr>
        <w:spacing w:after="0" w:line="148"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Since our founding, we have devoted substantially all of our resources to identifying and developing ALX148, advancing preclinical programs, scaling up manufacturing, conducting clinical trials and providing general and administrative support for these operations. We have no products approved for marketing and we have never received any revenue from drug product sales. From inception through March 31, 2020, we have raised an aggregate of $180.9 million to fund our operations, of which $175.1 million were net proceeds from sales of our convertible preferred shares and $5.8 million were net proceeds from borrowings under a term loan.</w:t>
      </w:r>
    </w:p>
    <w:p>
      <w:pPr>
        <w:spacing w:after="0" w:line="15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have incurred net losses in each year since inception. Our net losses were $13.7 million and $19.2 million for the years ended December 31, 2018 and December 31, 2019, respectively, and $4.2 million and $5.5 million for the three months ended March 31, 2019 and March 31, 2020, respectively. As of December 31, 2018, December 31, 2019 and March 31, 2020, we had an accumulated deficit of $53.5 million, $72.8 million and $78.2 million, respectively. Substantially all of our operating losses are a result of expenses incurred in connection with our research and development programs, primarily ALX148, and from general and administrative expenses associated with our operations.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expect to continue to incur significant expenses and increasing operating losses over at least the foreseeable future. We expect our expenses will increase substantially in connection with our ongoing activities, as we:</w:t>
      </w:r>
    </w:p>
    <w:p>
      <w:pPr>
        <w:spacing w:after="0" w:line="185" w:lineRule="exact"/>
        <w:rPr>
          <w:sz w:val="20"/>
          <w:szCs w:val="20"/>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advance ALX148 through multiple clinical trials in multiple indications;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pursue regulatory approval of ALX148 in hematological malignancies and solid tumors;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continue our discovery and preclinical and clinical development efforts;</w:t>
      </w:r>
    </w:p>
    <w:p>
      <w:pPr>
        <w:spacing w:after="0" w:line="34" w:lineRule="exact"/>
        <w:rPr>
          <w:rFonts w:ascii="MS PGothic" w:cs="MS PGothic" w:eastAsia="MS PGothic" w:hAnsi="MS PGothic"/>
          <w:sz w:val="13"/>
          <w:szCs w:val="13"/>
          <w:color w:val="auto"/>
        </w:rPr>
      </w:pPr>
    </w:p>
    <w:p>
      <w:pPr>
        <w:ind w:left="980" w:right="88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obtain and maintain patent, trade secret and other intellectual property protection and regulatory exclusivity for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manufacture supplies for our preclinical studies and clinical trials;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continue to add operational, financial and management information systems to support ongoing operations as a public company.</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Related-Party Revenue</w:t>
      </w:r>
    </w:p>
    <w:p>
      <w:pPr>
        <w:spacing w:after="0" w:line="41"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To date, we have not generated any revenue from product sales, licenses or collaborations and do not expect to generate any revenue from the sale of products in the foreseeable future. We recognized related-party revenue related to research and development services to Tallac Therapeutics, which will cease as of July 1, 2020, as further described in “—License and Collaboration Agreements—Related-Party Agreement” below. If our clinical development efforts for our product candidates are successful and result in regulatory approval, we may generate revenue from future product sales. If we enter into license or collaboration agreements for any of our product candidates or intellectual property, we may generate revenue in the future from payments as a result of such license or collaboration agreements. We cannot predict if, when, or to what extent we will generate revenue from the commercialization and sale of our product candidates including ALX148. We may never succeed in obtaining regulatory approval for any of our product candidates.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54"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Research and development expenses consist primarily of costs incurred for the development of our lead product candidate, ALX148, which include:</w:t>
      </w:r>
    </w:p>
    <w:p>
      <w:pPr>
        <w:spacing w:after="0" w:line="185" w:lineRule="exact"/>
        <w:rPr>
          <w:sz w:val="20"/>
          <w:szCs w:val="20"/>
          <w:color w:val="auto"/>
        </w:rPr>
      </w:pPr>
    </w:p>
    <w:p>
      <w:pPr>
        <w:ind w:left="980" w:right="300" w:hanging="432"/>
        <w:spacing w:after="0" w:line="243"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expenses incurred in connection with the preclinical and clinical development, including expenses incurred under agreements with CROs;</w:t>
      </w:r>
    </w:p>
    <w:p>
      <w:pPr>
        <w:spacing w:after="0" w:line="22"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employee-related expenses, including salaries, related benefits, travel and stock-based compensation expense for employees engaged in research and development functions;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expenses related to production of clinical materials, including fees paid to CMOs;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laboratory and vendor expenses related to the execution of preclinical studies and clinical trials; and</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facilities and other expenses, which include expenses for rent and maintenance of facilities, depreciation and amortization expense and other supplies.</w:t>
      </w:r>
    </w:p>
    <w:p>
      <w:pPr>
        <w:spacing w:after="0" w:line="144"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and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148"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Our research and development expenses consist primarily of costs associated with the development of our lead product candidate ALX148 and include external costs, such as fees paid to consultants, central laboratories, contractors, CMOs and CROs in connection with our preclinical and clinical development activities. We allocate expenses, such as employee salaries, benefits, facilities, travel and other miscellaneous expenses, based on an estimated percentage of time worked on each program.</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Almost all of our research and development expenses to date related to the clinical development of our lead product candidate, ALX148.</w:t>
      </w:r>
    </w:p>
    <w:p>
      <w:pPr>
        <w:spacing w:after="0" w:line="156"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continue to invest in research and development activities related to developing our product candidates, as our product candidates advance into later stages of development and as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following this offering, we will incur expenses related to the preclinical research services that we contract from Tallac Therapeutics, as further described in “—License and Collaboration Agreements—Related-Party Agreement” below.</w:t>
      </w:r>
    </w:p>
    <w:p>
      <w:pPr>
        <w:spacing w:after="0" w:line="151"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The successful development of our current and future product candidates is highly uncertain. This is due to the numerous risks and uncertainties, including the following:</w:t>
      </w:r>
    </w:p>
    <w:p>
      <w:pPr>
        <w:spacing w:after="0" w:line="185" w:lineRule="exact"/>
        <w:rPr>
          <w:sz w:val="20"/>
          <w:szCs w:val="20"/>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successful completion of preclinical studies and clinical trials;</w:t>
      </w:r>
    </w:p>
    <w:p>
      <w:pPr>
        <w:spacing w:after="0" w:line="34"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delays in regulators or institutional review boards authorizing us or our investigators to commence our clinical trials or in our ability to negotiate agreements with clinical trial sites or CROs;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the number and location of clinical sites included in the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raising additional funds necessary to complete clinical development of our product candidates;</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obtaining and maintaining patent, trade secret and other intellectual property protection and regulatory exclusivity for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contracting with third-party manufacturers for clinical supplies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protecting and enforcing our rights in our intellectual property portfolio, including, if necessary, litigation;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maintaining a continued acceptable safety profile of the products following approval.</w:t>
      </w:r>
    </w:p>
    <w:p>
      <w:pPr>
        <w:spacing w:after="0" w:line="156"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147"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41" w:lineRule="exact"/>
        <w:rPr>
          <w:sz w:val="20"/>
          <w:szCs w:val="20"/>
          <w:color w:val="auto"/>
        </w:rPr>
      </w:pPr>
    </w:p>
    <w:p>
      <w:pPr>
        <w:ind w:left="120" w:right="460"/>
        <w:spacing w:after="0" w:line="238" w:lineRule="auto"/>
        <w:rPr>
          <w:sz w:val="20"/>
          <w:szCs w:val="20"/>
          <w:color w:val="auto"/>
        </w:rPr>
      </w:pPr>
      <w:r>
        <w:rPr>
          <w:rFonts w:ascii="Arial" w:cs="Arial" w:eastAsia="Arial" w:hAnsi="Arial"/>
          <w:sz w:val="17"/>
          <w:szCs w:val="17"/>
          <w:color w:val="auto"/>
        </w:rPr>
        <w:t>General and administrative expenses consist primarily of personnel-related expenses, facilities expenses, depreciation and amortization expenses and professional services expenses, including legal, human resources, audit, accounting and tax-related services. Personnel and related costs consist of salaries, benefits and stock-based compensation. Facilities costs consist of rent and maintenance of facilities.</w:t>
      </w:r>
    </w:p>
    <w:p>
      <w:pPr>
        <w:spacing w:after="0" w:line="147"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anticipate that our general and administrative expenses will increase as a result of increased headcount, expanded infrastructure and higher consulting, legal, tax and regulatory-related services associated with maintaining compliance with stock exchange listing and Securities and Exchange Commission requirements, audit and investor relations costs, director and officer insurance premiums and other costs associated with being a public company.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Cost of Services for Related-Party Revenue</w:t>
      </w:r>
    </w:p>
    <w:p>
      <w:pPr>
        <w:spacing w:after="0" w:line="41" w:lineRule="exact"/>
        <w:rPr>
          <w:sz w:val="20"/>
          <w:szCs w:val="20"/>
          <w:color w:val="auto"/>
        </w:rPr>
      </w:pPr>
    </w:p>
    <w:p>
      <w:pPr>
        <w:jc w:val="both"/>
        <w:ind w:left="120" w:right="500"/>
        <w:spacing w:after="0" w:line="238" w:lineRule="auto"/>
        <w:rPr>
          <w:sz w:val="20"/>
          <w:szCs w:val="20"/>
          <w:color w:val="auto"/>
        </w:rPr>
      </w:pPr>
      <w:r>
        <w:rPr>
          <w:rFonts w:ascii="Arial" w:cs="Arial" w:eastAsia="Arial" w:hAnsi="Arial"/>
          <w:sz w:val="17"/>
          <w:szCs w:val="17"/>
          <w:color w:val="auto"/>
        </w:rPr>
        <w:t>We incur costs associated with related-party contract research services including direct labor and associated employee benefits, laboratory supplies and other expenses. These costs are recorded in cost of services for related-party transactions as a component of total operating expenses in the accompanying consolidated statements of operations and comprehensive loss.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and Net Loss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Comparisons of the Three Months Ended March 31, 2019 and March 31, 2020</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results of operations for the three months ended March 31, 2019 and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9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left="358"/>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tcPr>
          <w:p>
            <w:pPr>
              <w:jc w:val="center"/>
              <w:ind w:left="358"/>
              <w:spacing w:after="0" w:line="143" w:lineRule="exact"/>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1,032</w:t>
            </w:r>
          </w:p>
        </w:tc>
        <w:tc>
          <w:tcPr>
            <w:tcW w:w="4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189"/>
        </w:trPr>
        <w:tc>
          <w:tcPr>
            <w:tcW w:w="902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3,733</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3,828</w:t>
            </w:r>
          </w:p>
        </w:tc>
        <w:tc>
          <w:tcPr>
            <w:tcW w:w="0" w:type="dxa"/>
            <w:vAlign w:val="bottom"/>
          </w:tcPr>
          <w:p>
            <w:pPr>
              <w:spacing w:after="0"/>
              <w:rPr>
                <w:sz w:val="1"/>
                <w:szCs w:val="1"/>
                <w:color w:val="auto"/>
              </w:rPr>
            </w:pPr>
          </w:p>
        </w:tc>
      </w:tr>
      <w:tr>
        <w:trPr>
          <w:trHeight w:val="189"/>
        </w:trPr>
        <w:tc>
          <w:tcPr>
            <w:tcW w:w="902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588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1,473</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938</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596</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100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5,259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5,897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(4,227)</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(5,242)</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(4,229)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(5,450)</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(4,238)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(905)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(5,143)</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(7,437)</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Revenue</w:t>
      </w:r>
    </w:p>
    <w:p>
      <w:pPr>
        <w:spacing w:after="0" w:line="52" w:lineRule="exact"/>
        <w:rPr>
          <w:sz w:val="20"/>
          <w:szCs w:val="20"/>
          <w:color w:val="auto"/>
        </w:rPr>
      </w:pPr>
    </w:p>
    <w:p>
      <w:pPr>
        <w:jc w:val="both"/>
        <w:ind w:left="120" w:right="40"/>
        <w:spacing w:after="0" w:line="236" w:lineRule="auto"/>
        <w:rPr>
          <w:sz w:val="20"/>
          <w:szCs w:val="20"/>
          <w:color w:val="auto"/>
        </w:rPr>
      </w:pPr>
      <w:r>
        <w:rPr>
          <w:rFonts w:ascii="Arial" w:cs="Arial" w:eastAsia="Arial" w:hAnsi="Arial"/>
          <w:sz w:val="17"/>
          <w:szCs w:val="17"/>
          <w:color w:val="auto"/>
        </w:rPr>
        <w:t>Related-party revenue for the three months ended March 31, 2019 and March 31, 2020 was $1.0 million and $0.7 million, respectively, which was generated solely from payments received for reimbursement of research and development expenses pursuant to the Research and Development Services Agreement with Tallac Therapeutics, or Tollnine Agreement, as further described in “—License and Collaboration Agreements—Related-Party Agreement” below. The decrease of $0.3 million relates to decreased fee-for-service hours provided to Tallac Therapeutics.</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Research and Development Expenses</w:t>
      </w:r>
    </w:p>
    <w:p>
      <w:pPr>
        <w:spacing w:after="0" w:line="52"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The following table summarizes our research and development expenses incurred for the three months ended March 31, 2019 and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0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left="381"/>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60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42"/>
        </w:trPr>
        <w:tc>
          <w:tcPr>
            <w:tcW w:w="60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4"/>
          </w:tcPr>
          <w:p>
            <w:pPr>
              <w:jc w:val="center"/>
              <w:ind w:left="381"/>
              <w:spacing w:after="0" w:line="143" w:lineRule="exact"/>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60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Clinical development costs</w:t>
            </w:r>
          </w:p>
        </w:tc>
        <w:tc>
          <w:tcPr>
            <w:tcW w:w="30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3,055</w:t>
            </w:r>
          </w:p>
        </w:tc>
        <w:tc>
          <w:tcPr>
            <w:tcW w:w="4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2,858</w:t>
            </w: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7"/>
                <w:szCs w:val="17"/>
                <w:color w:val="auto"/>
              </w:rPr>
              <w:t>Personnel and related costs</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633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847</w:t>
            </w: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2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83</w:t>
            </w: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7"/>
                <w:szCs w:val="17"/>
                <w:color w:val="auto"/>
              </w:rPr>
              <w:t>Other research and development costs</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40</w:t>
            </w:r>
          </w:p>
        </w:tc>
      </w:tr>
      <w:tr>
        <w:trPr>
          <w:trHeight w:val="27"/>
        </w:trPr>
        <w:tc>
          <w:tcPr>
            <w:tcW w:w="60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research and development expenses</w:t>
            </w:r>
          </w:p>
        </w:tc>
        <w:tc>
          <w:tcPr>
            <w:tcW w:w="30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3,733</w:t>
            </w:r>
          </w:p>
        </w:tc>
        <w:tc>
          <w:tcPr>
            <w:tcW w:w="4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3,828</w:t>
            </w:r>
          </w:p>
        </w:tc>
      </w:tr>
      <w:tr>
        <w:trPr>
          <w:trHeight w:val="20"/>
        </w:trPr>
        <w:tc>
          <w:tcPr>
            <w:tcW w:w="6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0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Research and development expenses for the three months ended March 31, 2019 was $3.7 million, compared to $3.8 million for the three months ended March 31, 2020. The increase of $0.1 million was primarily due to increases in personnel-related costs, including stock-based compensation, as result of an increase in our headcount.</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52"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The following table summarizes our general and administrative expenses incurred for the three months ended March 31, 2019 and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8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342"/>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8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42"/>
        </w:trPr>
        <w:tc>
          <w:tcPr>
            <w:tcW w:w="8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left="342"/>
              <w:spacing w:after="0" w:line="143" w:lineRule="exact"/>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8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3"/>
          </w:tcPr>
          <w:p>
            <w:pPr>
              <w:jc w:val="center"/>
              <w:ind w:left="362"/>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8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219</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479</w:t>
            </w:r>
          </w:p>
        </w:tc>
      </w:tr>
      <w:tr>
        <w:trPr>
          <w:trHeight w:val="189"/>
        </w:trPr>
        <w:tc>
          <w:tcPr>
            <w:tcW w:w="8680" w:type="dxa"/>
            <w:vAlign w:val="bottom"/>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68</w:t>
            </w:r>
          </w:p>
        </w:tc>
      </w:tr>
      <w:tr>
        <w:trPr>
          <w:trHeight w:val="189"/>
        </w:trPr>
        <w:tc>
          <w:tcPr>
            <w:tcW w:w="8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general and administrative costs</w:t>
            </w: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362</w:t>
            </w:r>
          </w:p>
        </w:tc>
        <w:tc>
          <w:tcPr>
            <w:tcW w:w="6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926</w:t>
            </w:r>
          </w:p>
        </w:tc>
        <w:tc>
          <w:tcPr>
            <w:tcW w:w="60" w:type="dxa"/>
            <w:vAlign w:val="bottom"/>
            <w:shd w:val="clear" w:color="auto" w:fill="CCEEFF"/>
          </w:tcPr>
          <w:p>
            <w:pPr>
              <w:spacing w:after="0"/>
              <w:rPr>
                <w:sz w:val="16"/>
                <w:szCs w:val="16"/>
                <w:color w:val="auto"/>
              </w:rPr>
            </w:pPr>
          </w:p>
        </w:tc>
      </w:tr>
      <w:tr>
        <w:trPr>
          <w:trHeight w:val="196"/>
        </w:trPr>
        <w:tc>
          <w:tcPr>
            <w:tcW w:w="8680" w:type="dxa"/>
            <w:vAlign w:val="bottom"/>
          </w:tcPr>
          <w:p>
            <w:pPr>
              <w:spacing w:after="0"/>
              <w:rPr>
                <w:sz w:val="20"/>
                <w:szCs w:val="20"/>
                <w:color w:val="auto"/>
              </w:rPr>
            </w:pPr>
            <w:r>
              <w:rPr>
                <w:rFonts w:ascii="Arial" w:cs="Arial" w:eastAsia="Arial" w:hAnsi="Arial"/>
                <w:sz w:val="17"/>
                <w:szCs w:val="17"/>
                <w:color w:val="auto"/>
              </w:rPr>
              <w:t>Total general and administrative expenses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588</w:t>
            </w:r>
          </w:p>
        </w:tc>
        <w:tc>
          <w:tcPr>
            <w:tcW w:w="66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1,473</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General and administrative expenses for the three months ended March 31, 2019 was $0.6 million, compared to $1.5 million during the three months ended March 31, 2020. This increase of $0.9 million was primarily attributable to an increase in other general and administrative costs of $0.6 million, which was driven by increases in corporate legal costs leading up to the Company’s internal reorganization effective on April 1, 2020. In addition, we incurred increased personnel-related costs, including stock-based compensation, of $0.3 million due to an increase in our headcount in the three months ended March 31, 2020.</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Cost of Services for Related-Party Revenue</w:t>
      </w:r>
    </w:p>
    <w:p>
      <w:pPr>
        <w:spacing w:after="0" w:line="52"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Cost of services for related-party revenue for the three months ended March 31, 2019 was $0.9 million, compared to $0.6 million during the year ended March 31, 2020. This decrease of $0.3 million was attributable to a decrease in services rendered to Tallac Therapeutics.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Comparisons of the Years Ended December 31, 2018 and December 31, 2019</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results of operations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5"/>
          </w:tcPr>
          <w:p>
            <w:pPr>
              <w:jc w:val="center"/>
              <w:ind w:right="16"/>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4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2,067</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4,796</w:t>
            </w:r>
          </w:p>
        </w:tc>
        <w:tc>
          <w:tcPr>
            <w:tcW w:w="0" w:type="dxa"/>
            <w:vAlign w:val="bottom"/>
          </w:tcPr>
          <w:p>
            <w:pPr>
              <w:spacing w:after="0"/>
              <w:rPr>
                <w:sz w:val="1"/>
                <w:szCs w:val="1"/>
                <w:color w:val="auto"/>
              </w:rPr>
            </w:pPr>
          </w:p>
        </w:tc>
      </w:tr>
      <w:tr>
        <w:trPr>
          <w:trHeight w:val="189"/>
        </w:trPr>
        <w:tc>
          <w:tcPr>
            <w:tcW w:w="486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11,270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16,306</w:t>
            </w:r>
          </w:p>
        </w:tc>
        <w:tc>
          <w:tcPr>
            <w:tcW w:w="0" w:type="dxa"/>
            <w:vAlign w:val="bottom"/>
          </w:tcPr>
          <w:p>
            <w:pPr>
              <w:spacing w:after="0"/>
              <w:rPr>
                <w:sz w:val="1"/>
                <w:szCs w:val="1"/>
                <w:color w:val="auto"/>
              </w:rPr>
            </w:pPr>
          </w:p>
        </w:tc>
      </w:tr>
      <w:tr>
        <w:trPr>
          <w:trHeight w:val="189"/>
        </w:trPr>
        <w:tc>
          <w:tcPr>
            <w:tcW w:w="486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2,601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3,313</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1,880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4,360</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1000"/>
              <w:spacing w:after="0"/>
              <w:rPr>
                <w:sz w:val="20"/>
                <w:szCs w:val="20"/>
                <w:color w:val="auto"/>
              </w:rPr>
            </w:pPr>
            <w:r>
              <w:rPr>
                <w:rFonts w:ascii="Arial" w:cs="Arial" w:eastAsia="Arial" w:hAnsi="Arial"/>
                <w:sz w:val="17"/>
                <w:szCs w:val="17"/>
                <w:color w:val="auto"/>
              </w:rPr>
              <w:t>Total operating expenses</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15,751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23,979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w w:val="97"/>
              </w:rPr>
              <w:t>(13,684)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7"/>
              </w:rPr>
              <w:t>(19,183)</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(13,686)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(19,209)</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(45)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(13,731)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(19,243)</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(3,671)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3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(17,402)</w:t>
            </w:r>
          </w:p>
        </w:tc>
        <w:tc>
          <w:tcPr>
            <w:tcW w:w="3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(23,271)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4860" w:type="dxa"/>
            <w:vAlign w:val="bottom"/>
          </w:tcPr>
          <w:p>
            <w:pPr>
              <w:spacing w:after="0"/>
              <w:rPr>
                <w:sz w:val="24"/>
                <w:szCs w:val="24"/>
                <w:color w:val="auto"/>
              </w:rPr>
            </w:pPr>
          </w:p>
        </w:tc>
        <w:tc>
          <w:tcPr>
            <w:tcW w:w="4240" w:type="dxa"/>
            <w:vAlign w:val="bottom"/>
          </w:tcPr>
          <w:p>
            <w:pPr>
              <w:jc w:val="right"/>
              <w:ind w:right="3416"/>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Revenue</w:t>
      </w:r>
    </w:p>
    <w:p>
      <w:pPr>
        <w:spacing w:after="0" w:line="52"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Related-party revenue for the years ended December 31, 2018 and December 31, 2019 was $2.1 million and $4.8 million, respectively, which was generated solely from payments received for reimbursement of research and development expenses pursuant to the Tollnine Agreement, as further described in “—License and Collaboration Agreements—Related-Party Agreement” below. The increase of $2.7 million relates to increased fee-for-service hours provided to Tallac Therapeutics during 2019.</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Research and Development Expenses</w:t>
      </w:r>
    </w:p>
    <w:p>
      <w:pPr>
        <w:spacing w:after="0" w:line="52"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The following table summarizes our research and development expenses incurred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81"/>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55"/>
        </w:trPr>
        <w:tc>
          <w:tcPr>
            <w:tcW w:w="9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Clinical development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7,654</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$14,011</w:t>
            </w:r>
          </w:p>
        </w:tc>
      </w:tr>
      <w:tr>
        <w:trPr>
          <w:trHeight w:val="189"/>
        </w:trPr>
        <w:tc>
          <w:tcPr>
            <w:tcW w:w="9320" w:type="dxa"/>
            <w:vAlign w:val="bottom"/>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3,312</w:t>
            </w:r>
          </w:p>
        </w:tc>
        <w:tc>
          <w:tcPr>
            <w:tcW w:w="8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2,127</w:t>
            </w: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195</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105</w:t>
            </w:r>
          </w:p>
        </w:tc>
      </w:tr>
      <w:tr>
        <w:trPr>
          <w:trHeight w:val="189"/>
        </w:trPr>
        <w:tc>
          <w:tcPr>
            <w:tcW w:w="9320" w:type="dxa"/>
            <w:vAlign w:val="bottom"/>
          </w:tcPr>
          <w:p>
            <w:pPr>
              <w:spacing w:after="0" w:line="189" w:lineRule="exact"/>
              <w:rPr>
                <w:sz w:val="20"/>
                <w:szCs w:val="20"/>
                <w:color w:val="auto"/>
              </w:rPr>
            </w:pPr>
            <w:r>
              <w:rPr>
                <w:rFonts w:ascii="Arial" w:cs="Arial" w:eastAsia="Arial" w:hAnsi="Arial"/>
                <w:sz w:val="17"/>
                <w:szCs w:val="17"/>
                <w:color w:val="auto"/>
              </w:rPr>
              <w:t>Other research and development costs</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109</w:t>
            </w:r>
          </w:p>
        </w:tc>
        <w:tc>
          <w:tcPr>
            <w:tcW w:w="8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63</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w w:val="96"/>
              </w:rPr>
              <w:t>11,270</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16,306</w:t>
            </w:r>
          </w:p>
        </w:tc>
      </w:tr>
      <w:tr>
        <w:trPr>
          <w:trHeight w:val="20"/>
        </w:trPr>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Research and development expenses for the year ended December 31, 2018 was $11.3 million, compared to $16.3 million for the year ended December 31, 2019. The increase of $5.0 million was primarily due to increases in external research and development expenses related to our lead product candidate, as we significantly increased trial recruitment for our Phase 1 clinical trials for ALX 148 in the year ended December 31, 2019. In addition, in the year ended December 31, 2019, we incurred increased costs for additional preclinical studies and CMC manufacturing.</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52"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The following table summarizes our general and administrative expenses incurred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6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21"/>
              <w:spacing w:after="0" w:line="155"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r>
      <w:tr>
        <w:trPr>
          <w:trHeight w:val="155"/>
        </w:trPr>
        <w:tc>
          <w:tcPr>
            <w:tcW w:w="96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center"/>
              <w:ind w:right="37"/>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CCEEFF"/>
            </w:tcBorders>
          </w:tcPr>
          <w:p>
            <w:pPr>
              <w:spacing w:after="0"/>
              <w:rPr>
                <w:sz w:val="13"/>
                <w:szCs w:val="13"/>
                <w:color w:val="auto"/>
              </w:rPr>
            </w:pPr>
          </w:p>
        </w:tc>
      </w:tr>
      <w:tr>
        <w:trPr>
          <w:trHeight w:val="183"/>
        </w:trPr>
        <w:tc>
          <w:tcPr>
            <w:tcW w:w="96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Personnel and related costs</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695</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834</w:t>
            </w:r>
          </w:p>
        </w:tc>
        <w:tc>
          <w:tcPr>
            <w:tcW w:w="60" w:type="dxa"/>
            <w:vAlign w:val="bottom"/>
            <w:shd w:val="clear" w:color="auto" w:fill="CCEEFF"/>
          </w:tcPr>
          <w:p>
            <w:pPr>
              <w:spacing w:after="0"/>
              <w:rPr>
                <w:sz w:val="15"/>
                <w:szCs w:val="15"/>
                <w:color w:val="auto"/>
              </w:rPr>
            </w:pPr>
          </w:p>
        </w:tc>
      </w:tr>
      <w:tr>
        <w:trPr>
          <w:trHeight w:val="189"/>
        </w:trPr>
        <w:tc>
          <w:tcPr>
            <w:tcW w:w="9600" w:type="dxa"/>
            <w:vAlign w:val="bottom"/>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20" w:type="dxa"/>
            <w:vAlign w:val="bottom"/>
          </w:tcPr>
          <w:p>
            <w:pPr>
              <w:spacing w:after="0"/>
              <w:rPr>
                <w:sz w:val="16"/>
                <w:szCs w:val="16"/>
                <w:color w:val="auto"/>
              </w:rPr>
            </w:pPr>
          </w:p>
        </w:tc>
        <w:tc>
          <w:tcPr>
            <w:tcW w:w="420" w:type="dxa"/>
            <w:vAlign w:val="bottom"/>
          </w:tcPr>
          <w:p>
            <w:pPr>
              <w:jc w:val="right"/>
              <w:spacing w:after="0" w:line="189" w:lineRule="exact"/>
              <w:rPr>
                <w:sz w:val="20"/>
                <w:szCs w:val="20"/>
                <w:color w:val="auto"/>
              </w:rPr>
            </w:pPr>
            <w:r>
              <w:rPr>
                <w:rFonts w:ascii="Arial" w:cs="Arial" w:eastAsia="Arial" w:hAnsi="Arial"/>
                <w:sz w:val="17"/>
                <w:szCs w:val="17"/>
                <w:color w:val="auto"/>
              </w:rPr>
              <w:t>16</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general and administrative costs</w:t>
            </w:r>
          </w:p>
        </w:tc>
        <w:tc>
          <w:tcPr>
            <w:tcW w:w="1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3"/>
              </w:rPr>
              <w:t>1,890</w:t>
            </w:r>
          </w:p>
        </w:tc>
        <w:tc>
          <w:tcPr>
            <w:tcW w:w="2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2,446</w:t>
            </w:r>
          </w:p>
        </w:tc>
        <w:tc>
          <w:tcPr>
            <w:tcW w:w="60" w:type="dxa"/>
            <w:vAlign w:val="bottom"/>
            <w:shd w:val="clear" w:color="auto" w:fill="CCEEFF"/>
          </w:tcPr>
          <w:p>
            <w:pPr>
              <w:spacing w:after="0"/>
              <w:rPr>
                <w:sz w:val="16"/>
                <w:szCs w:val="16"/>
                <w:color w:val="auto"/>
              </w:rPr>
            </w:pPr>
          </w:p>
        </w:tc>
      </w:tr>
      <w:tr>
        <w:trPr>
          <w:trHeight w:val="196"/>
        </w:trPr>
        <w:tc>
          <w:tcPr>
            <w:tcW w:w="9600" w:type="dxa"/>
            <w:vAlign w:val="bottom"/>
          </w:tcPr>
          <w:p>
            <w:pPr>
              <w:spacing w:after="0"/>
              <w:rPr>
                <w:sz w:val="20"/>
                <w:szCs w:val="20"/>
                <w:color w:val="auto"/>
              </w:rPr>
            </w:pPr>
            <w:r>
              <w:rPr>
                <w:rFonts w:ascii="Arial" w:cs="Arial" w:eastAsia="Arial" w:hAnsi="Arial"/>
                <w:sz w:val="17"/>
                <w:szCs w:val="17"/>
                <w:color w:val="auto"/>
              </w:rPr>
              <w:t>Total general and administrative expenses</w:t>
            </w:r>
          </w:p>
        </w:tc>
        <w:tc>
          <w:tcPr>
            <w:tcW w:w="12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2,601</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3,313</w:t>
            </w:r>
          </w:p>
        </w:tc>
      </w:tr>
      <w:tr>
        <w:trPr>
          <w:trHeight w:val="20"/>
        </w:trPr>
        <w:tc>
          <w:tcPr>
            <w:tcW w:w="9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General and administrative expenses for the year ended December 31, 2018 was $2.6 million, compared to $3.3 million during the year ended December 31, 2019. This increase of $0.7 million was due to increased administrative costs supporting the increased activities in connection with our Phase 1 clinical trials for ALX 148, resulting in increased other general and administrative expenses of $0.6 million, which included increases in business development activities, legal, accounting and audit services, as well as increased personnel-related costs of $0.1 million.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Cost of Services for Related-Party Revenue</w:t>
      </w:r>
    </w:p>
    <w:p>
      <w:pPr>
        <w:spacing w:after="0" w:line="39"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Cost of services for related-party revenue for the year ended December 31, 2018 was $1.9 million, compared to $4.4 million during the year ended December 31, 2019. This increase of $2.5 million was attributable to an increase in services rendered to Tallac Therapeutics.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4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marketing approval of any of our product candidates. To date, we have funded our operations with proceeds from the sales of shares of our common stock and convertible preferred stock and borrowings under our term loan. Through March 31, 2020, we had received net proceeds of $175.1 million from sales of our ordinary shares and convertible preferred shares and net proceeds of $5.8 million borrowings under our term loan. As of March 31, 2020, we had cash and cash equivalents of $105.0 million.</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Silicon Valley Bank and West River Group Loan and Security Agreement</w:t>
      </w:r>
    </w:p>
    <w:p>
      <w:pPr>
        <w:spacing w:after="0" w:line="4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and our wholly-owned subsidiaries Alexo Therapeutics International and Sirpant Therapeutics, as borrowers, entered into the Loan Agreement, with SVB and WestRiver, collectively as lenders, and SVB as administrative agent and collateral agent. The Loan Agreement provided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our achievement of an equity financing resulting in net cash proceeds in an amount of at least $30.0 million to us. We elected not to draw down on the second tranche, which is no longer available.</w:t>
      </w:r>
    </w:p>
    <w:p>
      <w:pPr>
        <w:spacing w:after="0" w:line="148"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3.25% as of March 31, 2020. Therefore, the rate applicable to the Company as of March 31, 2020 was 7.0%.</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are required to make interest-only payments for the first 12 months after the closing of the Loan Agreement,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50" w:lineRule="exact"/>
        <w:rPr>
          <w:sz w:val="20"/>
          <w:szCs w:val="20"/>
          <w:color w:val="auto"/>
        </w:rPr>
      </w:pPr>
    </w:p>
    <w:p>
      <w:pPr>
        <w:ind w:left="120" w:right="200"/>
        <w:spacing w:after="0" w:line="234" w:lineRule="auto"/>
        <w:rPr>
          <w:sz w:val="20"/>
          <w:szCs w:val="20"/>
          <w:color w:val="auto"/>
        </w:rPr>
      </w:pPr>
      <w:r>
        <w:rPr>
          <w:rFonts w:ascii="Arial" w:cs="Arial" w:eastAsia="Arial" w:hAnsi="Arial"/>
          <w:sz w:val="17"/>
          <w:szCs w:val="17"/>
          <w:color w:val="auto"/>
        </w:rPr>
        <w:t>In conjunction with the Loan Agreement, we issued warrants to purchase 403,348 shares of Series B convertible preferred stock to SVB and WestRiver with an exercise price of $1.4432 per share. The estimated fair value of the warrants at the date of issuance was approximately $0.4 million. The fair value of the Series B convertible preferred stock warrant liability was determined using the Black-Scholes option-pricing-model. As of March 31, 2020, the various assumptions used in the Black-Scholes option-pricing model were time to liquidity of 2.0 to 9.7 years, volatility of 97.4% and risk-free rate of 0.4%. The warrant liability was recorded at its fair value at inception and is being remeasured at each financial reporting period with any changes in fair value being recognized as a component of other income (expense), net in the accompanying consolidated statement of operations and comprehensive loss. As of March 31, 2020, the fair value of the Series B convertible preferred stock warrant liabilities was approximately $0.4 million and was recorded in other long-term liabilities on the condensed consolidated balance sheets.</w:t>
      </w:r>
    </w:p>
    <w:p>
      <w:pPr>
        <w:spacing w:after="0" w:line="149"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The loans under the Loan Agreement are secured by substantially all of our assets, except our intellectual property, which is the subject of a negative pledge.</w:t>
      </w:r>
    </w:p>
    <w:p>
      <w:pPr>
        <w:spacing w:after="0" w:line="14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determined that certain loan features were embedded derivatives requiring bifurcation and separate accounting. Those embedded derivatives were bundled together as a single, compound embedded derivative and then bifurcated and accounted for separately from the host contract. We recorded a term loan compound derivative liability of $51,000, which is marked-to-market at each reporting date. We calculated the fair values of the compound derivative by computing the difference between the fair value of the term loans and the compound derivative using the “with and without” method under the income approach, and the fair value of the term loans without the compound derivative. We calculated the fair values using a probability-weighted discounted cash flow analysis. The key valuation assumptions used consist of the discount rate and the probability of a change in control event. The term loan compound derivative liability is being remeasured at each financial reporting period with any changes in fair value being recognized as a component of other income (expense), net in the consolidated statements of</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operations and comprehensive loss. As of March 31, 2020, the fair value of the compound derivative liability was approximately $65,000 and was recorded in other long-term liabilities on the condensed consolidated balance sheets.</w:t>
      </w:r>
    </w:p>
    <w:p>
      <w:pPr>
        <w:spacing w:after="0" w:line="14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fair value of Series B convertible preferred stock warrant liability at issuance, fair value of embedded derivatives which were bifurcated and other debt issuance costs have been treated as debt discounts on our consolidated balance sheets and together with the final payment are being amortized to interest expense throughout the life of the term loans using the effective interest rate method.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We have incurred losses and negative cash flows from operations since inception and anticipate that we will continue to incur net losses for the foreseeable future. As of March 31, 2020, we had an accumulated deficit of $78.2 million. We expect our expenses to increase substantially in connection with our ongoing activities, particularly as we advance the preclinical activities and clinical trials for our product candidates in development. In addition, upon the closing of this offering,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188" w:lineRule="exact"/>
        <w:rPr>
          <w:sz w:val="20"/>
          <w:szCs w:val="20"/>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timing and progress of preclinical and clinical development activities;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successful enrollment in and completion of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timing and outcome of regulatory review of our product candidates;</w:t>
      </w:r>
    </w:p>
    <w:p>
      <w:pPr>
        <w:spacing w:after="0" w:line="34" w:lineRule="exact"/>
        <w:rPr>
          <w:rFonts w:ascii="MS PGothic" w:cs="MS PGothic" w:eastAsia="MS PGothic" w:hAnsi="MS PGothic"/>
          <w:sz w:val="13"/>
          <w:szCs w:val="13"/>
          <w:color w:val="auto"/>
        </w:rPr>
      </w:pPr>
    </w:p>
    <w:p>
      <w:pPr>
        <w:ind w:left="980" w:right="380" w:hanging="432"/>
        <w:spacing w:after="0" w:line="243"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our ability to establish agreements with third-party manufacturers for clinical supply for our clinical trials and, if any of our product candidates are approved, commercial manufacturing;</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addition and retention of key research and development personnel;</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our efforts to enhance operational, financial and information management systems, and hire additional personnel, including personnel to support development of our product candidates;</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obtain marketing approval;</w:t>
      </w:r>
    </w:p>
    <w:p>
      <w:pPr>
        <w:spacing w:after="0" w:line="22"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legal patent costs involved in prosecuting patent applications and enforcing patent claims and other intellectual property claims; and</w:t>
      </w:r>
    </w:p>
    <w:p>
      <w:pPr>
        <w:spacing w:after="0" w:line="22"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terms and timing of any collaboration, license or other arrangement, including the terms and timing of any milestone and royalty payments thereunder.</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47" w:lineRule="exact"/>
        <w:rPr>
          <w:sz w:val="20"/>
          <w:szCs w:val="20"/>
          <w:color w:val="auto"/>
        </w:rPr>
      </w:pPr>
    </w:p>
    <w:p>
      <w:pPr>
        <w:ind w:left="120"/>
        <w:spacing w:after="0"/>
        <w:tabs>
          <w:tab w:leader="none" w:pos="6600" w:val="left"/>
        </w:tabs>
        <w:rPr>
          <w:sz w:val="20"/>
          <w:szCs w:val="20"/>
          <w:color w:val="auto"/>
        </w:rPr>
      </w:pPr>
      <w:r>
        <w:rPr>
          <w:rFonts w:ascii="Arial" w:cs="Arial" w:eastAsia="Arial" w:hAnsi="Arial"/>
          <w:sz w:val="17"/>
          <w:szCs w:val="17"/>
          <w:color w:val="auto"/>
        </w:rPr>
        <w:t>We estimate that our net proceeds from this offering will be approximately $</w:t>
      </w:r>
      <w:r>
        <w:rPr>
          <w:sz w:val="20"/>
          <w:szCs w:val="20"/>
          <w:color w:val="auto"/>
        </w:rPr>
        <w:tab/>
      </w:r>
      <w:r>
        <w:rPr>
          <w:rFonts w:ascii="Arial" w:cs="Arial" w:eastAsia="Arial" w:hAnsi="Arial"/>
          <w:sz w:val="17"/>
          <w:szCs w:val="17"/>
          <w:color w:val="auto"/>
        </w:rPr>
        <w:t>million based on an assumed initial public offering price of</w:t>
      </w:r>
    </w:p>
    <w:p>
      <w:pPr>
        <w:jc w:val="both"/>
        <w:ind w:left="120" w:right="100" w:hanging="4"/>
        <w:spacing w:after="0" w:line="232" w:lineRule="auto"/>
        <w:tabs>
          <w:tab w:leader="none" w:pos="1022" w:val="left"/>
        </w:tabs>
        <w:numPr>
          <w:ilvl w:val="0"/>
          <w:numId w:val="60"/>
        </w:numPr>
        <w:rPr>
          <w:rFonts w:ascii="Arial" w:cs="Arial" w:eastAsia="Arial" w:hAnsi="Arial"/>
          <w:sz w:val="17"/>
          <w:szCs w:val="17"/>
          <w:color w:val="auto"/>
        </w:rPr>
      </w:pPr>
      <w:r>
        <w:rPr>
          <w:rFonts w:ascii="Arial" w:cs="Arial" w:eastAsia="Arial" w:hAnsi="Arial"/>
          <w:sz w:val="17"/>
          <w:szCs w:val="17"/>
          <w:color w:val="auto"/>
        </w:rPr>
        <w:t>per share (the midpoint of the price range set forth on the cover page of this prospectus), after deducting the underwriting discounts and commissions and estimated offering expenses payable by us. We believe that the net proceeds from this offering, together with our existing cash and cash equivalents will enable us to fund our operating expenses and capital expenditure requirements for at least the next</w:t>
      </w:r>
    </w:p>
    <w:p>
      <w:pPr>
        <w:ind w:left="120"/>
        <w:spacing w:after="0"/>
        <w:rPr>
          <w:rFonts w:ascii="Arial" w:cs="Arial" w:eastAsia="Arial" w:hAnsi="Arial"/>
          <w:sz w:val="17"/>
          <w:szCs w:val="17"/>
          <w:color w:val="auto"/>
        </w:rPr>
      </w:pPr>
      <w:r>
        <w:rPr>
          <w:rFonts w:ascii="Arial" w:cs="Arial" w:eastAsia="Arial" w:hAnsi="Arial"/>
          <w:sz w:val="17"/>
          <w:szCs w:val="17"/>
          <w:color w:val="auto"/>
        </w:rPr>
        <w:t>months. We have based these estimates on assumptions that may prove to be wrong, and we could</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060"/>
          </w:cols>
          <w:pgMar w:left="320" w:top="459" w:right="5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utilize our available capital resources sooner than we expect. Our Loan Agreement includes covenants limiting or restricting our ability to take specific actions, such as incurring additional debt.</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Flows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sources and uses of cash for each of the periods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20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YEARS ENDED</w:t>
            </w:r>
          </w:p>
        </w:tc>
        <w:tc>
          <w:tcPr>
            <w:tcW w:w="198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7020" w:type="dxa"/>
            <w:vAlign w:val="bottom"/>
          </w:tcPr>
          <w:p>
            <w:pPr>
              <w:spacing w:after="0"/>
              <w:rPr>
                <w:sz w:val="15"/>
                <w:szCs w:val="15"/>
                <w:color w:val="auto"/>
              </w:rPr>
            </w:pPr>
          </w:p>
        </w:tc>
        <w:tc>
          <w:tcPr>
            <w:tcW w:w="20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8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70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42"/>
        </w:trPr>
        <w:tc>
          <w:tcPr>
            <w:tcW w:w="7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5"/>
          </w:tcPr>
          <w:p>
            <w:pPr>
              <w:jc w:val="right"/>
              <w:ind w:right="457"/>
              <w:spacing w:after="0" w:line="143"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r>
      <w:tr>
        <w:trPr>
          <w:trHeight w:val="175"/>
        </w:trPr>
        <w:tc>
          <w:tcPr>
            <w:tcW w:w="7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w:t>
            </w: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7020" w:type="dxa"/>
            <w:vAlign w:val="bottom"/>
          </w:tcPr>
          <w:p>
            <w:pPr>
              <w:ind w:left="500"/>
              <w:spacing w:after="0" w:line="189" w:lineRule="exact"/>
              <w:rPr>
                <w:sz w:val="20"/>
                <w:szCs w:val="20"/>
                <w:color w:val="auto"/>
              </w:rPr>
            </w:pPr>
            <w:r>
              <w:rPr>
                <w:rFonts w:ascii="Arial" w:cs="Arial" w:eastAsia="Arial" w:hAnsi="Arial"/>
                <w:sz w:val="17"/>
                <w:szCs w:val="17"/>
                <w:color w:val="auto"/>
              </w:rPr>
              <w:t>Operating activities</w:t>
            </w:r>
          </w:p>
        </w:tc>
        <w:tc>
          <w:tcPr>
            <w:tcW w:w="8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w w:val="98"/>
              </w:rPr>
              <w:t>$(13,190)</w:t>
            </w:r>
          </w:p>
        </w:tc>
        <w:tc>
          <w:tcPr>
            <w:tcW w:w="2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w w:val="97"/>
              </w:rPr>
              <w:t>(14,249)</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(3,861)</w:t>
            </w:r>
          </w:p>
        </w:tc>
        <w:tc>
          <w:tcPr>
            <w:tcW w:w="3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(8,963)</w:t>
            </w:r>
          </w:p>
        </w:tc>
      </w:tr>
      <w:tr>
        <w:trPr>
          <w:trHeight w:val="189"/>
        </w:trPr>
        <w:tc>
          <w:tcPr>
            <w:tcW w:w="70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Investing activities</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(353)</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(118)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w:t>
            </w:r>
          </w:p>
        </w:tc>
      </w:tr>
      <w:tr>
        <w:trPr>
          <w:trHeight w:val="189"/>
        </w:trPr>
        <w:tc>
          <w:tcPr>
            <w:tcW w:w="7020" w:type="dxa"/>
            <w:vAlign w:val="bottom"/>
          </w:tcPr>
          <w:p>
            <w:pPr>
              <w:ind w:left="500"/>
              <w:spacing w:after="0" w:line="189" w:lineRule="exact"/>
              <w:rPr>
                <w:sz w:val="20"/>
                <w:szCs w:val="20"/>
                <w:color w:val="auto"/>
              </w:rPr>
            </w:pPr>
            <w:r>
              <w:rPr>
                <w:rFonts w:ascii="Arial" w:cs="Arial" w:eastAsia="Arial" w:hAnsi="Arial"/>
                <w:sz w:val="17"/>
                <w:szCs w:val="17"/>
                <w:color w:val="auto"/>
              </w:rPr>
              <w:t>Financing activities</w:t>
            </w:r>
          </w:p>
        </w:tc>
        <w:tc>
          <w:tcPr>
            <w:tcW w:w="8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15,357</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104,991</w:t>
            </w:r>
          </w:p>
        </w:tc>
      </w:tr>
      <w:tr>
        <w:trPr>
          <w:trHeight w:val="27"/>
        </w:trPr>
        <w:tc>
          <w:tcPr>
            <w:tcW w:w="7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(decrease) increase in cash</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(13,842)</w:t>
            </w:r>
          </w:p>
        </w:tc>
        <w:tc>
          <w:tcPr>
            <w:tcW w:w="2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755</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(3,979)</w:t>
            </w:r>
          </w:p>
        </w:tc>
        <w:tc>
          <w:tcPr>
            <w:tcW w:w="3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96,018</w:t>
            </w:r>
          </w:p>
        </w:tc>
      </w:tr>
      <w:tr>
        <w:trPr>
          <w:trHeight w:val="20"/>
        </w:trPr>
        <w:tc>
          <w:tcPr>
            <w:tcW w:w="7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bl>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In the three months ended March 31, 2019, cash used in operating activities of $3.9 million was attributable to a net loss of $4.2 million partially offset by $0.2 million in non-cash charges and a change of $0.2 million in our net operating assets and liabilities. The non-cash charges consisted of stock-based compensation of $0.1 million and depreciation and amortization of $0.1 million. The change in operating assets and liabilities was primarily due to a $1.0 million increase in receivables due from a related-party, partially offset by a $0.7 million increase in accounts payable and a $0.4 million decrease in prepaid expenses.</w:t>
      </w:r>
    </w:p>
    <w:p>
      <w:pPr>
        <w:spacing w:after="0" w:line="15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the three months ended March 31, 2020, cash used in operating activities of $9.0 million was attributable to a net loss of $5.5 million partially offset by $0.5 million in non-cash charges and a change of $4.0 million in our net operating assets and liabilities. The non-cash charges consisted of stock-based compensation of $0.2 million, depreciation and amortization of $0.1 million, amortization of term loan discount and issuance costs of $0.1 million and change in fair value of Series B convertible preferred shares warrant liability and term loan compound derivative of $0.1 million. The change in operating assets and liabilities was primarily due to a $1.8 million decrease in accounts payable, $0.6 million decrease in accrued expenses, $0.9 million increase in prepaid expense and $0.7 million increase in receivables due from a related-party. This is primarily due to timing of cash payments for CMC-related activities.</w:t>
      </w:r>
    </w:p>
    <w:p>
      <w:pPr>
        <w:spacing w:after="0" w:line="151" w:lineRule="exact"/>
        <w:rPr>
          <w:sz w:val="20"/>
          <w:szCs w:val="20"/>
          <w:color w:val="auto"/>
        </w:rPr>
      </w:pPr>
    </w:p>
    <w:p>
      <w:pPr>
        <w:ind w:left="120" w:right="380"/>
        <w:spacing w:after="0" w:line="232" w:lineRule="auto"/>
        <w:rPr>
          <w:sz w:val="20"/>
          <w:szCs w:val="20"/>
          <w:color w:val="auto"/>
        </w:rPr>
      </w:pPr>
      <w:r>
        <w:rPr>
          <w:rFonts w:ascii="Arial" w:cs="Arial" w:eastAsia="Arial" w:hAnsi="Arial"/>
          <w:sz w:val="17"/>
          <w:szCs w:val="17"/>
          <w:color w:val="auto"/>
        </w:rPr>
        <w:t>In the year ended December 31, 2018, cash used in operating activities of $13.2 million was attributable to a net loss of $13.7 million partially offset by $0.7 million in non-cash charges and a net change of $0.2 million in our net operating assets and liabilities. The non-cash charges consisted of stock-based compensation expense of $0.3 million and depreciation and amortization expense of $0.4 million. The change in operating assets and liabilities was primarily due to a $0.9 million increase in receivables due from a related-party and $0.3 million</w:t>
      </w:r>
    </w:p>
    <w:p>
      <w:pPr>
        <w:ind w:left="120" w:right="20"/>
        <w:spacing w:after="0" w:line="243" w:lineRule="auto"/>
        <w:rPr>
          <w:sz w:val="20"/>
          <w:szCs w:val="20"/>
          <w:color w:val="auto"/>
        </w:rPr>
      </w:pPr>
      <w:r>
        <w:rPr>
          <w:rFonts w:ascii="Arial" w:cs="Arial" w:eastAsia="Arial" w:hAnsi="Arial"/>
          <w:sz w:val="17"/>
          <w:szCs w:val="17"/>
          <w:color w:val="auto"/>
        </w:rPr>
        <w:t>decrease in accounts payable. This was partially offset by a $0.9 million decrease in prepaid expenses and other current assets resulting from the timing of prepayments made for research and development activities.</w:t>
      </w:r>
    </w:p>
    <w:p>
      <w:pPr>
        <w:spacing w:after="0" w:line="14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the year ended December 31, 2019, cash used in operating activities of $14.2 million was attributable to a net loss of $19.2 million and a net change of $4.3 million in our net operating assets and liabilities, partially offset by $0.7 million in non-cash charges. The non-cash charges primarily consisted of stock-based compensation expense of $0.3 million and depreciation and amortization expense of $0.4 million. The change in operating assets and liabilities was primarily due to a $3.0 million increase in accounts payable, a $0.7 million decrease in prepaid expenses and other current assets and a $0.4 million decrease in receivables due from a related-party. The increase in accounts payable is primarily due to the timing of cash payments and increased activities to support overall business growth.</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54"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In the three months ended March 31, 2019, cash used in investing activities of $0.1 million was related to capital expenditures on the purchase of property and equipment.</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three months ended March 31, 2020, cash used in investing activities was nominal.</w:t>
      </w:r>
    </w:p>
    <w:p>
      <w:pPr>
        <w:spacing w:after="0" w:line="156"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In the year ended December 31, 2018, cash used in investing activities of $0.7 million was related to capital expenditures on the purchase of property and equipment.</w:t>
      </w:r>
    </w:p>
    <w:p>
      <w:pPr>
        <w:spacing w:after="0" w:line="144"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In the year ended December 31, 2019, cash used in investing activities of $0.4 million was related to capital expenditures on the purchase of property and equipment.</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three months ended March 31, 2019, cash provided by financing activities was nominal.</w:t>
      </w:r>
    </w:p>
    <w:p>
      <w:pPr>
        <w:spacing w:after="0" w:line="75" w:lineRule="exact"/>
        <w:rPr>
          <w:sz w:val="20"/>
          <w:szCs w:val="20"/>
          <w:color w:val="auto"/>
        </w:rPr>
      </w:pPr>
    </w:p>
    <w:p>
      <w:pPr>
        <w:ind w:left="120" w:right="540"/>
        <w:spacing w:after="0" w:line="243" w:lineRule="auto"/>
        <w:rPr>
          <w:sz w:val="20"/>
          <w:szCs w:val="20"/>
          <w:color w:val="auto"/>
        </w:rPr>
      </w:pPr>
      <w:r>
        <w:rPr>
          <w:rFonts w:ascii="Arial" w:cs="Arial" w:eastAsia="Arial" w:hAnsi="Arial"/>
          <w:sz w:val="17"/>
          <w:szCs w:val="17"/>
          <w:color w:val="auto"/>
        </w:rPr>
        <w:t>In the three months ended March 31, 2020, cash provided by financing activities was $105.0 million from the sale and issuance of Series C convertible preferred shares.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year ended December 31, 2018, cash provided by financing activities was nominal.</w:t>
      </w:r>
    </w:p>
    <w:p>
      <w:pPr>
        <w:spacing w:after="0" w:line="156"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In the year ended December 31, 2019, cash provided by financing activities of $15.4 million was related to net proceeds of $9.4 million from the issuance of Series B convertible preferred shares and $5.9 million from the net proceeds from a term loan entered into in December 2019.</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commitments and contractual obligations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10"/>
          </w:tcPr>
          <w:p>
            <w:pPr>
              <w:jc w:val="center"/>
              <w:ind w:right="12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LESS THAN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37"/>
              <w:spacing w:after="0" w:line="143" w:lineRule="exact"/>
              <w:rPr>
                <w:sz w:val="20"/>
                <w:szCs w:val="20"/>
                <w:color w:val="auto"/>
              </w:rPr>
            </w:pPr>
            <w:r>
              <w:rPr>
                <w:rFonts w:ascii="Arial" w:cs="Arial" w:eastAsia="Arial" w:hAnsi="Arial"/>
                <w:sz w:val="14"/>
                <w:szCs w:val="14"/>
                <w:b w:val="1"/>
                <w:bCs w:val="1"/>
                <w:color w:val="auto"/>
                <w:w w:val="98"/>
              </w:rPr>
              <w:t>1-3</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ind w:right="77"/>
              <w:spacing w:after="0" w:line="14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 YEAR</w:t>
            </w:r>
          </w:p>
        </w:tc>
        <w:tc>
          <w:tcPr>
            <w:tcW w:w="320" w:type="dxa"/>
            <w:vAlign w:val="bottom"/>
          </w:tcPr>
          <w:p>
            <w:pPr>
              <w:spacing w:after="0"/>
              <w:rPr>
                <w:sz w:val="15"/>
                <w:szCs w:val="15"/>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56"/>
        </w:trPr>
        <w:tc>
          <w:tcPr>
            <w:tcW w:w="5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4"/>
          </w:tcPr>
          <w:p>
            <w:pPr>
              <w:jc w:val="center"/>
              <w:ind w:right="40"/>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14"/>
                <w:szCs w:val="14"/>
                <w:color w:val="auto"/>
              </w:rPr>
              <w:t>(1) (4)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1,793</w:t>
            </w:r>
          </w:p>
        </w:tc>
        <w:tc>
          <w:tcPr>
            <w:tcW w:w="3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548</w:t>
            </w:r>
          </w:p>
        </w:tc>
        <w:tc>
          <w:tcPr>
            <w:tcW w:w="4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1,146</w:t>
            </w:r>
          </w:p>
        </w:tc>
        <w:tc>
          <w:tcPr>
            <w:tcW w:w="28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99</w:t>
            </w:r>
          </w:p>
        </w:tc>
        <w:tc>
          <w:tcPr>
            <w:tcW w:w="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7"/>
                <w:szCs w:val="17"/>
                <w:color w:val="auto"/>
              </w:rPr>
              <w:t xml:space="preserve">Manufacturing and service contracts </w:t>
            </w: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7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5,782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5,782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Term loan </w:t>
            </w: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7,071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1,278</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5,793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50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14,646</w:t>
            </w: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1,826</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w w:val="96"/>
              </w:rPr>
              <w:t>12,721</w:t>
            </w:r>
          </w:p>
        </w:tc>
        <w:tc>
          <w:tcPr>
            <w:tcW w:w="2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99</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8" w:lineRule="exact"/>
        <w:rPr>
          <w:sz w:val="20"/>
          <w:szCs w:val="20"/>
          <w:color w:val="auto"/>
        </w:rPr>
      </w:pPr>
    </w:p>
    <w:p>
      <w:pPr>
        <w:ind w:left="540" w:hanging="289"/>
        <w:spacing w:after="0"/>
        <w:tabs>
          <w:tab w:leader="none" w:pos="54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Payments due for our lease of office and laboratory space in Burlingame, California under a single operating lease agreement that expires in 2023.</w:t>
      </w:r>
    </w:p>
    <w:p>
      <w:pPr>
        <w:ind w:left="540" w:right="20" w:hanging="289"/>
        <w:spacing w:after="0" w:line="211" w:lineRule="auto"/>
        <w:tabs>
          <w:tab w:leader="none" w:pos="54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In November 2015, we entered into a Master Service Agreement, or the MSA, with KBI Biopharma, Inc. relating to formulation development, process development and cGMP manufacturing of ALX148 for use in clinical trials on a project basis. The MSA had an initial term of three years with successive one-year renewal periods, is cancellable upon notice and is non-exclusive. Statements of work under the MSA commit us to certain purchase obligations of approximately $6.7 million. These amounts are based on non-cancellable commitments and forecasts that include estimates of future market demand, quantity discounts and manufacturing efficiencies that may impact timing of purchases.</w:t>
      </w:r>
    </w:p>
    <w:p>
      <w:pPr>
        <w:spacing w:after="0" w:line="1" w:lineRule="exact"/>
        <w:rPr>
          <w:rFonts w:ascii="Arial" w:cs="Arial" w:eastAsia="Arial" w:hAnsi="Arial"/>
          <w:sz w:val="24"/>
          <w:szCs w:val="24"/>
          <w:color w:val="auto"/>
          <w:vertAlign w:val="superscript"/>
        </w:rPr>
      </w:pPr>
    </w:p>
    <w:p>
      <w:pPr>
        <w:ind w:left="540" w:right="420" w:hanging="289"/>
        <w:spacing w:after="0" w:line="182" w:lineRule="auto"/>
        <w:tabs>
          <w:tab w:leader="none" w:pos="540" w:val="left"/>
        </w:tabs>
        <w:numPr>
          <w:ilvl w:val="0"/>
          <w:numId w:val="61"/>
        </w:numPr>
        <w:rPr>
          <w:rFonts w:ascii="Arial" w:cs="Arial" w:eastAsia="Arial" w:hAnsi="Arial"/>
          <w:sz w:val="23"/>
          <w:szCs w:val="23"/>
          <w:color w:val="auto"/>
          <w:vertAlign w:val="superscript"/>
        </w:rPr>
      </w:pPr>
      <w:r>
        <w:rPr>
          <w:rFonts w:ascii="Arial" w:cs="Arial" w:eastAsia="Arial" w:hAnsi="Arial"/>
          <w:sz w:val="14"/>
          <w:szCs w:val="14"/>
          <w:color w:val="auto"/>
        </w:rPr>
        <w:t>On December 20, 2019, we borrowed a loan pursuant to the Loan Agreement as described above under “—Silicon Valley Bank and West River Group Loan and Security Agreement.”</w:t>
      </w:r>
    </w:p>
    <w:p>
      <w:pPr>
        <w:spacing w:after="0" w:line="1" w:lineRule="exact"/>
        <w:rPr>
          <w:rFonts w:ascii="Arial" w:cs="Arial" w:eastAsia="Arial" w:hAnsi="Arial"/>
          <w:sz w:val="23"/>
          <w:szCs w:val="23"/>
          <w:color w:val="auto"/>
          <w:vertAlign w:val="superscript"/>
        </w:rPr>
      </w:pPr>
    </w:p>
    <w:p>
      <w:pPr>
        <w:ind w:left="540" w:right="400" w:hanging="289"/>
        <w:spacing w:after="0" w:line="199" w:lineRule="auto"/>
        <w:tabs>
          <w:tab w:leader="none" w:pos="54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In addition to the transactions described above, we also intend to (i) assign to Tallac Therapeutics our lease with respect to our premises located at 866 Malcolm Road, Burlingame, California, and (ii) receive a sublease for such premises from Tallac Therapeutics, in each case subject to the agreement and consent of the landlord as appropriate.</w:t>
      </w:r>
    </w:p>
    <w:p>
      <w:pPr>
        <w:spacing w:after="0" w:line="141"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We enter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Cumulative Dividends on Convertible Preferred Shares</w:t>
      </w:r>
    </w:p>
    <w:p>
      <w:pPr>
        <w:spacing w:after="0" w:line="39"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As of March 31, 2020, there were $14.7 million of cumulative dividends on our Series A, Series B and Series C convertible preferred shares, which are payable upon the occurrence of certain change of control and liquidation events and upon the conversion of such convertible preferred shares upon a qualifying initial public offering, each as described in our organizational documents.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License and Collaboration Agreements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March 2015, we entered into a license agreement, or the Stanford Agreement, with the Board of Trustees of the</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Leland Stanford Junior University, or Stanford,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151"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ordinary shares.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No milestone payments have been made through December 31, 2019.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3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June 2016, we entered into a license agreement with Selexis SA, or Selexis, under which we obtained a worldwide, royalty-bearing, sublicensable license under certain patents, know-how and other intellectual property, to use Selexis generated cell lines to manufacture ALX148 and to make, use and sell licensed products containing such compound in all fields of use. The rights granted under this agreement include the rights to grant sublicenses to contractors or other collaboration partners, in each case to develop production processes or manufacture licensed products, containing ALX148.</w:t>
      </w:r>
    </w:p>
    <w:p>
      <w:pPr>
        <w:spacing w:after="0" w:line="150"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In consideration for the rights granted to us under the agreement, we paid Selexis a nominal one-time fee and will pay Selexis an annual maintenance fee. We also agreed to pay Selexis milestone payments up to an aggregate of 1.2 million Swiss Francs in respect of all licensed products developed and/or commercialized under the grant, that successfully satisfies certain milestone events. We also agreed to pay Selexis a flat royalty of a very low single-digit percentage on net sales made by us, our affiliates and our sublicensees of products. This royalty obligation, on a product-by-product and country-by-country basis, shall terminate and become fully paid-up upon the passing of ten years after the first commercial sale of the product in such country or our exercise of the royalty buyout option, exercisable at any time prior to the first commercial sale of a licensed product.</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Our obligations to make payments that are accrued or accruable will survive any termination of the agreement, and in certain circumstances the licenses granted under the agreement will terminate unless they have become fully paid up as described in the previous paragraph.</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52"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In March 2017, we entered into an agreement with Crystal Bioscience, Inc. (now a subsidiary of Ligand Pharmaceuticals Incorporated), or Crystal, under which we obtained an assignment of certain patents, covering certain SIRPa antibodies. Under this agreement, we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consideration for the rights granted to us under the agreement, we agreed to pay Crystal milestone payments up to $11.1 million in respect of all licensed products developed under the assigned patents, that successfully satisfy certain clinical and regulatory milestones, each milestone being paid only once for all products. We also agreed to pay Crystal tiered royalties on net sales of licensed products made by us, our affiliates and our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48"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We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Our obligations to pay royalties and milestone payments which accrued pre-termination or accrue post-termination will survive any termination.</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Agreement</w:t>
      </w:r>
    </w:p>
    <w:p>
      <w:pPr>
        <w:spacing w:after="0" w:line="52" w:lineRule="exact"/>
        <w:rPr>
          <w:sz w:val="20"/>
          <w:szCs w:val="20"/>
          <w:color w:val="auto"/>
        </w:rPr>
      </w:pPr>
    </w:p>
    <w:p>
      <w:pPr>
        <w:ind w:left="120" w:right="140"/>
        <w:spacing w:after="0" w:line="246" w:lineRule="auto"/>
        <w:rPr>
          <w:sz w:val="20"/>
          <w:szCs w:val="20"/>
          <w:color w:val="auto"/>
        </w:rPr>
      </w:pPr>
      <w:r>
        <w:rPr>
          <w:rFonts w:ascii="Arial" w:cs="Arial" w:eastAsia="Arial" w:hAnsi="Arial"/>
          <w:sz w:val="16"/>
          <w:szCs w:val="16"/>
          <w:color w:val="auto"/>
        </w:rPr>
        <w:t>In June 2018, we entered into the Tollnine Agreement with Tallac Therapeutics, a related-party, to provide research and development services to Tallac Therapeutics. Since June 2018 to April 2020, our Chief Executive Officer was also the Chief Executive Officer of Tallac Therapeutics and currently two of our investors are also investors in Tallac Therapeutics. In April 2020, Dr. Hong Wan, our former Chief Scientific Officer, replaced our Chief Executive Officer to become the Chief Executive Officer of Tallac Therapeutics. As such, Tallac Therapeutics was deemed to be a related-party. The services under the Tollnine Agreement were provided at a price based on the costs incurred by us plus a mark-up equal to</w:t>
      </w:r>
    </w:p>
    <w:p>
      <w:pPr>
        <w:spacing w:after="0" w:line="2"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10.0% of such costs. We recognized revenue when Tallac Therapeutics, as our customer, obtained control of promised goods or services, in an amount that reflects the consideration which we expect to receive in exchange for those goods or services.</w:t>
      </w:r>
    </w:p>
    <w:p>
      <w:pPr>
        <w:spacing w:after="0" w:line="198"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For the years ended December 31, 2018, and December 31, 2019, and for the three months ended March 31, 2019 and March 31, 2020, we recognized related-party revenues of $2.1 million and $4.8 million, and $1.0 million and $0.7 million, respectively, under the Tollnine Agreement.</w:t>
      </w:r>
    </w:p>
    <w:p>
      <w:pPr>
        <w:spacing w:after="0" w:line="144"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As of December 31, 2018, December 31, 2019 and March 31, 2020, we had outstanding related-party receivables from Tallac Therapeutics of $0.9 million, $0.5 million and $1.2 million, respectively.</w:t>
      </w:r>
    </w:p>
    <w:p>
      <w:pPr>
        <w:spacing w:after="0" w:line="19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Effective as of July 1, 2020, we will terminate the Tollnine Agreement and will enter into the Tallac Services Agreement with Tallac Therapeutics, pursuant to which Tallac Therapeutics will provide certain research and development services to us. The Tallac Services Agreement has an initial term of four years, to be automatically renewed for additional one-year terms unless terminated by either party. The services are to be provided at a price based on the costs incurred by Tallac Therapeutics plus a mark-up equal to 10.0% of such costs. For additional information regarding our Tallac Services Agreement with Tallac Therapeutics, please see “Certain Relationships and Related-Party Transactions—Tallac Therapeutics Agreements.”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0"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In connection with the audit of our consolidated financial statements for each of the years ended December 31, 2018 and December 31, 2019, we and our independent registered public accounting firm identified material weaknesses in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3" w:lineRule="auto"/>
        <w:rPr>
          <w:sz w:val="20"/>
          <w:szCs w:val="20"/>
          <w:color w:val="auto"/>
        </w:rPr>
      </w:pPr>
      <w:r>
        <w:rPr>
          <w:rFonts w:ascii="Arial" w:cs="Arial" w:eastAsia="Arial" w:hAnsi="Arial"/>
          <w:sz w:val="17"/>
          <w:szCs w:val="17"/>
          <w:color w:val="auto"/>
        </w:rPr>
        <w:t>our internal control over financial reporting resulting from a lack of sufficient qualified personnel. For the year ended December 31, 2018, the material weaknesses related to (i) independent reviews of journal entries not being performed prior to posting, (ii) account reconciliations not being performed and independently reviewed on a timely basis and (iii) lack of independent review of technical accounting matters. For the year ended December 31, 2019, (i) and (ii) remain unremediated. A material weakness is a deficiency, or a combination of deficiencies, in internal control over financial reporting such that there is a reasonable possibility that a material misstatement of our consolidated basis. During the first quarter of 2020, we have undertaken specific remediation actions to address the control deficiencies in our financial reporting. We have established more robust processes related to the review of complex accounting transactions, the preparation of account reconciliations and the review of journal entries. These remediation actions included hiring a full time Chief Financial Officer in January 2020 and a Vice President, Finance and Chief Accounting Officer in March 2020, both of whom have extensive experience in developing and implementing internal controls and executing plans to remediate control deficiencies. We added new control activities, modified existing controls, and enhanced the documentation that evidences that controls are performed.</w:t>
      </w:r>
    </w:p>
    <w:p>
      <w:pPr>
        <w:spacing w:after="0" w:line="20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If remediation of these material weaknesses is not effective, or if we fail to develop and maintain an effective system of disclosure controls and internal control over financial reporting, our ability to produce timely and accurate consolidated financial statements or comply with applicable laws and regulations could be impaired. See “Risk Factors—Risks Related to Our Operations—We identified material weaknesses in our internal control over financial reporting. If our remediation measures are not effective, we may not be able to report our financial condition or results of operations accurately or on a timely basis.”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66" w:lineRule="exact"/>
        <w:rPr>
          <w:sz w:val="20"/>
          <w:szCs w:val="20"/>
          <w:color w:val="auto"/>
        </w:rPr>
      </w:pPr>
    </w:p>
    <w:p>
      <w:pPr>
        <w:ind w:left="120" w:right="680"/>
        <w:spacing w:after="0" w:line="243" w:lineRule="auto"/>
        <w:rPr>
          <w:sz w:val="20"/>
          <w:szCs w:val="20"/>
          <w:color w:val="auto"/>
        </w:rPr>
      </w:pPr>
      <w:r>
        <w:rPr>
          <w:rFonts w:ascii="Arial" w:cs="Arial" w:eastAsia="Arial" w:hAnsi="Arial"/>
          <w:sz w:val="17"/>
          <w:szCs w:val="17"/>
          <w:color w:val="auto"/>
        </w:rPr>
        <w:t>During the period presented, we did not have, nor do we currently have, any off-balance sheet arrangements, as defined in the rules and regulations of the SEC.</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4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sensitivities. As of March 31, 2020, we had cash and cash equivalents of $105.0 million. We generally hold our cash and cash equivalents in interest-bearing bank accounts and money market funds. Our primary exposure to market risk is interest rate sensitivity, which is affected by changes in the general level of U.S. interest rates. An immediate 100 basis point change in interest rates would not have a material effect on the fair market value of our cash and cash equivalents.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Financial Institution Risk</w:t>
      </w:r>
    </w:p>
    <w:p>
      <w:pPr>
        <w:spacing w:after="0" w:line="41"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Substantially all of our cash and cash equivalents is held with a single financial institution. Due to its size, this financial institution represents a minimal credit risk. Cash amounts held at financial institutions are insured by the Federal Deposit Insurance Corporation up to $250,000. At March 31, 2020, we had $104.8 million in excess of this insured limit.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41"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10.0% increase or decrease in current exchange rates would not have a material effect on our financial results.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Effects of Inflation</w:t>
      </w:r>
    </w:p>
    <w:p>
      <w:pPr>
        <w:spacing w:after="0" w:line="4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Inflation generally affects us by increasing our cost of labor and clinical trial costs. We do not believe that inflation has had a material effect on our results of operations during the periods presented.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93" w:lineRule="exact"/>
        <w:rPr>
          <w:sz w:val="20"/>
          <w:szCs w:val="20"/>
          <w:color w:val="auto"/>
        </w:rPr>
      </w:pPr>
    </w:p>
    <w:p>
      <w:pPr>
        <w:ind w:left="120" w:right="680"/>
        <w:spacing w:after="0" w:line="243" w:lineRule="auto"/>
        <w:rPr>
          <w:sz w:val="20"/>
          <w:szCs w:val="20"/>
          <w:color w:val="auto"/>
        </w:rPr>
      </w:pPr>
      <w:r>
        <w:rPr>
          <w:rFonts w:ascii="Arial" w:cs="Arial" w:eastAsia="Arial" w:hAnsi="Arial"/>
          <w:sz w:val="17"/>
          <w:szCs w:val="17"/>
          <w:color w:val="auto"/>
        </w:rPr>
        <w:t>We are an “emerging growth company,” as defined in the JOBS Act, and may take advantage of reduced reporting requirements that are otherwise applicable to public companies. Section 107 of the JOBS Act exempts emerging</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growth companies from being required to comply with new or revised financial accounting standards until private companies are required to comply with those standards. We have elected to take advantage of the extended transition period for complying with new or revised accounting standards. As a result of this election, our consolidated financial statements may not be comparable to companies that comply with public company effective dates. The JOBS Act also exempts us from having to provide an auditor attestation of internal control over financial reporting under SOX Section 404(b).</w:t>
      </w:r>
    </w:p>
    <w:p>
      <w:pPr>
        <w:spacing w:after="0" w:line="150" w:lineRule="exact"/>
        <w:rPr>
          <w:sz w:val="20"/>
          <w:szCs w:val="20"/>
          <w:color w:val="auto"/>
        </w:rPr>
      </w:pPr>
    </w:p>
    <w:p>
      <w:pPr>
        <w:jc w:val="both"/>
        <w:ind w:left="120" w:right="40"/>
        <w:spacing w:after="0" w:line="235" w:lineRule="auto"/>
        <w:rPr>
          <w:sz w:val="20"/>
          <w:szCs w:val="20"/>
          <w:color w:val="auto"/>
        </w:rPr>
      </w:pPr>
      <w:r>
        <w:rPr>
          <w:rFonts w:ascii="Arial" w:cs="Arial" w:eastAsia="Arial" w:hAnsi="Arial"/>
          <w:sz w:val="17"/>
          <w:szCs w:val="17"/>
          <w:color w:val="auto"/>
        </w:rPr>
        <w:t>We will remain an “emerging growth company” until the earliest of (1) the last day of the fiscal year in which we have total annual gross revenues of $1.07 billion or more, (2) the last day of the fiscal year following the fifth anniversary of the completion of this initial public offering, (3) the date on which we have issued more than $1.0 billion in nonconvertible debt during the previous three years or (4) the date on which we are deemed to be a large accelerated filer under the rules of the SEC, which generally is when we have more than $700 million in market value of our stock held by non-affiliates and we have been a public company for at least 12 months and have filed one annual report on Form 10-K.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3"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consolidated financial statements, which have been prepared in accordance with U.S. generally accepted accounting principles, or U.S. GAAP. The preparation of our consolidated financial statements and related disclosures requires us to make estimates and judgments that affect the reported amounts of assets, liabilities, expenses and the disclosure of our contingent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49"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7"/>
          <w:szCs w:val="17"/>
          <w:color w:val="auto"/>
        </w:rPr>
        <w:t>While our significant accounting policies are described in more detail in Note 1 to our audited consolidated financial statements elsewhere in this prospectus, we believe that the following accounting policies are those most critical to the judgments and estimates used in the preparation of our audited consolidated financial statements.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and Manufacturing Accruals</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accrue for estimated costs of research and development activities conducted by third-party service providers, which include the conduct of clinical trials and contract manufacturing activities. We record the estimated costs of research and development activities based upon the estimated amount of services provided. These costs are included in either prepaid expenses and other current assets or accrued expenses and other current liabilities in the consolidated balance sheets and within research and development expense in the consolidated statements of operations and comprehensive loss. We accrue for these costs based on factors such as estimates of the work completed and in accordance with agreements established with its third-party service providers. We record prepaid expenses which consists of amounts paid in advance for services that have not yet been incurred as of the end of the fiscal year.</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account for stock-based compensation by measuring and recognizing compensation expense for all stock-based payments made to employees, directors and non-employees based on estimated grant-date fair values. We use the straight-line method to allocate compensation cost to reporting periods over each optionee’s requisite service period, which is generally the vesting period, and estimates the fair value of stock-based awards to employees, directors and non-employees using the Black-Scholes option-pricing model. The Black-Scholes option-pricing model requires the input of subjective assumptions, including expected volatility, expected dividend yield, expected term, risk-free rate of return, and the estimated fair value of the underlying common shares on the date of grant.</w:t>
      </w:r>
    </w:p>
    <w:p>
      <w:pPr>
        <w:spacing w:after="0" w:line="130" w:lineRule="exact"/>
        <w:rPr>
          <w:sz w:val="20"/>
          <w:szCs w:val="20"/>
          <w:color w:val="auto"/>
        </w:rPr>
      </w:pPr>
    </w:p>
    <w:p>
      <w:pPr>
        <w:ind w:left="120" w:right="280"/>
        <w:spacing w:after="0" w:line="265"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—We have opted to use the “simplified method” for estimating the expected term of options, whereby the expected term equals</w:t>
      </w:r>
      <w:r>
        <w:rPr>
          <w:rFonts w:ascii="Arial" w:cs="Arial" w:eastAsia="Arial" w:hAnsi="Arial"/>
          <w:sz w:val="17"/>
          <w:szCs w:val="17"/>
          <w:i w:val="1"/>
          <w:iCs w:val="1"/>
          <w:color w:val="auto"/>
        </w:rPr>
        <w:t xml:space="preserve"> </w:t>
      </w:r>
      <w:r>
        <w:rPr>
          <w:rFonts w:ascii="Arial" w:cs="Arial" w:eastAsia="Arial" w:hAnsi="Arial"/>
          <w:sz w:val="17"/>
          <w:szCs w:val="17"/>
          <w:color w:val="auto"/>
        </w:rPr>
        <w:t>the arithmetic average of the vesting term and the original contractual term of the option (generally 10 years).</w:t>
      </w:r>
    </w:p>
    <w:p>
      <w:pPr>
        <w:spacing w:after="0" w:line="108" w:lineRule="exact"/>
        <w:rPr>
          <w:sz w:val="20"/>
          <w:szCs w:val="20"/>
          <w:color w:val="auto"/>
        </w:rPr>
      </w:pPr>
    </w:p>
    <w:p>
      <w:pPr>
        <w:ind w:left="120" w:right="140"/>
        <w:spacing w:after="0" w:line="265"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rate assumption is based on the U.S. Treasury instruments with maturities similar to the expected term of</w:t>
      </w:r>
      <w:r>
        <w:rPr>
          <w:rFonts w:ascii="Arial" w:cs="Arial" w:eastAsia="Arial" w:hAnsi="Arial"/>
          <w:sz w:val="17"/>
          <w:szCs w:val="17"/>
          <w:i w:val="1"/>
          <w:iCs w:val="1"/>
          <w:color w:val="auto"/>
        </w:rPr>
        <w:t xml:space="preserve"> </w:t>
      </w:r>
      <w:r>
        <w:rPr>
          <w:rFonts w:ascii="Arial" w:cs="Arial" w:eastAsia="Arial" w:hAnsi="Arial"/>
          <w:sz w:val="17"/>
          <w:szCs w:val="17"/>
          <w:color w:val="auto"/>
        </w:rPr>
        <w:t>our stock options.</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right="380"/>
        <w:spacing w:after="0" w:line="265" w:lineRule="auto"/>
        <w:rPr>
          <w:sz w:val="20"/>
          <w:szCs w:val="20"/>
          <w:color w:val="auto"/>
        </w:rPr>
      </w:pPr>
      <w:r>
        <w:rPr>
          <w:rFonts w:ascii="Arial" w:cs="Arial" w:eastAsia="Arial" w:hAnsi="Arial"/>
          <w:sz w:val="17"/>
          <w:szCs w:val="17"/>
          <w:i w:val="1"/>
          <w:iCs w:val="1"/>
          <w:color w:val="auto"/>
        </w:rPr>
        <w:t>Expected Dividend</w:t>
      </w:r>
      <w:r>
        <w:rPr>
          <w:rFonts w:ascii="Arial" w:cs="Arial" w:eastAsia="Arial" w:hAnsi="Arial"/>
          <w:sz w:val="17"/>
          <w:szCs w:val="17"/>
          <w:color w:val="auto"/>
        </w:rPr>
        <w:t>—We have not issued any dividends and do not expect to issue dividends over the life of the options. As a result,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the dividend yield to be zero.</w:t>
      </w:r>
    </w:p>
    <w:p>
      <w:pPr>
        <w:spacing w:after="0" w:line="108"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—Due to our limited operating history and a lack of company specific historical and implied volatility data, we have based our</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 of expected volatility on the historical volatility of a group of similar companies that are publicly traded. The historical volatility data was computed using the daily closing prices for the selected companies’ shares during the equivalent period of the calculated expected term of the stock-based awards.</w:t>
      </w:r>
    </w:p>
    <w:p>
      <w:pPr>
        <w:spacing w:after="0" w:line="144"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The estimated fair value of stock options granted to employees and non-employee service providers are expensed over the requisite service period (generally the vesting term) on a straight-line basis. We account for the impact of forfeitures as they occur.</w:t>
      </w:r>
    </w:p>
    <w:p>
      <w:pPr>
        <w:spacing w:after="0" w:line="144"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The fair values of the stock options granted during the years ended December 31, 2018 and December 31, 2019 and the three months ended March 31, 2019 and March 31, 2020 were estimated at the date of grant using the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480" w:type="dxa"/>
            <w:vAlign w:val="bottom"/>
          </w:tcPr>
          <w:p>
            <w:pPr>
              <w:spacing w:after="0"/>
              <w:rPr>
                <w:sz w:val="15"/>
                <w:szCs w:val="15"/>
                <w:color w:val="auto"/>
              </w:rPr>
            </w:pPr>
          </w:p>
        </w:tc>
        <w:tc>
          <w:tcPr>
            <w:tcW w:w="26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5"/>
                <w:szCs w:val="15"/>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64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44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2019</w:t>
            </w:r>
          </w:p>
        </w:tc>
        <w:tc>
          <w:tcPr>
            <w:tcW w:w="1260" w:type="dxa"/>
            <w:vAlign w:val="bottom"/>
            <w:tcBorders>
              <w:top w:val="single" w:sz="8" w:color="auto"/>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r>
      <w:tr>
        <w:trPr>
          <w:trHeight w:val="156"/>
        </w:trPr>
        <w:tc>
          <w:tcPr>
            <w:tcW w:w="6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tcPr>
          <w:p>
            <w:pPr>
              <w:jc w:val="right"/>
              <w:ind w:right="360"/>
              <w:spacing w:after="0" w:line="155"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3"/>
                <w:szCs w:val="13"/>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term (in years)</w:t>
            </w:r>
          </w:p>
        </w:tc>
        <w:tc>
          <w:tcPr>
            <w:tcW w:w="13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5.2—6.0</w:t>
            </w:r>
          </w:p>
        </w:tc>
        <w:tc>
          <w:tcPr>
            <w:tcW w:w="13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4.4—6.0</w:t>
            </w:r>
          </w:p>
        </w:tc>
        <w:tc>
          <w:tcPr>
            <w:tcW w:w="44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6.0—6.1</w:t>
            </w: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13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2.6—3.0%</w:t>
            </w:r>
          </w:p>
        </w:tc>
        <w:tc>
          <w:tcPr>
            <w:tcW w:w="13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1.7—2.1%</w:t>
            </w:r>
          </w:p>
        </w:tc>
        <w:tc>
          <w:tcPr>
            <w:tcW w:w="440" w:type="dxa"/>
            <w:vAlign w:val="bottom"/>
          </w:tcPr>
          <w:p>
            <w:pPr>
              <w:ind w:left="220"/>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0.5—0.8%</w:t>
            </w: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dividend rate</w:t>
            </w:r>
          </w:p>
        </w:tc>
        <w:tc>
          <w:tcPr>
            <w:tcW w:w="13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r>
      <w:tr>
        <w:trPr>
          <w:trHeight w:val="205"/>
        </w:trPr>
        <w:tc>
          <w:tcPr>
            <w:tcW w:w="6480" w:type="dxa"/>
            <w:vAlign w:val="bottom"/>
          </w:tcPr>
          <w:p>
            <w:pPr>
              <w:spacing w:after="0"/>
              <w:rPr>
                <w:sz w:val="20"/>
                <w:szCs w:val="20"/>
                <w:color w:val="auto"/>
              </w:rPr>
            </w:pPr>
            <w:r>
              <w:rPr>
                <w:rFonts w:ascii="Arial" w:cs="Arial" w:eastAsia="Arial" w:hAnsi="Arial"/>
                <w:sz w:val="17"/>
                <w:szCs w:val="17"/>
                <w:color w:val="auto"/>
              </w:rPr>
              <w:t>Expected share price volatility</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66.5—68.7%</w:t>
            </w:r>
          </w:p>
        </w:tc>
        <w:tc>
          <w:tcPr>
            <w:tcW w:w="1320" w:type="dxa"/>
            <w:vAlign w:val="bottom"/>
            <w:gridSpan w:val="2"/>
          </w:tcPr>
          <w:p>
            <w:pPr>
              <w:jc w:val="right"/>
              <w:ind w:right="260"/>
              <w:spacing w:after="0"/>
              <w:rPr>
                <w:sz w:val="20"/>
                <w:szCs w:val="20"/>
                <w:color w:val="auto"/>
              </w:rPr>
            </w:pPr>
            <w:r>
              <w:rPr>
                <w:rFonts w:ascii="Arial" w:cs="Arial" w:eastAsia="Arial" w:hAnsi="Arial"/>
                <w:sz w:val="17"/>
                <w:szCs w:val="17"/>
                <w:color w:val="auto"/>
              </w:rPr>
              <w:t>75.2—80.5%</w:t>
            </w:r>
          </w:p>
        </w:tc>
        <w:tc>
          <w:tcPr>
            <w:tcW w:w="440" w:type="dxa"/>
            <w:vAlign w:val="bottom"/>
          </w:tcPr>
          <w:p>
            <w:pPr>
              <w:ind w:left="22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7"/>
                <w:szCs w:val="17"/>
                <w:color w:val="auto"/>
              </w:rPr>
              <w:t>79.6—80.0%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0"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Stock-based compensation expense, net of forfeitures, is reflected in the consolidated statements of operations and comprehensive loss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155575</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320" w:type="dxa"/>
            <w:vAlign w:val="bottom"/>
            <w:gridSpan w:val="3"/>
          </w:tcPr>
          <w:p>
            <w:pPr>
              <w:jc w:val="center"/>
              <w:ind w:left="381"/>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jc w:val="center"/>
              <w:ind w:left="381"/>
              <w:spacing w:after="0" w:line="155" w:lineRule="exact"/>
              <w:rPr>
                <w:sz w:val="20"/>
                <w:szCs w:val="20"/>
                <w:color w:val="auto"/>
              </w:rPr>
            </w:pPr>
            <w:r>
              <w:rPr>
                <w:rFonts w:ascii="Arial" w:cs="Arial" w:eastAsia="Arial" w:hAnsi="Arial"/>
                <w:sz w:val="14"/>
                <w:szCs w:val="14"/>
                <w:b w:val="1"/>
                <w:bCs w:val="1"/>
                <w:color w:val="auto"/>
              </w:rPr>
              <w:t>(unaudited)</w:t>
            </w: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0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w:t>
            </w:r>
          </w:p>
        </w:tc>
        <w:tc>
          <w:tcPr>
            <w:tcW w:w="60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w w:val="93"/>
              </w:rPr>
              <w:t>$ 195</w:t>
            </w:r>
          </w:p>
        </w:tc>
        <w:tc>
          <w:tcPr>
            <w:tcW w:w="1240" w:type="dxa"/>
            <w:vAlign w:val="bottom"/>
            <w:gridSpan w:val="3"/>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$ 105</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35</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89"/>
        </w:trPr>
        <w:tc>
          <w:tcPr>
            <w:tcW w:w="7060" w:type="dxa"/>
            <w:vAlign w:val="bottom"/>
            <w:gridSpan w:val="2"/>
          </w:tcPr>
          <w:p>
            <w:pPr>
              <w:spacing w:after="0" w:line="189" w:lineRule="exact"/>
              <w:rPr>
                <w:sz w:val="20"/>
                <w:szCs w:val="20"/>
                <w:color w:val="auto"/>
              </w:rPr>
            </w:pPr>
            <w:r>
              <w:rPr>
                <w:rFonts w:ascii="Arial" w:cs="Arial" w:eastAsia="Arial" w:hAnsi="Arial"/>
                <w:sz w:val="17"/>
                <w:szCs w:val="17"/>
                <w:color w:val="auto"/>
              </w:rPr>
              <w:t>General and administrative</w:t>
            </w:r>
          </w:p>
        </w:tc>
        <w:tc>
          <w:tcPr>
            <w:tcW w:w="60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16</w:t>
            </w:r>
          </w:p>
        </w:tc>
        <w:tc>
          <w:tcPr>
            <w:tcW w:w="1240" w:type="dxa"/>
            <w:vAlign w:val="bottom"/>
            <w:gridSpan w:val="3"/>
          </w:tcPr>
          <w:p>
            <w:pPr>
              <w:jc w:val="right"/>
              <w:ind w:right="420"/>
              <w:spacing w:after="0" w:line="189" w:lineRule="exact"/>
              <w:rPr>
                <w:sz w:val="20"/>
                <w:szCs w:val="20"/>
                <w:color w:val="auto"/>
              </w:rPr>
            </w:pPr>
            <w:r>
              <w:rPr>
                <w:rFonts w:ascii="Arial" w:cs="Arial" w:eastAsia="Arial" w:hAnsi="Arial"/>
                <w:sz w:val="17"/>
                <w:szCs w:val="17"/>
                <w:color w:val="auto"/>
              </w:rPr>
              <w:t>33</w:t>
            </w:r>
          </w:p>
        </w:tc>
        <w:tc>
          <w:tcPr>
            <w:tcW w:w="140" w:type="dxa"/>
            <w:vAlign w:val="bottom"/>
          </w:tcPr>
          <w:p>
            <w:pPr>
              <w:spacing w:after="0"/>
              <w:rPr>
                <w:sz w:val="16"/>
                <w:szCs w:val="16"/>
                <w:color w:val="auto"/>
              </w:rPr>
            </w:pPr>
          </w:p>
        </w:tc>
        <w:tc>
          <w:tcPr>
            <w:tcW w:w="114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7</w:t>
            </w:r>
          </w:p>
        </w:tc>
        <w:tc>
          <w:tcPr>
            <w:tcW w:w="180" w:type="dxa"/>
            <w:vAlign w:val="bottom"/>
          </w:tcPr>
          <w:p>
            <w:pPr>
              <w:spacing w:after="0"/>
              <w:rPr>
                <w:sz w:val="16"/>
                <w:szCs w:val="16"/>
                <w:color w:val="auto"/>
              </w:rPr>
            </w:pPr>
          </w:p>
        </w:tc>
        <w:tc>
          <w:tcPr>
            <w:tcW w:w="6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189"/>
        </w:trPr>
        <w:tc>
          <w:tcPr>
            <w:tcW w:w="70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Cost of services for related-party revenue</w:t>
            </w:r>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58</w:t>
            </w:r>
          </w:p>
        </w:tc>
        <w:tc>
          <w:tcPr>
            <w:tcW w:w="1240" w:type="dxa"/>
            <w:vAlign w:val="bottom"/>
            <w:gridSpan w:val="3"/>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159</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34</w:t>
            </w: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200" w:type="dxa"/>
            <w:vAlign w:val="bottom"/>
            <w:vMerge w:val="restart"/>
          </w:tcPr>
          <w:p>
            <w:pPr>
              <w:ind w:left="500"/>
              <w:spacing w:after="0"/>
              <w:rPr>
                <w:sz w:val="20"/>
                <w:szCs w:val="20"/>
                <w:color w:val="auto"/>
              </w:rPr>
            </w:pPr>
            <w:r>
              <w:rPr>
                <w:rFonts w:ascii="Arial" w:cs="Arial" w:eastAsia="Arial" w:hAnsi="Arial"/>
                <w:sz w:val="17"/>
                <w:szCs w:val="17"/>
                <w:color w:val="auto"/>
              </w:rPr>
              <w:t>Total</w:t>
            </w: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vMerge w:val="continue"/>
          </w:tcPr>
          <w:p>
            <w:pPr>
              <w:spacing w:after="0"/>
              <w:rPr>
                <w:sz w:val="17"/>
                <w:szCs w:val="17"/>
                <w:color w:val="auto"/>
              </w:rPr>
            </w:pPr>
          </w:p>
        </w:tc>
        <w:tc>
          <w:tcPr>
            <w:tcW w:w="5860" w:type="dxa"/>
            <w:vAlign w:val="bottom"/>
          </w:tcPr>
          <w:p>
            <w:pPr>
              <w:spacing w:after="0"/>
              <w:rPr>
                <w:sz w:val="17"/>
                <w:szCs w:val="17"/>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7"/>
                <w:szCs w:val="17"/>
                <w:color w:val="auto"/>
                <w:w w:val="93"/>
              </w:rPr>
              <w:t>$ 269</w:t>
            </w:r>
          </w:p>
        </w:tc>
        <w:tc>
          <w:tcPr>
            <w:tcW w:w="1240" w:type="dxa"/>
            <w:vAlign w:val="bottom"/>
            <w:gridSpan w:val="3"/>
          </w:tcPr>
          <w:p>
            <w:pPr>
              <w:jc w:val="right"/>
              <w:ind w:right="420"/>
              <w:spacing w:after="0"/>
              <w:rPr>
                <w:sz w:val="20"/>
                <w:szCs w:val="20"/>
                <w:color w:val="auto"/>
              </w:rPr>
            </w:pPr>
            <w:r>
              <w:rPr>
                <w:rFonts w:ascii="Arial" w:cs="Arial" w:eastAsia="Arial" w:hAnsi="Arial"/>
                <w:sz w:val="17"/>
                <w:szCs w:val="17"/>
                <w:color w:val="auto"/>
              </w:rPr>
              <w:t>$ 297</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540"/>
              <w:spacing w:after="0"/>
              <w:rPr>
                <w:sz w:val="20"/>
                <w:szCs w:val="20"/>
                <w:color w:val="auto"/>
              </w:rPr>
            </w:pPr>
            <w:r>
              <w:rPr>
                <w:rFonts w:ascii="Arial" w:cs="Arial" w:eastAsia="Arial" w:hAnsi="Arial"/>
                <w:sz w:val="17"/>
                <w:szCs w:val="17"/>
                <w:color w:val="auto"/>
              </w:rPr>
              <w:t>76</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0"/>
        </w:trPr>
        <w:tc>
          <w:tcPr>
            <w:tcW w:w="706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tcBorders>
              <w:bottom w:val="single" w:sz="8" w:color="auto"/>
            </w:tcBorders>
            <w:gridSpan w:val="5"/>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7660" w:type="dxa"/>
            <w:vAlign w:val="bottom"/>
            <w:gridSpan w:val="5"/>
          </w:tcPr>
          <w:p>
            <w:pPr>
              <w:spacing w:after="0"/>
              <w:rPr>
                <w:sz w:val="20"/>
                <w:szCs w:val="20"/>
                <w:color w:val="auto"/>
              </w:rPr>
            </w:pPr>
            <w:r>
              <w:rPr>
                <w:rFonts w:ascii="Arial" w:cs="Arial" w:eastAsia="Arial" w:hAnsi="Arial"/>
                <w:sz w:val="17"/>
                <w:szCs w:val="17"/>
                <w:color w:val="auto"/>
              </w:rPr>
              <w:t>As of March 31, 2020, total unamortized stock-based compensation expense was $6.1 million.</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060" w:type="dxa"/>
            <w:vAlign w:val="bottom"/>
            <w:gridSpan w:val="2"/>
          </w:tcPr>
          <w:p>
            <w:pPr>
              <w:spacing w:after="0"/>
              <w:rPr>
                <w:sz w:val="20"/>
                <w:szCs w:val="20"/>
                <w:color w:val="auto"/>
              </w:rPr>
            </w:pPr>
            <w:r>
              <w:rPr>
                <w:rFonts w:ascii="Arial" w:cs="Arial" w:eastAsia="Arial" w:hAnsi="Arial"/>
                <w:sz w:val="17"/>
                <w:szCs w:val="17"/>
                <w:color w:val="auto"/>
              </w:rPr>
              <w:t>The intrinsic value of all outstanding stock options as of March 31, 2020 was approximately $</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gridSpan w:val="9"/>
          </w:tcPr>
          <w:p>
            <w:pPr>
              <w:jc w:val="center"/>
              <w:ind w:right="80"/>
              <w:spacing w:after="0"/>
              <w:rPr>
                <w:sz w:val="20"/>
                <w:szCs w:val="20"/>
                <w:color w:val="auto"/>
              </w:rPr>
            </w:pPr>
            <w:r>
              <w:rPr>
                <w:rFonts w:ascii="Arial" w:cs="Arial" w:eastAsia="Arial" w:hAnsi="Arial"/>
                <w:sz w:val="17"/>
                <w:szCs w:val="17"/>
                <w:color w:val="auto"/>
              </w:rPr>
              <w:t>million based on the common stock fair</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20"/>
                <w:szCs w:val="20"/>
                <w:color w:val="auto"/>
              </w:rPr>
            </w:pPr>
            <w:r>
              <w:rPr>
                <w:rFonts w:ascii="Arial" w:cs="Arial" w:eastAsia="Arial" w:hAnsi="Arial"/>
                <w:sz w:val="17"/>
                <w:szCs w:val="17"/>
                <w:color w:val="auto"/>
              </w:rPr>
              <w:t>value of $</w:t>
            </w:r>
          </w:p>
        </w:tc>
        <w:tc>
          <w:tcPr>
            <w:tcW w:w="7700" w:type="dxa"/>
            <w:vAlign w:val="bottom"/>
            <w:gridSpan w:val="7"/>
          </w:tcPr>
          <w:p>
            <w:pPr>
              <w:ind w:left="340"/>
              <w:spacing w:after="0"/>
              <w:rPr>
                <w:sz w:val="20"/>
                <w:szCs w:val="20"/>
                <w:color w:val="auto"/>
              </w:rPr>
            </w:pPr>
            <w:r>
              <w:rPr>
                <w:rFonts w:ascii="Arial" w:cs="Arial" w:eastAsia="Arial" w:hAnsi="Arial"/>
                <w:sz w:val="17"/>
                <w:szCs w:val="17"/>
                <w:color w:val="auto"/>
              </w:rPr>
              <w:t>per share, the midpoint of the price range set forth on the cover page of this prospectus.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Determination of the Fair Value of Common Stock</w:t>
      </w:r>
    </w:p>
    <w:p>
      <w:pPr>
        <w:spacing w:after="0" w:line="52"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are required to estimate the fair value of the common stock underlying our stock-based awards when performing the fair value calculations using the Black-Scholes option pricing model. Because our common stock is not currently publicly traded, the fair value of the common stock underlying our stock-based awards has been determined on each grant date by our board of directors, with input from management, considering our most recently available third-party valuation of common shares. All options to purchase shares of our common stock are intended to be granted with an exercise price per share no less than the fair value per share of our common stock underlying those options on the date of grant, based on the information known to us on the date of grant.</w:t>
      </w:r>
    </w:p>
    <w:p>
      <w:pPr>
        <w:spacing w:after="0" w:line="148"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In the absence of a public trading market for our common stock, on each grant date, our board of directors made a reasonable determination of the fair value of our common stock based on the information known to us on the date of</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 xml:space="preserve">grant, upon a review of any recent events and their potential impact on the estimated fair value per share of the common stock, and timely valuations from an independent third-party valuation in accordance with guidance provided by the American Institute of Certified Public Accountants Practice Aid,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or Practice Aid. In addition, our board of directors considered various objective and subjective factors to determine the fair value of our common stock, including:</w:t>
      </w:r>
    </w:p>
    <w:p>
      <w:pPr>
        <w:spacing w:after="0" w:line="190" w:lineRule="exact"/>
        <w:rPr>
          <w:sz w:val="20"/>
          <w:szCs w:val="20"/>
          <w:color w:val="auto"/>
        </w:rPr>
      </w:pPr>
    </w:p>
    <w:p>
      <w:pPr>
        <w:ind w:left="980" w:hanging="432"/>
        <w:spacing w:after="0"/>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the estimated value of each security both outstanding and anticipated;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the anticipated capital structure that will directly impact the value of the currently outstanding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our results of operations and financial position;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the status of our research and development efforts;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the composition of, and changes to, our management team and board of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the lack of liquidity of our common stock as a private company;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our stage of development and business strategy and the material risks related to our business and industry;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external market conditions affecting the life sciences and biotechnology industry sectors;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U.S. and global economic conditions;</w:t>
      </w:r>
    </w:p>
    <w:p>
      <w:pPr>
        <w:spacing w:after="0" w:line="34"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the likelihood of achieving a liquidity event for the holders of our common stock, such as an initial public offering or a sale of our company, given prevailing market conditions;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the market value and volatility of comparable companies.</w:t>
      </w:r>
    </w:p>
    <w:p>
      <w:pPr>
        <w:spacing w:after="0" w:line="156"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 Practice Aid identifies various available methods for allocating enterprise value across classes and series of capital stock to determine the estimated fair value of common stock at each valuation date. In accordance with the Practice Aid, our board of directors considered the following methods:</w:t>
      </w:r>
    </w:p>
    <w:p>
      <w:pPr>
        <w:spacing w:after="0" w:line="170" w:lineRule="exact"/>
        <w:rPr>
          <w:sz w:val="20"/>
          <w:szCs w:val="20"/>
          <w:color w:val="auto"/>
        </w:rPr>
      </w:pPr>
    </w:p>
    <w:p>
      <w:pPr>
        <w:ind w:left="980" w:hanging="432"/>
        <w:spacing w:after="0" w:line="248" w:lineRule="auto"/>
        <w:tabs>
          <w:tab w:leader="none" w:pos="980" w:val="left"/>
        </w:tabs>
        <w:numPr>
          <w:ilvl w:val="0"/>
          <w:numId w:val="63"/>
        </w:numPr>
        <w:rPr>
          <w:rFonts w:ascii="MS PGothic" w:cs="MS PGothic" w:eastAsia="MS PGothic" w:hAnsi="MS PGothic"/>
          <w:sz w:val="13"/>
          <w:szCs w:val="13"/>
          <w:color w:val="auto"/>
        </w:rPr>
      </w:pPr>
      <w:r>
        <w:rPr>
          <w:rFonts w:ascii="Arial" w:cs="Arial" w:eastAsia="Arial" w:hAnsi="Arial"/>
          <w:sz w:val="17"/>
          <w:szCs w:val="17"/>
          <w:i w:val="1"/>
          <w:iCs w:val="1"/>
          <w:color w:val="auto"/>
        </w:rPr>
        <w:t>Option Pricing Method</w:t>
      </w:r>
      <w:r>
        <w:rPr>
          <w:rFonts w:ascii="Arial" w:cs="Arial" w:eastAsia="Arial" w:hAnsi="Arial"/>
          <w:sz w:val="17"/>
          <w:szCs w:val="17"/>
          <w:color w:val="auto"/>
        </w:rPr>
        <w:t>. Under the option pricing method, or OPM, shares are valued by creating a series of call options with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prices based on the liquidation preferences and conversion terms of each equity class. The estimated fair values of the preferred and common stock are inferred by analyzing these options.</w:t>
      </w:r>
    </w:p>
    <w:p>
      <w:pPr>
        <w:spacing w:after="0" w:line="1" w:lineRule="exact"/>
        <w:rPr>
          <w:rFonts w:ascii="MS PGothic" w:cs="MS PGothic" w:eastAsia="MS PGothic" w:hAnsi="MS PGothic"/>
          <w:sz w:val="13"/>
          <w:szCs w:val="13"/>
          <w:color w:val="auto"/>
        </w:rPr>
      </w:pPr>
    </w:p>
    <w:p>
      <w:pPr>
        <w:ind w:left="980" w:right="180" w:hanging="432"/>
        <w:spacing w:after="0" w:line="248" w:lineRule="auto"/>
        <w:tabs>
          <w:tab w:leader="none" w:pos="980" w:val="left"/>
        </w:tabs>
        <w:numPr>
          <w:ilvl w:val="0"/>
          <w:numId w:val="63"/>
        </w:numPr>
        <w:rPr>
          <w:rFonts w:ascii="MS PGothic" w:cs="MS PGothic" w:eastAsia="MS PGothic" w:hAnsi="MS PGothic"/>
          <w:sz w:val="13"/>
          <w:szCs w:val="13"/>
          <w:color w:val="auto"/>
        </w:rPr>
      </w:pPr>
      <w:r>
        <w:rPr>
          <w:rFonts w:ascii="Arial" w:cs="Arial" w:eastAsia="Arial" w:hAnsi="Arial"/>
          <w:sz w:val="17"/>
          <w:szCs w:val="17"/>
          <w:i w:val="1"/>
          <w:iCs w:val="1"/>
          <w:color w:val="auto"/>
        </w:rPr>
        <w:t>Probability-Weighted Expected Return Method</w:t>
      </w:r>
      <w:r>
        <w:rPr>
          <w:rFonts w:ascii="Arial" w:cs="Arial" w:eastAsia="Arial" w:hAnsi="Arial"/>
          <w:sz w:val="17"/>
          <w:szCs w:val="17"/>
          <w:color w:val="auto"/>
        </w:rPr>
        <w:t>. The probability-weighted expected return method, or PWERM, is a scenario-based</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 w:lineRule="exact"/>
        <w:rPr>
          <w:rFonts w:ascii="MS PGothic" w:cs="MS PGothic" w:eastAsia="MS PGothic" w:hAnsi="MS PGothic"/>
          <w:sz w:val="13"/>
          <w:szCs w:val="13"/>
          <w:color w:val="auto"/>
        </w:rPr>
      </w:pPr>
    </w:p>
    <w:p>
      <w:pPr>
        <w:jc w:val="both"/>
        <w:ind w:left="980" w:right="40" w:hanging="432"/>
        <w:spacing w:after="0" w:line="248" w:lineRule="auto"/>
        <w:tabs>
          <w:tab w:leader="none" w:pos="980" w:val="left"/>
        </w:tabs>
        <w:numPr>
          <w:ilvl w:val="0"/>
          <w:numId w:val="63"/>
        </w:numPr>
        <w:rPr>
          <w:rFonts w:ascii="MS PGothic" w:cs="MS PGothic" w:eastAsia="MS PGothic" w:hAnsi="MS PGothic"/>
          <w:sz w:val="13"/>
          <w:szCs w:val="13"/>
          <w:color w:val="auto"/>
        </w:rPr>
      </w:pPr>
      <w:r>
        <w:rPr>
          <w:rFonts w:ascii="Arial" w:cs="Arial" w:eastAsia="Arial" w:hAnsi="Arial"/>
          <w:sz w:val="17"/>
          <w:szCs w:val="17"/>
          <w:i w:val="1"/>
          <w:iCs w:val="1"/>
          <w:color w:val="auto"/>
        </w:rPr>
        <w:t>Current Value Method</w:t>
      </w:r>
      <w:r>
        <w:rPr>
          <w:rFonts w:ascii="Arial" w:cs="Arial" w:eastAsia="Arial" w:hAnsi="Arial"/>
          <w:sz w:val="17"/>
          <w:szCs w:val="17"/>
          <w:color w:val="auto"/>
        </w:rPr>
        <w:t>. Under the Current Value Method, or CVM, our value is determined based on our balance sheet. This value is</w:t>
      </w:r>
      <w:r>
        <w:rPr>
          <w:rFonts w:ascii="Arial" w:cs="Arial" w:eastAsia="Arial" w:hAnsi="Arial"/>
          <w:sz w:val="17"/>
          <w:szCs w:val="17"/>
          <w:i w:val="1"/>
          <w:iCs w:val="1"/>
          <w:color w:val="auto"/>
        </w:rPr>
        <w:t xml:space="preserve"> </w:t>
      </w:r>
      <w:r>
        <w:rPr>
          <w:rFonts w:ascii="Arial" w:cs="Arial" w:eastAsia="Arial" w:hAnsi="Arial"/>
          <w:sz w:val="17"/>
          <w:szCs w:val="17"/>
          <w:color w:val="auto"/>
        </w:rPr>
        <w:t>then first allocated based on the liquidation preference associated with convertible preferred stock issued as of the valuation date, and then any residual value is assigned to the common stock.</w:t>
      </w:r>
    </w:p>
    <w:p>
      <w:pPr>
        <w:spacing w:after="0" w:line="1"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63"/>
        </w:numPr>
        <w:rPr>
          <w:rFonts w:ascii="MS PGothic" w:cs="MS PGothic" w:eastAsia="MS PGothic" w:hAnsi="MS PGothic"/>
          <w:sz w:val="13"/>
          <w:szCs w:val="13"/>
          <w:color w:val="auto"/>
        </w:rPr>
      </w:pPr>
      <w:r>
        <w:rPr>
          <w:rFonts w:ascii="Arial" w:cs="Arial" w:eastAsia="Arial" w:hAnsi="Arial"/>
          <w:sz w:val="17"/>
          <w:szCs w:val="17"/>
          <w:i w:val="1"/>
          <w:iCs w:val="1"/>
          <w:color w:val="auto"/>
        </w:rPr>
        <w:t>Hybrid Methods of Enterprise Value Allocation</w:t>
      </w:r>
      <w:r>
        <w:rPr>
          <w:rFonts w:ascii="Arial" w:cs="Arial" w:eastAsia="Arial" w:hAnsi="Arial"/>
          <w:sz w:val="17"/>
          <w:szCs w:val="17"/>
          <w:color w:val="auto"/>
        </w:rPr>
        <w:t>. The hybrid method is a hybrid between the PWERM and OPM, estimating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probability-weighted value across multiple scenarios but using the OPM to estimate the allocation of value within one or more of those scenarios. The hybrid method can be a useful alternative to explicitly modeling all PWERM scenarios in situations when the company has transparency into one or more near-term exits but is unsure about what will occur if the current plans fall through.</w:t>
      </w:r>
    </w:p>
    <w:p>
      <w:pPr>
        <w:spacing w:after="0" w:line="144"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Based on our early stage of development and other relevant factors, we determined that an OPM was the most appropriate method for allocating our enterprise value to determine the estimated fair value of our common stock for valuations performed.</w:t>
      </w:r>
    </w:p>
    <w:p>
      <w:pPr>
        <w:spacing w:after="0" w:line="144"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The April 15, 2019 ordinary share valuation was based on a back-solve method of OPM, which derives the implied equity value for one type of equity security from a contemporaneous transaction involving another type of security, the Series B convertible preferred shares in this instance.</w:t>
      </w:r>
    </w:p>
    <w:p>
      <w:pPr>
        <w:spacing w:after="0" w:line="144"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For valuations performed after this date, we began using a hybrid of the OPM and the PWERM methods to determine the estimated fair value of our common stock.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For the February 10, 2020, April 1, 2020 and May 18, 2020 ordinary share valuations, we have used a hybrid method to determine the fair value of our common stock, in addition to giving consideration hybrid method, multiple valuation approaches were used and then combined into a single probability-weighted valuation, consistent with the Practice Aid. Our approach included the use of initial public offering scenario and an OPM.</w:t>
      </w:r>
    </w:p>
    <w:p>
      <w:pPr>
        <w:spacing w:after="0" w:line="147"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w:t>
      </w:r>
    </w:p>
    <w:p>
      <w:pPr>
        <w:spacing w:after="0" w:line="14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Our board of directors and management develop best estimates based on application of these approaches and the assumptions underlying these valuations, giving careful consideration to the advice from our third-party valuation expert. Such estimates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49"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Following the closing of this offering, the fair value of our common stock will be the closing price of our common stock on the Nasdaq Global Select Market as reported on the date of the grant.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93"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us as of the specified effective date. Unless otherwise discussed, the impact of recently issued standards that are not yet effective are not expected to have a material impact on our financial position or results of operations upon adoption.</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February 2016, the FASB issued ASU No. 2016-02 (Topic 842), Leases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extends the effective date of ASU No. 2016-02 for non-public business entities, including smaller reporting companies, to fiscal years beginning after December 15, 2021. The new standard is effective for us beginning January 1, 2022. Early adoption is permitted. We are currently evaluating the effects of the adoption of this guidance on our consolidated financial statements and related disclosures.</w:t>
      </w:r>
    </w:p>
    <w:p>
      <w:pPr>
        <w:spacing w:after="0" w:line="15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us beginning January 1, 2022. Early adoption is permitted. We are currently in the process of evaluating the effects of the adoption of this guidance on our consolidated financial statements and do not expect it to have a material impact on our consolidated financial statements.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are a clinical 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We have dosed over 150 subjects with ALX148 across a range of hematologic and solid malignancies in combination with a number of leading anti-cancer agents. We intend to advance ALX148 into clinical development for the treatment of myelodysplastic syndromes, or MDS, acute myeloid leukemia, or AML, and to continue clinical development for the treatment of a range of solid tumor indications.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154"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ALX Oncology was founded by Corey Goodman, Ph.D., K. Christopher Garcia, Ph.D., and Jaume Pons, Ph.D. to address fundamental challenges in blocking CD47 and to realize the full potential of this therapeutic target. We have developed a new approach to CD47 blockade that is designed to maximize clinical activity and minimize toxicities. All competing clinical data to date have come from product candidates that incorporate an active antibody Fc region in addition to a CD47 blocking region. The Fc region provides a positive, pro-phagocytic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151"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color w:val="auto"/>
        </w:rPr>
        <w:t>Our lead product candidate, ALX148, is a next-generation CD47 blocking therapeutic that we believe has significantly enhanced properties compared to competing CD47 blocking approaches. ALX148 is a fusion protein that combines a high-affinity CD47 binding domain with a proprietary inactivated Fc domain. The CD47 binding domain of ALX148 is an affinity enhanced extracellular domain of SIRPa, a protein that is the natural receptor to CD47 found on myeloid cells. We have engineered the Fc domain of ALX148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w:t>
      </w:r>
    </w:p>
    <w:p>
      <w:pPr>
        <w:spacing w:after="0" w:line="147"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ALX148’s design has several advantages that we believe will make it broadly applicable to treating a number of oncology indications. Due to the inactive Fc, ALX148 is specifically designed for use in combination with other anti-</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cancer agents that provide a positive immune-stimulating signal. We believe ALX148 has a favorable tolerability profile that may enable higher dosing levels and greater combination potential with other leading anti-cancer agents. Additionally, the molecular weight of ALX148 is half that of a typical antibody. The relatively smaller size of our molecule may facilitate increased penetrance into the tumor microenvironment. We believe these properties may enable ALX148 to provide superior therapeutic benefits.</w:t>
      </w:r>
    </w:p>
    <w:p>
      <w:pPr>
        <w:spacing w:after="0" w:line="149" w:lineRule="exact"/>
        <w:rPr>
          <w:sz w:val="20"/>
          <w:szCs w:val="20"/>
          <w:color w:val="auto"/>
        </w:rPr>
      </w:pPr>
    </w:p>
    <w:p>
      <w:pPr>
        <w:ind w:left="120" w:right="300"/>
        <w:spacing w:after="0" w:line="235" w:lineRule="auto"/>
        <w:rPr>
          <w:sz w:val="20"/>
          <w:szCs w:val="20"/>
          <w:color w:val="auto"/>
        </w:rPr>
      </w:pPr>
      <w:r>
        <w:rPr>
          <w:rFonts w:ascii="Arial" w:cs="Arial" w:eastAsia="Arial" w:hAnsi="Arial"/>
          <w:sz w:val="17"/>
          <w:szCs w:val="17"/>
          <w:color w:val="auto"/>
        </w:rPr>
        <w:t>Clinical data to date in ALX148 have not shown dose-dependent hematologic toxicities, which are characteristic of other CD47 blockers that incorporate an active Fc domain. At least 122 subjects have been treated with ALX148 in combination with targeted anti-cancer agents and checkpoint inhibitors as of April 1, 2020. As of the same date, two subjects (2%) experienced treatment-related grade 3+ anemia and only five subjects (4%) treatment-related serious adverse events of any kind. ALX148 has not reached a maximum tolerated dose in any of the combinations evaluated to date.</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plan to advance ALX148 for the treatment of MDS and AML. In our ongoing Phase 1b trial of ALX148 in combination with an anti-CD20 agent to treat subjects with relapsed/refractory non-Hodgkin’s lymphoma, or NHL, ALX148 demonstrated a higher response rate at higher doses and achieved a 54.6% objective response rate, or ORR, in the highest dose (15 mg/kg once per week, or QW) cohort as compared to a 40.9% ORR at the lower dose (10 mg/kg QW) cohort. We view this ORR as compelling evidence for the role of ALX148 in treating hematologic malignancies and as a favorable comparison to outcomes reported by other CD47 blocking agents in a similar patient population. Furthermore, other CD47 blocking agents in development have demonstrated clinical evidence supporting the role of CD47 blockade in treating hematologic malignances, specifically in both MDS and AML, albeit with high rates of cytopenias. We have conducted preclinical studies of ALX148 combined with azacitidine or venetoclax that support our clinical development plan in MDS and AML. Azacitidine is a standard of care agent for the treatment of MDS. Azacitidine and venetoclax are both standard of care regimen components for the treatment of AML in older patients and those who are not candidates for intensive induction chemotherapy due to comorbidities. Our studies and those of others show that azacitidine increases calreticulin display, an “eat me” signal, in tumor models. Additionally, we have shown that azacitidine and ALX148 in combination produce increased phagocytosis in vitro and anti-tumor activity in mouse models compared to azacitidine alone. Furthermore, we have demonstrated in preclinical studies that ALX148 when combined with venetoclax increases tumor growth inhibition in a leukemia tumor model, compared to venetoclax alone. We are planning to advance ALX148 into a Phase 1b/2 trial in combination with azacitidine for the first-line treatment of subjects with higher-risk MDS by the end of 2020. We also plan to advanced ALX148 into a Phase 1b/2 trial in combination with standard of care agents for the first-line treatment of subjects with AML in 2021.</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ALX148 has also generated clinical data in solid tumors in various combinations, including with a leading tumor antigen targeting antibody, a leading checkpoint inhibitor and chemotherapy. We believe that ALX148 induces multiple responses that bridge innate and adaptive immunity. We are investigating ALX148 for the treatment of HNSCC and HER2-positive gastric/GEJ carcinoma. In Phase 1b clinical trials, ALX148 has demonstrated both objective clinical response per the Response Evaluation Criteria in Solid Tumors, or RECIST, criteria and tolerability in combination with other broadly used cancer agents. Based on these results, the Food &amp; Drug Administration, or FDA, has granted Fast Track designation for ALX148 for both the treatment of patients with HNSCC in the first-line setting and for patients with HER2-positive advanced gastric or GEJ carcinoma in the second-line setting. While other CD47 blockers have failed to achieve meaningful clinical activity in the treatment of solid tumors, we believe ALX148’s properties, including favorable tolerability and ability to escalate to higher doses, coupled with high affinity and small size for enhanced solid tumor penetration, may underlie the observed anti-tumor activity in solid tumors. We are planning to advance ALX148 into Phase 2 trials in subjects with HNSCC in combination with pembrolizumab, marketed as Keytruda and the market leading anti-programmed cell death protein-1, or PD-1, checkpoint inhibitor, in the first half of 2021, and gastric/GEJ carcinoma in combination with trastuzumab, marketed as Herceptin, the market-leading anti-HER2 antibody, in the second half of 2021.</w:t>
      </w:r>
    </w:p>
    <w:p>
      <w:pPr>
        <w:spacing w:after="0" w:line="153"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Our team of industry veterans plans to continue to advance a broad development plan for ALX148 that balances speed to market, scale of unmet need and existing clinical evidence for ALX148’s combination mechanisms. Members of our management team have brought multiple drugs to FDA approval. Our President, Chief Executive Officer and founder, Jaume Pons, Ph.D., was Chief Science Officer of Rinat (a subsidiary of Pfizer), invented fremanezumab (FDA approved in 2018), tanezumab (Biologics License Application, or BLA, filed in 2020) and additional antibodies in late-stage development at Pfizer and advanced nine more drugs into human trials. Our Chief</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Medical Officer, Sophia Randolph, M.D., Ph.D., was the global clinical franchise lead for Ibrance at Pfizer, where she oversaw the program from first-in-human trials to regulatory approval. Our Executive Chairman and founder, Corey Goodman, Ph.D., an elected member of the National Academy of Sciences, has co-founded seven biopharmaceutical companies, including Exelixis and Labrys (acquired by Teva Pharmaceuticals in 2014), and led Pfizer’s Biotherapeutics and Bioinnovation Center. Our Chief Financial Officer, Peter Garcia, has over 20 years of experience guiding public and private life science companies and has raised over $1.5 billion in debt and equity offerings. We have funded ALX Oncology to date primarily through the issuance and sale of our convertible preferred stock to investors including venBio, Lightstone Ventures, Vivo Capital, Logos Capital, Janus Henderson, Foresite Capital, Stanford University, Cormorant Asset Management, BVF Partners, HBM Healthcare Investments and the Longevity Fund. We own global rights to all of our product candidates.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goal is to transform treatment options for patients with cancer by developing ALX148 as a foundational checkpoint immunotherapy.</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Key elements of our strategy to support this goal include:</w:t>
      </w:r>
    </w:p>
    <w:p>
      <w:pPr>
        <w:spacing w:after="0" w:line="176" w:lineRule="exact"/>
        <w:rPr>
          <w:sz w:val="20"/>
          <w:szCs w:val="20"/>
          <w:color w:val="auto"/>
        </w:rPr>
      </w:pPr>
    </w:p>
    <w:p>
      <w:pPr>
        <w:ind w:left="980" w:right="40" w:hanging="432"/>
        <w:spacing w:after="0" w:line="236" w:lineRule="auto"/>
        <w:tabs>
          <w:tab w:leader="none" w:pos="980" w:val="left"/>
        </w:tabs>
        <w:numPr>
          <w:ilvl w:val="0"/>
          <w:numId w:val="6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Advance our lead product candidate, ALX148, through clinical development for MDS and AML. </w:t>
      </w:r>
      <w:r>
        <w:rPr>
          <w:rFonts w:ascii="Arial" w:cs="Arial" w:eastAsia="Arial" w:hAnsi="Arial"/>
          <w:sz w:val="17"/>
          <w:szCs w:val="17"/>
          <w:color w:val="auto"/>
        </w:rPr>
        <w:t>We plan to initiate a</w:t>
      </w:r>
      <w:r>
        <w:rPr>
          <w:rFonts w:ascii="Arial" w:cs="Arial" w:eastAsia="Arial" w:hAnsi="Arial"/>
          <w:sz w:val="17"/>
          <w:szCs w:val="17"/>
          <w:b w:val="1"/>
          <w:bCs w:val="1"/>
          <w:color w:val="auto"/>
        </w:rPr>
        <w:t xml:space="preserve"> </w:t>
      </w:r>
      <w:r>
        <w:rPr>
          <w:rFonts w:ascii="Arial" w:cs="Arial" w:eastAsia="Arial" w:hAnsi="Arial"/>
          <w:sz w:val="17"/>
          <w:szCs w:val="17"/>
          <w:color w:val="auto"/>
        </w:rPr>
        <w:t>Phase 1b/2 trial of ALX148, in combination with azacitidine, for the first-line treatment of patients with higher-risk MDS by the end of 2020 and in combination with standard of care agents for the first-line treatment of patients with AML in 2021. Given the limitations of current treatment options for patients with MDS, preclinical activity of ALX148 in combination with azacitidine, clinical data from competitor programs and the differentiated tolerability profile of ALX148, we intend to pursue a strategy in which we will leverage the data generated from this Phase 1b/2 trial to request from the FDA that ALX148 be a candidate for accelerated approval in the first-line treatment of high-risk MDS. Similarly, we believe ALX148 combination therapies could address the significant unmet need for more active tolerable regimens in the majority of patients with AML who are not fit for intensive induction chemotherapy. While we plan to seek accelerated approval by the FDA for the use of ALX148 in high risk MDS, and potentially AML, and may do so opportunistically for other indications in the future, there is no assurance that this approach will be successful for these as well as other indications.</w:t>
      </w:r>
    </w:p>
    <w:p>
      <w:pPr>
        <w:spacing w:after="0" w:line="8" w:lineRule="exact"/>
        <w:rPr>
          <w:rFonts w:ascii="MS PGothic" w:cs="MS PGothic" w:eastAsia="MS PGothic" w:hAnsi="MS PGothic"/>
          <w:sz w:val="13"/>
          <w:szCs w:val="13"/>
          <w:color w:val="auto"/>
        </w:rPr>
      </w:pPr>
    </w:p>
    <w:p>
      <w:pPr>
        <w:ind w:left="980" w:hanging="432"/>
        <w:spacing w:after="0" w:line="236" w:lineRule="auto"/>
        <w:tabs>
          <w:tab w:leader="none" w:pos="980" w:val="left"/>
        </w:tabs>
        <w:numPr>
          <w:ilvl w:val="0"/>
          <w:numId w:val="6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Expanding the therapeutic potential of CD47 blockade into solid tumors. </w:t>
      </w:r>
      <w:r>
        <w:rPr>
          <w:rFonts w:ascii="Arial" w:cs="Arial" w:eastAsia="Arial" w:hAnsi="Arial"/>
          <w:sz w:val="17"/>
          <w:szCs w:val="17"/>
          <w:color w:val="auto"/>
        </w:rPr>
        <w:t>We believe ALX148 can overcome the limitations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other CD47 blocking approaches in solid tumors. We have generated encouraging data in subjects with HNSCC treated with ALX148 in combination with a PD-1 checkpoint inhibitor and in subjects with HER2-positive gastric/GEJ cancer, who have progressed on prior HER2-targeted therapy and chemotherapy, treated in combination with a HER2-targeted antibody. We have initiated additional Phase 1b cohorts for the first-line treatment of subjects with HNSCC and patients with HER2-positive gastric/GEJ cancer, with Phase 1b data expected in 2021. The FDA has granted ALX148 Fast Track designation in first-line HNSCC and advanced gastric/GEJ cancer. We intend to pursue a strategy in which we will leverage the data generated from our planned Phase 2 randomized trials of ALX148 and pembrolizumab with and without chemotherapy to request from the FDA that ALX148 be a candidate for accelerated approval in the first-line treatment of HNSCC. We are also planning a randomized Phase 2 trial of ALX148, trastuzumab and chemotherapy in first-line HER2-positive gastric/GEJ cancer to inform future paths to registration in this indication.</w:t>
      </w:r>
    </w:p>
    <w:p>
      <w:pPr>
        <w:spacing w:after="0" w:line="8" w:lineRule="exact"/>
        <w:rPr>
          <w:rFonts w:ascii="MS PGothic" w:cs="MS PGothic" w:eastAsia="MS PGothic" w:hAnsi="MS PGothic"/>
          <w:sz w:val="13"/>
          <w:szCs w:val="13"/>
          <w:color w:val="auto"/>
        </w:rPr>
      </w:pPr>
    </w:p>
    <w:p>
      <w:pPr>
        <w:ind w:left="980" w:right="80" w:hanging="432"/>
        <w:spacing w:after="0" w:line="244" w:lineRule="auto"/>
        <w:tabs>
          <w:tab w:leader="none" w:pos="980" w:val="left"/>
        </w:tabs>
        <w:numPr>
          <w:ilvl w:val="0"/>
          <w:numId w:val="6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Continuing development of a pipeline of innovative therapeutics based on our protein engineering expertise and knowledge of the immune system and cancer biology. </w:t>
      </w:r>
      <w:r>
        <w:rPr>
          <w:rFonts w:ascii="Arial" w:cs="Arial" w:eastAsia="Arial" w:hAnsi="Arial"/>
          <w:sz w:val="17"/>
          <w:szCs w:val="17"/>
          <w:color w:val="auto"/>
        </w:rPr>
        <w:t>We specialize in designing and developing drug candidates that engage the immune</w:t>
      </w:r>
      <w:r>
        <w:rPr>
          <w:rFonts w:ascii="Arial" w:cs="Arial" w:eastAsia="Arial" w:hAnsi="Arial"/>
          <w:sz w:val="17"/>
          <w:szCs w:val="17"/>
          <w:b w:val="1"/>
          <w:bCs w:val="1"/>
          <w:color w:val="auto"/>
        </w:rPr>
        <w:t xml:space="preserve"> </w:t>
      </w:r>
      <w:r>
        <w:rPr>
          <w:rFonts w:ascii="Arial" w:cs="Arial" w:eastAsia="Arial" w:hAnsi="Arial"/>
          <w:sz w:val="17"/>
          <w:szCs w:val="17"/>
          <w:color w:val="auto"/>
        </w:rPr>
        <w:t>system. We continue to develop a pipeline of immuno-oncology programs that represent complementary, but differentiated, approaches to engaging the innate and adaptive immune systems.</w:t>
      </w:r>
    </w:p>
    <w:p>
      <w:pPr>
        <w:spacing w:after="0" w:line="1" w:lineRule="exact"/>
        <w:rPr>
          <w:rFonts w:ascii="MS PGothic" w:cs="MS PGothic" w:eastAsia="MS PGothic" w:hAnsi="MS PGothic"/>
          <w:sz w:val="13"/>
          <w:szCs w:val="13"/>
          <w:color w:val="auto"/>
        </w:rPr>
      </w:pPr>
    </w:p>
    <w:p>
      <w:pPr>
        <w:ind w:left="980" w:right="160" w:hanging="432"/>
        <w:spacing w:after="0" w:line="241" w:lineRule="auto"/>
        <w:tabs>
          <w:tab w:leader="none" w:pos="980" w:val="left"/>
        </w:tabs>
        <w:numPr>
          <w:ilvl w:val="0"/>
          <w:numId w:val="6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Developing strategic partnerships to broaden the potential impact of our current and future product candidates across patient populations. </w:t>
      </w:r>
      <w:r>
        <w:rPr>
          <w:rFonts w:ascii="Arial" w:cs="Arial" w:eastAsia="Arial" w:hAnsi="Arial"/>
          <w:sz w:val="17"/>
          <w:szCs w:val="17"/>
          <w:color w:val="auto"/>
        </w:rPr>
        <w:t>In order to advance treatment options for the most patients, we may partner with other companies with</w:t>
      </w:r>
      <w:r>
        <w:rPr>
          <w:rFonts w:ascii="Arial" w:cs="Arial" w:eastAsia="Arial" w:hAnsi="Arial"/>
          <w:sz w:val="17"/>
          <w:szCs w:val="17"/>
          <w:b w:val="1"/>
          <w:bCs w:val="1"/>
          <w:color w:val="auto"/>
        </w:rPr>
        <w:t xml:space="preserve"> </w:t>
      </w:r>
      <w:r>
        <w:rPr>
          <w:rFonts w:ascii="Arial" w:cs="Arial" w:eastAsia="Arial" w:hAnsi="Arial"/>
          <w:sz w:val="17"/>
          <w:szCs w:val="17"/>
          <w:color w:val="auto"/>
        </w:rPr>
        <w:t>complementary resources that will maximize the value of our current and future product candidates. Such partnerships may allow us to pair ALX148 and our future product candidates with other novel agents owned fully or in part by strategic partners. Partnerships may also help realize the full potential of our product candidates in markets where we are unlikely to pursue development</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right="600"/>
        <w:spacing w:after="0" w:line="243" w:lineRule="auto"/>
        <w:rPr>
          <w:sz w:val="20"/>
          <w:szCs w:val="20"/>
          <w:color w:val="auto"/>
        </w:rPr>
      </w:pPr>
      <w:r>
        <w:rPr>
          <w:rFonts w:ascii="Arial" w:cs="Arial" w:eastAsia="Arial" w:hAnsi="Arial"/>
          <w:sz w:val="17"/>
          <w:szCs w:val="17"/>
          <w:color w:val="auto"/>
        </w:rPr>
        <w:t>or commercialization on our own. We intend to maintain significant economic interest in our product candidates and selectively consider partnership opportunities.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Pipeline</w:t>
      </w:r>
    </w:p>
    <w:p>
      <w:pPr>
        <w:spacing w:after="0" w:line="93"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7"/>
          <w:szCs w:val="17"/>
          <w:color w:val="auto"/>
        </w:rPr>
        <w:t>Our initial programs are focused on targeting CD47 across various oncology indications. Many forms of cancer use CD47 expression as a means of evading immune response. We are targeting the hematologic malignancies and solid tumor indications where we believe we have the greatest potential to address large markets and unmet medical needs.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chart below summarizes the development status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34975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4924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are also developing preclinical programs that may offer additional ways to engage the innate and adaptive immune response to cancer.</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CD47 Scientific Background</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Cancer immunotherapies targeting adaptive immune system checkpoints, notably those related to T cells, have transformed the standard of care in oncology across multiple cancer types. Initial clinical successes in this area have focused on stimulating the adaptive immune system. However, emerging evidence demonstrates that the innate immune system plays a crucial role in the first line of defense to eliminate transformed malignant cells and the subsequent activation of the adaptive immune system. Dendritic cells and macrophages are a type of myeloid cell and are important parts of the innate immune system. These cells eliminate cancer cells by phagocytosis and present tumor-derived antigens to T cells, a process known as cross-priming, which activates the adaptive immune system.</w:t>
      </w:r>
    </w:p>
    <w:p>
      <w:pPr>
        <w:spacing w:after="0" w:line="148" w:lineRule="exact"/>
        <w:rPr>
          <w:sz w:val="20"/>
          <w:szCs w:val="20"/>
          <w:color w:val="auto"/>
        </w:rPr>
      </w:pPr>
    </w:p>
    <w:p>
      <w:pPr>
        <w:ind w:left="120" w:right="140"/>
        <w:spacing w:after="0" w:line="241" w:lineRule="auto"/>
        <w:rPr>
          <w:sz w:val="20"/>
          <w:szCs w:val="20"/>
          <w:color w:val="auto"/>
        </w:rPr>
      </w:pPr>
      <w:r>
        <w:rPr>
          <w:rFonts w:ascii="Arial" w:cs="Arial" w:eastAsia="Arial" w:hAnsi="Arial"/>
          <w:sz w:val="17"/>
          <w:szCs w:val="17"/>
          <w:color w:val="auto"/>
        </w:rPr>
        <w:t>Cancer cells evade phagocytosis by up-regulating CD47, a transmembrane protein that mainly functions as an anti-phagocytic “don’t eat me” signal for healthy cells. CD47 interacts with its cognate receptor SIRPa, a regulatory membrane glycoprotein, that is expressed on macrophages and other myeloid cells and serves to prevent phagocytosis when bound to CD47. By overexpressing CD47, cancer cells are able to avoid phagocytosis by macrophages and thereby evade subsequent detection by the adaptive immune system.</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High CD47 expression in cancer cells has been shown to be a prognostic indicator of decreased survival in multiple oncology indications. A study published by Majeti, et al. in 2009, assessed this association in a validation cohort of 137 subjects with acute myeloid leukemia, or AML. As shown in the figure below, normal karyotype AML, or NK-AML, subjects with high levels of CD47 expression had shorter median overall survival, or mOS, of 9.1 months compared to subjects with low levels of CD47 expression who had an mOS of 22.1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124460</wp:posOffset>
            </wp:positionV>
            <wp:extent cx="2717165" cy="16973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1716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CD47 as a therapeutic checkpoint target</w:t>
      </w:r>
    </w:p>
    <w:p>
      <w:pPr>
        <w:spacing w:after="0" w:line="95"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Data generated by our and other studies in the field have demonstrated that activating the immune system against cancer requires both blocking phagocytosis checkpoints and inducing pro-phagocytic signals. This can be achieved by combining CD47 blockade with either conventional chemotherapies or targeted therapies, which together promote phagocytosis by macrophages and maximize adaptive immune system response.</w:t>
      </w:r>
    </w:p>
    <w:p>
      <w:pPr>
        <w:spacing w:after="0" w:line="147"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Existing anti-cancer therapeutics can increase “eat me” signals on cancer cells. For example, the hypomethylating agent, or HMA, azacitidine activates the immune system by increasing display of calreticulin, a multifunctional protein, on cancer cells. Calreticulin is an important example of a pro-phagocytic “eat me” signal that potentiates immune response when expressed on cancer cells. Therapeutic antibodies that target tumor-specific antigens, such as the HER2 receptor, also induce cellular phagocytosis, but through a slightly different mechanism. These antibodies direct macrophages to cancer cells by binding to the tumor-specific antigen and activating the macrophage by engaging the Fcg receptors to induce phagocytosis. However, if CD47 is not blocked, the “don’t eat me” signal can limit the activity of this mechanism. CD47 blocking therapies can therefore maximize a combination agent’s clinical efficacy by overcoming the “don’t eat me“ signal that is co-opted by cancer cells.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Our lead product candidate targets CD47 to maximize phagocytosis of cancer cells and activation of the adaptive immune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139700</wp:posOffset>
            </wp:positionV>
            <wp:extent cx="5349240" cy="2057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492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Cancer cells can also modulate their environment to suppress detection by immune cells. Overexpression of CD47 helps cancer cells avoid innate immune system detection by dendritic cells and subsequent antigen presentation to T cells, thereby limiting anti-tumor immune response. PD(L)-1 targeting immunotherapies are designed to reduce the suppression of T cells but do not address the initial evasion of the innate immune system by cancer cells. By removing the suppression of dendritic cells, CD47 blocking therapies in combination with PD(L)-1 targeted therapies can complement their T cell stimulatory activities.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Current Approaches to Blocking CD47</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have been a number of approaches to blocking CD47, including monoclonal antibodies and fusion proteins that include an active Fc region.</w:t>
      </w:r>
    </w:p>
    <w:p>
      <w:pPr>
        <w:ind w:left="120"/>
        <w:spacing w:after="0"/>
        <w:rPr>
          <w:sz w:val="20"/>
          <w:szCs w:val="20"/>
          <w:color w:val="auto"/>
        </w:rPr>
      </w:pPr>
      <w:r>
        <w:rPr>
          <w:rFonts w:ascii="Arial" w:cs="Arial" w:eastAsia="Arial" w:hAnsi="Arial"/>
          <w:sz w:val="17"/>
          <w:szCs w:val="17"/>
          <w:color w:val="auto"/>
        </w:rPr>
        <w:t>These approaches have encountered limitations that have challenged their ability to maximize the full potential of CD47 blockade. These include:</w:t>
      </w:r>
    </w:p>
    <w:p>
      <w:pPr>
        <w:spacing w:after="0" w:line="176" w:lineRule="exact"/>
        <w:rPr>
          <w:sz w:val="20"/>
          <w:szCs w:val="20"/>
          <w:color w:val="auto"/>
        </w:rPr>
      </w:pPr>
    </w:p>
    <w:p>
      <w:pPr>
        <w:ind w:left="980" w:right="20" w:hanging="432"/>
        <w:spacing w:after="0" w:line="238"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b w:val="1"/>
          <w:bCs w:val="1"/>
          <w:color w:val="auto"/>
        </w:rPr>
        <w:t>Limited dosing and therapeutic window</w:t>
      </w:r>
      <w:r>
        <w:rPr>
          <w:rFonts w:ascii="Arial" w:cs="Arial" w:eastAsia="Arial" w:hAnsi="Arial"/>
          <w:sz w:val="17"/>
          <w:szCs w:val="17"/>
          <w:color w:val="auto"/>
        </w:rPr>
        <w:t>: All clinical data to date from other CD47 blocking agents have come from approaches</w:t>
      </w:r>
      <w:r>
        <w:rPr>
          <w:rFonts w:ascii="Arial" w:cs="Arial" w:eastAsia="Arial" w:hAnsi="Arial"/>
          <w:sz w:val="17"/>
          <w:szCs w:val="17"/>
          <w:b w:val="1"/>
          <w:bCs w:val="1"/>
          <w:color w:val="auto"/>
        </w:rPr>
        <w:t xml:space="preserve"> </w:t>
      </w:r>
      <w:r>
        <w:rPr>
          <w:rFonts w:ascii="Arial" w:cs="Arial" w:eastAsia="Arial" w:hAnsi="Arial"/>
          <w:sz w:val="17"/>
          <w:szCs w:val="17"/>
          <w:color w:val="auto"/>
        </w:rPr>
        <w:t>that incorporate an active Fc region that provides an “eat me” signal to macrophages. Given that healthy blood cells express CD47, the presence of an “eat me” signal coupled with CD47 binding in a single-agent leads to destruction of blood cells. This mechanism is illustrated in the figure below. The trials of these other CD47 blocking agents have resulted in frequent occurrence of treatment-related cytopenias that we believe limits the therapeutic window of these agents. In addition to limiting the dosing, cytopenias can be dangerous for patients undergoing treatment for cancer as they may already have a compromised immune system related to intensive treatment regimens and disease progression.</w:t>
      </w:r>
    </w:p>
    <w:p>
      <w:pPr>
        <w:spacing w:after="0" w:line="6" w:lineRule="exact"/>
        <w:rPr>
          <w:rFonts w:ascii="MS PGothic" w:cs="MS PGothic" w:eastAsia="MS PGothic" w:hAnsi="MS PGothic"/>
          <w:sz w:val="13"/>
          <w:szCs w:val="13"/>
          <w:color w:val="auto"/>
        </w:rPr>
      </w:pPr>
    </w:p>
    <w:p>
      <w:pPr>
        <w:ind w:left="980" w:right="80" w:hanging="432"/>
        <w:spacing w:after="0" w:line="238"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b w:val="1"/>
          <w:bCs w:val="1"/>
          <w:color w:val="auto"/>
        </w:rPr>
        <w:t>Limited ability to combine with other anti-cancer agents</w:t>
      </w:r>
      <w:r>
        <w:rPr>
          <w:rFonts w:ascii="Arial" w:cs="Arial" w:eastAsia="Arial" w:hAnsi="Arial"/>
          <w:sz w:val="17"/>
          <w:szCs w:val="17"/>
          <w:color w:val="auto"/>
        </w:rPr>
        <w:t>: Combination therapies continue to play an important role in treating</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with cancer. Overlapping toxicities of these agents dictate which agents can and cannot be combined. The overlapping toxicity profiles of other CD47 blocking agents and most other anti-cancer agents create challenges for combination dosing. When combination dosing is possible, the therapeutic benefit of the combination is limited due to the minimal amount of the CD47 blocking agent that can be safely dosed. Moreover, many combinations are precluded entirely due to overlapping toxicity. In addition, an active Fc domain can compete with anti-cancer antibodies when used in combination treatments and can prevent such antibodies from binding with Fcg receptors on immune cells.</w:t>
      </w:r>
    </w:p>
    <w:p>
      <w:pPr>
        <w:spacing w:after="0" w:line="20" w:lineRule="exact"/>
        <w:rPr>
          <w:rFonts w:ascii="MS PGothic" w:cs="MS PGothic" w:eastAsia="MS PGothic" w:hAnsi="MS PGothic"/>
          <w:sz w:val="13"/>
          <w:szCs w:val="13"/>
          <w:color w:val="auto"/>
        </w:rPr>
      </w:pPr>
    </w:p>
    <w:p>
      <w:pPr>
        <w:ind w:left="980" w:right="80" w:hanging="432"/>
        <w:spacing w:after="0" w:line="248"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b w:val="1"/>
          <w:bCs w:val="1"/>
          <w:color w:val="auto"/>
        </w:rPr>
        <w:t>Limited efficacy in solid tumors</w:t>
      </w:r>
      <w:r>
        <w:rPr>
          <w:rFonts w:ascii="Arial" w:cs="Arial" w:eastAsia="Arial" w:hAnsi="Arial"/>
          <w:sz w:val="17"/>
          <w:szCs w:val="17"/>
          <w:color w:val="auto"/>
        </w:rPr>
        <w:t>: To date, other CD47 blocking agents have failed to achieve meaningful clinical activity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of solid tumors, as the balance between managing cytopenias and maximizing efficacy may lead to tolerable doses that are too low to facilitate tumor penetration and efficacy.</w:t>
      </w:r>
    </w:p>
    <w:p>
      <w:pPr>
        <w:spacing w:after="0" w:line="1" w:lineRule="exact"/>
        <w:rPr>
          <w:rFonts w:ascii="MS PGothic" w:cs="MS PGothic" w:eastAsia="MS PGothic" w:hAnsi="MS PGothic"/>
          <w:sz w:val="13"/>
          <w:szCs w:val="13"/>
          <w:color w:val="auto"/>
        </w:rPr>
      </w:pPr>
    </w:p>
    <w:p>
      <w:pPr>
        <w:ind w:left="980" w:right="60" w:hanging="432"/>
        <w:spacing w:after="0" w:line="241"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b w:val="1"/>
          <w:bCs w:val="1"/>
          <w:color w:val="auto"/>
        </w:rPr>
        <w:t>Limited indications due to patient selection</w:t>
      </w:r>
      <w:r>
        <w:rPr>
          <w:rFonts w:ascii="Arial" w:cs="Arial" w:eastAsia="Arial" w:hAnsi="Arial"/>
          <w:sz w:val="17"/>
          <w:szCs w:val="17"/>
          <w:color w:val="auto"/>
        </w:rPr>
        <w:t>: Toxicities associated with other CD47 blocking agents may require careful patient</w:t>
      </w:r>
      <w:r>
        <w:rPr>
          <w:rFonts w:ascii="Arial" w:cs="Arial" w:eastAsia="Arial" w:hAnsi="Arial"/>
          <w:sz w:val="17"/>
          <w:szCs w:val="17"/>
          <w:b w:val="1"/>
          <w:bCs w:val="1"/>
          <w:color w:val="auto"/>
        </w:rPr>
        <w:t xml:space="preserve"> </w:t>
      </w:r>
      <w:r>
        <w:rPr>
          <w:rFonts w:ascii="Arial" w:cs="Arial" w:eastAsia="Arial" w:hAnsi="Arial"/>
          <w:sz w:val="17"/>
          <w:szCs w:val="17"/>
          <w:color w:val="auto"/>
        </w:rPr>
        <w:t>selection when evaluating potential indications. In some cases, only subjects with lower risk of hematologic complications have been selected for treatment for other CD47 blocking agents due to drug related risk of severe cytopenias. Several sponsors have chosen to initially develop these investigational medicines in indications such as MDS, where patients are often already cytopenic upon presentation and receive regular transfusions, potentially obscuring the side effects of their CD47 blocking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21602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34924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Advantages of ALX’s Approach to Blocking CD47</w:t>
      </w:r>
    </w:p>
    <w:p>
      <w:pPr>
        <w:spacing w:after="0" w:line="93" w:lineRule="exact"/>
        <w:rPr>
          <w:sz w:val="20"/>
          <w:szCs w:val="20"/>
          <w:color w:val="auto"/>
        </w:rPr>
      </w:pPr>
    </w:p>
    <w:p>
      <w:pPr>
        <w:jc w:val="both"/>
        <w:ind w:left="120" w:right="80"/>
        <w:spacing w:after="0" w:line="236" w:lineRule="auto"/>
        <w:rPr>
          <w:sz w:val="20"/>
          <w:szCs w:val="20"/>
          <w:color w:val="auto"/>
        </w:rPr>
      </w:pPr>
      <w:r>
        <w:rPr>
          <w:rFonts w:ascii="Arial" w:cs="Arial" w:eastAsia="Arial" w:hAnsi="Arial"/>
          <w:sz w:val="17"/>
          <w:szCs w:val="17"/>
          <w:color w:val="auto"/>
        </w:rPr>
        <w:t>We founded ALX Oncology because we believed the limitations described above would prevent CD47 blockade from reaching its full potential as a therapy for patients with cancer. From the company’s inception, we designed ALX148 to overcome these limitations and to maximize the utility of CD47 blockade as an effective anti-cancer therapeutic for a broad range of tumors. Specifically, we believe ALX148 may provide the following significant advantages:</w:t>
      </w:r>
    </w:p>
    <w:p>
      <w:pPr>
        <w:sectPr>
          <w:pgSz w:w="11900" w:h="16838" w:orient="portrait"/>
          <w:cols w:equalWidth="0" w:num="1">
            <w:col w:w="11120"/>
          </w:cols>
          <w:pgMar w:left="320" w:top="459" w:right="459" w:bottom="1440" w:gutter="0" w:footer="0" w:header="0"/>
        </w:sectPr>
      </w:pPr>
    </w:p>
    <w:p>
      <w:pPr>
        <w:spacing w:after="0" w:line="170"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ALX148</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b w:val="1"/>
          <w:bCs w:val="1"/>
          <w:color w:val="auto"/>
        </w:rPr>
        <w:t>Broader therapeutic window</w:t>
      </w:r>
      <w:r>
        <w:rPr>
          <w:rFonts w:ascii="Arial" w:cs="Arial" w:eastAsia="Arial" w:hAnsi="Arial"/>
          <w:sz w:val="17"/>
          <w:szCs w:val="17"/>
          <w:color w:val="auto"/>
        </w:rPr>
        <w:t>: We believe ALX148’s broader therapeutic window will allow for greater drug exposure than other</w:t>
      </w:r>
      <w:r>
        <w:rPr>
          <w:rFonts w:ascii="Arial" w:cs="Arial" w:eastAsia="Arial" w:hAnsi="Arial"/>
          <w:sz w:val="17"/>
          <w:szCs w:val="17"/>
          <w:b w:val="1"/>
          <w:bCs w:val="1"/>
          <w:color w:val="auto"/>
        </w:rPr>
        <w:t xml:space="preserve"> </w:t>
      </w:r>
      <w:r>
        <w:rPr>
          <w:rFonts w:ascii="Arial" w:cs="Arial" w:eastAsia="Arial" w:hAnsi="Arial"/>
          <w:sz w:val="17"/>
          <w:szCs w:val="17"/>
          <w:color w:val="auto"/>
        </w:rPr>
        <w:t>CD47 blocking agents potentially translating into improved efficacy across a range of cancers, including MDS and AML, compared to other CD47 blocking agents. To date, we have not yet reached a maximum tolerated dose, or MTD, for ALX148. Furthermore, flexibility in dosing could allow for several administration schedules (weekly, bi-weekly, every three weeks, monthly) that are more amenable to combination therapy dosing schedules, potentially improving a patient’s quality of life.</w:t>
      </w:r>
    </w:p>
    <w:p>
      <w:pPr>
        <w:spacing w:after="0" w:line="4"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b w:val="1"/>
          <w:bCs w:val="1"/>
          <w:color w:val="auto"/>
        </w:rPr>
        <w:t>Strong potential for combination with other anti-cancer agents</w:t>
      </w:r>
      <w:r>
        <w:rPr>
          <w:rFonts w:ascii="Arial" w:cs="Arial" w:eastAsia="Arial" w:hAnsi="Arial"/>
          <w:sz w:val="17"/>
          <w:szCs w:val="17"/>
          <w:color w:val="auto"/>
        </w:rPr>
        <w:t>: CD47 blocking agents are combined with other therapeutics in</w:t>
      </w:r>
      <w:r>
        <w:rPr>
          <w:rFonts w:ascii="Arial" w:cs="Arial" w:eastAsia="Arial" w:hAnsi="Arial"/>
          <w:sz w:val="17"/>
          <w:szCs w:val="17"/>
          <w:b w:val="1"/>
          <w:bCs w:val="1"/>
          <w:color w:val="auto"/>
        </w:rPr>
        <w:t xml:space="preserve"> </w:t>
      </w:r>
      <w:r>
        <w:rPr>
          <w:rFonts w:ascii="Arial" w:cs="Arial" w:eastAsia="Arial" w:hAnsi="Arial"/>
          <w:sz w:val="17"/>
          <w:szCs w:val="17"/>
          <w:color w:val="auto"/>
        </w:rPr>
        <w:t>order to maximize their potential in treating patients with cancer. Unlike other CD47 blocking agents, ALX148 was specifically designed to be combined with other anti-cancer agents. We believe ALX148’s favorable toxicity profile will enable it to be combined with a wider range of anti-cancer agents, including chemotherapy and cytotoxic containing regimens, compared to other CD47 blocking agents. Furthermore, we believe that ALX148’s inactive Fc domain will neither compete with nor potentially limit the efficacy of anti-cancer antibodies when used in combination treatments.</w:t>
      </w:r>
    </w:p>
    <w:p>
      <w:pPr>
        <w:spacing w:after="0" w:line="7" w:lineRule="exact"/>
        <w:rPr>
          <w:sz w:val="20"/>
          <w:szCs w:val="20"/>
          <w:color w:val="auto"/>
        </w:rPr>
      </w:pPr>
    </w:p>
    <w:p>
      <w:pPr>
        <w:ind w:right="340"/>
        <w:spacing w:after="0" w:line="241" w:lineRule="auto"/>
        <w:rPr>
          <w:sz w:val="20"/>
          <w:szCs w:val="20"/>
          <w:color w:val="auto"/>
        </w:rPr>
      </w:pPr>
      <w:r>
        <w:rPr>
          <w:rFonts w:ascii="Arial" w:cs="Arial" w:eastAsia="Arial" w:hAnsi="Arial"/>
          <w:sz w:val="17"/>
          <w:szCs w:val="17"/>
          <w:b w:val="1"/>
          <w:bCs w:val="1"/>
          <w:color w:val="auto"/>
        </w:rPr>
        <w:t>Encouraging responses in solid tumors</w:t>
      </w:r>
      <w:r>
        <w:rPr>
          <w:rFonts w:ascii="Arial" w:cs="Arial" w:eastAsia="Arial" w:hAnsi="Arial"/>
          <w:sz w:val="17"/>
          <w:szCs w:val="17"/>
          <w:color w:val="auto"/>
        </w:rPr>
        <w:t>: ALX148 has demonstrated meaningful Phase 1 clinical data in the treatment of solid</w:t>
      </w:r>
      <w:r>
        <w:rPr>
          <w:rFonts w:ascii="Arial" w:cs="Arial" w:eastAsia="Arial" w:hAnsi="Arial"/>
          <w:sz w:val="17"/>
          <w:szCs w:val="17"/>
          <w:b w:val="1"/>
          <w:bCs w:val="1"/>
          <w:color w:val="auto"/>
        </w:rPr>
        <w:t xml:space="preserve"> </w:t>
      </w:r>
      <w:r>
        <w:rPr>
          <w:rFonts w:ascii="Arial" w:cs="Arial" w:eastAsia="Arial" w:hAnsi="Arial"/>
          <w:sz w:val="17"/>
          <w:szCs w:val="17"/>
          <w:color w:val="auto"/>
        </w:rPr>
        <w:t>tumors. While other CD47 blocking agents have failed to demonstrate meaningful clinical activity in solid tumors, ALX148’s differentiated properties may underlie its encouraging results. Based on the data generated with ALX148 in combination with anti-cancer antibodies and checkpoint inhibitors, our strategy is to pursue ALX148 as a potentially critical component for future combination treatment of solid tumors.</w:t>
      </w:r>
    </w:p>
    <w:p>
      <w:pPr>
        <w:spacing w:after="0" w:line="4"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color w:val="auto"/>
        </w:rPr>
        <w:t>Broader potential indications</w:t>
      </w:r>
      <w:r>
        <w:rPr>
          <w:rFonts w:ascii="Arial" w:cs="Arial" w:eastAsia="Arial" w:hAnsi="Arial"/>
          <w:sz w:val="17"/>
          <w:szCs w:val="17"/>
          <w:color w:val="auto"/>
        </w:rPr>
        <w:t>: We believe ALX148’s tolerability profile will allow for broad treatment of patient populations in a</w:t>
      </w:r>
      <w:r>
        <w:rPr>
          <w:rFonts w:ascii="Arial" w:cs="Arial" w:eastAsia="Arial" w:hAnsi="Arial"/>
          <w:sz w:val="17"/>
          <w:szCs w:val="17"/>
          <w:b w:val="1"/>
          <w:bCs w:val="1"/>
          <w:color w:val="auto"/>
        </w:rPr>
        <w:t xml:space="preserve"> </w:t>
      </w:r>
      <w:r>
        <w:rPr>
          <w:rFonts w:ascii="Arial" w:cs="Arial" w:eastAsia="Arial" w:hAnsi="Arial"/>
          <w:sz w:val="17"/>
          <w:szCs w:val="17"/>
          <w:color w:val="auto"/>
        </w:rPr>
        <w:t>wide range of oncology indications. Toxicities such as cytopenias associated with other CD47 blocking agents may potentially constrain their development strategies. While initial activity of other CD47 blocking agents has been reported in indications such as MDS and AML where many patients already suffer from disease-induced cytopenias, their development in oncology indications that do not include associated cytopenias may be challenged. We believe ALX148 is well positioned to expand the therapeutic potential of CD47 blockade across a broad spectrum of hematologic and solid tumor indications.</w:t>
      </w:r>
    </w:p>
    <w:p>
      <w:pPr>
        <w:spacing w:after="0" w:line="471" w:lineRule="exact"/>
        <w:rPr>
          <w:sz w:val="20"/>
          <w:szCs w:val="20"/>
          <w:color w:val="auto"/>
        </w:rPr>
      </w:pPr>
    </w:p>
    <w:p>
      <w:pPr>
        <w:sectPr>
          <w:pgSz w:w="11900" w:h="16838" w:orient="portrait"/>
          <w:cols w:equalWidth="0" w:num="2">
            <w:col w:w="780" w:space="200"/>
            <w:col w:w="10140"/>
          </w:cols>
          <w:pgMar w:left="320" w:top="459" w:right="459" w:bottom="1440" w:gutter="0" w:footer="0" w:header="0"/>
          <w:type w:val="continuous"/>
        </w:sectPr>
      </w:pPr>
    </w:p>
    <w:p>
      <w:pPr>
        <w:ind w:left="120" w:right="120"/>
        <w:spacing w:after="0" w:line="235" w:lineRule="auto"/>
        <w:rPr>
          <w:sz w:val="20"/>
          <w:szCs w:val="20"/>
          <w:color w:val="auto"/>
        </w:rPr>
      </w:pPr>
      <w:r>
        <w:rPr>
          <w:rFonts w:ascii="Arial" w:cs="Arial" w:eastAsia="Arial" w:hAnsi="Arial"/>
          <w:sz w:val="17"/>
          <w:szCs w:val="17"/>
          <w:color w:val="auto"/>
        </w:rPr>
        <w:t>Our lead product candidate, ALX148, is a CD47 blocking biologic in development as a combination therapy with other anti-cancer agents for treatment of various oncology indications, including MDS, AML, HNSCC and gastric/GEJ. We engineered ALX148 to maximize CD47 blockade and to avoid hematologic toxicities. We believe ALX148 enhances the efficacy of both anti-cancer targeted antibodies, numerous small molecule drugs and T cell checkpoint inhibitors and exhibits no dose-dependent cytopenias. ALX148 has demonstrated encouraging clinical responses in combination with multiple anti-cancer regimens for both hematologic and solid malignancies.</w:t>
      </w:r>
    </w:p>
    <w:p>
      <w:pPr>
        <w:spacing w:after="0" w:line="150"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Other companies have pursued CD47 blocking approaches that prioritize single-agent activity, albeit with limited success. Rather than designing a molecule for monotherapy activity that has been associated with cytopenias, we designed ALX148 for use in combination with anti-cancer agents. Our product candidate exclusively blocks the “don’t eat me” pathway. A combination anti-cancer agent provides a specific pro-phagocytic signal on cancer cells. This approach may both increase the specificity to cancer cells and avoid dose-dependent destruction of healthy blood cells.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120"/>
          </w:cols>
          <w:pgMar w:left="320" w:top="459" w:right="45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Fusion Protein Design</w:t>
      </w:r>
    </w:p>
    <w:p>
      <w:pPr>
        <w:spacing w:after="0" w:line="54" w:lineRule="exact"/>
        <w:rPr>
          <w:sz w:val="20"/>
          <w:szCs w:val="20"/>
          <w:color w:val="auto"/>
        </w:rPr>
      </w:pPr>
    </w:p>
    <w:p>
      <w:pPr>
        <w:jc w:val="both"/>
        <w:ind w:left="120" w:right="180"/>
        <w:spacing w:after="0" w:line="245" w:lineRule="auto"/>
        <w:rPr>
          <w:sz w:val="20"/>
          <w:szCs w:val="20"/>
          <w:color w:val="auto"/>
        </w:rPr>
      </w:pPr>
      <w:r>
        <w:rPr>
          <w:rFonts w:ascii="Arial" w:cs="Arial" w:eastAsia="Arial" w:hAnsi="Arial"/>
          <w:sz w:val="17"/>
          <w:szCs w:val="17"/>
          <w:color w:val="auto"/>
        </w:rPr>
        <w:t>ALX148 is a fusion protein designed to provide a high CD47 blocking potency while potentially eliminating any associated toxicities. Our fusion protein comprises an engineered CD47-binding domain of SIRPa that has been genetically linked to a modified human immunoglobulin-derived Fc domain that does not bind to Fcg receptors. We engineered ALX148 in two important ways:</w:t>
      </w:r>
    </w:p>
    <w:p>
      <w:pPr>
        <w:spacing w:after="0" w:line="198" w:lineRule="exact"/>
        <w:rPr>
          <w:sz w:val="20"/>
          <w:szCs w:val="20"/>
          <w:color w:val="auto"/>
        </w:rPr>
      </w:pPr>
    </w:p>
    <w:p>
      <w:pPr>
        <w:ind w:left="980" w:right="220" w:hanging="432"/>
        <w:spacing w:after="0" w:line="243" w:lineRule="auto"/>
        <w:tabs>
          <w:tab w:leader="none" w:pos="9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We mutated the binding domain to optimize CD47 affinity. ALX148 binding domain demonstrates an affinity that is over 3,000 times stronger than wildtype SIRPa.</w:t>
      </w:r>
    </w:p>
    <w:p>
      <w:pPr>
        <w:spacing w:after="0" w:line="24" w:lineRule="exact"/>
        <w:rPr>
          <w:rFonts w:ascii="MS PGothic" w:cs="MS PGothic" w:eastAsia="MS PGothic" w:hAnsi="MS PGothic"/>
          <w:sz w:val="13"/>
          <w:szCs w:val="13"/>
          <w:color w:val="auto"/>
        </w:rPr>
      </w:pPr>
    </w:p>
    <w:p>
      <w:pPr>
        <w:ind w:left="980" w:right="100" w:hanging="432"/>
        <w:spacing w:after="0" w:line="274" w:lineRule="auto"/>
        <w:tabs>
          <w:tab w:leader="none" w:pos="9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We fused the CD47-binding region of SIRPa to an inactive Fc domain. Incorporating an inactive Fc domain was intended to eliminate single-agent activation of macrophages while still maintaining an antibody-like pharmacokinetic, or PK, profile.</w:t>
      </w:r>
    </w:p>
    <w:p>
      <w:pPr>
        <w:spacing w:after="0" w:line="119"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The successful design of ALX148 required in-house generation of approximately 280 different protein constructs to thoroughly evaluate and optimize the impact of differing designs on multiple important evaluation criteria.</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order to optimize ALX148’s properties we conducted the following processes:</w:t>
      </w:r>
    </w:p>
    <w:p>
      <w:pPr>
        <w:spacing w:after="0" w:line="196" w:lineRule="exact"/>
        <w:rPr>
          <w:sz w:val="20"/>
          <w:szCs w:val="20"/>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Design of the high-affinity CD47 binding domain:</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7"/>
        </w:numPr>
        <w:rPr>
          <w:rFonts w:ascii="MS PGothic" w:cs="MS PGothic" w:eastAsia="MS PGothic" w:hAnsi="MS PGothic"/>
          <w:sz w:val="13"/>
          <w:szCs w:val="13"/>
          <w:color w:val="auto"/>
        </w:rPr>
      </w:pPr>
      <w:r>
        <w:rPr>
          <w:rFonts w:ascii="Arial" w:cs="Arial" w:eastAsia="Arial" w:hAnsi="Arial"/>
          <w:sz w:val="17"/>
          <w:szCs w:val="17"/>
          <w:color w:val="auto"/>
        </w:rPr>
        <w:t>Optimization of binding affinity for human CD47;</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7"/>
        </w:numPr>
        <w:rPr>
          <w:rFonts w:ascii="MS PGothic" w:cs="MS PGothic" w:eastAsia="MS PGothic" w:hAnsi="MS PGothic"/>
          <w:sz w:val="13"/>
          <w:szCs w:val="13"/>
          <w:color w:val="auto"/>
        </w:rPr>
      </w:pPr>
      <w:r>
        <w:rPr>
          <w:rFonts w:ascii="Arial" w:cs="Arial" w:eastAsia="Arial" w:hAnsi="Arial"/>
          <w:sz w:val="17"/>
          <w:szCs w:val="17"/>
          <w:color w:val="auto"/>
        </w:rPr>
        <w:t>Optimization of cross-reactivity to rodent and monkey CD47 to enable key translational experiments; and</w:t>
      </w:r>
    </w:p>
    <w:p>
      <w:pPr>
        <w:spacing w:after="0" w:line="22"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7"/>
        </w:numPr>
        <w:rPr>
          <w:rFonts w:ascii="MS PGothic" w:cs="MS PGothic" w:eastAsia="MS PGothic" w:hAnsi="MS PGothic"/>
          <w:sz w:val="13"/>
          <w:szCs w:val="13"/>
          <w:color w:val="auto"/>
        </w:rPr>
      </w:pPr>
      <w:r>
        <w:rPr>
          <w:rFonts w:ascii="Arial" w:cs="Arial" w:eastAsia="Arial" w:hAnsi="Arial"/>
          <w:sz w:val="17"/>
          <w:szCs w:val="17"/>
          <w:color w:val="auto"/>
        </w:rPr>
        <w:t>Elimination of partially glycosylated sites in SIRPa to remove heterogeneity and enable consistent manufacturing.</w:t>
      </w:r>
    </w:p>
    <w:p>
      <w:pPr>
        <w:spacing w:after="0" w:line="59" w:lineRule="exact"/>
        <w:rPr>
          <w:rFonts w:ascii="MS PGothic" w:cs="MS PGothic" w:eastAsia="MS PGothic" w:hAnsi="MS PGothic"/>
          <w:sz w:val="13"/>
          <w:szCs w:val="13"/>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Design of the optimal fusion combination for PK extension:</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7"/>
        </w:numPr>
        <w:rPr>
          <w:rFonts w:ascii="MS PGothic" w:cs="MS PGothic" w:eastAsia="MS PGothic" w:hAnsi="MS PGothic"/>
          <w:sz w:val="13"/>
          <w:szCs w:val="13"/>
          <w:color w:val="auto"/>
        </w:rPr>
      </w:pPr>
      <w:r>
        <w:rPr>
          <w:rFonts w:ascii="Arial" w:cs="Arial" w:eastAsia="Arial" w:hAnsi="Arial"/>
          <w:sz w:val="17"/>
          <w:szCs w:val="17"/>
          <w:color w:val="auto"/>
        </w:rPr>
        <w:t>Selection of an immunoglobulin isotype to prevent hemagglutination; and</w:t>
      </w:r>
    </w:p>
    <w:p>
      <w:pPr>
        <w:spacing w:after="0" w:line="22" w:lineRule="exact"/>
        <w:rPr>
          <w:rFonts w:ascii="MS PGothic" w:cs="MS PGothic" w:eastAsia="MS PGothic" w:hAnsi="MS PGothic"/>
          <w:sz w:val="13"/>
          <w:szCs w:val="13"/>
          <w:color w:val="auto"/>
        </w:rPr>
      </w:pPr>
    </w:p>
    <w:p>
      <w:pPr>
        <w:ind w:left="1420" w:right="280" w:hanging="427"/>
        <w:spacing w:after="0" w:line="274" w:lineRule="auto"/>
        <w:tabs>
          <w:tab w:leader="none" w:pos="1420" w:val="left"/>
        </w:tabs>
        <w:numPr>
          <w:ilvl w:val="1"/>
          <w:numId w:val="67"/>
        </w:numPr>
        <w:rPr>
          <w:rFonts w:ascii="MS PGothic" w:cs="MS PGothic" w:eastAsia="MS PGothic" w:hAnsi="MS PGothic"/>
          <w:sz w:val="13"/>
          <w:szCs w:val="13"/>
          <w:color w:val="auto"/>
        </w:rPr>
      </w:pPr>
      <w:r>
        <w:rPr>
          <w:rFonts w:ascii="Arial" w:cs="Arial" w:eastAsia="Arial" w:hAnsi="Arial"/>
          <w:sz w:val="17"/>
          <w:szCs w:val="17"/>
          <w:color w:val="auto"/>
        </w:rPr>
        <w:t>Selection of mutations to immunoglobulin G1, or IgG1, to functionally eliminate Fcg binding and avoid associated cytopenias while maintaining neonatal Fc receptor binding that enables antibody-like PK.</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illustrated in the figure below, ALX148 comprises:</w:t>
      </w:r>
    </w:p>
    <w:p>
      <w:pPr>
        <w:spacing w:after="0" w:line="184" w:lineRule="exact"/>
        <w:rPr>
          <w:sz w:val="20"/>
          <w:szCs w:val="20"/>
          <w:color w:val="auto"/>
        </w:rPr>
      </w:pPr>
    </w:p>
    <w:p>
      <w:pPr>
        <w:ind w:left="980" w:hanging="432"/>
        <w:spacing w:after="0"/>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A SIRPa binding domain optimized to bind to CD47 with high affinity at a picomolar level; and</w:t>
      </w:r>
    </w:p>
    <w:p>
      <w:pPr>
        <w:spacing w:after="0" w:line="59" w:lineRule="exact"/>
        <w:rPr>
          <w:rFonts w:ascii="MS PGothic" w:cs="MS PGothic" w:eastAsia="MS PGothic" w:hAnsi="MS PGothic"/>
          <w:sz w:val="13"/>
          <w:szCs w:val="13"/>
          <w:color w:val="auto"/>
        </w:rPr>
      </w:pPr>
    </w:p>
    <w:p>
      <w:pPr>
        <w:ind w:left="980" w:hanging="432"/>
        <w:spacing w:after="0"/>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An inactive Fc domain that reduces cytopenias while preserving the desired PK properties of antibodies with an active Fc domain.</w:t>
      </w:r>
    </w:p>
    <w:p>
      <w:pPr>
        <w:spacing w:after="0" w:line="15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resulting fusion protein has approximately one-half the molecular weight of a typical antibody. ALX148’s lower molecular weight enables it to deliver the molar equivalent of an antibody at one half the dose. For example, a 30 mg/kg dose of ALX148, the highest level that we have dosed to date, is approximately equivalent to a 60 mg/kg dose of an antibody. ALX148’s lower molecular weight may also facilitate increased solid tumor penetration and provide greater potency within the tumor microenvironment. Furthermore, ALX148 can be efficiently and consistently produced at high yield at commercial scale utilizing standard monoclonal antibody manufacturing techniques. We believe ALX148’s differentiated properties potentially overcome the limitations of other CD47 blocking agents and may have utility as a combination agent in oncology.</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080"/>
          </w:cols>
          <w:pgMar w:left="32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Our lead candidate is a fusion protein that potently and selectively binds CD47 to block the SIRP</w:t>
      </w:r>
      <w:r>
        <w:rPr>
          <w:rFonts w:ascii="Arial" w:cs="Arial" w:eastAsia="Arial" w:hAnsi="Arial"/>
          <w:sz w:val="17"/>
          <w:szCs w:val="17"/>
          <w:color w:val="auto"/>
        </w:rPr>
        <w:t>a</w:t>
      </w:r>
      <w:r>
        <w:rPr>
          <w:rFonts w:ascii="Arial" w:cs="Arial" w:eastAsia="Arial" w:hAnsi="Arial"/>
          <w:sz w:val="17"/>
          <w:szCs w:val="17"/>
          <w:i w:val="1"/>
          <w:iCs w:val="1"/>
          <w:color w:val="auto"/>
        </w:rPr>
        <w:t xml:space="preserve"> interaction.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148590</wp:posOffset>
            </wp:positionV>
            <wp:extent cx="4817745" cy="20313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8177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Pre-Clinical Differentiation</w:t>
      </w:r>
    </w:p>
    <w:p>
      <w:pPr>
        <w:spacing w:after="0" w:line="41"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Our preclinical studies of ALX148 support a target product profile of favorable tolerability, the ability to be dosed in high levels and increased anti-tumor activity as compared to other CD47 blocking agents. These data include the following.</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Lack of hematologic side effects</w:t>
      </w:r>
    </w:p>
    <w:p>
      <w:pPr>
        <w:spacing w:after="0" w:line="39"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color w:val="auto"/>
        </w:rPr>
        <w:t>Our preclinical data demonstrate that CD47 blocking agents with an active Fc domain directly cause adverse hematologic side effects. To support this hypothesis, we engineered a fusion protein with a SIRPa CD47-binding domain identical to ALX148’s binding domain but fused to an active, wild-type IgG1 Fc domain, ALX377. We administered 30 mg/kg ALX148 and 30 mg/kg ALX377 in mouse models and measured red blood cell, or RBC, platelet and white blood cell (lymphocyte, monocytes and granulocytes) counts. As shown in the figure below, mice treated with ALX148 having an inactive Fc domain showed blood count levels that were similar to the pre-dose baseline. In contrast, mice treated with ALX377 having an active Fc domain showed average decreases of 34% in RBC count, 70% in platelet count and 67% in white blood cell count three days post-dosing as compared to baseline counts.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The inactive Fc domain on ALX148 is responsible for improved hematologic tolerability in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139700</wp:posOffset>
            </wp:positionV>
            <wp:extent cx="5297805" cy="1431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9780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80" w:hanging="276"/>
        <w:spacing w:after="0"/>
        <w:tabs>
          <w:tab w:leader="none" w:pos="9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p&lt;0.001</w:t>
      </w:r>
    </w:p>
    <w:p>
      <w:pPr>
        <w:spacing w:after="0" w:line="1" w:lineRule="exact"/>
        <w:rPr>
          <w:rFonts w:ascii="Arial" w:cs="Arial" w:eastAsia="Arial" w:hAnsi="Arial"/>
          <w:sz w:val="14"/>
          <w:szCs w:val="14"/>
          <w:color w:val="auto"/>
        </w:rPr>
      </w:pPr>
    </w:p>
    <w:p>
      <w:pPr>
        <w:ind w:left="980" w:hanging="332"/>
        <w:spacing w:after="0"/>
        <w:tabs>
          <w:tab w:leader="none" w:pos="9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p&lt;0.0001</w:t>
      </w:r>
    </w:p>
    <w:p>
      <w:pPr>
        <w:spacing w:after="0" w:line="152"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To further evaluate ALX148’s preclinical tolerability, cynomolgus monkeys were treated by weekly intravenous injections at doses of zero (control), 10, 30 and 100 mg/kg for five consecutive weeks. No toxicity or adverse findings related to CD47 blockade by ALX148 were seen in analysis of RBCs, white blood cells, platelets, body weight, ophthalmic examination, cytokine analysis, ECG parameters and anatomical pathology assessment. The no-observable-adverse-effect-level in the study was the highest dose tested, 100 mg/kg.</w:t>
      </w:r>
    </w:p>
    <w:p>
      <w:pPr>
        <w:spacing w:after="0" w:line="149"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Together, these preclinical studies demonstrate that inactivation of the Fc domain of ALX148 avoids adverse effects on normal blood cells seen on other CD47 blocking agents with an active Fc domain. They also supported our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expectation that ALX148’s lack of overlapping toxicities with other anti-cancer therapies would result in fewer adverse outcomes in a clinic when combined with these therapies than combinations with conventional CD47 blocking agents.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ALX148 elicits superior phagocytosis in combination with anti-cancer antibodies</w:t>
      </w:r>
    </w:p>
    <w:p>
      <w:pPr>
        <w:spacing w:after="0" w:line="27"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The inactive Fc of ALX148 does not compete with the active Fc domain of other therapeutic antibodies for binding with Fcg receptors on effector cells of the immune system. This fact, coupled with the high-affinity CD47 binding of our agent, results in enhanced phagocytosis from ALX148 in combination with other anti-cancer antibodies to a greater extent than other CD47 blockers. We believe this will allow us to explore ALX148 in combination with a higher number of leading anti-cancer antibodies compared to other CD47 blocking agents in both hematologic malignancies and solid tumors. In order to investigate the potential effects of the Fc domain and CD47 binding affinity on phagocytic activity, we produced two CD47 blocking agents with either an IgG4 or IgG1 active Fc domain, based on published sequences from two other clinical CD47 blockade programs. We combined these agents and ALX148 with cetuximab, an epidermal growth factor receptor, or EGFR, inhibitor that is FDA approved for several solid tumors, to assess phagocytic activity as compared to single-agent cetuximab. Both cetuximab and the active Fc domain of a CD47 blocking agent bind to the same cell surface Fcg receptors on a macrophage, potentially creating competition. IgG1 binds to receptors with higher affinity than IgG4 does, and ALX148’s inactive Fc does not bind. This experiment shows that CD47 blocking agents with active Fc domains and lower affinity, combined with cetuximab result in lower phagocytic activity from macrophages as compared to ALX148 with cetuximab. This experiment suggests ALX148, the only clinical CD47 blocking agent with an inactive Fc domain and high-affinity CD47 binding, may be unique in its anti-tumor activity when combined with anti-tumor antibodies.</w:t>
      </w:r>
    </w:p>
    <w:p>
      <w:pPr>
        <w:spacing w:after="0" w:line="130" w:lineRule="exact"/>
        <w:rPr>
          <w:sz w:val="20"/>
          <w:szCs w:val="20"/>
          <w:color w:val="auto"/>
        </w:rPr>
      </w:pPr>
    </w:p>
    <w:p>
      <w:pPr>
        <w:ind w:left="120" w:right="160"/>
        <w:spacing w:after="0" w:line="265" w:lineRule="auto"/>
        <w:rPr>
          <w:sz w:val="20"/>
          <w:szCs w:val="20"/>
          <w:color w:val="auto"/>
        </w:rPr>
      </w:pPr>
      <w:r>
        <w:rPr>
          <w:rFonts w:ascii="Arial" w:cs="Arial" w:eastAsia="Arial" w:hAnsi="Arial"/>
          <w:sz w:val="17"/>
          <w:szCs w:val="17"/>
          <w:i w:val="1"/>
          <w:iCs w:val="1"/>
          <w:color w:val="auto"/>
        </w:rPr>
        <w:t>ALX148 has shown superior antibody-dependent cellular phagocytosis, or ADCP, of solid tumor cells compared to CD47 blockers with an active Fc domain and lower CD47 affinity when combined with an anti-tumor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109855</wp:posOffset>
            </wp:positionV>
            <wp:extent cx="5186045" cy="23056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8604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Data</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Favorable safety profile</w:t>
      </w:r>
    </w:p>
    <w:p>
      <w:pPr>
        <w:spacing w:after="0" w:line="39"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Clinical trials to date continue to support ALX148’s differentiated approach to CD47 blockade. ALX148 has been administered in over 150 subjects with advanced solid or hematologic malignancies, including in combination with a range of standard of care anti-cancer regimens. ALX148 has been consistently well-tolerated, with low occurrences of cytopenias and other toxicities. Adverse events are reported as of April 1, 2020.</w:t>
      </w:r>
    </w:p>
    <w:p>
      <w:pPr>
        <w:spacing w:after="0" w:line="149" w:lineRule="exact"/>
        <w:rPr>
          <w:sz w:val="20"/>
          <w:szCs w:val="20"/>
          <w:color w:val="auto"/>
        </w:rPr>
      </w:pPr>
    </w:p>
    <w:p>
      <w:pPr>
        <w:ind w:left="120" w:right="260"/>
        <w:spacing w:after="0" w:line="236" w:lineRule="auto"/>
        <w:rPr>
          <w:sz w:val="20"/>
          <w:szCs w:val="20"/>
          <w:color w:val="auto"/>
        </w:rPr>
      </w:pPr>
      <w:r>
        <w:rPr>
          <w:rFonts w:ascii="Arial" w:cs="Arial" w:eastAsia="Arial" w:hAnsi="Arial"/>
          <w:sz w:val="17"/>
          <w:szCs w:val="17"/>
          <w:color w:val="auto"/>
        </w:rPr>
        <w:t>We have not yet reached a maximum tolerated dose in any trial of ALX148 and are continuing to test higher doses. Because the half-life of ALX148 is longer with higher dose levels, such dosing may allow up to an every four weeks, or Q4W, administration schedule. Furthermore, ALX148’s tolerability profile could potentially result in a broad therapeutic window. We believe its tolerability profile to date supports initiation of trials in combination with highly</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effective, but more toxic, standard of care agents, such as chemotherapies that can cause cytopenias. Many other CD47 blocking agents are unable to combine with these anti-cancer agents due to overlapping toxicity profiles. We believe ALX148 may be uniquely positioned in its ability to combine with standard of care agents including those with associated cytopenias.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Initial data suggests that ALX148 demonstrates a consistent tolerability profile in Phase 1 trial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36830</wp:posOffset>
            </wp:positionV>
            <wp:extent cx="4157345" cy="22542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15734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As of April 1, 2020. Treatment-related adverse events occurring in ³2 subjects in all histologies.</w:t>
      </w:r>
    </w:p>
    <w:p>
      <w:pPr>
        <w:spacing w:after="0" w:line="162"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Single-digit incident rates of treatment-related grade three and higher cytopenias occurred across each of the trial cohorts in this heavily pre-treated group of subjects who are typical participants in early stage cancer trials and are often hematologically fragile at baseline. Additionally, the majority of treatment-related adverse events were of low-grade and were easily managed. Overall, ALX148 was well tolerated in an advanced cancer population and can be combined with a wide range of anti-cancer therapeutics.</w:t>
      </w:r>
    </w:p>
    <w:p>
      <w:pPr>
        <w:spacing w:after="0" w:line="14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All other CD47 blockers that have reported clinical data have reported high rates of both all grade and high grade cytopenias. A magrolimab clinical trial in solid tumors resulted in 56% anemia in the first 48 subjects dosed, despite each subject receiving an initial priming dose to mitigate anemia. A recent trial of magrolimab in 62 subjects with higher-risk MDS or AML presented in December 2019 reported over 35% grade 3 or 4 treatment-related anemia, over 20% grade 3 or 4 treatment-related neutropenia and over 15% grade 4 treatment-related thrombocytopenia. An unfavorable tolerability profile such as this could present challenges to these agents. In contrast, ALX148’s tolerability profile may enhance the breadth of clinical development by providing better treatment options for patients with cancer.</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PK and PD Data</w:t>
      </w:r>
    </w:p>
    <w:p>
      <w:pPr>
        <w:spacing w:after="0" w:line="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Initial clinical trials have confirmed that ALX148 exhibits favorable PK, and CD47 target occupancy, or TO. Human PK following intravenous, or IV, doses of ALX148 ranging from 0.3 to 30 mg/kg either as a single-agent, or in combination with pembrolizumab, trastuzumab or rituximab have been characterized in 131 subjects as of January 21, 2020. ALX148’s PK profiles demonstrated a non-linear PK trend with faster clearance at lower doses and slower clearance at higher doses of 10 mg/kg QW and 30 mg/kg once every other week, or QoW. ALX148’s PK profile was not affected by combination with rituximab, trastuzumab or pembrolizumab.</w:t>
      </w:r>
    </w:p>
    <w:p>
      <w:pPr>
        <w:spacing w:after="0" w:line="150" w:lineRule="exact"/>
        <w:rPr>
          <w:sz w:val="20"/>
          <w:szCs w:val="20"/>
          <w:color w:val="auto"/>
        </w:rPr>
      </w:pPr>
    </w:p>
    <w:p>
      <w:pPr>
        <w:ind w:left="120" w:right="420"/>
        <w:spacing w:after="0" w:line="235" w:lineRule="auto"/>
        <w:rPr>
          <w:sz w:val="20"/>
          <w:szCs w:val="20"/>
          <w:color w:val="auto"/>
        </w:rPr>
      </w:pPr>
      <w:r>
        <w:rPr>
          <w:rFonts w:ascii="Arial" w:cs="Arial" w:eastAsia="Arial" w:hAnsi="Arial"/>
          <w:sz w:val="17"/>
          <w:szCs w:val="17"/>
          <w:color w:val="auto"/>
        </w:rPr>
        <w:t>The pharmacodynamics, or PD, following AXL148 IV infusion either as a single-agent or in combination with pembrolizumab, trastuzumab or rituximab have been characterized in 139 subjects in as of January 21, 2020. Target engagement has been confirmed based on CD47 TO in peripheral blood T lymphocytes and erythrocytes measured by a flow cytometry assay. At lower doses of 0.3 mg/kg and 1 mg/kg, a dose-dependent increase of TO was observed. Increased TO was observed following the subsequent IV dosing compared to the first IV infusion. Complete TO (&gt; 85%) in peripheral blood was observed at doses ³ 3 mg/kg QW. Complete TO in peripheral blood was also</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observed for ALX148 dosed at 10 mg/kg QW in combination with pembrolizumab, trastuzumab or rituximab. Based in part on this data, Phase 1b expansion trials used 10 mg/kg QW dosing of ALX148.</w:t>
      </w:r>
    </w:p>
    <w:p>
      <w:pPr>
        <w:spacing w:after="0" w:line="144"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7"/>
          <w:szCs w:val="17"/>
          <w:color w:val="auto"/>
        </w:rPr>
        <w:t>In our Phase 1b expansion trial to date, we have observed what may be a dose-response in subjects with NHL. While our data support full TO in the periphery at 10 mg/kg, enhanced tumor penetration may explain the higher response rate seen at 15 mg/kg in the clinic. Given the favorable tolerability observed to date at doses up to 15 mg/kg QW, we plan to evaluate these higher doses of ALX148.</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of ALX148 in Hematologic Malignancies</w:t>
      </w:r>
    </w:p>
    <w:p>
      <w:pPr>
        <w:spacing w:after="0" w:line="120"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The potential role of CD47 blockade to date has been clearly demonstrated in hematologic malignancies. This includes both our trials of ALX148 as well as trials by other CD47 blockade programs. We are planning to advance ALX148 in MDS and AML based on our initial trials in relapsed/refractory NHL, preclinical studies and evidence for the clinical utility of the CD47 blockade from other programs.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NHL Proof-of-Principle</w:t>
      </w:r>
    </w:p>
    <w:p>
      <w:pPr>
        <w:spacing w:after="0" w:line="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ALX148’s initial hematologic clinical trial is an ongoing Phase 1b expansion trial in combination with rituximab to treat subjects with relapsed/refractory NHL. This is an open-label, multisite trial to assess safety. Subjects received ALX148 10 mg/kg QW or 15 mg/kg QW in combination with rituximab 375 mg/m</w:t>
      </w:r>
      <w:r>
        <w:rPr>
          <w:rFonts w:ascii="Arial" w:cs="Arial" w:eastAsia="Arial" w:hAnsi="Arial"/>
          <w:sz w:val="14"/>
          <w:szCs w:val="14"/>
          <w:color w:val="auto"/>
        </w:rPr>
        <w:t>2</w:t>
      </w:r>
      <w:r>
        <w:rPr>
          <w:rFonts w:ascii="Arial" w:cs="Arial" w:eastAsia="Arial" w:hAnsi="Arial"/>
          <w:sz w:val="17"/>
          <w:szCs w:val="17"/>
          <w:color w:val="auto"/>
        </w:rPr>
        <w:t xml:space="preserve"> administered as an intravenous infusion QW for four doses followed by once monthly for eight doses. In order to meet inclusion criteria, subjects must have had no curative therapy or standard approved therapy option available to them. Across all cohorts, as of April 1, 2020, subjects had received a median of three lines of therapy prior to enrollment in the ALX148 trial. These were heavily pre-treated subjects, all of whom had progressed on previous rituximab-containing regimens.</w:t>
      </w:r>
    </w:p>
    <w:p>
      <w:pPr>
        <w:spacing w:after="0" w:line="148"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Responses were evaluated according to Lugano 2014 response criteria and reported as of April 1, 2020. As of April 1, 2020, ALX148 had been administered to 33 subjects. All subjects were response evaluable. 11 had indolent lymphomas and 22 had aggressive lymphomas. There were 11 subjects in the higher dose 15 mg/kg QW cohort. This cohort achieved an ORR of 54.6% (6/11). The ORR in the lower dose 10 mg/kg QW cohort was 40.9% (9/22).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124460</wp:posOffset>
            </wp:positionV>
            <wp:extent cx="3017520" cy="2186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01752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As of April 1, 2020.</w:t>
      </w:r>
    </w:p>
    <w:p>
      <w:pPr>
        <w:spacing w:after="0" w:line="274"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We view ALX148’s initial activity in heavily pre-treated subjects with NHL as compelling evidence for the role of ALX148 in treating hematologic malignancies and as a favorable comparison to outcomes reported by other CD47 blocking agents in similar subjects. We believe the data in our 10 and 15 mg/kg QW cohorts may show a dose-dependent response that demonstrates ALX148’s activity and supports higher dose administration in trials for subjects with MDS.</w:t>
      </w:r>
    </w:p>
    <w:p>
      <w:pPr>
        <w:spacing w:after="0" w:line="149"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Based on the activities seen at the 10 and 15 mg/kg QW doses coupled with a favorable tolerability profile, we are intending to test higher doses, up to 60 mg/kg Q4W in MDS. We believe this dosing schedule may be unique among</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060"/>
          </w:cols>
          <w:pgMar w:left="320" w:top="459" w:right="5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CD47 blockade programs and can potentially provide a more convenient regimen in combination with monthly azacitidine for patients. This data set also supported our decision to advance ALX148 into solid tumor indications at higher doses of 45 mg/kg once every three weeks, or Q3W, in combination with standard agents also administered Q3W.</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for the Treatment of MDS</w:t>
      </w:r>
    </w:p>
    <w:p>
      <w:pPr>
        <w:spacing w:after="0" w:line="4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Our development of ALX148 in hematologic indications is initially focused on MDS. There are approximately 70,000 people living with diagnosed MDS in the U.S. Patients with MDS have a wide range of expected outcomes that can be estimated from their Revised International Prognostic Scoring System, or IPSS-R, risk category. Patients with very low IPSS-R have an mOS of 8.8 years, whereas those with very high IPSS-R have an mOS of under ten months. Since nearly 75% of new cases are in patients aged 70 or older, balancing a patient’s age at prognosis with potential treatment-related impact on quality of life is important in considering treatment options. Regardless of age, treatment goals for patients with MDS are a balance of improved survival, symptom alleviation and quality of life.</w:t>
      </w:r>
    </w:p>
    <w:p>
      <w:pPr>
        <w:spacing w:after="0" w:line="148"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For patients with higher-risk MDS (intermediate, high and very high IPSS-R), standard of care treatments include stem cell transplant, or SCT, high and low-intensity chemotherapy regimens and HMAs. SCT is the only therapy that is potentially curative; however, the procedure is difficult to tolerate, especially for older patients, and has a non-relapse mortality rate of approximately 40% at 200 days for all patients with MDS.</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For patients who are ineligible for SCT, azacitidine, an HMA, is a standard backbone therapy for combination treatment regimens in MDS. The drug continues to be used in combination with investigational agents in a number of current MDS trials. Single-agent azacitidine is one of the few FDA-approved agents for patients with MDS. However, its FDA label indicates a complete response, or CR, rate of only 5.6% and an mOS of 2.0 years. A clinical complete response comprises normalizing peripheral blood counts, resolution of bone marrow dysplasia and reduction in the percentage of immature blood cells, or myeloblasts, to less than 5%. CD47 blockade in combination with azacitidine has shown early clinical evidence that suggests it may improve CR rates in MDS. For patients with higher-risk MDS, achieving a CR and improving overall survival are the central treatment goals. Treatment goals for patients with lower-risk MDS are different. The primary goal for those patients is resolution of cytopenias.</w:t>
      </w:r>
    </w:p>
    <w:p>
      <w:pPr>
        <w:spacing w:after="0" w:line="149" w:lineRule="exact"/>
        <w:rPr>
          <w:sz w:val="20"/>
          <w:szCs w:val="20"/>
          <w:color w:val="auto"/>
        </w:rPr>
      </w:pPr>
    </w:p>
    <w:p>
      <w:pPr>
        <w:jc w:val="both"/>
        <w:ind w:left="120" w:right="120"/>
        <w:spacing w:after="0" w:line="232" w:lineRule="auto"/>
        <w:rPr>
          <w:sz w:val="20"/>
          <w:szCs w:val="20"/>
          <w:color w:val="auto"/>
        </w:rPr>
      </w:pPr>
      <w:r>
        <w:rPr>
          <w:rFonts w:ascii="Arial" w:cs="Arial" w:eastAsia="Arial" w:hAnsi="Arial"/>
          <w:sz w:val="17"/>
          <w:szCs w:val="17"/>
          <w:color w:val="auto"/>
        </w:rPr>
        <w:t>Red blood cell transfusions are a key element of treatment intended to address cytopenias in patients with MDS. The majority of patients have a hemoglobin count of less than 10 g/dL and approximately one-third of patients are RBC transfusion dependent. Transfusions impose significant time and cost burdens on patients and also cause clinical sequelae such as iron overload and associated liver fibrosis and cardiomyopathy.</w:t>
      </w:r>
    </w:p>
    <w:p>
      <w:pPr>
        <w:ind w:left="120" w:right="360"/>
        <w:spacing w:after="0" w:line="238" w:lineRule="auto"/>
        <w:rPr>
          <w:sz w:val="20"/>
          <w:szCs w:val="20"/>
          <w:color w:val="auto"/>
        </w:rPr>
      </w:pPr>
      <w:r>
        <w:rPr>
          <w:rFonts w:ascii="Arial" w:cs="Arial" w:eastAsia="Arial" w:hAnsi="Arial"/>
          <w:sz w:val="17"/>
          <w:szCs w:val="17"/>
          <w:color w:val="auto"/>
        </w:rPr>
        <w:t>Therefore, achieving transfusion independence is an important secondary goal of treating patients with higher-risk MDS. A competitive CD47 blocking agent has generated encouraging clinical data, however, it is associated with high rates of anemia that may require additional transfusions upon treatment initiation, mitigating any success in peripheral blood count normalization.</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clinical data with CD47 blocking agents in MDS underscore the need for combination of two agents to achieve CRs. As previously discussed, pro-phagocytic signals in ALX148-based combinations can be provided by drugs that increase display of the “eat me” signal calreticulin on the surface of tumor cells. We have conducted preclinical studies that show that azacitidine increases the display of the “eat me” signal calreticulin on AML cells. Additionally, we have shown that azacitidine and ALX148 in combination produces increased phagocytosis in vitro and anti-tumor activity in mouse models compared to azacitidine alone. Furthermore, we have demonstrated in preclinical studies that ALX148 when combined with venetoclax, a BCL-2 inhibitor that is FDA-approved for the treatment of patients with AML, increases tumor growth inhibition in a leukemia tumor model, compared to venetoclax alone.</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205740</wp:posOffset>
            </wp:positionV>
            <wp:extent cx="5212080" cy="29660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208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Recent data from a competitive CD47 blockade program, magrolimab, further support trials of ALX148 for treatment of MDS. Magrolimab was studied both as a single-agent and in combination with azacitidine in subjects with higher-risk MDS or AML. Magrolimab plus azacitidine achieved a 42% CR rate in previously untreated MDS and a 40% CR in previously untreated AML. As a single-agent, magrolimab achieved no CRs in relapsed/refractory MDS and AML, suggesting that a separate pro-phagocytic signal is required for the observed clinical activity. Despite the high rate of CRs achieved in combination, over 38% of subjects in these trials have experienced grade 3 or higher treatment-related anemia. Notwithstanding these limitations, magrolimab’s data support the potential role of CD47 blockade in treating these subjects.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strategy is to pursue ALX148 as a potentially critical component for future combination treatment options for patients with higher-risk MDS. Our preclinical models, activity of ALX148 in NHL where magrolimab has reported similar data and available CD47 clinical data in this indication support a potential role for ALX148 for treatment of patients with MDS. Baseline characteristics of subjects in a recent trial of azacitidine plus venetoclax in treatment-naïve higher-risk MDS illustrated the need for therapies that do not induce cytopenias. Prior to treatment, 56% of subjects had grade 3 or higher neutropenia, 33% had grade 3 or higher thrombocytopenia, 40% had grade 3 or higher leukopenia and 12% had grade 3 or higher anemia. We believe that it is important to develop a CD47 blocking therapy that does not exacerbate cytopenias that patients may already exhibit pre-treatment. ALX148’s tolerability profile to date suggests it may address this unmet need in patients who suffer from MDS.</w:t>
      </w:r>
    </w:p>
    <w:p>
      <w:pPr>
        <w:spacing w:after="0" w:line="15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plan to initiate a Phase 1b/2 trial of ALX148 in combination with azacitidine for the first-line treatment of subjects with higher-risk MDS by the end of 2020. The Phase 1b portion of the trial will seek to evaluate up to 60 mg/kg Q4W of ALX148 plus standard azacitidine in subjects with relapsed/refractory and previously untreated MDS. The Phase 2 portion of the trial will assess the combination of ALX148 and azacitidine in subjects with previously untreated higher-risk MDS. The primary endpoint will be complete remission rate by six months. We intend to pursue a strategy in which we will leverage the data generated from the Phase 1b/2 trial to request from the FDA that ALX148 be a candidate for accelerated approval in the treatment of MDS.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for the treatment of AML</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Our preclinical studies and clinical studies from competing CD47 agents support the potential role of ALX148 in the treatment of patients with AML. In the United States, there are over 35,000 people living with AML with an expected 20,000 newly diagnosed cases and over 11,000 deaths from the disease in 2020. Overall survival for patients with AML is generally worse than patients with higher-risk MDS. Median overall survival for patients with</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AML ranges from approximately 15 months for patients with favorable cytogenetic risk factors to less than 5 months for those with adverse risk factors. Similar to MDS, patients tend to be older with a median age at diagnosis of 68.</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First-line treatment options for patients can be broadly stratified into high-intensity and low-intensity induction regimens. High-intensity induction chemotherapy is typically cytarabine plus an anthracycline (so called “7+3”) administered over a 28-day cycle. While patients can derive long term benefit from 7+3, the risks of the regimen are substantial. 60-day treatment-related mortality from 7+3 induction have been as high as 27% and have declined to 6-8% in recent years, likely due in part to more stringent patient selection and the decreased average age of patients who receive 7+3. Patients who are not candidates for intensive induction chemotherapy due to preference, performance status, or other reasons are likely to receive low-intensity regimens characterized by the use of HMAs, venetoclax or combined HMA plus venetoclax. In the past decade, the percentage of patients 65 and older who receive first-line high-intensity treatment has declined from approximately 70% to 40%, while the use of HMAs in this population increased from 11% to 44%. Venetoclax combined with an HMA recently received accelerated approval from the FDA for use in adults who are 75 years or older or who have comorbidities that exclude the use of intensive induction chemotherapy. Venetoclax was approved on the basis of CR rate and duration of CR and achieved a 37% CR rate in combination with azacitidine and 54% in combination with decitabine, and a median observed time in remission of 5.5 months. Despite these results, we believe there is a significant unmet need for more effective and well-tolerated first-line treatment options for patients who are not candidates for high-intensity therapy.</w:t>
      </w:r>
    </w:p>
    <w:p>
      <w:pPr>
        <w:spacing w:after="0" w:line="153"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The mechanistic rationale for combining ALX148 with azacitidine in AML is similar to the rationale for MDS. Preclinical studies show that azacitidine increases the display of calreticulin, a pro-phagocytic signal, on cancer cells in AML models. The preclinical studies that support the use of ALX148 combinations in MDS also support its use in AML. Clinically, the CD47 agent magrolimab has achieved a 40% CR rate in untreated AML when used in combination with azacitidine. In a separate study in patients 65 and older with untreated AML, single-agent azacitidine as achieved a 20% CR rate. We believe this indicates CD47 agents could increase the activity of HMAs above their single-agent levels. Furthermore, our preclinical data of ALX148 in combination with venetoclax supports the combination with this agent that is increasingly being used in the treatment of patients with AML.</w:t>
      </w:r>
    </w:p>
    <w:p>
      <w:pPr>
        <w:spacing w:after="0" w:line="151"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We plan to initiate a Phase 1b/2 trial of ALX148 in combination with standard of care agents for the first-line treatment of patients with AML in 2021.</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Solid Tumors</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have generated clinical data with ALX148 in combination with multiple anti-cancer agents in solid tumors. We believe the smaller molecular weight of ALX148 as compared to a typical antibody may facilitate greater penetration into solid tumors. In addition, we believe the favorable tolerability profile of ALX148 will allow for higher administered doses in a range of combination strategies with leading therapies for solid tumors. Solid tumors represent the largest markets within oncology and many of these oncology indications are poorly served by current therapies, both in front-line as well as in the relapsed and refractory settings. We have demonstrated proof of concept with ALX148 in combination treatment in two solid tumor settings in initial clinical trials: HNSCC and HER2-positive gastric/GEJ cancer. We believe these indications offer registration pathways in combination with existing approved therapies and we intend to advance ALX148 into randomized Phase 2 trials in both oncology indications in 2021.</w:t>
      </w:r>
    </w:p>
    <w:p>
      <w:pPr>
        <w:spacing w:after="0" w:line="14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ALX148 can be combined with PD-1/programmed death-ligand 1, or PD-(L)1, agents in a broad range of solid tumors. As part of our development strategy, we are exploring the use of ALX148 in combination with a PD-1 inhibitor in HNSCC. PD-(L)1 inhibitors are currently approved by the FDA for 18 indications and had over $20 billion in 2019 sales. Other CD47 blocking approaches may be limited in their ability to combine with PD-(L)1 inhibitors due to cumulative or overlapping toxicities.</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investigated ALX148 in subjects with solid tumors in additional cohorts as part of an extensive Phase 1 trial. Part 1 was a dose escalation trial of single-agent ALX148 intended to examine tolerability and recommended dosing and was not expected to show single-agent activity. Sixteen subjects with solid tumors received ALX148 as a single-agent on a QW schedule at doses ranging from 0.1 mg/kg to 10 mg/kg and 12 subjects received ALX148 as a single-agent on a QoW dosing schedule at a dose of 30 mg/kg. The maximum tolerated dose was not determined on either schedule. However, the maximum administered dose was 30 mg/kg for the Q2W dosing schedule and 10 mg/kg for the QW schedule.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Part 2 is comprised of ALX148 escalation and expansion cohorts. In subjects with solid tumors, ALX148 was combined with various anti-cancer agents including pembrolizumab, trastuzumab and chemotherapy. Adverse events from the ALX148 plus pembrolizumab cohort and ALX148 plus trastuzumab cohort are reported above. As previously discussed, ALX148 has consistently displayed a favorable tolerability profile. Many of the reported adverse events have been associated with either pembrolizumab or trastuzumab.</w:t>
      </w:r>
    </w:p>
    <w:p>
      <w:pPr>
        <w:spacing w:after="0" w:line="149"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In HNSCC, our initial Phase 1b expansion trial combined ALX148 with pembrolizumab, an anti-PD-1 agent, which is a standard of care for subjects with HNSCC. Final results from the cohort of ALX148 combined with pembrolizumab were reported at the 2020 American Society of Clinical Oncology, Virtual Scientific Program, or ASCO 2020, and provided the first demonstration of ALX148’s ability to enhance checkpoint inhibitor antibody activity in solid tumors and is the basis for FDA Fast Track designation in first-line treatment of HNSCC. Data from this trial supported our recently initiated trial in HNSCC that adds chemotherapy (5-FU plus cisplatin) to the combination of pembrolizumab and ALX148.</w:t>
      </w:r>
    </w:p>
    <w:p>
      <w:pPr>
        <w:spacing w:after="0" w:line="150"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In HER2-positive gastric/GEJ cancer, our Phase 1b expansion trial included a combination with trastuzumab, an anti-HER2 agent, that is the standard of care for subjects with HER2-positive gastric/GEJ cancer and is FDA-approved for other HER2-expressing tumors. Final results from the cohort of ALX148 combined with trastuzumab were reported at ASCO 2020 and provided the first demonstration of ALX148 activity with an anti-tumor targeted antibody in subjects with solid tumors. Data from this trial formed the basis for FDA Fast Track designation in second-line subjects with advanced HER2-positive gastric/GEJ cancer and supported our recently initiated trial in gastric/GEJ cancer that adds second-line standard of care agents (ramucirumab plus paclitaxel) to the combination of trastuzumab and ALX148.</w:t>
      </w:r>
    </w:p>
    <w:p>
      <w:pPr>
        <w:spacing w:after="0" w:line="14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Overall, we believe our development plan for ALX148 in solid tumors has significant potential and represents a strong complement to our program in hematologic malignancies. With encouraging data in multiple drug combinations initially evaluated in the clinic, we plan to advance trials to assess efficacy in the solid tumor indications with substantial unmet medical need.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HNSCC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Disease background</w:t>
      </w:r>
    </w:p>
    <w:p>
      <w:pPr>
        <w:spacing w:after="0" w:line="52"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There are estimated to be over 38,000 people living in the United States with metastatic HNSCC, with over 50,000 newly incident cases at all stages estimated to be diagnosed in 2020. Five-year survival is 85% for patients diagnosed with localized disease but decreases to only 40% for those diagnosed with metastatic disease, underlying the need for improved treatment options.</w:t>
      </w:r>
    </w:p>
    <w:p>
      <w:pPr>
        <w:spacing w:after="0" w:line="147"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FDA-approved and National Comprehensive Cancer Network, or NCCN, recommended therapies for the first-line treatment of recurrent/metastatic disease include pembrolizumab monotherapy, pembrolizumab combined with chemotherapy, platinum and fluorouracil, and cetuximab, an anti-epidermal growth factor receptor antibody, combined with chemotherapy among other treatments. The KEYNOTE-048 clinical trial led to the FDA approval of pembrolizumab monotherapy as a first-line treatment in patients with HNSCC whose tumors express PD-L1 on a Combined Positive Score, or CPS, ³1 and approval of pembrolizumab plus chemotherapy as a first-line treatment in patients with HNSCC regardless of CPS . In KEYNOTE-048, pembrolizumab monotherapy achieved 17% ORR with a median progression-free survival, or mPFS, of</w:t>
      </w:r>
    </w:p>
    <w:p>
      <w:pPr>
        <w:ind w:left="120"/>
        <w:spacing w:after="0" w:line="236" w:lineRule="auto"/>
        <w:rPr>
          <w:sz w:val="20"/>
          <w:szCs w:val="20"/>
          <w:color w:val="auto"/>
        </w:rPr>
      </w:pPr>
      <w:r>
        <w:rPr>
          <w:rFonts w:ascii="Arial" w:cs="Arial" w:eastAsia="Arial" w:hAnsi="Arial"/>
          <w:sz w:val="17"/>
          <w:szCs w:val="17"/>
          <w:color w:val="auto"/>
        </w:rPr>
        <w:t>2.3 months in subjects with HNSCC regardless of CPS. Of particular note, in subjects with CPS &lt;1 pembrolizumab monotherapy only achieved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5% ORR.</w:t>
      </w:r>
    </w:p>
    <w:p>
      <w:pPr>
        <w:spacing w:after="0" w:line="156"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Pembrolizumab monotherapy in previously treated HNSCC was reported in the Phase 3 KEYNOTE-040 trial. Subjects were excluded if they had prior therapy with an anti-PD-1 or anti-PD-L1 therapy. In KEYNOTE-040, pembrolizumab achieved a 15% ORR, mPFS of only 2.1 months and mOS of 8.4 months. While we believe pembrolizumab is an important treatment option for both first- and second-line HNSCC, the majority of patients do not have an objective response to pembrolizumab-based therapy.</w:t>
      </w:r>
    </w:p>
    <w:p>
      <w:pPr>
        <w:spacing w:after="0" w:line="149"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Despite the recent approval of pembrolizumab, we believe that there is significant unmet need remaining for patients with HNSCC. The addition of ALX148 to pembrolizumab, or pembrolizumab plus chemotherapy, may have the potential to improve response rates and provide additional clinical benefit to patients with metastatic HNSCC. We have evaluated ALX148 in subjects with metastatic HNSCC and continue to develop ALX148 in this setting.</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Trial design</w:t>
      </w:r>
    </w:p>
    <w:p>
      <w:pPr>
        <w:spacing w:after="0" w:line="52"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ALX148 was investigated in combination with pembrolizumab in subjects with recurrent/metastatic HNSCC who had received at least one prior systemic therapy. The clinical evaluation of ALX148 in HNSCC was an open-label, multisite expansion of our Phase 1 trial to assess safety and tolerability with response rate and duration as secondary endpoints. There was no requirement for PD-L1 expression. Subjects received ALX148 10 mg/kg QW in combination with pembrolizumab 200 mg on a Q3W dosing schedule. Subject response was evaluated based on RECIST version 1.1. Twenty subjects were dosed with ALX148 and as of April 1, 2020, all subjects in the HNSCC expansion cohort were response evaluable. Because standard of care in first-line HNSCC was evolving during the course of this trial to include checkpoint inhibitors, 50% (10) of the subjects who enrolled were checkpoint inhibitor naïve and 50% (10) had previously received a checkpoint inhibitor.</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Outcomes</w:t>
      </w:r>
    </w:p>
    <w:p>
      <w:pPr>
        <w:spacing w:after="0" w:line="52"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primary objective of the trial was to assess safety. Final results of the fully enrolled cohort were reported at ASCO 2020. As reported above in the summary tables of treatment-related adverse events from all ALX148 trials, the combination was well tolerated. As of April 1, 2020, ALX148 with pembrolizumab achieved an ORR of 40% (4/10) in checkpoint inhibitor naïve subjects while maintaining a tolerability profile consistent with earlier trials. Some of the 20 subjects had a CPS of zero and response was also observed within this subject population. We believe the addition of ALX148 to pembrolizumab represents a potentially significant advance over pembrolizumab monotherapy based on a review of the KEYNOTE-040 trial results that showed an ORR of 15%. Based on our clinical trial data, the FDA granted ALX148 Fast Track designation for first-line treatment of subjects with HNSCC.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125730</wp:posOffset>
            </wp:positionV>
            <wp:extent cx="5203190" cy="23317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0319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also analyzed paired pre- and on-treatment tumor biopsies from subjects for the presence of CD8+ T cells, CD68+ and CD163+ myeloid cells.</w:t>
      </w:r>
    </w:p>
    <w:p>
      <w:pPr>
        <w:ind w:left="120"/>
        <w:spacing w:after="0" w:line="232" w:lineRule="auto"/>
        <w:rPr>
          <w:sz w:val="20"/>
          <w:szCs w:val="20"/>
          <w:color w:val="auto"/>
        </w:rPr>
      </w:pPr>
      <w:r>
        <w:rPr>
          <w:rFonts w:ascii="Arial" w:cs="Arial" w:eastAsia="Arial" w:hAnsi="Arial"/>
          <w:sz w:val="17"/>
          <w:szCs w:val="17"/>
          <w:color w:val="auto"/>
        </w:rPr>
        <w:t>After treatment with ALX148, tumor samples showed increased infiltration of CD8+, CD68+ and CD163+ cells in the tumor, which suggests that</w:t>
      </w:r>
    </w:p>
    <w:p>
      <w:pPr>
        <w:ind w:left="120"/>
        <w:spacing w:after="0"/>
        <w:rPr>
          <w:sz w:val="20"/>
          <w:szCs w:val="20"/>
          <w:color w:val="auto"/>
        </w:rPr>
      </w:pPr>
      <w:r>
        <w:rPr>
          <w:rFonts w:ascii="Arial" w:cs="Arial" w:eastAsia="Arial" w:hAnsi="Arial"/>
          <w:sz w:val="17"/>
          <w:szCs w:val="17"/>
          <w:color w:val="auto"/>
        </w:rPr>
        <w:t>ALX148 also engages the innate and adaptive immune system consistent with its mechanism of action.</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Clinical development plan</w:t>
      </w:r>
    </w:p>
    <w:p>
      <w:pPr>
        <w:spacing w:after="0" w:line="52"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HNSCC development plan is to build on the initial results of ALX148 in checkpoint inhibitor naïve patients in combination with pembrolizumab. Given the results of KEYNOTE-048, we expect pembrolizumab, or pembrolizumab plus chemotherapy, to continue to be widely used in the first-line treatment of metastatic HNSCC. Therefore, our future plans will be focused on establishing additional efficacy, in the context of acceptable safety and tolerability, over pembrolizumab alone, or pembrolizumab plus chemotherapy, in the front-line metastatic HNSCC setting. In January 2020, we initiated a Phase 1b trial that is evaluating ALX148 plus pembrolizumab plus chemotherapy in subjects with no PD-L1 expression requirements. In addition to our initial dosing of 10 mg/kg QW, a higher dosing will be explored with 15 mg/kg QW dosing planned. We anticipate initiation of a Phase 2 trial of ALX148 and pembrolizumab by the first half of 2021.</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HER2-Positive Gastric/GEJ</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Disease background</w:t>
      </w:r>
    </w:p>
    <w:p>
      <w:pPr>
        <w:spacing w:after="0" w:line="3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Over 25,000 people are estimated to be living in the United States with diagnosed metastatic gastric/GEJ carcinoma. A large, international Phase 3 trial of trastuzumab in gastric/GEJ cancer found that of the nearly 4,000 subjects screened for inclusion in the trial, 17% of them were HER2-positive, which suggests a general HER2-positive rate for patients with gastric/GEJ cancer. In East Asian countries, gastric/GEJ cancer is much more common than in the United States, with incidence rates 4-10 times higher. China alone has a diagnosed incidence of over 900,000 patients with gastric/GEJ cancer per year.</w:t>
      </w:r>
    </w:p>
    <w:p>
      <w:pPr>
        <w:spacing w:after="0" w:line="20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First-line standard of care treatment is trastuzumab combined with the chemotherapy agents platinum and fluoropyrimidine. Trastuzumab, marketed as Herceptin, is an anti-HER2 antibody that has multiple FDA approvals in patients with HER2-positive cancers. In the second-line HER2-positive gastric setting, there are no HER2 targeted FDA-approved therapies. As such, the standard of care regimen in the U.S. is ramucirumab, marketed as Cyramza, a vascular endothelial growth factor 2 receptor monoclonal antibody, in combination with paclitaxel, a widely used chemotherapy. In a Phase 3 trial leading to FDA approval, ramucirumab plus paclitaxel achieved a 28% ORR with a 9.6 month mOS in subjects with previously treated gastric/GEJ cancer.</w:t>
      </w:r>
    </w:p>
    <w:p>
      <w:pPr>
        <w:spacing w:after="0" w:line="148"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HER2-positive patients with gastric/GEJ cancers in second-line treatment are likely to have received an anti-HER2 antibody-based treatment in their first line of treatment. A recently reported prospective clinical trial studied trastuzumab plus paclitaxel compared to paclitaxel alone in previously treated HER2-positive subjects with gastric/GEJ cancer. Subjects were required to have progressed during the first line of treatment with trastuzumab plus chemotherapy (fluoropyrimidine plus platinum). The objective of this trial was to assess the clinical effect of trastuzumab after patients had progressed on prior trastuzumab treatment. The trial results showed that the addition of trastuzumab added no meaningful clinical benefit over paclitaxel alone. There was no significant improvement in mOS, mPFS or ORR compared to the paclitaxel arm. Based on these data, we hypothesized that we could attribute any observed responses when treating a similar subject population with ALX148 paired with trastuzumab, to a combination effect of the two agents and not simply a response to trastuzumab alone.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Trial design</w:t>
      </w:r>
    </w:p>
    <w:p>
      <w:pPr>
        <w:spacing w:after="0" w:line="39"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ALX148 was investigated in combination with trastuzumab in subjects with relapsed/refractory HER2-positive gastric/GEJ cancer. This trial was an open-label, multisite expansion of our Phase 1 trial to assess safety and tolerability with response rate and duration as secondary endpoints. Twenty subjects from the gastric/GEJ expansion cohort received ALX148 10 mg/kg QW in combination with trastuzumab at an initial dose of 8 mg/kg followed by 6 mg/kg intravenous infusion Q3W. As of April 1, 2020, 19 subjects were response evaluable. One of the twenty subjects administered ALX148 discontinued the study due to clinical symptoms of progression prior to their first scheduled on study scan and therefore was not response evaluable per protocol definition.</w:t>
      </w:r>
    </w:p>
    <w:p>
      <w:pPr>
        <w:spacing w:after="0" w:line="14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As of April 1, 2020, in our trial of ALX148 plus trastuzumab, 18 of 19 response evaluable subjects from the gastric/GEJ expansion cohort, including all subjects who achieved a response, had been treated with at least one HER2-containing regimen prior to enrollment. Multiple subjects also received an investigational anti-HER2 agent and a PD-1 checkpoint inhibitor as prior treatment.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139700</wp:posOffset>
            </wp:positionV>
            <wp:extent cx="5212080" cy="23914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208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The primary objective of the trial was to assess safety and the combination regimen was well tolerated. Final results of the fully enrolled cohort were reported at ASCO 2020. Importantly, ALX148 with trastuzumab achieved an ORR of 21.1% (4/19) in these subjects. The FDA granted ALX148 Fast Track designation for second-line treatment of advanced HER2-positive gastric/GEJ carcinoma partly due to this data. Based on prior studies, one of which is described above, any observed response can likely be attributed to the combination effect and not a response to single-agent trastuzumab. We believe that an ORR of 21.1% in this second-line or later population supports further development of ALX148 in HER2-positive cancers.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Clinical development plans</w:t>
      </w:r>
    </w:p>
    <w:p>
      <w:pPr>
        <w:spacing w:after="0" w:line="39"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Based on ALX148’s activity in second-line and later subjects, in December 2019, we initiated a Phase 1b trial in HER2-positive subjects who previously received a trastuzumab-containing regimen. In this trial, we are combining ALX148 with trastuzumab, ramucirumab and paclitaxel to demonstrate the tolerability of ALX148, at doses of 10 mg/kg and 15 mg/kg QW, and an anti-HER2 antibody when combined with second-line standard-of-care treatment.</w:t>
      </w:r>
    </w:p>
    <w:p>
      <w:pPr>
        <w:spacing w:after="0" w:line="149"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We intend to initiate a randomized Phase 2 trial of trastuzumab and chemotherapy with and without ALX148 for subjects with untreated HER2-positive gastric/GEJ cancer by the second half of 2021. Data from this trial would confirm whether ALX148 improves the response rate to anti-HER2-based therapy in patients with HER2-positive gastric/GEJ cancer. Of note, there are multiple emerging agents, predominantly antibody-based therapies, in development for patients with HER2-positive cancer. Because these agents target HER2 as does trastuzumab, we believe that ALX148 has the potential to maximize the anti-cancer activity of these novel agents should they supplant trastuzumab in the treatment paradigm for these patients.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Programs</w:t>
      </w:r>
    </w:p>
    <w:p>
      <w:pPr>
        <w:spacing w:after="0" w:line="93"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In addition to ALX148, we are also developing preclinical programs that may offer additional ways to engage the innate and adaptive immune response to cancer.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Licensing and Intellectual Property</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commercial success depends in part on our ability to obtain and maintain proprietary protection for our current and future product candidates, novel discoveries, product development technologies and knowhow and to operate without infringing on the proprietary rights of others. We seek to protect our proprietary position by, among other methods, filing or in-licensing U.S. and foreign patents and patent applications related to technology, inventions and improvements that are important to the development and implementation of our business. Our patent portfolio is intended to cover our product candidates and related components, their methods of use and processes for their manufacture and any other inventions that are commercially important to our business. We also rely on trademarks,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trade secrets, knowhow, continuing technological innovation and confidential information to develop and maintain our proprietary position.</w:t>
      </w:r>
    </w:p>
    <w:p>
      <w:pPr>
        <w:spacing w:after="0" w:line="156"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As of May 31, 2020, we own one issued U.S. patent, seven pending U.S. nonprovisional patent applications, seven pending U.S. provisional patent applications and a portfolio of national patent application filings in a variety of non-U.S. jurisdictions, including Europe, Hong Kong, Brazil, Mexico, New Zealand, Japan, Australia, Canada, China, India, Israel, Republic of Korea, Singapore and Russia. Of these patents and patent applications, the following relate to ALX148: one issued U.S. patent, four pending U.S. nonprovisional patent applications, seven pending U.S. provisional patent applications and a portfolio of national patent application filings in a variety of non-U.S. jurisdictions, including Europe, Hong Kong, Brazil, Mexico, New Zealand, Japan, Australia, Canada, China, India, Israel, Republic of Korea, Singapore and Russia.</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Our one U.S. issued patent and, if issued as U.S. patents, our seven U.S. nonprovisional patent applications and seven U.S. provisional patent applications are expected to expire between August 2036 and November 2040, excluding any additional term for patent term adjustments or patent term extensions, with an expiration of between August 2036 and November 2040 with respect to our patent and patent applications related to ALX148, excluding any additional term for patent term extensions.</w:t>
      </w:r>
    </w:p>
    <w:p>
      <w:pPr>
        <w:spacing w:after="0" w:line="15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obtained a worldwide, royalty-bearing, sublicensable license from the Board of Trustees of the Leland Stanford Junior University, or Stanford, under certain patents relating to high-affinity SIRPa variant polypeptides, to develop, manufacture and commercialize products for use in certain licensed fields, the scope of which would include the application of the licensed intellectual property in oncology. Our portfolio of exclusively licensed patents from Stanford includes five issued patents (one of which is in the United States) and applications are pending in six jurisdictions (including the United States and the European Patent Office). For more information regarding our license agreement with Stanford, please see “— Exclusive (Equity) Agreement with The Board of Trustees of the Leland Stanford Junior University.”</w:t>
      </w:r>
    </w:p>
    <w:p>
      <w:pPr>
        <w:spacing w:after="0" w:line="135"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Our patent portfolio exclusively licensed from Stanford contains patent families relating to high-affinity SIRPa variant polypeptides, which is comprised of one issued patent in each of U.S., Australia, China, Hong Kong and Japan, one pending U.S. patent application and one pending European patent application, which has been allowed and will be validated as national patents in 37 different European countries. These patents and patent applications are subject to retained rights by Stanford to allow academic and nonprofit research institutions to practice the licensed technology and patents for noncommercial purposes. In addition, these patents are subject to certain pre-existing rights that Stanford has granted to two third parties. These patents are expected to expire in 2033 excluding any extension of patent term that may be available.</w:t>
      </w:r>
    </w:p>
    <w:p>
      <w:pPr>
        <w:spacing w:after="0" w:line="148"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color w:val="auto"/>
        </w:rPr>
        <w:t>We are aware of a revoked European patent (EP 2 429 574) owned by UHN and The Hospital for Sick Children that may encompass certain therapies for the treatment of cancer using polypeptides comprising soluble human SIRPa, or a CD47-binding fragment thereof. This revoked patent related to the treatment of cancer with polypeptides comprising soluble human SIRPa, or a CD47-binding fragment thereof. This patent was revoked by the European Patent Office and UHN and The Hospital for Sick Children have appealed the decision. The U.S. counterpart is not yet granted. If UHN and the Hospital for Sick Children win their appeal of the European Patent Office decision revoking their European patent, or if the U.S. counterpart grants them a patent, the resulting patent claims could potentially limit our ability to pursue ALX148 in certain new indications or geographies in the future.</w:t>
      </w:r>
    </w:p>
    <w:p>
      <w:pPr>
        <w:spacing w:after="0" w:line="149"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For more information regarding the risks related to our intellectual property, including the above referenced intellectual property proceedings, see “Risk Factors—Risks Related to Our Intellectual Property.”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(Equity) Agreement with The Board of Trustees of the Leland Stanford Junior University</w:t>
      </w:r>
    </w:p>
    <w:p>
      <w:pPr>
        <w:spacing w:after="0" w:line="120"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In March 2015, we entered into a license agreement, or the Stanford Agreement, with Stanford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149"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ordinary shares.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No milestone payments have been made through December 31, 2019.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4"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We may terminate the Stanford Agreement, on a licensed product-by-licensed product basis, at any time for any reason by providing at least 60 days’ written notice to Stanford. Stanford may terminate the Stanford Agreement if we are in breach of any provision of the Stanford Agreement and fail to remedy such breach within 60 days after written notice of such breach by Stanford. In addition, Stanford has the right to terminate the Stanford Agreement, on a licensed product-by-licensed product basis, if we are not diligently developing and commercializing such licensed product under certain conditions or if we fail to achieve specified development milestones for such licensed product by certain dates, subject to our extension rights.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Third-Party Agreements</w:t>
      </w:r>
    </w:p>
    <w:p>
      <w:pPr>
        <w:spacing w:after="0" w:line="93"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We have entered into license agreements with third parties related to the development and commercialization of our product candidates, including ALX148, and SIRPa antibodies which we are exploring in our research program. In consideration of the foregoing, we have agreed to customary payments terms in these agreements, including certain milestone payments upon the achievement of clinical and commercial milestones and low single-digit royalties. See the section titled “Management’s Discussion and Analysis of Financial Condition and Results of Operations— Contractual Obligations and Commitments—License and Collaboration Agreements.”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w:t>
      </w:r>
    </w:p>
    <w:p>
      <w:pPr>
        <w:spacing w:after="0" w:line="8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Supply</w:t>
      </w:r>
    </w:p>
    <w:p>
      <w:pPr>
        <w:spacing w:after="0" w:line="80"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We do not own or operate and do not intend to establish our own manufacturing facilities. We rely on, and will continue to rely on, CMOs for both drug substance and drug product. Both ALX148 bulk drug substance and finished drug product are produced in accordance with cGMPs.</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Our existing supply of ALX148 drug product is sufficient to complete our clinical trials through the first half of 2021. We plan to manufacture additional supplies with our existing CMOs to produce ALX148 drug product sufficient to complete the ongoing and planned clinical trials described in this document. We first entered into an engagement with KBI Biopharma, Inc. in 2015 for analytical method development, formulation development, bulk</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drug manufacturing, release and stability testing. We first entered into a drug product manufacturing agreement with Lyophilization Services of New England, Inc. in 2016 and have subsequently used them for all ALX148 drug product used in clinical trials to date.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9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immune-oncology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5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Arch Therapeutics, Bristol Myers Squibb, Gilead Sciences (through its recent acquisition of Forty Seven), I-Mab, Novimmune, OSE Immunotherapeutics, Seattle Genetics, Surface Oncology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80"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In the United States, the FDA, regulates biologic products under the Food, Drug, and Cosmetic Act, or FDCA, and Public Health Service Act, or PHSA. Biologic products and substances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contracts, restitution, disgorgement and civil or criminal penalties. Any agency or judicial enforcement action could have a material adverse effect on us.</w:t>
      </w:r>
    </w:p>
    <w:p>
      <w:pPr>
        <w:spacing w:after="0" w:line="14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 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 Biologics Regulation</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future product candidates must be approved by the FDA through the BLA process before they may be legally marketed in the United States.</w:t>
      </w:r>
    </w:p>
    <w:p>
      <w:pPr>
        <w:ind w:left="120"/>
        <w:spacing w:after="0"/>
        <w:rPr>
          <w:sz w:val="20"/>
          <w:szCs w:val="20"/>
          <w:color w:val="auto"/>
        </w:rPr>
      </w:pPr>
      <w:r>
        <w:rPr>
          <w:rFonts w:ascii="Arial" w:cs="Arial" w:eastAsia="Arial" w:hAnsi="Arial"/>
          <w:sz w:val="17"/>
          <w:szCs w:val="17"/>
          <w:color w:val="auto"/>
        </w:rPr>
        <w:t>The process generally involves the following:</w:t>
      </w:r>
    </w:p>
    <w:p>
      <w:pPr>
        <w:spacing w:after="0" w:line="196" w:lineRule="exact"/>
        <w:rPr>
          <w:sz w:val="20"/>
          <w:szCs w:val="20"/>
          <w:color w:val="auto"/>
        </w:rPr>
      </w:pPr>
    </w:p>
    <w:p>
      <w:pPr>
        <w:ind w:left="980" w:right="720" w:hanging="432"/>
        <w:spacing w:after="0" w:line="243"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Completion of extensive preclinical laboratory tests and animal studies performed in accordance with the FDA’s current Good Laboratory Practices, or GLP, regulation.</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Submission to the FDA of an investigational new drug, or IND, application, which must become effective before clinical trials may begin and must be updated annually or when significant changes are made.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Approval by an independent institutional review board, or IRB, or ethics committee at each clinical site before the trial is commenced.</w:t>
      </w:r>
    </w:p>
    <w:p>
      <w:pPr>
        <w:spacing w:after="0" w:line="34" w:lineRule="exact"/>
        <w:rPr>
          <w:rFonts w:ascii="MS PGothic" w:cs="MS PGothic" w:eastAsia="MS PGothic" w:hAnsi="MS PGothic"/>
          <w:sz w:val="13"/>
          <w:szCs w:val="13"/>
          <w:color w:val="auto"/>
        </w:rPr>
      </w:pPr>
    </w:p>
    <w:p>
      <w:pPr>
        <w:ind w:left="980" w:right="400" w:hanging="432"/>
        <w:spacing w:after="0" w:line="238"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Performance of adequate and well-controlled human clinical trials in accordance with the applicable IND regulations, good clinical practice, or GCP, requirements to establish the safety, purity and potency (</w:t>
      </w:r>
      <w:r>
        <w:rPr>
          <w:rFonts w:ascii="Arial" w:cs="Arial" w:eastAsia="Arial" w:hAnsi="Arial"/>
          <w:sz w:val="17"/>
          <w:szCs w:val="17"/>
          <w:i w:val="1"/>
          <w:iCs w:val="1"/>
          <w:color w:val="auto"/>
        </w:rPr>
        <w:t>i.e.</w:t>
      </w:r>
      <w:r>
        <w:rPr>
          <w:rFonts w:ascii="Arial" w:cs="Arial" w:eastAsia="Arial" w:hAnsi="Arial"/>
          <w:sz w:val="17"/>
          <w:szCs w:val="17"/>
          <w:color w:val="auto"/>
        </w:rPr>
        <w:t>, safety and effectiveness) of the proposed biologic product candidate for its intended purpose.</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Preparation of and submission to the FDA of a BLA after completion of all pivotal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A determination by the FDA within 60 days of its receipt of a BLA to file the application for review.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Satisfactory completion of any FDA audit of preclinical studies and/or clinical trial sites that generated the data in support of the BLA.</w:t>
      </w:r>
    </w:p>
    <w:p>
      <w:pPr>
        <w:spacing w:after="0" w:line="34" w:lineRule="exact"/>
        <w:rPr>
          <w:rFonts w:ascii="MS PGothic" w:cs="MS PGothic" w:eastAsia="MS PGothic" w:hAnsi="MS PGothic"/>
          <w:sz w:val="13"/>
          <w:szCs w:val="13"/>
          <w:color w:val="auto"/>
        </w:rPr>
      </w:pPr>
    </w:p>
    <w:p>
      <w:pPr>
        <w:jc w:val="both"/>
        <w:ind w:left="980" w:right="200" w:hanging="432"/>
        <w:spacing w:after="0" w:line="236"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FDA pre-approval inspection of the manufacturing facility or facilities at which the proposed product is produced to assess compliance with current good manufacturing practices, or cGMPs, and to assure that the facilities, methods and controls are adequate to preserve the biological product’s continued safety, purity and potency, and of selected clinical investigation sites to assess compliance with GCPs.</w:t>
      </w:r>
    </w:p>
    <w:p>
      <w:pPr>
        <w:spacing w:after="0" w:line="27" w:lineRule="exact"/>
        <w:rPr>
          <w:rFonts w:ascii="MS PGothic" w:cs="MS PGothic" w:eastAsia="MS PGothic" w:hAnsi="MS PGothic"/>
          <w:sz w:val="13"/>
          <w:szCs w:val="13"/>
          <w:color w:val="auto"/>
        </w:rPr>
      </w:pPr>
    </w:p>
    <w:p>
      <w:pPr>
        <w:ind w:left="980" w:hanging="432"/>
        <w:spacing w:after="0"/>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FDA Advisory Committee review, if applicable.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FDA review and approval of a BLA to permit commercial marketing of the product for particular indications for use in the United States.</w:t>
      </w:r>
    </w:p>
    <w:p>
      <w:pPr>
        <w:spacing w:after="0" w:line="34" w:lineRule="exact"/>
        <w:rPr>
          <w:rFonts w:ascii="MS PGothic" w:cs="MS PGothic" w:eastAsia="MS PGothic" w:hAnsi="MS PGothic"/>
          <w:sz w:val="13"/>
          <w:szCs w:val="13"/>
          <w:color w:val="auto"/>
        </w:rPr>
      </w:pPr>
    </w:p>
    <w:p>
      <w:pPr>
        <w:ind w:left="980" w:right="640" w:hanging="432"/>
        <w:spacing w:after="0" w:line="243"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Compliance with any post-approval requirements, including the potential requirement to implement an REMS and the potential requirement to conduct post-approval studies.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Preclinical and Clinical Development</w:t>
      </w:r>
    </w:p>
    <w:p>
      <w:pPr>
        <w:spacing w:after="0" w:line="4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The data required to support a BLA are generated in two distinct developmental stages: preclinical and clinical. The preclinical and clinical testing and approval process require substantial time, effort and financial resources, and we cannot be certain that any approvals for any future product candidates will be granted on a timely basis, or at all.</w:t>
      </w:r>
    </w:p>
    <w:p>
      <w:pPr>
        <w:spacing w:after="0" w:line="147"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The preclinical developmental stage generally involves laboratory evaluations of product chemistry, formulation and stability, as well as studies to evaluate toxicity in animals, including pharmacology, PK, toxicokinetic and metabolism studies, that support subsequent clinical testing in humans. The sponsor must submit the results of the preclinical studies, together with manufacturing information, analytical data, any available clinical data or literature and a proposed clinical protocol, to the FDA as part of the IND.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51"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Prior to beginning the first clinical trial with a product candidate, we must submit an IND to the FDA. An IND is a request for authorization from the FDA to administer an investigational new biopharmaceutical product to humans.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central focus of an IND submission is on the general investigational plan and the protocol(s) for clinical trials. An IND must become effective before human clinical trials may begin. The IND automatically becomes effective 30 days after receipt by the FDA, unless before that time the FDA raises any concerns or questions about the proposed clinical trial(s) and places the trial(s) on clinical hold.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w:t>
      </w:r>
    </w:p>
    <w:p>
      <w:pPr>
        <w:spacing w:after="0" w:line="152"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BLA.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purposes of BLA approval, human clinical trials are typically conducted in three sequential phases that may overlap.</w:t>
      </w:r>
    </w:p>
    <w:p>
      <w:pPr>
        <w:spacing w:after="0" w:line="196" w:lineRule="exact"/>
        <w:rPr>
          <w:sz w:val="20"/>
          <w:szCs w:val="20"/>
          <w:color w:val="auto"/>
        </w:rPr>
      </w:pPr>
    </w:p>
    <w:p>
      <w:pPr>
        <w:ind w:left="980" w:right="80" w:hanging="432"/>
        <w:spacing w:after="0" w:line="236" w:lineRule="auto"/>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Phase 1. For biologics being studied in oncology indications, the investigational product is initially introduced into patients with the target disease or condition. These trials are designed to test the safety, dosage tolerance, absorption, metabolism and distribution of the investigational product in humans, to identify possible side effects associated with increasing doses, and, if possible, to gain early evidence on effectiveness.</w:t>
      </w:r>
    </w:p>
    <w:p>
      <w:pPr>
        <w:spacing w:after="0" w:line="27" w:lineRule="exact"/>
        <w:rPr>
          <w:rFonts w:ascii="MS PGothic" w:cs="MS PGothic" w:eastAsia="MS PGothic" w:hAnsi="MS PGothic"/>
          <w:sz w:val="13"/>
          <w:szCs w:val="13"/>
          <w:color w:val="auto"/>
        </w:rPr>
      </w:pPr>
    </w:p>
    <w:p>
      <w:pPr>
        <w:ind w:left="980" w:right="140" w:hanging="432"/>
        <w:spacing w:after="0" w:line="236" w:lineRule="auto"/>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and additional information on PK and PD. Multiple Phase 2 clinical trials may be conducted to obtain information prior to beginning larger and more expensive Phase 3 clinical trials.</w:t>
      </w:r>
    </w:p>
    <w:p>
      <w:pPr>
        <w:spacing w:after="0" w:line="27" w:lineRule="exact"/>
        <w:rPr>
          <w:rFonts w:ascii="MS PGothic" w:cs="MS PGothic" w:eastAsia="MS PGothic" w:hAnsi="MS PGothic"/>
          <w:sz w:val="13"/>
          <w:szCs w:val="13"/>
          <w:color w:val="auto"/>
        </w:rPr>
      </w:pPr>
    </w:p>
    <w:p>
      <w:pPr>
        <w:ind w:left="980" w:right="120" w:hanging="432"/>
        <w:spacing w:after="0" w:line="235" w:lineRule="auto"/>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Phase 3. The investigational product is administered to an expanded patient population to further evaluate dosage, to provide statistically significant evidence of clinical efficacy and to further test for safety, purity and potency for an intended use, and generally at multiple geographically dispersed clinical trial sites. These clinical trials are intended to establish the overall risk/benefit ratio of the investigational product and to provide an adequate basis for product approval. These trials may include comparisons with placebo and/or other comparator treatments.</w:t>
      </w:r>
    </w:p>
    <w:p>
      <w:pPr>
        <w:spacing w:after="0" w:line="150" w:lineRule="exact"/>
        <w:rPr>
          <w:sz w:val="20"/>
          <w:szCs w:val="20"/>
          <w:color w:val="auto"/>
        </w:rPr>
      </w:pPr>
    </w:p>
    <w:p>
      <w:pPr>
        <w:jc w:val="both"/>
        <w:ind w:left="120" w:right="380"/>
        <w:spacing w:after="0" w:line="238"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so-called Phase 4 trials may be made a condition to approval of the BLA. Concurrent with clinical trials, companies may complete additional animal studies and develop</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BLA Submission and Review</w:t>
      </w:r>
    </w:p>
    <w:p>
      <w:pPr>
        <w:spacing w:after="0" w:line="4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spacing w:after="0" w:line="14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5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After the FDA evaluates a BLA and conducts inspections of manufacturing facilities where the investigational product and/or its biopharmaceutical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48"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4 post-market trials and surveillance to further assess and monitor the product’s safety and effectiveness after commercialization and may limit further marketing of the product based on the results of these post-marketing studies.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Expedited Development and Review Programs</w:t>
      </w:r>
    </w:p>
    <w:p>
      <w:pPr>
        <w:spacing w:after="0" w:line="4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patients with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 product intended to treat patients with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Additionally, products studied for their safety and effectiveness in treating patients with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49"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patients with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49"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41"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among other things, requirements relating to facility registration, biopharmaceutical product listing,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 Further, if there are any modifications to the drug or biologic, including changes in indications, labeling or manufacturing processes or facilities, the applicant may be required to submit and obtain FDA approval of a new BLA or a supplement submission, which may require the development of additional preclinical studies, clinical trials, data and/or assays, such as comparability protocols.</w:t>
      </w:r>
    </w:p>
    <w:p>
      <w:pPr>
        <w:spacing w:after="0" w:line="15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90" w:lineRule="exact"/>
        <w:rPr>
          <w:sz w:val="20"/>
          <w:szCs w:val="20"/>
          <w:color w:val="auto"/>
        </w:rPr>
      </w:pPr>
    </w:p>
    <w:p>
      <w:pPr>
        <w:ind w:left="980" w:hanging="432"/>
        <w:spacing w:after="0"/>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a product, complete withdrawal of the product from the market or product recalls.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Fines, warning letters or holds on post-approval clinical trials.</w:t>
      </w:r>
    </w:p>
    <w:p>
      <w:pPr>
        <w:spacing w:after="0" w:line="34"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Refusal of the FDA to approve pending applications or supplements to approved applications, or suspension or revocation of existing product approvals.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Product seizure or detention, or refusal of the FDA to permit the import or export of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Consent decrees, corporate integrity agreements, debarment or exclusion from federal healthcare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Mandated modification of promotional materials and labeling and the issuance of corrective information.</w:t>
      </w:r>
    </w:p>
    <w:p>
      <w:pPr>
        <w:spacing w:after="0" w:line="34"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The issuance of safety alerts, Dear Healthcare Provider letters, press releases and other communications containing warnings or other safety information about the product.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Injunctions or the imposition of civil or criminal penalties.</w:t>
      </w:r>
    </w:p>
    <w:p>
      <w:pPr>
        <w:spacing w:after="0" w:line="156"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Biosimilars and Reference Product Exclusivity</w:t>
      </w:r>
    </w:p>
    <w:p>
      <w:pPr>
        <w:spacing w:after="0" w:line="41"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 approved reference biological product.</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48"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Additionally, prescribing physicians are free to specify “Do Not Substitute” in prescriptions, which would prohibit pharmacists from substituting a branded biologic product for a biosimilar product.</w:t>
      </w:r>
    </w:p>
    <w:p>
      <w:pPr>
        <w:spacing w:after="0" w:line="148"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are subject to uncertainty.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9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Biopharmaceutical companies are subject to additional healthcare regulation and enforcement by the federal government and by authorities in the states and foreign jurisdictions in which they conduct their business. Research, manufacturing, sales, promotion and other activities following product approval are subject to regulation by numerous regulatory authorities in the United States in addition to the FDA, including CMS, other divisions of the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190" w:lineRule="exact"/>
        <w:rPr>
          <w:sz w:val="20"/>
          <w:szCs w:val="20"/>
          <w:color w:val="auto"/>
        </w:rPr>
      </w:pPr>
    </w:p>
    <w:p>
      <w:pPr>
        <w:ind w:left="980" w:right="80" w:hanging="432"/>
        <w:spacing w:after="0" w:line="234"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Care Act, as amended by the Health Care and Education Reconciliation Act of 2010, or collectively, the ACA, provides that the government may assert that a claim including items or services resulting from a violation of the federal Anti-Kickback Statute constitutes a false or fraudulent claim for purposes of the civil False Claims Act. In addition, the intent standard under the federal Anti-Kickback Statute was amended by the ACA to eliminate the need to prove specific intent and actual knowledge to establish an Anti-Kickback Statute violation.</w:t>
      </w:r>
    </w:p>
    <w:p>
      <w:pPr>
        <w:spacing w:after="0" w:line="27" w:lineRule="exact"/>
        <w:rPr>
          <w:rFonts w:ascii="MS PGothic" w:cs="MS PGothic" w:eastAsia="MS PGothic" w:hAnsi="MS PGothic"/>
          <w:sz w:val="13"/>
          <w:szCs w:val="13"/>
          <w:color w:val="auto"/>
        </w:rPr>
      </w:pPr>
    </w:p>
    <w:p>
      <w:pPr>
        <w:ind w:left="980" w:hanging="432"/>
        <w:spacing w:after="0" w:line="236"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The federal civil and criminal false claims, including the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27" w:lineRule="exact"/>
        <w:rPr>
          <w:rFonts w:ascii="MS PGothic" w:cs="MS PGothic" w:eastAsia="MS PGothic" w:hAnsi="MS PGothic"/>
          <w:sz w:val="13"/>
          <w:szCs w:val="13"/>
          <w:color w:val="auto"/>
        </w:rPr>
      </w:pPr>
    </w:p>
    <w:p>
      <w:pPr>
        <w:ind w:left="980" w:right="140" w:hanging="432"/>
        <w:spacing w:after="0" w:line="235"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The civil monetary penalties laws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8" w:lineRule="exact"/>
        <w:rPr>
          <w:rFonts w:ascii="MS PGothic" w:cs="MS PGothic" w:eastAsia="MS PGothic" w:hAnsi="MS PGothic"/>
          <w:sz w:val="13"/>
          <w:szCs w:val="13"/>
          <w:color w:val="auto"/>
        </w:rPr>
      </w:pPr>
    </w:p>
    <w:p>
      <w:pPr>
        <w:ind w:left="980" w:right="60" w:hanging="432"/>
        <w:spacing w:after="0" w:line="234"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The Federal Health Insurance Portability and Accountability Act of 1996, or 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on certain covered healthcare providers, health plans, and healthcare clearinghouses as well as their respective business associates that perform services for them that involve the use, or disclosure of, individually identifiable health information, with respect to safeguarding the privacy, security and transmission of individually identifiable health information.</w:t>
      </w:r>
    </w:p>
    <w:p>
      <w:pPr>
        <w:spacing w:after="0" w:line="29"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Federal consumer protection and unfair competition laws, which broadly regulate marketplace activities and activities that potentially harm consumers.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The FDCA, which prohibits, among other things, the adulteration or misbranding of drugs, biologics and medical devices.</w:t>
      </w:r>
    </w:p>
    <w:p>
      <w:pPr>
        <w:spacing w:after="0" w:line="34" w:lineRule="exact"/>
        <w:rPr>
          <w:rFonts w:ascii="MS PGothic" w:cs="MS PGothic" w:eastAsia="MS PGothic" w:hAnsi="MS PGothic"/>
          <w:sz w:val="13"/>
          <w:szCs w:val="13"/>
          <w:color w:val="auto"/>
        </w:rPr>
      </w:pPr>
    </w:p>
    <w:p>
      <w:pPr>
        <w:ind w:left="980" w:right="80" w:hanging="432"/>
        <w:spacing w:after="0" w:line="234"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for physicians under the Physician Payments Sunshine Act to physician assistants, nurse practitioners and other mid-level practitioners, with reporting requirements going into effect in 2022 for payments made in 2021.</w:t>
      </w:r>
    </w:p>
    <w:p>
      <w:pPr>
        <w:spacing w:after="0" w:line="26"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right="60"/>
        <w:spacing w:after="0" w:line="235" w:lineRule="auto"/>
        <w:rPr>
          <w:sz w:val="20"/>
          <w:szCs w:val="20"/>
          <w:color w:val="auto"/>
        </w:rPr>
      </w:pPr>
      <w:r>
        <w:rPr>
          <w:rFonts w:ascii="Arial" w:cs="Arial" w:eastAsia="Arial" w:hAnsi="Arial"/>
          <w:sz w:val="17"/>
          <w:szCs w:val="17"/>
          <w:color w:val="auto"/>
        </w:rPr>
        <w:t>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For example,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26" w:lineRule="exact"/>
        <w:rPr>
          <w:sz w:val="20"/>
          <w:szCs w:val="20"/>
          <w:color w:val="auto"/>
        </w:rPr>
      </w:pPr>
    </w:p>
    <w:p>
      <w:pPr>
        <w:ind w:left="980" w:hanging="432"/>
        <w:spacing w:after="0" w:line="235" w:lineRule="auto"/>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26" w:lineRule="exact"/>
        <w:rPr>
          <w:rFonts w:ascii="MS PGothic" w:cs="MS PGothic" w:eastAsia="MS PGothic" w:hAnsi="MS PGothic"/>
          <w:sz w:val="13"/>
          <w:szCs w:val="13"/>
          <w:color w:val="auto"/>
        </w:rPr>
      </w:pPr>
    </w:p>
    <w:p>
      <w:pPr>
        <w:ind w:left="980" w:hanging="432"/>
        <w:spacing w:after="0" w:line="233" w:lineRule="auto"/>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biotechnology or pharmaceutical companies to comply with the biotechnology or pharmaceutical industry’s voluntary compliance guidelines and the relevant compliance guidance promulgated by the federal government and may require drug manufacturers to report certain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 and state laws related to insurance fraud in the case of claims involving private insurers.</w:t>
      </w:r>
    </w:p>
    <w:p>
      <w:pPr>
        <w:spacing w:after="0" w:line="154"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or safe harbors, it is possible that some of our activities, such as stock-option compensation paid to physicians, could be subject to challenge under one or more of such laws. The growth of our business and sales organization and our expansion outside of the United States may increase the potential of violating these laws or our internal policies and procedures.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Coverage and Reimbursement</w:t>
      </w:r>
    </w:p>
    <w:p>
      <w:pPr>
        <w:spacing w:after="0" w:line="93"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the availability of coverage and adequate reimbursement from third-party payors. Third-party payors include government programs such as Medicare or Medicaid, managed care plans, private health insurers and other organizations. These third-party payors may deny coverage or reimbursement for a product or therapy in whole or in part if they determine that the product or therapy was not medically appropriate or necessary. Third-party payors may attempt to control costs by limiting coverage to</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specific drug products on an approved list, or formulary, which might not include all of the FDA-approved drug products for a particular indication, and by limiting the amount of reimbursement 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spacing w:after="0" w:line="148"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 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Some third-party payors also require pre-approval of coverage for new or innovative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 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payors, that coverage or an adequate level of reimbursement will be available or that third-party payors’ reimbursement policies will not adversely affect our ability to sell our products profitably.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Healthcare Laws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 Healthcare Reform</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 annual fees based on pharmaceutical companies’ share of sales to federal health care programs. There remain judicial and Congressional challenges to certain aspects of the ACA, as well as efforts by the Trump administration to repeal or replace certain aspects of the ACA. Since January 2017, President Trump has signed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In January 2013,</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080"/>
          </w:cols>
          <w:pgMar w:left="320" w:top="459"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President Obama signed into law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On December 22, 2017, President Trump signed into law new federal tax legislation commonly referred to as the Tax Cuts and Jobs Act, or Tax Act, which includes a provision repealing,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eliminates, effective January 1, 2020, the ACA mandated “Cadillac” tax on high-cost employer-sponsored health coverage and medical device tax and, effective January 1, 2021, also eliminates the health insurer tax. The Bipartisan Budget Act of 2018, or BBA, among other things, amended the ACA, effective January 1, 2019, to close the coverage gap in most Medicare Part D drug plans. In December 2018, CMS published a new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However, on April 27, 2020, the U.S. Supreme Court reversed a Federal Circuit decision that previously upheld Congress’ denial of $12 billion in “risk corridor” funding. On December 14, 2018, a Texas U.S. District Court Judge ruled that the ACA is unconstitutional in its entirety because the “individual mandate” was repealed by Congress as part of the Tax Act. Additionally, on December 18, 2019, the U.S Court of Appeals for the Fifth Circuit upheld the District Court ruling that the individual mandate was unconstitutional and remanded the case back to the District Court to determine whether the remaining provisions of the ACA are invalid as well. On March 2, 2020, the U.S. Supreme Court granted the petitions for writs of certiorari to review this case and will hear oral arguments, which are expected to occur later this year. It is unclear how such litigation and other efforts to repeal and replace the ACA will impact the ACA.</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2030 unless additional congressional action is taken. The CARES Act, which was signed into law on March 27, 2020, designed to provide financial support and resources to individuals and businesses affected by COVID-19 pandemic, suspended the 2% Medicare sequester from May 1, 2020, through December 31, 2020, and extended the sequester by one year, through 2030, in order to offset the added expense of the 2020 cancellation. Additionally, it is possible that additional governmental action is taken to address the COVID-19 pandemic, resulting in a material adverse effect on our business. For example, on April 18, 2020, CMS announced that qualified health plan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4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proposals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has solicited feedback on certain of these measures and has implemented others under its existing authority. For example, in May 2019, the U.S. Centers for Medicare &amp; Medicaid Services issued a final rule to allow Medicare Advantage plans the option to use step therapy for Part B drugs beginning January 1, 2020, codifying a policy change that was effective January 1, 2019. While some of these and other measures may</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and other new laws and regulations may result in additional reductions in Medicare and other healthcare funding, which could have a material adverse effect on customers for our biopharmaceutical products, if approved, and accordingly, our financial operations.</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Additionally, the Right to Try Act, which was enacted on May 30, 2018, provides a federal framework for certain patients with life-threatening diseases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93"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As of May 31, 2020, we had 24 full-time employees, 11 of whom hold Ph.D. or M.D. degrees and 16 of whom were engaged in research and development activities. None of our employees are represented by a labor union and we believe we maintain good relations with our employees.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80"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We currently lease 11,424 square feet of laboratory and office space in Burlingame, California, under a lease that expires in 2023. We intend to assign our lease to Tallac Therapeutics and receive a sublease for such premises from Tallac Therapeutics, in each case subject to the agreement and consent of the landlord as appropriate. We believe that this space is sufficient to meet our needs for the foreseeable future and that any additional space we may require will be available on commercially reasonable terms.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80"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names, ages and positions of our executive officers and directors as of May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20" w:type="dxa"/>
            <w:vAlign w:val="bottom"/>
          </w:tcPr>
          <w:p>
            <w:pPr>
              <w:spacing w:after="0"/>
              <w:rPr>
                <w:sz w:val="20"/>
                <w:szCs w:val="20"/>
                <w:color w:val="auto"/>
              </w:rPr>
            </w:pPr>
            <w:r>
              <w:rPr>
                <w:rFonts w:ascii="Arial" w:cs="Arial" w:eastAsia="Arial" w:hAnsi="Arial"/>
                <w:sz w:val="14"/>
                <w:szCs w:val="14"/>
                <w:b w:val="1"/>
                <w:bCs w:val="1"/>
                <w:color w:val="auto"/>
                <w:w w:val="96"/>
              </w:rPr>
              <w:t>NAME</w:t>
            </w:r>
          </w:p>
        </w:tc>
        <w:tc>
          <w:tcPr>
            <w:tcW w:w="404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AGE</w:t>
            </w:r>
          </w:p>
        </w:tc>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r>
      <w:tr>
        <w:trPr>
          <w:trHeight w:val="163"/>
        </w:trPr>
        <w:tc>
          <w:tcPr>
            <w:tcW w:w="4460" w:type="dxa"/>
            <w:vAlign w:val="bottom"/>
            <w:gridSpan w:val="2"/>
            <w:shd w:val="clear" w:color="auto" w:fill="CCEEFF"/>
          </w:tcPr>
          <w:p>
            <w:pPr>
              <w:spacing w:after="0" w:line="163" w:lineRule="exact"/>
              <w:rPr>
                <w:sz w:val="20"/>
                <w:szCs w:val="20"/>
                <w:color w:val="auto"/>
              </w:rPr>
            </w:pPr>
            <w:r>
              <w:rPr>
                <w:rFonts w:ascii="Arial" w:cs="Arial" w:eastAsia="Arial" w:hAnsi="Arial"/>
                <w:sz w:val="17"/>
                <w:szCs w:val="17"/>
                <w:b w:val="1"/>
                <w:bCs w:val="1"/>
                <w:i w:val="1"/>
                <w:iCs w:val="1"/>
                <w:color w:val="auto"/>
              </w:rPr>
              <w:t>Executive Officers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4"/>
                <w:szCs w:val="14"/>
                <w:b w:val="1"/>
                <w:bCs w:val="1"/>
                <w:color w:val="auto"/>
              </w:rPr>
              <w:t>(1)</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400" w:type="dxa"/>
            <w:vAlign w:val="bottom"/>
            <w:shd w:val="clear" w:color="auto" w:fill="CCEEFF"/>
          </w:tcPr>
          <w:p>
            <w:pPr>
              <w:spacing w:after="0"/>
              <w:rPr>
                <w:sz w:val="14"/>
                <w:szCs w:val="14"/>
                <w:color w:val="auto"/>
              </w:rPr>
            </w:pP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Jaume Pons, Ph.D.</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54</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President, Chief Executive Officer and Director</w:t>
            </w:r>
          </w:p>
        </w:tc>
      </w:tr>
      <w:tr>
        <w:trPr>
          <w:trHeight w:val="189"/>
        </w:trPr>
        <w:tc>
          <w:tcPr>
            <w:tcW w:w="420" w:type="dxa"/>
            <w:vAlign w:val="bottom"/>
            <w:shd w:val="clear" w:color="auto" w:fill="CCEEFF"/>
          </w:tcPr>
          <w:p>
            <w:pPr>
              <w:spacing w:after="0"/>
              <w:rPr>
                <w:sz w:val="16"/>
                <w:szCs w:val="16"/>
                <w:color w:val="auto"/>
              </w:rPr>
            </w:pPr>
          </w:p>
        </w:tc>
        <w:tc>
          <w:tcPr>
            <w:tcW w:w="40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Nathan Caffo</w:t>
            </w:r>
          </w:p>
        </w:tc>
        <w:tc>
          <w:tcPr>
            <w:tcW w:w="4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51</w:t>
            </w: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Chief Business Officer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Peter García</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59</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Chief Financial Officer</w:t>
            </w:r>
          </w:p>
        </w:tc>
      </w:tr>
      <w:tr>
        <w:trPr>
          <w:trHeight w:val="189"/>
        </w:trPr>
        <w:tc>
          <w:tcPr>
            <w:tcW w:w="420" w:type="dxa"/>
            <w:vAlign w:val="bottom"/>
            <w:shd w:val="clear" w:color="auto" w:fill="CCEEFF"/>
          </w:tcPr>
          <w:p>
            <w:pPr>
              <w:spacing w:after="0"/>
              <w:rPr>
                <w:sz w:val="16"/>
                <w:szCs w:val="16"/>
                <w:color w:val="auto"/>
              </w:rPr>
            </w:pPr>
          </w:p>
        </w:tc>
        <w:tc>
          <w:tcPr>
            <w:tcW w:w="40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Steffen Pietzke</w:t>
            </w:r>
          </w:p>
        </w:tc>
        <w:tc>
          <w:tcPr>
            <w:tcW w:w="4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48</w:t>
            </w: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Vice President, Finance and Chief Accounting Officer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Sophia Randolph, M.D., Ph.D.</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52</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Chief Medical Officer</w:t>
            </w:r>
          </w:p>
        </w:tc>
      </w:tr>
      <w:tr>
        <w:trPr>
          <w:trHeight w:val="189"/>
        </w:trPr>
        <w:tc>
          <w:tcPr>
            <w:tcW w:w="44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b w:val="1"/>
                <w:bCs w:val="1"/>
                <w:i w:val="1"/>
                <w:iCs w:val="1"/>
                <w:color w:val="auto"/>
              </w:rPr>
              <w:t>Non-Employee Directors</w:t>
            </w:r>
            <w:r>
              <w:rPr>
                <w:rFonts w:ascii="Arial" w:cs="Arial" w:eastAsia="Arial" w:hAnsi="Arial"/>
                <w:sz w:val="17"/>
                <w:szCs w:val="17"/>
                <w:b w:val="1"/>
                <w:bCs w:val="1"/>
                <w:color w:val="auto"/>
              </w:rPr>
              <w:t>:</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400" w:type="dxa"/>
            <w:vAlign w:val="bottom"/>
            <w:shd w:val="clear" w:color="auto" w:fill="CCEEFF"/>
          </w:tcPr>
          <w:p>
            <w:pPr>
              <w:spacing w:after="0"/>
              <w:rPr>
                <w:sz w:val="16"/>
                <w:szCs w:val="16"/>
                <w:color w:val="auto"/>
              </w:rPr>
            </w:pP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Corey Goodman, Ph.D. </w:t>
            </w:r>
            <w:r>
              <w:rPr>
                <w:rFonts w:ascii="Arial" w:cs="Arial" w:eastAsia="Arial" w:hAnsi="Arial"/>
                <w:sz w:val="14"/>
                <w:szCs w:val="14"/>
                <w:color w:val="auto"/>
              </w:rPr>
              <w:t>(3) (4)</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68</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Executive Chairman of the Board</w:t>
            </w:r>
          </w:p>
        </w:tc>
      </w:tr>
      <w:tr>
        <w:trPr>
          <w:trHeight w:val="189"/>
        </w:trPr>
        <w:tc>
          <w:tcPr>
            <w:tcW w:w="420" w:type="dxa"/>
            <w:vAlign w:val="bottom"/>
            <w:shd w:val="clear" w:color="auto" w:fill="CCEEFF"/>
          </w:tcPr>
          <w:p>
            <w:pPr>
              <w:spacing w:after="0"/>
              <w:rPr>
                <w:sz w:val="16"/>
                <w:szCs w:val="16"/>
                <w:color w:val="auto"/>
              </w:rPr>
            </w:pPr>
          </w:p>
        </w:tc>
        <w:tc>
          <w:tcPr>
            <w:tcW w:w="40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 xml:space="preserve">Rekha Hemrajani </w:t>
            </w:r>
            <w:r>
              <w:rPr>
                <w:rFonts w:ascii="Arial" w:cs="Arial" w:eastAsia="Arial" w:hAnsi="Arial"/>
                <w:sz w:val="14"/>
                <w:szCs w:val="14"/>
                <w:color w:val="auto"/>
              </w:rPr>
              <w:t>(2) (4)</w:t>
            </w:r>
          </w:p>
        </w:tc>
        <w:tc>
          <w:tcPr>
            <w:tcW w:w="4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51</w:t>
            </w: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Jason Lettmann </w:t>
            </w:r>
            <w:r>
              <w:rPr>
                <w:rFonts w:ascii="Arial" w:cs="Arial" w:eastAsia="Arial" w:hAnsi="Arial"/>
                <w:sz w:val="14"/>
                <w:szCs w:val="14"/>
                <w:color w:val="auto"/>
              </w:rPr>
              <w:t>(3) (4)</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42</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20" w:type="dxa"/>
            <w:vAlign w:val="bottom"/>
            <w:shd w:val="clear" w:color="auto" w:fill="CCEEFF"/>
          </w:tcPr>
          <w:p>
            <w:pPr>
              <w:spacing w:after="0"/>
              <w:rPr>
                <w:sz w:val="16"/>
                <w:szCs w:val="16"/>
                <w:color w:val="auto"/>
              </w:rPr>
            </w:pPr>
          </w:p>
        </w:tc>
        <w:tc>
          <w:tcPr>
            <w:tcW w:w="40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 xml:space="preserve">Jack Nielsen </w:t>
            </w:r>
            <w:r>
              <w:rPr>
                <w:rFonts w:ascii="Arial" w:cs="Arial" w:eastAsia="Arial" w:hAnsi="Arial"/>
                <w:sz w:val="14"/>
                <w:szCs w:val="14"/>
                <w:color w:val="auto"/>
              </w:rPr>
              <w:t>(2) (3)</w:t>
            </w:r>
          </w:p>
        </w:tc>
        <w:tc>
          <w:tcPr>
            <w:tcW w:w="4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56</w:t>
            </w: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Director</w:t>
            </w:r>
          </w:p>
        </w:tc>
      </w:tr>
      <w:tr>
        <w:trPr>
          <w:trHeight w:val="205"/>
        </w:trPr>
        <w:tc>
          <w:tcPr>
            <w:tcW w:w="420" w:type="dxa"/>
            <w:vAlign w:val="bottom"/>
          </w:tcPr>
          <w:p>
            <w:pPr>
              <w:spacing w:after="0"/>
              <w:rPr>
                <w:sz w:val="17"/>
                <w:szCs w:val="17"/>
                <w:color w:val="auto"/>
              </w:rPr>
            </w:pPr>
          </w:p>
        </w:tc>
        <w:tc>
          <w:tcPr>
            <w:tcW w:w="4040" w:type="dxa"/>
            <w:vAlign w:val="bottom"/>
          </w:tcPr>
          <w:p>
            <w:pPr>
              <w:ind w:left="80"/>
              <w:spacing w:after="0"/>
              <w:rPr>
                <w:sz w:val="20"/>
                <w:szCs w:val="20"/>
                <w:color w:val="auto"/>
              </w:rPr>
            </w:pPr>
            <w:r>
              <w:rPr>
                <w:rFonts w:ascii="Arial" w:cs="Arial" w:eastAsia="Arial" w:hAnsi="Arial"/>
                <w:sz w:val="17"/>
                <w:szCs w:val="17"/>
                <w:color w:val="auto"/>
              </w:rPr>
              <w:t xml:space="preserve">Graham Walmsley, M.D., Ph.D. </w:t>
            </w:r>
            <w:r>
              <w:rPr>
                <w:rFonts w:ascii="Arial" w:cs="Arial" w:eastAsia="Arial" w:hAnsi="Arial"/>
                <w:sz w:val="14"/>
                <w:szCs w:val="14"/>
                <w:color w:val="auto"/>
              </w:rPr>
              <w:t>(2) (4)</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33</w:t>
            </w:r>
          </w:p>
        </w:tc>
        <w:tc>
          <w:tcPr>
            <w:tcW w:w="6080" w:type="dxa"/>
            <w:vAlign w:val="bottom"/>
            <w:gridSpan w:val="2"/>
          </w:tcPr>
          <w:p>
            <w:pPr>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540" w:right="120" w:hanging="289"/>
        <w:spacing w:after="0" w:line="182" w:lineRule="auto"/>
        <w:tabs>
          <w:tab w:leader="none" w:pos="540" w:val="left"/>
        </w:tabs>
        <w:numPr>
          <w:ilvl w:val="0"/>
          <w:numId w:val="77"/>
        </w:numPr>
        <w:rPr>
          <w:rFonts w:ascii="Arial" w:cs="Arial" w:eastAsia="Arial" w:hAnsi="Arial"/>
          <w:sz w:val="23"/>
          <w:szCs w:val="23"/>
          <w:color w:val="auto"/>
          <w:vertAlign w:val="superscript"/>
        </w:rPr>
      </w:pPr>
      <w:r>
        <w:rPr>
          <w:rFonts w:ascii="Arial" w:cs="Arial" w:eastAsia="Arial" w:hAnsi="Arial"/>
          <w:sz w:val="14"/>
          <w:szCs w:val="14"/>
          <w:color w:val="auto"/>
        </w:rPr>
        <w:t>After giving effect to the resignation of Dr. Hong Wan, our former Chief Scientific Officer, effective June 30, 2020, as described in “Certain Relationships and Related-Party Transactions—Tallac Therapeutics Agreements.”</w:t>
      </w:r>
    </w:p>
    <w:p>
      <w:pPr>
        <w:spacing w:after="0" w:line="1" w:lineRule="exact"/>
        <w:rPr>
          <w:rFonts w:ascii="Arial" w:cs="Arial" w:eastAsia="Arial" w:hAnsi="Arial"/>
          <w:sz w:val="23"/>
          <w:szCs w:val="23"/>
          <w:color w:val="auto"/>
          <w:vertAlign w:val="superscript"/>
        </w:rPr>
      </w:pPr>
    </w:p>
    <w:p>
      <w:pPr>
        <w:ind w:left="540" w:hanging="289"/>
        <w:spacing w:after="0" w:line="187" w:lineRule="auto"/>
        <w:tabs>
          <w:tab w:leader="none" w:pos="540" w:val="left"/>
        </w:tabs>
        <w:numPr>
          <w:ilvl w:val="0"/>
          <w:numId w:val="77"/>
        </w:numPr>
        <w:rPr>
          <w:rFonts w:ascii="Arial" w:cs="Arial" w:eastAsia="Arial" w:hAnsi="Arial"/>
          <w:sz w:val="18"/>
          <w:szCs w:val="18"/>
          <w:color w:val="auto"/>
          <w:vertAlign w:val="superscript"/>
        </w:rPr>
      </w:pPr>
      <w:r>
        <w:rPr>
          <w:rFonts w:ascii="Arial" w:cs="Arial" w:eastAsia="Arial" w:hAnsi="Arial"/>
          <w:sz w:val="11"/>
          <w:szCs w:val="11"/>
          <w:color w:val="auto"/>
        </w:rPr>
        <w:t>Member of the audit committee</w:t>
      </w:r>
    </w:p>
    <w:p>
      <w:pPr>
        <w:ind w:left="540" w:hanging="289"/>
        <w:spacing w:after="0" w:line="187" w:lineRule="auto"/>
        <w:tabs>
          <w:tab w:leader="none" w:pos="540" w:val="left"/>
        </w:tabs>
        <w:numPr>
          <w:ilvl w:val="0"/>
          <w:numId w:val="77"/>
        </w:numPr>
        <w:rPr>
          <w:rFonts w:ascii="Arial" w:cs="Arial" w:eastAsia="Arial" w:hAnsi="Arial"/>
          <w:sz w:val="18"/>
          <w:szCs w:val="18"/>
          <w:color w:val="auto"/>
          <w:vertAlign w:val="superscript"/>
        </w:rPr>
      </w:pPr>
      <w:r>
        <w:rPr>
          <w:rFonts w:ascii="Arial" w:cs="Arial" w:eastAsia="Arial" w:hAnsi="Arial"/>
          <w:sz w:val="11"/>
          <w:szCs w:val="11"/>
          <w:color w:val="auto"/>
        </w:rPr>
        <w:t>Member of the compensation committee</w:t>
      </w:r>
    </w:p>
    <w:p>
      <w:pPr>
        <w:ind w:left="540" w:hanging="289"/>
        <w:spacing w:after="0" w:line="189" w:lineRule="auto"/>
        <w:tabs>
          <w:tab w:leader="none" w:pos="540" w:val="left"/>
        </w:tabs>
        <w:numPr>
          <w:ilvl w:val="0"/>
          <w:numId w:val="77"/>
        </w:numPr>
        <w:rPr>
          <w:rFonts w:ascii="Arial" w:cs="Arial" w:eastAsia="Arial" w:hAnsi="Arial"/>
          <w:sz w:val="19"/>
          <w:szCs w:val="19"/>
          <w:color w:val="auto"/>
          <w:vertAlign w:val="superscript"/>
        </w:rPr>
      </w:pPr>
      <w:r>
        <w:rPr>
          <w:rFonts w:ascii="Arial" w:cs="Arial" w:eastAsia="Arial" w:hAnsi="Arial"/>
          <w:sz w:val="12"/>
          <w:szCs w:val="12"/>
          <w:color w:val="auto"/>
        </w:rPr>
        <w:t>Member of the corporate governance and nominating committee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62" w:lineRule="exact"/>
        <w:rPr>
          <w:sz w:val="20"/>
          <w:szCs w:val="20"/>
          <w:color w:val="auto"/>
        </w:rPr>
      </w:pPr>
    </w:p>
    <w:p>
      <w:pPr>
        <w:ind w:left="120" w:right="140"/>
        <w:spacing w:after="0" w:line="237" w:lineRule="auto"/>
        <w:rPr>
          <w:sz w:val="20"/>
          <w:szCs w:val="20"/>
          <w:color w:val="auto"/>
        </w:rPr>
      </w:pPr>
      <w:r>
        <w:rPr>
          <w:rFonts w:ascii="Arial" w:cs="Arial" w:eastAsia="Arial" w:hAnsi="Arial"/>
          <w:sz w:val="17"/>
          <w:szCs w:val="17"/>
          <w:i w:val="1"/>
          <w:iCs w:val="1"/>
          <w:color w:val="auto"/>
        </w:rPr>
        <w:t xml:space="preserve">Jaume Pons, Ph.D. </w:t>
      </w:r>
      <w:r>
        <w:rPr>
          <w:rFonts w:ascii="Arial" w:cs="Arial" w:eastAsia="Arial" w:hAnsi="Arial"/>
          <w:sz w:val="17"/>
          <w:szCs w:val="17"/>
          <w:color w:val="auto"/>
        </w:rPr>
        <w:t>has served as our President, Chief Executive Officer and a member of our board of directors since April 2015. He has also</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 Scientific Advisor at Lightstone Ventures, a venture capital fund, since January 2019 and as a Venture Partner at venBio Partners, a venture capital firm, since January 2017. Prior to joining us, Dr. Pons was with Pfizer, Inc., a biopharmaceutical company, where he served as Senior Vice President and a member of the Pfizer World Research and Development Team and Chief Technology Officer for Pfizer Biotherapeutics from September 2009 to February 2015. From October 2007 to February 2015, he served as Chief Scientific Officer at Rinat Neuroscience Corporation, a subsidiary of Pfizer. Dr. Pons holds a B.S. in Biochemistry and an M.S. in Biotechnology from Autonoma University of Barcelona and a Ph.D. in Molecular and Cell Biology from the Institute on Fundamental Biology, Barcelona (Autonomous University of Barcelona)</w:t>
      </w:r>
      <w:r>
        <w:rPr>
          <w:rFonts w:ascii="Arial" w:cs="Arial" w:eastAsia="Arial" w:hAnsi="Arial"/>
          <w:sz w:val="17"/>
          <w:szCs w:val="17"/>
          <w:i w:val="1"/>
          <w:iCs w:val="1"/>
          <w:color w:val="auto"/>
        </w:rPr>
        <w:t>.</w:t>
      </w:r>
    </w:p>
    <w:p>
      <w:pPr>
        <w:spacing w:after="0" w:line="148"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We believe Dr. Pons is qualified to serve on our board of directors because of the perspective and experience he brings as our Chief Executive Officer, his experience in leadership positions in the biotechnology industry, his educational background and his strong scientific knowledge.</w:t>
      </w:r>
    </w:p>
    <w:p>
      <w:pPr>
        <w:spacing w:after="0" w:line="126"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i w:val="1"/>
          <w:iCs w:val="1"/>
          <w:color w:val="auto"/>
        </w:rPr>
        <w:t xml:space="preserve">Nathan Caffo </w:t>
      </w:r>
      <w:r>
        <w:rPr>
          <w:rFonts w:ascii="Arial" w:cs="Arial" w:eastAsia="Arial" w:hAnsi="Arial"/>
          <w:sz w:val="17"/>
          <w:szCs w:val="17"/>
          <w:color w:val="auto"/>
        </w:rPr>
        <w:t>has served as our Chief Business Officer since September 2018. Prior to joining us, Mr. Caffo was with Presage Biosciences, an</w:t>
      </w:r>
      <w:r>
        <w:rPr>
          <w:rFonts w:ascii="Arial" w:cs="Arial" w:eastAsia="Arial" w:hAnsi="Arial"/>
          <w:sz w:val="17"/>
          <w:szCs w:val="17"/>
          <w:i w:val="1"/>
          <w:iCs w:val="1"/>
          <w:color w:val="auto"/>
        </w:rPr>
        <w:t xml:space="preserve"> </w:t>
      </w:r>
      <w:r>
        <w:rPr>
          <w:rFonts w:ascii="Arial" w:cs="Arial" w:eastAsia="Arial" w:hAnsi="Arial"/>
          <w:sz w:val="17"/>
          <w:szCs w:val="17"/>
          <w:color w:val="auto"/>
        </w:rPr>
        <w:t>oncology company, from April 2009 to August 2018, where he served in various executive roles, including as President, from December 2011 to August 2018, and from September 2017 until August 2018, he also served as Presage’s Chief Executive Officer. Mr. Caffo holds a B.S. in Microbiology from Pennsylvania State University</w:t>
      </w:r>
      <w:r>
        <w:rPr>
          <w:rFonts w:ascii="Arial" w:cs="Arial" w:eastAsia="Arial" w:hAnsi="Arial"/>
          <w:sz w:val="17"/>
          <w:szCs w:val="17"/>
          <w:i w:val="1"/>
          <w:iCs w:val="1"/>
          <w:color w:val="auto"/>
        </w:rPr>
        <w:t>.</w:t>
      </w:r>
    </w:p>
    <w:p>
      <w:pPr>
        <w:spacing w:after="0" w:line="126"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i w:val="1"/>
          <w:iCs w:val="1"/>
          <w:color w:val="auto"/>
        </w:rPr>
        <w:t xml:space="preserve">Peter Garcia </w:t>
      </w:r>
      <w:r>
        <w:rPr>
          <w:rFonts w:ascii="Arial" w:cs="Arial" w:eastAsia="Arial" w:hAnsi="Arial"/>
          <w:sz w:val="17"/>
          <w:szCs w:val="17"/>
          <w:color w:val="auto"/>
        </w:rPr>
        <w:t>has served as our Chief Financial Officer since January 2020. Prior to joining us, he served as Vice President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from May 2013 until August 2019 and as Acting Chief Accounting Officer from May 2013 until July 2013 at PDL BioPharma, Inc., an acquirer of royalties and pharmaceutical assets. From October 2011 to May 2013, Mr. Garcia served as Chief Financial Officer at BioTime, Inc., a clinical-stage biotechnology company now known as Lineage Cell Therapeutics. He previously served as Chief Financial Officer of six biotechnology and high technology companies, including Marina Biotech, Nanosys, Nuvelo, Novacept, IntraBiotics Pharmaceuticals and Dendreon. Mr. Garcia holds a B.A. in Economics and Sociology from Stanford University and an M.B.A. from the University of California, Los Angeles.</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 xml:space="preserve">Steffen Pietzke </w:t>
      </w:r>
      <w:r>
        <w:rPr>
          <w:rFonts w:ascii="Arial" w:cs="Arial" w:eastAsia="Arial" w:hAnsi="Arial"/>
          <w:sz w:val="17"/>
          <w:szCs w:val="17"/>
          <w:color w:val="auto"/>
        </w:rPr>
        <w:t>has served as our Vice President, Finance and Chief Accounting Officer since March 2020. Prior to joining us, he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Finance and Chief Accounting Officer at Tricida, Inc., a biotechnology company, from April 2018 to March 2020. From June 2015 to April 2018, Mr. Pietzke served as Vice President, Finance and Chief Accounting Officer at PDL BioPharma. From July 2013 to June 2015, he served as a Senior Manager with Ernst &amp; Young LLP, a professional services firm. From September 2000 to June 2013, Mr. Pietzke was with PricewaterhouseCoopers LLP, a professional services firm, where he served most recently as a Senior Manager. He holds a Bachelor of Business Science in Accounting from the University of Applied Sciences in Offenburg, Germany and is a certified public accountant.</w:t>
      </w:r>
    </w:p>
    <w:p>
      <w:pPr>
        <w:spacing w:after="0" w:line="133" w:lineRule="exact"/>
        <w:rPr>
          <w:sz w:val="20"/>
          <w:szCs w:val="20"/>
          <w:color w:val="auto"/>
        </w:rPr>
      </w:pPr>
    </w:p>
    <w:p>
      <w:pPr>
        <w:ind w:left="120" w:right="40"/>
        <w:spacing w:after="0"/>
        <w:rPr>
          <w:sz w:val="20"/>
          <w:szCs w:val="20"/>
          <w:color w:val="auto"/>
        </w:rPr>
      </w:pPr>
      <w:r>
        <w:rPr>
          <w:rFonts w:ascii="Arial" w:cs="Arial" w:eastAsia="Arial" w:hAnsi="Arial"/>
          <w:sz w:val="17"/>
          <w:szCs w:val="17"/>
          <w:i w:val="1"/>
          <w:iCs w:val="1"/>
          <w:color w:val="auto"/>
        </w:rPr>
        <w:t xml:space="preserve">Sophia Randolph, M.D., Ph.D. </w:t>
      </w:r>
      <w:r>
        <w:rPr>
          <w:rFonts w:ascii="Arial" w:cs="Arial" w:eastAsia="Arial" w:hAnsi="Arial"/>
          <w:sz w:val="17"/>
          <w:szCs w:val="17"/>
          <w:color w:val="auto"/>
        </w:rPr>
        <w:t>has served as our Chief Medical Officer since June 2016. Prior to joining us, she was with Pfizer Oncology Early</w:t>
      </w:r>
      <w:r>
        <w:rPr>
          <w:rFonts w:ascii="Arial" w:cs="Arial" w:eastAsia="Arial" w:hAnsi="Arial"/>
          <w:sz w:val="17"/>
          <w:szCs w:val="17"/>
          <w:i w:val="1"/>
          <w:iCs w:val="1"/>
          <w:color w:val="auto"/>
        </w:rPr>
        <w:t xml:space="preserve"> </w:t>
      </w:r>
      <w:r>
        <w:rPr>
          <w:rFonts w:ascii="Arial" w:cs="Arial" w:eastAsia="Arial" w:hAnsi="Arial"/>
          <w:sz w:val="17"/>
          <w:szCs w:val="17"/>
          <w:color w:val="auto"/>
        </w:rPr>
        <w:t>and Late Development Groups from June 2008 to April 2016, where she served most recently as Executive Director, Oncology from June 2015 to April 2016. From June 2007 to May 2008, Dr. Randolph served as Director, Clinical Sciences, Oncology at Merck, a pharmaceutical company. She holds an A.B. in Biochemistry from Harvard University and an M.D. and a Ph.D. in Cellular and Molecular Biology from the University of Michigan. Dr. Randolph completed her oncology fellowship training at Seattle Cancer Care Alliance/Fred Hutchinson Cancer Research Center.</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Non-Employee Directors</w:t>
      </w:r>
    </w:p>
    <w:p>
      <w:pPr>
        <w:spacing w:after="0" w:line="77"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i w:val="1"/>
          <w:iCs w:val="1"/>
          <w:color w:val="auto"/>
        </w:rPr>
        <w:t xml:space="preserve">Corey Goodman, Ph.D. </w:t>
      </w:r>
      <w:r>
        <w:rPr>
          <w:rFonts w:ascii="Arial" w:cs="Arial" w:eastAsia="Arial" w:hAnsi="Arial"/>
          <w:sz w:val="17"/>
          <w:szCs w:val="17"/>
          <w:color w:val="auto"/>
        </w:rPr>
        <w:t>is our co-founder and has served as a member of our board of directors and as Executive Chairman since March 2015.</w:t>
      </w:r>
      <w:r>
        <w:rPr>
          <w:rFonts w:ascii="Arial" w:cs="Arial" w:eastAsia="Arial" w:hAnsi="Arial"/>
          <w:sz w:val="17"/>
          <w:szCs w:val="17"/>
          <w:i w:val="1"/>
          <w:iCs w:val="1"/>
          <w:color w:val="auto"/>
        </w:rPr>
        <w:t xml:space="preserve"> </w:t>
      </w:r>
      <w:r>
        <w:rPr>
          <w:rFonts w:ascii="Arial" w:cs="Arial" w:eastAsia="Arial" w:hAnsi="Arial"/>
          <w:sz w:val="17"/>
          <w:szCs w:val="17"/>
          <w:color w:val="auto"/>
        </w:rPr>
        <w:t>He co-founded and has served as a Managing Partner of venBio Partners since March 2010. Dr. Goodman founded Labrys, a biopharmaceutical company acquired by Teva, where he served as chairman and as a member of the board of directors from December 2012 to June 2014. He founded Pfizer’s Biotherapeutics and Bioinnovation Center where he served as President and a member of Pfizer’s Executive Leadership Team from October 2007 until May 2009. He co-founded Renovis, a biopharmaceutical company acquired by Evotec, where he served as President, Chief Executive Officer and a director from September 2001 October 2007. He is a former tenured biology professor at both Stanford University and the University of California, Berkeley, the co-founder of U.C. Berkeley’s Wills Neuroscience Institute, Investigator with the Howard Hughes Medical Institute and currently is an adjunct professor at U.C. Berkeley. Dr. Goodman is a member of the U.S. National Academy of Sciences, the American Academy of Arts &amp; Sciences and the American Philosophical Society and a recipient of the 2020 Gruber Neuroscience Prize. He currently serves as chairman and as a member of the board of directors of several privately held biotechnology companies.</w:t>
      </w:r>
    </w:p>
    <w:p>
      <w:pPr>
        <w:spacing w:after="0" w:line="2"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Dr. Goodman holds a B.S. in Biology from Stanford University and a Ph.D. in Neurobiology from U.C. Berkeley and was a postdoctoral fellow at the University of California, San Diego.</w:t>
      </w:r>
    </w:p>
    <w:p>
      <w:pPr>
        <w:spacing w:after="0" w:line="144"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We believe Dr. Goodman is qualified to serve on our board of directors due to his experience founding and managing biotechnology companies in both the private and public markets.</w:t>
      </w:r>
    </w:p>
    <w:p>
      <w:pPr>
        <w:spacing w:after="0" w:line="126"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i w:val="1"/>
          <w:iCs w:val="1"/>
          <w:color w:val="auto"/>
        </w:rPr>
        <w:t xml:space="preserve">Rekha Hemrajani </w:t>
      </w:r>
      <w:r>
        <w:rPr>
          <w:rFonts w:ascii="Arial" w:cs="Arial" w:eastAsia="Arial" w:hAnsi="Arial"/>
          <w:sz w:val="17"/>
          <w:szCs w:val="17"/>
          <w:color w:val="auto"/>
        </w:rPr>
        <w:t>has served as a member of our board of directors since April 2020. She served as President and Chief Executive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Aravive, Inc., a clinical-stage biotechnology company, from January 2020 to April 2020. From March 2019 to September 2019, Ms. Hemrajani served as the Chief Operating Officer and Chief Financial Officer of Arcus Biosciences, a biotechnology company. From March 2016 to March 2019, she served as Chief Operating Officer of FLX Bio, Inc. (now RAPT Therapeutics, Inc.), a biotechnology company. From February 2015 to March 2016, Ms. Hemrajani served as Chief Financial Officer and Senior Vice President of Business and Financial Operations at 3-V Biosciences, Inc. (now Sagimet Biosciences, Inc.), a biotechnology company. From November 2013 to January 2015, Ms. Hemrajani advised privately held companies on strategic corporate development and financing activities at Ravinia Consulting, a consulting firm she founded.</w:t>
      </w:r>
    </w:p>
    <w:p>
      <w:pPr>
        <w:spacing w:after="0" w:line="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Ms. Hemrajani currently serves as a director at Adverum Biotechnologies, Inc., a clinical-stage gene therapy company, and previously served as a director at Aravive. She holds a B.S. in Economics and Computer Science from the University of Michigan and an M.B.A. from the Kellogg Graduate School of Management at Northwestern University.</w:t>
      </w:r>
    </w:p>
    <w:p>
      <w:pPr>
        <w:spacing w:after="0" w:line="147"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We believe Ms. Hemrajani is qualified to serve on our board of directors due to her executive and financial experience at multiple companies in the biopharmaceutical and biotechnology industries.</w:t>
      </w:r>
    </w:p>
    <w:p>
      <w:pPr>
        <w:spacing w:after="0" w:line="126" w:lineRule="exact"/>
        <w:rPr>
          <w:sz w:val="20"/>
          <w:szCs w:val="20"/>
          <w:color w:val="auto"/>
        </w:rPr>
      </w:pPr>
    </w:p>
    <w:p>
      <w:pPr>
        <w:ind w:left="120" w:right="120"/>
        <w:spacing w:after="0" w:line="265" w:lineRule="auto"/>
        <w:rPr>
          <w:sz w:val="20"/>
          <w:szCs w:val="20"/>
          <w:color w:val="auto"/>
        </w:rPr>
      </w:pPr>
      <w:r>
        <w:rPr>
          <w:rFonts w:ascii="Arial" w:cs="Arial" w:eastAsia="Arial" w:hAnsi="Arial"/>
          <w:sz w:val="17"/>
          <w:szCs w:val="17"/>
          <w:i w:val="1"/>
          <w:iCs w:val="1"/>
          <w:color w:val="auto"/>
        </w:rPr>
        <w:t xml:space="preserve">Jason Lettmann </w:t>
      </w:r>
      <w:r>
        <w:rPr>
          <w:rFonts w:ascii="Arial" w:cs="Arial" w:eastAsia="Arial" w:hAnsi="Arial"/>
          <w:sz w:val="17"/>
          <w:szCs w:val="17"/>
          <w:color w:val="auto"/>
        </w:rPr>
        <w:t>has served as a member of our board of directors since April 2020 and previously served as a member of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from March 2015 to May 2017. Mr. Lettmann has served as a General Partner of</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Lightstone Ventures since March 2012 and as a Partner at Morgenthaler Ventures, a venture capital and private equity firm, since June 2009. He previously served as Chief Executive Officer of Promedior Inc., a biotechnology company acquired by Roche, from January 2019 to February 2020 and as a Vice President at Split Rock Partners, a venture capital firm, from June 2006 to June 2009. Mr. Lettmann currently serves as a member of the board of directors of several privately-held companies and previously served as a director of Ra Pharmaceuticals, a clinical-stage pharmaceutical company acquired by UCB. Mr. Lettmann holds a B.A. in Psychology from the University of Iowa and an M.B.A. from the University of Michigan’s Ross School of Business.</w:t>
      </w:r>
    </w:p>
    <w:p>
      <w:pPr>
        <w:spacing w:after="0" w:line="148"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We believe Mr. Lettmann is qualified to serve on our board of directors because of his industry experience, his experience serving on the boards of directors for multiple life sciences companies and his extensive experience with venture capital investments.</w:t>
      </w:r>
    </w:p>
    <w:p>
      <w:pPr>
        <w:spacing w:after="0" w:line="126"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i w:val="1"/>
          <w:iCs w:val="1"/>
          <w:color w:val="auto"/>
        </w:rPr>
        <w:t xml:space="preserve">Jack Nielsen </w:t>
      </w:r>
      <w:r>
        <w:rPr>
          <w:rFonts w:ascii="Arial" w:cs="Arial" w:eastAsia="Arial" w:hAnsi="Arial"/>
          <w:sz w:val="17"/>
          <w:szCs w:val="17"/>
          <w:color w:val="auto"/>
        </w:rPr>
        <w:t>has served as a member of our board of directors since February 2020. Mr. Nielsen has served as a Managing Director at Vivo</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LLC, a healthcare focused investment firm, since August 2017, and previously served as a consultant from March 2017 to July 2017. From 2001 to February 2017, Mr. Nielsen was with the Novo A/S (Novozymes) organization and its venture activities in several roles, most recently as a Senior Partner based in Copenhagen, Denmark. From May 2006 to August 2012, Mr. Nielsen was a Partner at Novo Ventures (US) in San Francisco, where he established the office that provides certain consultancy services to Novo A/S. He currently serves as a member of the board of directors of Reata Pharmaceuticals, a pharmaceutical company, and previously served as a director of Akebia Therapeutics, Apollo Endosurgery, Crinetics Pharmaceuticals and Merus, N.V. Mr. Nielsen holds an M.Sc. in Chemical Engineering from the Technical University of Denmark and a Masters in Management of Technology from Center for Technology, Economics and Management, Technical University of Denmark.</w:t>
      </w:r>
    </w:p>
    <w:p>
      <w:pPr>
        <w:spacing w:after="0" w:line="151" w:lineRule="exact"/>
        <w:rPr>
          <w:sz w:val="20"/>
          <w:szCs w:val="20"/>
          <w:color w:val="auto"/>
        </w:rPr>
      </w:pPr>
    </w:p>
    <w:p>
      <w:pPr>
        <w:ind w:left="120" w:right="660"/>
        <w:spacing w:after="0" w:line="243" w:lineRule="auto"/>
        <w:rPr>
          <w:sz w:val="20"/>
          <w:szCs w:val="20"/>
          <w:color w:val="auto"/>
        </w:rPr>
      </w:pPr>
      <w:r>
        <w:rPr>
          <w:rFonts w:ascii="Arial" w:cs="Arial" w:eastAsia="Arial" w:hAnsi="Arial"/>
          <w:sz w:val="17"/>
          <w:szCs w:val="17"/>
          <w:color w:val="auto"/>
        </w:rPr>
        <w:t>We believe Mr. Nielsen is qualified to serve on our board of directors because of his experience working in the biotechnology industry, his experience as a venture capital investor and his board service for several companies in the biotechnology sector.</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 xml:space="preserve">Graham Walmsley, M.D., Ph.D. </w:t>
      </w:r>
      <w:r>
        <w:rPr>
          <w:rFonts w:ascii="Arial" w:cs="Arial" w:eastAsia="Arial" w:hAnsi="Arial"/>
          <w:sz w:val="17"/>
          <w:szCs w:val="17"/>
          <w:color w:val="auto"/>
        </w:rPr>
        <w:t>has served as a member of our board of directors since February 2020. Dr. Walmsley is a Founding Member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a Managing Partner of Logos Global Management, LP, a biotechnology-focused hedge fund, since August 2019. From July 2016 to August 2019, he served as a Principal at Versant Ventures, a healthcare focused venture capital firm. Dr. Walmsley served as Head of Business Development at Pipeline Therapeutics Inc., a biotechnology company, from April 2018 to December 2018 and as Head of Business Development at Jecure Therapeutics, Inc., a biotechnology company, from June 2017 until its acquisition by Genentech, a subsidiary of Roche, in November 2018. He currently serves as a member of the board of directors of Akero Therapeutics, a clinical-stage biotechnology company. Dr. Walmsley received a B.A. in Molecular and Cell Biology from the University of California, Berkeley in June 2009 and a Ph.D. and an M.D. in Stem Cell Biology and Regenerative Medicine from Stanford University School of Medicine in June 2016 and June 2018, respectively.</w:t>
      </w:r>
    </w:p>
    <w:p>
      <w:pPr>
        <w:spacing w:after="0" w:line="14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We believe Dr. Walmsley is qualified to serve on our board of directors because of his significant experience in the healthcare and biotechnology industry, his educational background and his experience as a director for companies in the biotechnology sector.</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Board Composition</w:t>
      </w:r>
    </w:p>
    <w:p>
      <w:pPr>
        <w:spacing w:after="0" w:line="95"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Our board of directors currently consists of six members.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49" w:lineRule="exact"/>
        <w:rPr>
          <w:sz w:val="20"/>
          <w:szCs w:val="20"/>
          <w:color w:val="auto"/>
        </w:rPr>
      </w:pPr>
    </w:p>
    <w:p>
      <w:pPr>
        <w:jc w:val="both"/>
        <w:ind w:left="120" w:right="400"/>
        <w:spacing w:after="0" w:line="238"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188" w:lineRule="exact"/>
        <w:rPr>
          <w:sz w:val="20"/>
          <w:szCs w:val="20"/>
          <w:color w:val="auto"/>
        </w:rPr>
      </w:pPr>
    </w:p>
    <w:p>
      <w:pPr>
        <w:ind w:left="980" w:right="720" w:hanging="432"/>
        <w:spacing w:after="0" w:line="243" w:lineRule="auto"/>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the Class I directors will be Corey Goodman, Ph.D., and Jason Lettmann, and their terms will expire at the annual meeting of stockholders to be held in 2021;</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380" w:hanging="432"/>
        <w:spacing w:after="0" w:line="243" w:lineRule="auto"/>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the Class II directors will be Jack Nielsen and Graham Walmsley, M.D., Ph.D., and their terms will expire at the annual meeting of stockholders to be held in 2022; and</w:t>
      </w:r>
    </w:p>
    <w:p>
      <w:pPr>
        <w:spacing w:after="0" w:line="22" w:lineRule="exact"/>
        <w:rPr>
          <w:rFonts w:ascii="MS PGothic" w:cs="MS PGothic" w:eastAsia="MS PGothic" w:hAnsi="MS PGothic"/>
          <w:sz w:val="13"/>
          <w:szCs w:val="13"/>
          <w:color w:val="auto"/>
        </w:rPr>
      </w:pPr>
    </w:p>
    <w:p>
      <w:pPr>
        <w:ind w:left="980" w:right="840" w:hanging="432"/>
        <w:spacing w:after="0" w:line="243" w:lineRule="auto"/>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the Class III directors will be Jaume Pons, Ph.D., and Rekha Hemrajani, and their terms will expire at the annual meeting of stockholders to be held in 2023.</w:t>
      </w:r>
    </w:p>
    <w:p>
      <w:pPr>
        <w:spacing w:after="0" w:line="144"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classification of our board of directors may have the effect of delaying or preventing changes in control of our company.</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9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Upon the completion of this offering, we anticipate that our common stock will be listed on the Nasdaq Global Select Market. Under the rules of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51" w:lineRule="exact"/>
        <w:rPr>
          <w:sz w:val="20"/>
          <w:szCs w:val="20"/>
          <w:color w:val="auto"/>
        </w:rPr>
      </w:pPr>
    </w:p>
    <w:p>
      <w:pPr>
        <w:ind w:left="120" w:right="360"/>
        <w:spacing w:after="0" w:line="232" w:lineRule="auto"/>
        <w:rPr>
          <w:sz w:val="20"/>
          <w:szCs w:val="20"/>
          <w:color w:val="auto"/>
        </w:rPr>
      </w:pPr>
      <w:r>
        <w:rPr>
          <w:rFonts w:ascii="Arial" w:cs="Arial" w:eastAsia="Arial" w:hAnsi="Arial"/>
          <w:sz w:val="17"/>
          <w:szCs w:val="17"/>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w:t>
      </w:r>
    </w:p>
    <w:p>
      <w:pPr>
        <w:ind w:left="120" w:right="60" w:hanging="4"/>
        <w:spacing w:after="0" w:line="243" w:lineRule="auto"/>
        <w:tabs>
          <w:tab w:leader="none" w:pos="376" w:val="left"/>
        </w:tabs>
        <w:numPr>
          <w:ilvl w:val="0"/>
          <w:numId w:val="80"/>
        </w:numPr>
        <w:rPr>
          <w:rFonts w:ascii="Arial" w:cs="Arial" w:eastAsia="Arial" w:hAnsi="Arial"/>
          <w:sz w:val="17"/>
          <w:szCs w:val="17"/>
          <w:color w:val="auto"/>
        </w:rPr>
      </w:pPr>
      <w:r>
        <w:rPr>
          <w:rFonts w:ascii="Arial" w:cs="Arial" w:eastAsia="Arial" w:hAnsi="Arial"/>
          <w:sz w:val="17"/>
          <w:szCs w:val="17"/>
          <w:color w:val="auto"/>
        </w:rPr>
        <w:t>accept, directly or indirectly, any consulting, advisory or other compensatory fee from the listed company or any of its subsidiaries or (2) be an affiliated person of the listed company or any of its subsidiaries.</w:t>
      </w:r>
    </w:p>
    <w:p>
      <w:pPr>
        <w:spacing w:after="0" w:line="14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48"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Corey Goodman, Ph.D., Rekha Hemrajani, Jason Lettmann, Jack Nielsen and Graham Walmsley, M.D., Ph.D., representing five of our six directors, do not have a relationship that would interfere with the exercise of independent judgment in carrying out the responsibilities of a director and that each of these directors is “independent” as that term is defined under the rules of Nasdaq.</w:t>
      </w:r>
    </w:p>
    <w:p>
      <w:pPr>
        <w:spacing w:after="0" w:line="151" w:lineRule="exact"/>
        <w:rPr>
          <w:sz w:val="20"/>
          <w:szCs w:val="20"/>
          <w:color w:val="auto"/>
        </w:rPr>
      </w:pPr>
    </w:p>
    <w:p>
      <w:pPr>
        <w:ind w:left="120" w:right="260"/>
        <w:spacing w:after="0" w:line="238" w:lineRule="auto"/>
        <w:rPr>
          <w:sz w:val="20"/>
          <w:szCs w:val="20"/>
          <w:color w:val="auto"/>
        </w:rPr>
      </w:pPr>
      <w:r>
        <w:rPr>
          <w:rFonts w:ascii="Arial" w:cs="Arial" w:eastAsia="Arial" w:hAnsi="Arial"/>
          <w:sz w:val="17"/>
          <w:szCs w:val="17"/>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non-employee director, and the transactions involving them described in the section titled “Certain Relationships and Related-Party Transactions.” There are no family relationships among any of our directors or executive officers.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9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board of directors is currently chaired by Dr. Goodman. As a general policy, our board of directors believes that separation of the positions of Executive Chairman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Pons serves as our Chief Executive Officer while Dr. Goodman serves as the Executive Chairman of our board of directors but is not an officer. We currently expect and intend the positions of Executive Chairman of our board of directors and Chief Executive Officer to continue to be held by two individuals in the future.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8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8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Our board of directors has an audit committee, a compensation committee and a corporate governance and nominating committee, each of which has the composition and the responsibilities described below.</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Audit Committee</w:t>
      </w:r>
    </w:p>
    <w:p>
      <w:pPr>
        <w:spacing w:after="0" w:line="41" w:lineRule="exact"/>
        <w:rPr>
          <w:sz w:val="20"/>
          <w:szCs w:val="20"/>
          <w:color w:val="auto"/>
        </w:rPr>
      </w:pPr>
    </w:p>
    <w:p>
      <w:pPr>
        <w:jc w:val="both"/>
        <w:ind w:left="120" w:right="180"/>
        <w:spacing w:after="0" w:line="236" w:lineRule="auto"/>
        <w:rPr>
          <w:sz w:val="20"/>
          <w:szCs w:val="20"/>
          <w:color w:val="auto"/>
        </w:rPr>
      </w:pPr>
      <w:r>
        <w:rPr>
          <w:rFonts w:ascii="Arial" w:cs="Arial" w:eastAsia="Arial" w:hAnsi="Arial"/>
          <w:sz w:val="17"/>
          <w:szCs w:val="17"/>
          <w:color w:val="auto"/>
        </w:rPr>
        <w:t>The members of our audit committee are Rekha Hemrajani, Jack Nielsen and Graham Walmsley, M.D., Ph.D. Ms. Hemrajani is the chair of our audit committee and is our audit committee financial expert, as that term is defined under the SEC rules implementing Section 407 of SOX, and possesses financial sophistication, as defined under the rules of Nasdaq. Our audit committee oversees our corporate accounting and financial reporting process and assists our board of directors in monitoring our financial systems. Our audit committee will also:</w:t>
      </w:r>
    </w:p>
    <w:p>
      <w:pPr>
        <w:spacing w:after="0" w:line="190" w:lineRule="exact"/>
        <w:rPr>
          <w:sz w:val="20"/>
          <w:szCs w:val="20"/>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select and hire the independent registered public accounting firm to audit our consolidated financial statements;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help to ensure the independence and performance of the independent registered public accounting firm;</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approve audit and non-audit services and fees;</w:t>
      </w:r>
    </w:p>
    <w:p>
      <w:pPr>
        <w:spacing w:after="0" w:line="34" w:lineRule="exact"/>
        <w:rPr>
          <w:rFonts w:ascii="MS PGothic" w:cs="MS PGothic" w:eastAsia="MS PGothic" w:hAnsi="MS PGothic"/>
          <w:sz w:val="13"/>
          <w:szCs w:val="13"/>
          <w:color w:val="auto"/>
        </w:rPr>
      </w:pPr>
    </w:p>
    <w:p>
      <w:pPr>
        <w:ind w:left="980" w:right="60" w:hanging="432"/>
        <w:spacing w:after="0" w:line="238" w:lineRule="auto"/>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review consolidated financial statements and discuss with management and the independent registered public accounting firm our annual audited and quarterly consolidated financial statements, the results of the independent audit and the quarterly reviews and the reports and certifications regarding internal controls over financial reporting and disclosure controls;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prepare the audit committee report that the SEC requires to be included in our annual proxy statement;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review reports and communications from the independent registered public accounting firm;</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review the adequacy and effectiveness of our internal controls and disclosure controls and procedure;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review our policies on risk assessment and risk management;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review related-party transactions; and</w:t>
      </w:r>
    </w:p>
    <w:p>
      <w:pPr>
        <w:spacing w:after="0" w:line="34" w:lineRule="exact"/>
        <w:rPr>
          <w:rFonts w:ascii="MS PGothic" w:cs="MS PGothic" w:eastAsia="MS PGothic" w:hAnsi="MS PGothic"/>
          <w:sz w:val="13"/>
          <w:szCs w:val="13"/>
          <w:color w:val="auto"/>
        </w:rPr>
      </w:pPr>
    </w:p>
    <w:p>
      <w:pPr>
        <w:ind w:left="980" w:right="580" w:hanging="432"/>
        <w:spacing w:after="0" w:line="243" w:lineRule="auto"/>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Our audit committee will operate under a written charter, to be effective prior to the completion of this offering, which will satisfy the applicable rules of the SEC and the listing standards of Nasdaq.</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41" w:lineRule="exact"/>
        <w:rPr>
          <w:sz w:val="20"/>
          <w:szCs w:val="20"/>
          <w:color w:val="auto"/>
        </w:rPr>
      </w:pPr>
    </w:p>
    <w:p>
      <w:pPr>
        <w:jc w:val="both"/>
        <w:ind w:left="120" w:right="240"/>
        <w:spacing w:after="0" w:line="238" w:lineRule="auto"/>
        <w:rPr>
          <w:sz w:val="20"/>
          <w:szCs w:val="20"/>
          <w:color w:val="auto"/>
        </w:rPr>
      </w:pPr>
      <w:r>
        <w:rPr>
          <w:rFonts w:ascii="Arial" w:cs="Arial" w:eastAsia="Arial" w:hAnsi="Arial"/>
          <w:sz w:val="17"/>
          <w:szCs w:val="17"/>
          <w:color w:val="auto"/>
        </w:rPr>
        <w:t>The members of our compensation committee are Corey Goodman, Ph.D., Jason Lettmann and Jack Nielsen. Dr. Goodman is the chair of our compensation committee. Our compensation committee oversees our compensation policies, plans and benefits programs. The compensation committee will also:</w:t>
      </w:r>
    </w:p>
    <w:p>
      <w:pPr>
        <w:spacing w:after="0" w:line="188" w:lineRule="exact"/>
        <w:rPr>
          <w:sz w:val="20"/>
          <w:szCs w:val="20"/>
          <w:color w:val="auto"/>
        </w:rPr>
      </w:pPr>
    </w:p>
    <w:p>
      <w:pPr>
        <w:ind w:left="980" w:hanging="432"/>
        <w:spacing w:after="0"/>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oversee our overall compensation philosophy and compensation policies, plans and benefit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review and approve or recommend to the board of directors for approval compensation for our executive officers and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prepare the compensation committee report that the SEC will require to be included in our annual proxy statement;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administer our equity compensation plans.</w:t>
      </w:r>
    </w:p>
    <w:p>
      <w:pPr>
        <w:spacing w:after="0" w:line="156"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Our compensation committee will operate under a written charter, to be effective prior to the completion of this offering, which will satisfy the applicable rules of the SEC and the listing standards of Nasdaq.</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Corporate Governance and Nominating Committee</w:t>
      </w:r>
    </w:p>
    <w:p>
      <w:pPr>
        <w:spacing w:after="0" w:line="41"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members of our corporate governance and nominating committee are Corey Goodman, Ph.D., Rekha Hemrajani, Jason Lettmann and Graham Walmsley, M.D., Ph.D. Mr. Lettmann is the chairman of our corporate governance and nominating committee. Our corporate governance and nominating committee oversees and assists our board of directors in reviewing and recommending nominees for election as directors. Specifically, the corporate governance and nominating committee will:</w:t>
      </w:r>
    </w:p>
    <w:p>
      <w:pPr>
        <w:spacing w:after="0" w:line="190" w:lineRule="exact"/>
        <w:rPr>
          <w:sz w:val="20"/>
          <w:szCs w:val="20"/>
          <w:color w:val="auto"/>
        </w:rPr>
      </w:pPr>
    </w:p>
    <w:p>
      <w:pPr>
        <w:ind w:left="980" w:right="160" w:hanging="432"/>
        <w:spacing w:after="0" w:line="243" w:lineRule="auto"/>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identify, evaluate and make recommendations to our board of directors regarding nominees for election to our board of directors and its committees;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review developments in corporate governance practices;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evaluate the adequacy of our corporate governance practices and reporting;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evaluate the performance of our board of directors and of individual directors.</w:t>
      </w:r>
    </w:p>
    <w:p>
      <w:pPr>
        <w:spacing w:after="0" w:line="156"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Our corporate governance and nominating committee will operate under a written charter, to be effective prior to the completion of this offering, which will satisfy the applicable rules of the SEC and the listing standards of Nasdaq.</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93"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As of May 31, 2020, none of our directors have received any cash or equity compensation for serving on our board of directors. This includes our current directors and Dr. Robert Adelman and Ms. Caroline Gaynor, each of whom served on our board of directors during the fiscal year ended December 31, 2019.</w:t>
      </w:r>
    </w:p>
    <w:p>
      <w:pPr>
        <w:spacing w:after="0" w:line="147" w:lineRule="exact"/>
        <w:rPr>
          <w:sz w:val="20"/>
          <w:szCs w:val="20"/>
          <w:color w:val="auto"/>
        </w:rPr>
      </w:pPr>
    </w:p>
    <w:p>
      <w:pPr>
        <w:ind w:left="120" w:right="680"/>
        <w:spacing w:after="0" w:line="238" w:lineRule="auto"/>
        <w:rPr>
          <w:sz w:val="20"/>
          <w:szCs w:val="20"/>
          <w:color w:val="auto"/>
        </w:rPr>
      </w:pPr>
      <w:r>
        <w:rPr>
          <w:rFonts w:ascii="Arial" w:cs="Arial" w:eastAsia="Arial" w:hAnsi="Arial"/>
          <w:sz w:val="17"/>
          <w:szCs w:val="17"/>
          <w:color w:val="auto"/>
        </w:rPr>
        <w:t>We do reimburse our directors for expenses associated with attending meetings of our board of directors and committees of our board of directors. Following the completion of this offering, we expect to implement an annual cash and equity compensation program for our non-employee directors.</w:t>
      </w:r>
    </w:p>
    <w:p>
      <w:pPr>
        <w:spacing w:after="0" w:line="147"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Dr. Pons was our only employee director during 2019. See the section titled “Executive Compensation” for additional information about Dr. Pons’ compensation.</w:t>
      </w:r>
    </w:p>
    <w:p>
      <w:pPr>
        <w:spacing w:after="0" w:line="9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April 2020, we retained Compensia, a third-party compensation consultant, to provide our board of directors and its compensation committee with an analysis of publicly available market data, and assistance in determining, compensation to be provided to our non-employee directors on and after the effective date of our registration statement of which this prospectus forms a part. Based on the discussions with and assistance from Compensia, our board of directors expects that prior to the completion of this offering, our board of directors will adopt, and our stockholders will approve, an Outside Director Compensation Policy that will provide for certain compensation to our non-employee directors effective on and after the effective date of the registration statement of which this prospectus forms a part.</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Compensation</w:t>
      </w:r>
    </w:p>
    <w:p>
      <w:pPr>
        <w:spacing w:after="0" w:line="54"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The Outside Director Compensation Policy will provide for the following cash compensation program for our non-employee directors, effective upon the effective date of the registration statement of which this prospectus forms a part:</w:t>
      </w:r>
    </w:p>
    <w:p>
      <w:pPr>
        <w:spacing w:after="0" w:line="185" w:lineRule="exact"/>
        <w:rPr>
          <w:sz w:val="20"/>
          <w:szCs w:val="20"/>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$40,000 per year for service as a non-employee director;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$30,000 per year for service as non-employee chair of our board of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$20,000 per year for service as chair of the audit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$7,500 per year for service as a member of the audit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$10,000 per year for service as chair of the compensation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$5,000 per year for service as a member of the compensation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$8,000 per year for service as chair of the corporate governance and nominating committee;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$4,000 per year for service as a member of the corporate governance and nominating committee.</w:t>
      </w:r>
    </w:p>
    <w:p>
      <w:pPr>
        <w:spacing w:after="0" w:line="156" w:lineRule="exact"/>
        <w:rPr>
          <w:sz w:val="20"/>
          <w:szCs w:val="20"/>
          <w:color w:val="auto"/>
        </w:rPr>
      </w:pPr>
    </w:p>
    <w:p>
      <w:pPr>
        <w:jc w:val="both"/>
        <w:ind w:left="120" w:right="340"/>
        <w:spacing w:after="0" w:line="236" w:lineRule="auto"/>
        <w:rPr>
          <w:sz w:val="20"/>
          <w:szCs w:val="20"/>
          <w:color w:val="auto"/>
        </w:rPr>
      </w:pPr>
      <w:r>
        <w:rPr>
          <w:rFonts w:ascii="Arial" w:cs="Arial" w:eastAsia="Arial" w:hAnsi="Arial"/>
          <w:sz w:val="17"/>
          <w:szCs w:val="17"/>
          <w:color w:val="auto"/>
        </w:rPr>
        <w:t>Each non-employee director who serves as a committee chair will receive only the cash retainer fee as the chair of the committee but not the cash retainer fee as a member of that committee. These fees to our non-employee directors are paid quarterly in arrears on a prorated basis. Under our Outside Director Compensation Policy, we also will reimburse our non-employee directors for reasonable travel expenses to attend meetings of our board of directors and its committees.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36"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i w:val="1"/>
          <w:iCs w:val="1"/>
          <w:color w:val="auto"/>
        </w:rPr>
        <w:t xml:space="preserve">Initial Award. </w:t>
      </w:r>
      <w:r>
        <w:rPr>
          <w:rFonts w:ascii="Arial" w:cs="Arial" w:eastAsia="Arial" w:hAnsi="Arial"/>
          <w:sz w:val="17"/>
          <w:szCs w:val="17"/>
          <w:color w:val="auto"/>
        </w:rPr>
        <w:t>Pursuant to our Outside Director Compensation Policy, each person who first becomes a non-employee director after the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such policy will receive, on the first trading day on or after the date that the person first becomes a non-employee director, an initial award, or the Initial Award, of stock options to purchase 158,000 shares of our common stock. The Initial Award will be scheduled to vest in equal installments as to one thirty-sixth of the shares of our common stock subject at grant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i w:val="1"/>
          <w:iCs w:val="1"/>
          <w:color w:val="auto"/>
        </w:rPr>
        <w:t xml:space="preserve">Annual Award. </w:t>
      </w:r>
      <w:r>
        <w:rPr>
          <w:rFonts w:ascii="Arial" w:cs="Arial" w:eastAsia="Arial" w:hAnsi="Arial"/>
          <w:sz w:val="17"/>
          <w:szCs w:val="17"/>
          <w:color w:val="auto"/>
        </w:rPr>
        <w:t>Pursuant to our Outside Director Compensation Policy, each non-employee director automatically will receive, on the first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day immediately after the date of each annual meeting of our stockholders that occurs following the effective date of our Outside Director Compensation Policy, an annual award, or the Annual Award, of stock options to purchase 79,000 shares of our common stock, with such number of shares prorated if the recipient commenced service as a non-employee director after the date of the immediately prior annual meeting of our stockholders, based on the number of whole months of non-employee director service completed before the Annual Award’s grant date. Each Annual Award will be scheduled to vest as to one-twelfth of the shares of our common stock subject at grant to the Annual Award on a monthly basis following the Annual Award’s grant date, on the same day of the month as the grant date, or if earlier, the day immediately before the day of the next annual meeting of stockholders that occurs after the grant date of the Annual Award, subject to continued services to us through the applicable vesting dates.</w:t>
      </w:r>
    </w:p>
    <w:p>
      <w:pPr>
        <w:spacing w:after="0" w:line="133" w:lineRule="exact"/>
        <w:rPr>
          <w:sz w:val="20"/>
          <w:szCs w:val="20"/>
          <w:color w:val="auto"/>
        </w:rPr>
      </w:pPr>
    </w:p>
    <w:p>
      <w:pPr>
        <w:ind w:left="120" w:right="100"/>
        <w:spacing w:after="0" w:line="248"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In the event of a change in control, as defined in our Amended and Restated 2020 Equity Incentive Plan, each non-employee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then outstanding equity awards covering shares of our common stock will accelerate vesting in full, provided that he or she remains a non-employee director through the date of our change in control.</w:t>
      </w:r>
    </w:p>
    <w:p>
      <w:pPr>
        <w:spacing w:after="0" w:line="123" w:lineRule="exact"/>
        <w:rPr>
          <w:sz w:val="20"/>
          <w:szCs w:val="20"/>
          <w:color w:val="auto"/>
        </w:rPr>
      </w:pPr>
    </w:p>
    <w:p>
      <w:pPr>
        <w:ind w:left="120" w:right="60"/>
        <w:spacing w:after="0" w:line="248" w:lineRule="auto"/>
        <w:rPr>
          <w:sz w:val="20"/>
          <w:szCs w:val="20"/>
          <w:color w:val="auto"/>
        </w:rPr>
      </w:pPr>
      <w:r>
        <w:rPr>
          <w:rFonts w:ascii="Arial" w:cs="Arial" w:eastAsia="Arial" w:hAnsi="Arial"/>
          <w:sz w:val="17"/>
          <w:szCs w:val="17"/>
          <w:i w:val="1"/>
          <w:iCs w:val="1"/>
          <w:color w:val="auto"/>
        </w:rPr>
        <w:t>Other Award Terms</w:t>
      </w:r>
      <w:r>
        <w:rPr>
          <w:rFonts w:ascii="Arial" w:cs="Arial" w:eastAsia="Arial" w:hAnsi="Arial"/>
          <w:sz w:val="17"/>
          <w:szCs w:val="17"/>
          <w:color w:val="auto"/>
        </w:rPr>
        <w:t>. Each Initial Award and Annual Award will be granted under our Amended and Restated 2020 Equity Incentive Plan (or its</w:t>
      </w:r>
      <w:r>
        <w:rPr>
          <w:rFonts w:ascii="Arial" w:cs="Arial" w:eastAsia="Arial" w:hAnsi="Arial"/>
          <w:sz w:val="17"/>
          <w:szCs w:val="17"/>
          <w:i w:val="1"/>
          <w:iCs w:val="1"/>
          <w:color w:val="auto"/>
        </w:rPr>
        <w:t xml:space="preserve"> </w:t>
      </w:r>
      <w:r>
        <w:rPr>
          <w:rFonts w:ascii="Arial" w:cs="Arial" w:eastAsia="Arial" w:hAnsi="Arial"/>
          <w:sz w:val="17"/>
          <w:szCs w:val="17"/>
          <w:color w:val="auto"/>
        </w:rPr>
        <w:t>successor plan, as applicable) and form of award agreement under such plan. These awards will have a maximum term to expiration of ten years from their grant and a per-share exercise price equal to 100% of the fair market value of a share of our common stock on the award’s grant date.</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 xml:space="preserve">Director Compensation Limits. </w:t>
      </w:r>
      <w:r>
        <w:rPr>
          <w:rFonts w:ascii="Arial" w:cs="Arial" w:eastAsia="Arial" w:hAnsi="Arial"/>
          <w:sz w:val="17"/>
          <w:szCs w:val="17"/>
          <w:color w:val="auto"/>
        </w:rPr>
        <w:t>Our Outside Director Compensation Policy provides that in any fiscal year, a non-employee director may be paid</w:t>
      </w:r>
      <w:r>
        <w:rPr>
          <w:rFonts w:ascii="Arial" w:cs="Arial" w:eastAsia="Arial" w:hAnsi="Arial"/>
          <w:sz w:val="17"/>
          <w:szCs w:val="17"/>
          <w:i w:val="1"/>
          <w:iCs w:val="1"/>
          <w:color w:val="auto"/>
        </w:rPr>
        <w:t xml:space="preserve"> </w:t>
      </w:r>
      <w:r>
        <w:rPr>
          <w:rFonts w:ascii="Arial" w:cs="Arial" w:eastAsia="Arial" w:hAnsi="Arial"/>
          <w:sz w:val="17"/>
          <w:szCs w:val="17"/>
          <w:color w:val="auto"/>
        </w:rPr>
        <w:t>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while he or she was an employee or consultant (other than a non-employee director), or granted or provided before the effective date of the registration statement related to this offering, will not count toward this annual limit.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93"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80"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Prior to the closing of this offering, we intend to adopt a written code of business conduct and ethics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http://alxoncology.com.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the website is not incorporated by reference into this prospectus and should not be considered to be part of this prospectus.</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060"/>
          </w:cols>
          <w:pgMar w:left="320" w:top="459" w:right="5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336"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Our named executive officers for the year ended December 31, 2019, which consist of our principal executive officer and the next two most highly compensated executive officers, are:</w:t>
      </w:r>
    </w:p>
    <w:p>
      <w:pPr>
        <w:spacing w:after="0" w:line="185" w:lineRule="exact"/>
        <w:rPr>
          <w:sz w:val="20"/>
          <w:szCs w:val="20"/>
          <w:color w:val="auto"/>
        </w:rPr>
      </w:pPr>
    </w:p>
    <w:p>
      <w:pPr>
        <w:ind w:left="980" w:hanging="432"/>
        <w:spacing w:after="0"/>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Jaume Pons, Ph.D., our President and Chief Executive Officer;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Sophia Randolph, M.D., Ph.D., our Chief Medical Officer; and</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Hong Wan, Ph.D., our former Chief Scientific Officer, who resigned effective June 30, 2020 as described in “Certain Relationships and Related-Party Transactions—Tallac Therapeutics Agreements.”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 for Fiscal Year Ended December 31, 2019</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the compensation of our named executive officers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NON-EQUITY</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INCENTIVE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PLAN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180" w:type="dxa"/>
            <w:vAlign w:val="bottom"/>
            <w:vMerge w:val="restart"/>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SALARY</w:t>
            </w:r>
          </w:p>
        </w:tc>
        <w:tc>
          <w:tcPr>
            <w:tcW w:w="86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AWARDS</w:t>
            </w:r>
          </w:p>
        </w:tc>
        <w:tc>
          <w:tcPr>
            <w:tcW w:w="13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COMPENSATION</w:t>
            </w: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300" w:type="dxa"/>
            <w:vAlign w:val="bottom"/>
            <w:tcBorders>
              <w:bottom w:val="single" w:sz="8" w:color="auto"/>
            </w:tcBorders>
            <w:vMerge w:val="continue"/>
          </w:tcPr>
          <w:p>
            <w:pPr>
              <w:spacing w:after="0"/>
              <w:rPr>
                <w:sz w:val="16"/>
                <w:szCs w:val="16"/>
                <w:color w:val="auto"/>
              </w:rPr>
            </w:pPr>
          </w:p>
        </w:tc>
        <w:tc>
          <w:tcPr>
            <w:tcW w:w="4180" w:type="dxa"/>
            <w:vAlign w:val="bottom"/>
            <w:vMerge w:val="continue"/>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700" w:type="dxa"/>
            <w:vAlign w:val="bottom"/>
          </w:tcPr>
          <w:p>
            <w:pPr>
              <w:jc w:val="center"/>
              <w:spacing w:after="0" w:line="165"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(1)</w:t>
            </w:r>
          </w:p>
        </w:tc>
        <w:tc>
          <w:tcPr>
            <w:tcW w:w="160" w:type="dxa"/>
            <w:vAlign w:val="bottom"/>
          </w:tcPr>
          <w:p>
            <w:pPr>
              <w:spacing w:after="0"/>
              <w:rPr>
                <w:sz w:val="16"/>
                <w:szCs w:val="16"/>
                <w:color w:val="auto"/>
              </w:rPr>
            </w:pPr>
          </w:p>
        </w:tc>
        <w:tc>
          <w:tcPr>
            <w:tcW w:w="1220" w:type="dxa"/>
            <w:vAlign w:val="bottom"/>
          </w:tcPr>
          <w:p>
            <w:pPr>
              <w:jc w:val="center"/>
              <w:spacing w:after="0" w:line="165"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(2)</w:t>
            </w:r>
          </w:p>
        </w:tc>
        <w:tc>
          <w:tcPr>
            <w:tcW w:w="160" w:type="dxa"/>
            <w:vAlign w:val="bottom"/>
          </w:tcPr>
          <w:p>
            <w:pPr>
              <w:spacing w:after="0"/>
              <w:rPr>
                <w:sz w:val="16"/>
                <w:szCs w:val="16"/>
                <w:color w:val="auto"/>
              </w:rPr>
            </w:pPr>
          </w:p>
        </w:tc>
        <w:tc>
          <w:tcPr>
            <w:tcW w:w="72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Jaume Pons, Ph.D.</w:t>
            </w:r>
          </w:p>
        </w:tc>
        <w:tc>
          <w:tcPr>
            <w:tcW w:w="460" w:type="dxa"/>
            <w:vAlign w:val="bottom"/>
            <w:tcBorders>
              <w:top w:val="single" w:sz="8" w:color="auto"/>
            </w:tcBorders>
            <w:shd w:val="clear" w:color="auto" w:fill="CCEEFF"/>
          </w:tcPr>
          <w:p>
            <w:pPr>
              <w:ind w:left="80"/>
              <w:spacing w:after="0" w:line="176" w:lineRule="exact"/>
              <w:rPr>
                <w:sz w:val="20"/>
                <w:szCs w:val="20"/>
                <w:color w:val="auto"/>
              </w:rPr>
            </w:pPr>
            <w:r>
              <w:rPr>
                <w:rFonts w:ascii="Arial" w:cs="Arial" w:eastAsia="Arial" w:hAnsi="Arial"/>
                <w:sz w:val="17"/>
                <w:szCs w:val="17"/>
                <w:color w:val="auto"/>
                <w:w w:val="95"/>
              </w:rPr>
              <w:t>2019</w:t>
            </w: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422,300</w:t>
            </w: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134,002</w:t>
            </w:r>
          </w:p>
        </w:tc>
        <w:tc>
          <w:tcPr>
            <w:tcW w:w="1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147,900</w:t>
            </w:r>
          </w:p>
        </w:tc>
        <w:tc>
          <w:tcPr>
            <w:tcW w:w="1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704,202</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gridSpan w:val="2"/>
          </w:tcPr>
          <w:p>
            <w:pPr>
              <w:ind w:left="500"/>
              <w:spacing w:after="0" w:line="189" w:lineRule="exact"/>
              <w:rPr>
                <w:sz w:val="20"/>
                <w:szCs w:val="20"/>
                <w:color w:val="auto"/>
              </w:rPr>
            </w:pPr>
            <w:r>
              <w:rPr>
                <w:rFonts w:ascii="Arial" w:cs="Arial" w:eastAsia="Arial" w:hAnsi="Arial"/>
                <w:sz w:val="17"/>
                <w:szCs w:val="17"/>
                <w:i w:val="1"/>
                <w:iCs w:val="1"/>
                <w:color w:val="auto"/>
              </w:rPr>
              <w:t>President and Chief Executive Officer</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Sophia Randolph, M.D., Ph.D.</w:t>
            </w:r>
          </w:p>
        </w:tc>
        <w:tc>
          <w:tcPr>
            <w:tcW w:w="64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2019</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351,100</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40,834</w:t>
            </w:r>
          </w:p>
        </w:tc>
        <w:tc>
          <w:tcPr>
            <w:tcW w:w="13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105,400</w:t>
            </w:r>
          </w:p>
        </w:tc>
        <w:tc>
          <w:tcPr>
            <w:tcW w:w="8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497,334</w:t>
            </w:r>
          </w:p>
        </w:tc>
        <w:tc>
          <w:tcPr>
            <w:tcW w:w="0" w:type="dxa"/>
            <w:vAlign w:val="bottom"/>
          </w:tcPr>
          <w:p>
            <w:pPr>
              <w:spacing w:after="0"/>
              <w:rPr>
                <w:sz w:val="1"/>
                <w:szCs w:val="1"/>
                <w:color w:val="auto"/>
              </w:rPr>
            </w:pPr>
          </w:p>
        </w:tc>
      </w:tr>
      <w:tr>
        <w:trPr>
          <w:trHeight w:val="189"/>
        </w:trPr>
        <w:tc>
          <w:tcPr>
            <w:tcW w:w="6480" w:type="dxa"/>
            <w:vAlign w:val="bottom"/>
            <w:gridSpan w:val="2"/>
          </w:tcPr>
          <w:p>
            <w:pPr>
              <w:ind w:left="500"/>
              <w:spacing w:after="0" w:line="189" w:lineRule="exact"/>
              <w:rPr>
                <w:sz w:val="20"/>
                <w:szCs w:val="20"/>
                <w:color w:val="auto"/>
              </w:rPr>
            </w:pPr>
            <w:r>
              <w:rPr>
                <w:rFonts w:ascii="Arial" w:cs="Arial" w:eastAsia="Arial" w:hAnsi="Arial"/>
                <w:sz w:val="17"/>
                <w:szCs w:val="17"/>
                <w:i w:val="1"/>
                <w:iCs w:val="1"/>
                <w:color w:val="auto"/>
              </w:rPr>
              <w:t>Chief Medical Officer</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Hong Wan, Ph.D.</w:t>
            </w:r>
          </w:p>
        </w:tc>
        <w:tc>
          <w:tcPr>
            <w:tcW w:w="64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2019</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313,100</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40,372</w:t>
            </w:r>
          </w:p>
        </w:tc>
        <w:tc>
          <w:tcPr>
            <w:tcW w:w="13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94,000</w:t>
            </w:r>
          </w:p>
        </w:tc>
        <w:tc>
          <w:tcPr>
            <w:tcW w:w="8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447,472</w:t>
            </w:r>
          </w:p>
        </w:tc>
        <w:tc>
          <w:tcPr>
            <w:tcW w:w="0" w:type="dxa"/>
            <w:vAlign w:val="bottom"/>
          </w:tcPr>
          <w:p>
            <w:pPr>
              <w:spacing w:after="0"/>
              <w:rPr>
                <w:sz w:val="1"/>
                <w:szCs w:val="1"/>
                <w:color w:val="auto"/>
              </w:rPr>
            </w:pPr>
          </w:p>
        </w:tc>
      </w:tr>
      <w:tr>
        <w:trPr>
          <w:trHeight w:val="223"/>
        </w:trPr>
        <w:tc>
          <w:tcPr>
            <w:tcW w:w="6480" w:type="dxa"/>
            <w:vAlign w:val="bottom"/>
            <w:gridSpan w:val="2"/>
          </w:tcPr>
          <w:p>
            <w:pPr>
              <w:ind w:left="500"/>
              <w:spacing w:after="0"/>
              <w:rPr>
                <w:sz w:val="20"/>
                <w:szCs w:val="20"/>
                <w:color w:val="auto"/>
              </w:rPr>
            </w:pPr>
            <w:r>
              <w:rPr>
                <w:rFonts w:ascii="Arial" w:cs="Arial" w:eastAsia="Arial" w:hAnsi="Arial"/>
                <w:sz w:val="17"/>
                <w:szCs w:val="17"/>
                <w:i w:val="1"/>
                <w:iCs w:val="1"/>
                <w:color w:val="auto"/>
              </w:rPr>
              <w:t>Chief Scientific Officer</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1" w:lineRule="exact"/>
        <w:rPr>
          <w:sz w:val="20"/>
          <w:szCs w:val="20"/>
          <w:color w:val="auto"/>
        </w:rPr>
      </w:pPr>
    </w:p>
    <w:p>
      <w:pPr>
        <w:ind w:left="540" w:right="20" w:hanging="276"/>
        <w:spacing w:after="0" w:line="249"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amounts disclosed represent the aggregate grant date fair value of the award as calculated in accordance with ASC 718. The assumptions used in calculating the grant date fair value of the award disclosed in this column are set forth in the notes to our audited consolidated financial statements included elsewhere in this prospectus. These amounts do not correspond to the actual value that may be recognized by the named executive officers upon vesting of the applicable awards.</w:t>
      </w:r>
    </w:p>
    <w:p>
      <w:pPr>
        <w:spacing w:after="0" w:line="25" w:lineRule="exact"/>
        <w:rPr>
          <w:rFonts w:ascii="Arial" w:cs="Arial" w:eastAsia="Arial" w:hAnsi="Arial"/>
          <w:sz w:val="14"/>
          <w:szCs w:val="14"/>
          <w:color w:val="auto"/>
        </w:rPr>
      </w:pPr>
    </w:p>
    <w:p>
      <w:pPr>
        <w:ind w:left="540" w:right="620" w:hanging="276"/>
        <w:spacing w:after="0" w:line="258"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amounts disclosed represent discretionary bonuses based upon achievement of certain Company and individual performance metrics for the year ended December 31, 2019, which were paid in March 2020.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 2019</w:t>
      </w:r>
    </w:p>
    <w:p>
      <w:pPr>
        <w:spacing w:after="0" w:line="80"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The following table sets forth information concerning outstanding equity awards held by each of our named executive officers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OPTION AWARDS</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gridSpan w:val="4"/>
          </w:tcPr>
          <w:p>
            <w:pPr>
              <w:ind w:left="3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07"/>
        </w:trPr>
        <w:tc>
          <w:tcPr>
            <w:tcW w:w="3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MARKET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68"/>
              <w:spacing w:after="0" w:line="135" w:lineRule="exact"/>
              <w:rPr>
                <w:sz w:val="20"/>
                <w:szCs w:val="20"/>
                <w:color w:val="auto"/>
              </w:rPr>
            </w:pPr>
            <w:r>
              <w:rPr>
                <w:rFonts w:ascii="Arial" w:cs="Arial" w:eastAsia="Arial" w:hAnsi="Arial"/>
                <w:sz w:val="13"/>
                <w:szCs w:val="13"/>
                <w:b w:val="1"/>
                <w:bCs w:val="1"/>
                <w:color w:val="auto"/>
                <w:w w:val="96"/>
              </w:rPr>
              <w:t>NUMBER OF</w:t>
            </w: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NUMBER OF</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NUMBER OF</w:t>
            </w:r>
          </w:p>
        </w:tc>
        <w:tc>
          <w:tcPr>
            <w:tcW w:w="44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SHARES</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68"/>
              <w:spacing w:after="0" w:line="135" w:lineRule="exact"/>
              <w:rPr>
                <w:sz w:val="20"/>
                <w:szCs w:val="20"/>
                <w:color w:val="auto"/>
              </w:rPr>
            </w:pPr>
            <w:r>
              <w:rPr>
                <w:rFonts w:ascii="Arial" w:cs="Arial" w:eastAsia="Arial" w:hAnsi="Arial"/>
                <w:sz w:val="13"/>
                <w:szCs w:val="13"/>
                <w:b w:val="1"/>
                <w:bCs w:val="1"/>
                <w:color w:val="auto"/>
                <w:w w:val="97"/>
              </w:rPr>
              <w:t>SECURITIES</w:t>
            </w: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SECURITIES</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SHARES OR</w:t>
            </w:r>
          </w:p>
        </w:tc>
        <w:tc>
          <w:tcPr>
            <w:tcW w:w="44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OR UNITS</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48"/>
              <w:spacing w:after="0" w:line="135" w:lineRule="exact"/>
              <w:rPr>
                <w:sz w:val="20"/>
                <w:szCs w:val="20"/>
                <w:color w:val="auto"/>
              </w:rPr>
            </w:pPr>
            <w:r>
              <w:rPr>
                <w:rFonts w:ascii="Arial" w:cs="Arial" w:eastAsia="Arial" w:hAnsi="Arial"/>
                <w:sz w:val="13"/>
                <w:szCs w:val="13"/>
                <w:b w:val="1"/>
                <w:bCs w:val="1"/>
                <w:color w:val="auto"/>
                <w:w w:val="95"/>
              </w:rPr>
              <w:t>UNDERLYING</w:t>
            </w: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UNDERLYING</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UNITS OF</w:t>
            </w:r>
          </w:p>
        </w:tc>
        <w:tc>
          <w:tcPr>
            <w:tcW w:w="44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8"/>
              </w:rPr>
              <w:t>OF STOCK</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68"/>
              <w:spacing w:after="0" w:line="135" w:lineRule="exact"/>
              <w:rPr>
                <w:sz w:val="20"/>
                <w:szCs w:val="20"/>
                <w:color w:val="auto"/>
              </w:rPr>
            </w:pPr>
            <w:r>
              <w:rPr>
                <w:rFonts w:ascii="Arial" w:cs="Arial" w:eastAsia="Arial" w:hAnsi="Arial"/>
                <w:sz w:val="13"/>
                <w:szCs w:val="13"/>
                <w:b w:val="1"/>
                <w:bCs w:val="1"/>
                <w:color w:val="auto"/>
                <w:w w:val="97"/>
              </w:rPr>
              <w:t>UNEXERCISED</w:t>
            </w: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UNEXERCISED</w:t>
            </w: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OPTION</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w:t>
            </w:r>
          </w:p>
        </w:tc>
        <w:tc>
          <w:tcPr>
            <w:tcW w:w="44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THAT HAVE</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68"/>
              <w:spacing w:after="0" w:line="135" w:lineRule="exact"/>
              <w:rPr>
                <w:sz w:val="20"/>
                <w:szCs w:val="20"/>
                <w:color w:val="auto"/>
              </w:rPr>
            </w:pPr>
            <w:r>
              <w:rPr>
                <w:rFonts w:ascii="Arial" w:cs="Arial" w:eastAsia="Arial" w:hAnsi="Arial"/>
                <w:sz w:val="13"/>
                <w:szCs w:val="13"/>
                <w:b w:val="1"/>
                <w:bCs w:val="1"/>
                <w:color w:val="auto"/>
                <w:w w:val="95"/>
              </w:rPr>
              <w:t>OPTIONS</w:t>
            </w: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OPTIONS</w:t>
            </w: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EXERCISE</w:t>
            </w: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OPTION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 HAVE</w:t>
            </w:r>
          </w:p>
        </w:tc>
        <w:tc>
          <w:tcPr>
            <w:tcW w:w="44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NOT</w:t>
            </w:r>
          </w:p>
        </w:tc>
        <w:tc>
          <w:tcPr>
            <w:tcW w:w="0" w:type="dxa"/>
            <w:vAlign w:val="bottom"/>
          </w:tcPr>
          <w:p>
            <w:pPr>
              <w:spacing w:after="0"/>
              <w:rPr>
                <w:sz w:val="1"/>
                <w:szCs w:val="1"/>
                <w:color w:val="auto"/>
              </w:rPr>
            </w:pPr>
          </w:p>
        </w:tc>
      </w:tr>
      <w:tr>
        <w:trPr>
          <w:trHeight w:val="135"/>
        </w:trPr>
        <w:tc>
          <w:tcPr>
            <w:tcW w:w="380" w:type="dxa"/>
            <w:vAlign w:val="bottom"/>
            <w:vMerge w:val="restart"/>
          </w:tcPr>
          <w:p>
            <w:pPr>
              <w:spacing w:after="0"/>
              <w:rPr>
                <w:sz w:val="20"/>
                <w:szCs w:val="20"/>
                <w:color w:val="auto"/>
              </w:rPr>
            </w:pPr>
            <w:r>
              <w:rPr>
                <w:rFonts w:ascii="Arial" w:cs="Arial" w:eastAsia="Arial" w:hAnsi="Arial"/>
                <w:sz w:val="13"/>
                <w:szCs w:val="13"/>
                <w:b w:val="1"/>
                <w:bCs w:val="1"/>
                <w:color w:val="auto"/>
                <w:w w:val="93"/>
              </w:rPr>
              <w:t>NAME</w:t>
            </w:r>
          </w:p>
        </w:tc>
        <w:tc>
          <w:tcPr>
            <w:tcW w:w="2820" w:type="dxa"/>
            <w:vAlign w:val="bottom"/>
            <w:vMerge w:val="restart"/>
          </w:tcPr>
          <w:p>
            <w:pPr>
              <w:spacing w:after="0"/>
              <w:rPr>
                <w:sz w:val="11"/>
                <w:szCs w:val="11"/>
                <w:color w:val="auto"/>
              </w:rPr>
            </w:pPr>
          </w:p>
        </w:tc>
        <w:tc>
          <w:tcPr>
            <w:tcW w:w="1180" w:type="dxa"/>
            <w:vAlign w:val="bottom"/>
            <w:gridSpan w:val="2"/>
          </w:tcPr>
          <w:p>
            <w:pPr>
              <w:ind w:left="240"/>
              <w:spacing w:after="0" w:line="135" w:lineRule="exact"/>
              <w:rPr>
                <w:sz w:val="20"/>
                <w:szCs w:val="20"/>
                <w:color w:val="auto"/>
              </w:rPr>
            </w:pPr>
            <w:r>
              <w:rPr>
                <w:rFonts w:ascii="Arial" w:cs="Arial" w:eastAsia="Arial" w:hAnsi="Arial"/>
                <w:sz w:val="13"/>
                <w:szCs w:val="13"/>
                <w:b w:val="1"/>
                <w:bCs w:val="1"/>
                <w:color w:val="auto"/>
              </w:rPr>
              <w:t>GRANT</w:t>
            </w:r>
          </w:p>
        </w:tc>
        <w:tc>
          <w:tcPr>
            <w:tcW w:w="1360" w:type="dxa"/>
            <w:vAlign w:val="bottom"/>
            <w:gridSpan w:val="2"/>
          </w:tcPr>
          <w:p>
            <w:pPr>
              <w:jc w:val="center"/>
              <w:ind w:right="348"/>
              <w:spacing w:after="0" w:line="135" w:lineRule="exact"/>
              <w:rPr>
                <w:sz w:val="20"/>
                <w:szCs w:val="20"/>
                <w:color w:val="auto"/>
              </w:rPr>
            </w:pPr>
            <w:r>
              <w:rPr>
                <w:rFonts w:ascii="Arial" w:cs="Arial" w:eastAsia="Arial" w:hAnsi="Arial"/>
                <w:sz w:val="13"/>
                <w:szCs w:val="13"/>
                <w:b w:val="1"/>
                <w:bCs w:val="1"/>
                <w:color w:val="auto"/>
                <w:w w:val="97"/>
              </w:rPr>
              <w:t>EXERCISABLE</w:t>
            </w: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EXERCISABLE</w:t>
            </w: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rPr>
              <w:t>PRICE</w:t>
            </w: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EXPIRATION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NOT</w:t>
            </w:r>
          </w:p>
        </w:tc>
        <w:tc>
          <w:tcPr>
            <w:tcW w:w="44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VESTED</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1180" w:type="dxa"/>
            <w:vAlign w:val="bottom"/>
            <w:gridSpan w:val="2"/>
          </w:tcPr>
          <w:p>
            <w:pPr>
              <w:ind w:left="220"/>
              <w:spacing w:after="0" w:line="144" w:lineRule="exact"/>
              <w:rPr>
                <w:sz w:val="20"/>
                <w:szCs w:val="20"/>
                <w:color w:val="auto"/>
              </w:rPr>
            </w:pPr>
            <w:r>
              <w:rPr>
                <w:rFonts w:ascii="Arial" w:cs="Arial" w:eastAsia="Arial" w:hAnsi="Arial"/>
                <w:sz w:val="13"/>
                <w:szCs w:val="13"/>
                <w:b w:val="1"/>
                <w:bCs w:val="1"/>
                <w:color w:val="auto"/>
              </w:rPr>
              <w:t>DATE</w:t>
            </w:r>
            <w:r>
              <w:rPr>
                <w:rFonts w:ascii="Arial" w:cs="Arial" w:eastAsia="Arial" w:hAnsi="Arial"/>
                <w:sz w:val="10"/>
                <w:szCs w:val="10"/>
                <w:b w:val="1"/>
                <w:bCs w:val="1"/>
                <w:color w:val="auto"/>
              </w:rPr>
              <w:t>(1)</w:t>
            </w: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4"/>
                <w:szCs w:val="14"/>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4"/>
                <w:szCs w:val="14"/>
                <w:color w:val="auto"/>
              </w:rPr>
            </w:pPr>
          </w:p>
        </w:tc>
        <w:tc>
          <w:tcPr>
            <w:tcW w:w="6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(2)</w:t>
            </w:r>
          </w:p>
        </w:tc>
        <w:tc>
          <w:tcPr>
            <w:tcW w:w="280" w:type="dxa"/>
            <w:vAlign w:val="bottom"/>
          </w:tcPr>
          <w:p>
            <w:pPr>
              <w:spacing w:after="0"/>
              <w:rPr>
                <w:sz w:val="14"/>
                <w:szCs w:val="14"/>
                <w:color w:val="auto"/>
              </w:rPr>
            </w:pPr>
          </w:p>
        </w:tc>
        <w:tc>
          <w:tcPr>
            <w:tcW w:w="11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5"/>
              </w:rPr>
              <w:t>DATE</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VESTED (#)</w:t>
            </w:r>
          </w:p>
        </w:tc>
        <w:tc>
          <w:tcPr>
            <w:tcW w:w="440" w:type="dxa"/>
            <w:vAlign w:val="bottom"/>
          </w:tcPr>
          <w:p>
            <w:pPr>
              <w:spacing w:after="0"/>
              <w:rPr>
                <w:sz w:val="14"/>
                <w:szCs w:val="14"/>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Jaume Pons, Ph.D.</w:t>
            </w: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03/30/2017</w:t>
            </w:r>
          </w:p>
        </w:tc>
        <w:tc>
          <w:tcPr>
            <w:tcW w:w="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1,150,200</w:t>
            </w:r>
          </w:p>
        </w:tc>
        <w:tc>
          <w:tcPr>
            <w:tcW w:w="440" w:type="dxa"/>
            <w:vAlign w:val="bottom"/>
            <w:tcBorders>
              <w:top w:val="single" w:sz="8" w:color="CCEEFF"/>
            </w:tcBorders>
            <w:shd w:val="clear" w:color="auto" w:fill="CCEEFF"/>
          </w:tcPr>
          <w:p>
            <w:pPr>
              <w:jc w:val="right"/>
              <w:ind w:right="188"/>
              <w:spacing w:after="0" w:line="164" w:lineRule="exact"/>
              <w:rPr>
                <w:sz w:val="20"/>
                <w:szCs w:val="20"/>
                <w:color w:val="auto"/>
              </w:rPr>
            </w:pPr>
            <w:r>
              <w:rPr>
                <w:rFonts w:ascii="Arial" w:cs="Arial" w:eastAsia="Arial" w:hAnsi="Arial"/>
                <w:sz w:val="15"/>
                <w:szCs w:val="15"/>
                <w:color w:val="auto"/>
                <w:w w:val="87"/>
              </w:rPr>
              <w:t>(4)</w:t>
            </w: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575,100</w:t>
            </w: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0.15</w:t>
            </w:r>
          </w:p>
        </w:tc>
        <w:tc>
          <w:tcPr>
            <w:tcW w:w="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03/30/2027</w:t>
            </w:r>
          </w:p>
        </w:tc>
        <w:tc>
          <w:tcPr>
            <w:tcW w:w="2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
        </w:trPr>
        <w:tc>
          <w:tcPr>
            <w:tcW w:w="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80" w:type="dxa"/>
            <w:vAlign w:val="bottom"/>
            <w:gridSpan w:val="2"/>
          </w:tcPr>
          <w:p>
            <w:pPr>
              <w:jc w:val="right"/>
              <w:ind w:right="260"/>
              <w:spacing w:after="0" w:line="4" w:lineRule="exact"/>
              <w:rPr>
                <w:sz w:val="20"/>
                <w:szCs w:val="20"/>
                <w:color w:val="auto"/>
              </w:rPr>
            </w:pPr>
            <w:r>
              <w:rPr>
                <w:rFonts w:ascii="Arial" w:cs="Arial" w:eastAsia="Arial" w:hAnsi="Arial"/>
                <w:sz w:val="1"/>
                <w:szCs w:val="1"/>
                <w:color w:val="auto"/>
              </w:rPr>
              <w:t>09/12/2019</w:t>
            </w:r>
          </w:p>
        </w:tc>
        <w:tc>
          <w:tcPr>
            <w:tcW w:w="1360" w:type="dxa"/>
            <w:vAlign w:val="bottom"/>
            <w:gridSpan w:val="2"/>
          </w:tcPr>
          <w:p>
            <w:pPr>
              <w:jc w:val="right"/>
              <w:ind w:right="368"/>
              <w:spacing w:after="0" w:line="4" w:lineRule="exact"/>
              <w:rPr>
                <w:sz w:val="20"/>
                <w:szCs w:val="20"/>
                <w:color w:val="auto"/>
              </w:rPr>
            </w:pPr>
            <w:r>
              <w:rPr>
                <w:rFonts w:ascii="Arial" w:cs="Arial" w:eastAsia="Arial" w:hAnsi="Arial"/>
                <w:sz w:val="1"/>
                <w:szCs w:val="1"/>
                <w:color w:val="auto"/>
              </w:rPr>
              <w:t>695,700</w:t>
            </w:r>
          </w:p>
        </w:tc>
        <w:tc>
          <w:tcPr>
            <w:tcW w:w="1200" w:type="dxa"/>
            <w:vAlign w:val="bottom"/>
            <w:gridSpan w:val="2"/>
          </w:tcPr>
          <w:p>
            <w:pPr>
              <w:jc w:val="right"/>
              <w:ind w:right="280"/>
              <w:spacing w:after="0" w:line="4" w:lineRule="exact"/>
              <w:rPr>
                <w:sz w:val="20"/>
                <w:szCs w:val="20"/>
                <w:color w:val="auto"/>
              </w:rPr>
            </w:pPr>
            <w:r>
              <w:rPr>
                <w:rFonts w:ascii="Arial" w:cs="Arial" w:eastAsia="Arial" w:hAnsi="Arial"/>
                <w:sz w:val="1"/>
                <w:szCs w:val="1"/>
                <w:color w:val="auto"/>
              </w:rPr>
              <w:t>—</w:t>
            </w:r>
          </w:p>
        </w:tc>
        <w:tc>
          <w:tcPr>
            <w:tcW w:w="920" w:type="dxa"/>
            <w:vAlign w:val="bottom"/>
            <w:gridSpan w:val="2"/>
          </w:tcPr>
          <w:p>
            <w:pPr>
              <w:jc w:val="right"/>
              <w:ind w:right="280"/>
              <w:spacing w:after="0" w:line="4" w:lineRule="exact"/>
              <w:rPr>
                <w:sz w:val="20"/>
                <w:szCs w:val="20"/>
                <w:color w:val="auto"/>
              </w:rPr>
            </w:pPr>
            <w:r>
              <w:rPr>
                <w:rFonts w:ascii="Arial" w:cs="Arial" w:eastAsia="Arial" w:hAnsi="Arial"/>
                <w:sz w:val="1"/>
                <w:szCs w:val="1"/>
                <w:color w:val="auto"/>
              </w:rPr>
              <w:t>0.29</w:t>
            </w:r>
          </w:p>
        </w:tc>
        <w:tc>
          <w:tcPr>
            <w:tcW w:w="1180" w:type="dxa"/>
            <w:vAlign w:val="bottom"/>
            <w:gridSpan w:val="2"/>
          </w:tcPr>
          <w:p>
            <w:pPr>
              <w:jc w:val="right"/>
              <w:ind w:right="260"/>
              <w:spacing w:after="0" w:line="4" w:lineRule="exact"/>
              <w:rPr>
                <w:sz w:val="20"/>
                <w:szCs w:val="20"/>
                <w:color w:val="auto"/>
              </w:rPr>
            </w:pPr>
            <w:r>
              <w:rPr>
                <w:rFonts w:ascii="Arial" w:cs="Arial" w:eastAsia="Arial" w:hAnsi="Arial"/>
                <w:sz w:val="1"/>
                <w:szCs w:val="1"/>
                <w:color w:val="auto"/>
              </w:rPr>
              <w:t>09/12/2029</w:t>
            </w:r>
          </w:p>
        </w:tc>
        <w:tc>
          <w:tcPr>
            <w:tcW w:w="780" w:type="dxa"/>
            <w:vAlign w:val="bottom"/>
          </w:tcPr>
          <w:p>
            <w:pPr>
              <w:jc w:val="right"/>
              <w:spacing w:after="0" w:line="4" w:lineRule="exact"/>
              <w:rPr>
                <w:sz w:val="20"/>
                <w:szCs w:val="20"/>
                <w:color w:val="auto"/>
              </w:rPr>
            </w:pPr>
            <w:r>
              <w:rPr>
                <w:rFonts w:ascii="Arial" w:cs="Arial" w:eastAsia="Arial" w:hAnsi="Arial"/>
                <w:sz w:val="1"/>
                <w:szCs w:val="1"/>
                <w:color w:val="auto"/>
              </w:rPr>
              <w:t>—</w:t>
            </w:r>
          </w:p>
        </w:tc>
        <w:tc>
          <w:tcPr>
            <w:tcW w:w="440" w:type="dxa"/>
            <w:vAlign w:val="bottom"/>
          </w:tcPr>
          <w:p>
            <w:pPr>
              <w:spacing w:after="0" w:line="20" w:lineRule="exact"/>
              <w:rPr>
                <w:sz w:val="1"/>
                <w:szCs w:val="1"/>
                <w:color w:val="auto"/>
              </w:rPr>
            </w:pPr>
          </w:p>
        </w:tc>
        <w:tc>
          <w:tcPr>
            <w:tcW w:w="76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188"/>
              <w:spacing w:after="0"/>
              <w:rPr>
                <w:sz w:val="20"/>
                <w:szCs w:val="20"/>
                <w:color w:val="auto"/>
              </w:rPr>
            </w:pPr>
            <w:r>
              <w:rPr>
                <w:rFonts w:ascii="Arial" w:cs="Arial" w:eastAsia="Arial" w:hAnsi="Arial"/>
                <w:sz w:val="15"/>
                <w:szCs w:val="15"/>
                <w:color w:val="auto"/>
              </w:rPr>
              <w:t>(5)</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00" w:type="dxa"/>
            <w:vAlign w:val="bottom"/>
            <w:tcBorders>
              <w:bottom w:val="single" w:sz="8" w:color="CCEEFF"/>
            </w:tcBorders>
            <w:gridSpan w:val="2"/>
            <w:shd w:val="clear" w:color="auto" w:fill="CCEEFF"/>
          </w:tcPr>
          <w:p>
            <w:pPr>
              <w:spacing w:after="0" w:line="141" w:lineRule="exact"/>
              <w:rPr>
                <w:sz w:val="20"/>
                <w:szCs w:val="20"/>
                <w:color w:val="auto"/>
              </w:rPr>
            </w:pPr>
            <w:r>
              <w:rPr>
                <w:rFonts w:ascii="Arial" w:cs="Arial" w:eastAsia="Arial" w:hAnsi="Arial"/>
                <w:sz w:val="16"/>
                <w:szCs w:val="16"/>
                <w:color w:val="auto"/>
              </w:rPr>
              <w:t>Sophia Randolph, M.D., Ph.D.</w:t>
            </w:r>
          </w:p>
        </w:tc>
        <w:tc>
          <w:tcPr>
            <w:tcW w:w="1180" w:type="dxa"/>
            <w:vAlign w:val="bottom"/>
            <w:tcBorders>
              <w:bottom w:val="single" w:sz="8" w:color="CCEEFF"/>
            </w:tcBorders>
            <w:gridSpan w:val="2"/>
            <w:shd w:val="clear" w:color="auto" w:fill="CCEEFF"/>
          </w:tcPr>
          <w:p>
            <w:pPr>
              <w:jc w:val="right"/>
              <w:ind w:right="260"/>
              <w:spacing w:after="0" w:line="141" w:lineRule="exact"/>
              <w:rPr>
                <w:sz w:val="20"/>
                <w:szCs w:val="20"/>
                <w:color w:val="auto"/>
              </w:rPr>
            </w:pPr>
            <w:r>
              <w:rPr>
                <w:rFonts w:ascii="Arial" w:cs="Arial" w:eastAsia="Arial" w:hAnsi="Arial"/>
                <w:sz w:val="16"/>
                <w:szCs w:val="16"/>
                <w:color w:val="auto"/>
              </w:rPr>
              <w:t>11/10/2016</w:t>
            </w:r>
          </w:p>
        </w:tc>
        <w:tc>
          <w:tcPr>
            <w:tcW w:w="1360" w:type="dxa"/>
            <w:vAlign w:val="bottom"/>
            <w:tcBorders>
              <w:bottom w:val="single" w:sz="8" w:color="CCEEFF"/>
            </w:tcBorders>
            <w:gridSpan w:val="2"/>
            <w:shd w:val="clear" w:color="auto" w:fill="CCEEFF"/>
          </w:tcPr>
          <w:p>
            <w:pPr>
              <w:jc w:val="right"/>
              <w:ind w:right="368"/>
              <w:spacing w:after="0" w:line="141"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80"/>
              <w:spacing w:after="0" w:line="141"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80"/>
              <w:spacing w:after="0" w:line="141"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60"/>
              <w:spacing w:after="0" w:line="141"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line="141" w:lineRule="exact"/>
              <w:rPr>
                <w:sz w:val="20"/>
                <w:szCs w:val="20"/>
                <w:color w:val="auto"/>
              </w:rPr>
            </w:pPr>
            <w:r>
              <w:rPr>
                <w:rFonts w:ascii="Arial" w:cs="Arial" w:eastAsia="Arial" w:hAnsi="Arial"/>
                <w:sz w:val="16"/>
                <w:szCs w:val="16"/>
                <w:color w:val="auto"/>
              </w:rPr>
              <w:t>109,374</w:t>
            </w:r>
          </w:p>
        </w:tc>
        <w:tc>
          <w:tcPr>
            <w:tcW w:w="440" w:type="dxa"/>
            <w:vAlign w:val="bottom"/>
            <w:tcBorders>
              <w:bottom w:val="single" w:sz="8" w:color="CCEEFF"/>
            </w:tcBorders>
            <w:shd w:val="clear" w:color="auto" w:fill="CCEEFF"/>
          </w:tcPr>
          <w:p>
            <w:pPr>
              <w:jc w:val="right"/>
              <w:ind w:right="207"/>
              <w:spacing w:after="0" w:line="169" w:lineRule="exact"/>
              <w:rPr>
                <w:sz w:val="20"/>
                <w:szCs w:val="20"/>
                <w:color w:val="auto"/>
              </w:rPr>
            </w:pPr>
            <w:r>
              <w:rPr>
                <w:rFonts w:ascii="Arial" w:cs="Arial" w:eastAsia="Arial" w:hAnsi="Arial"/>
                <w:sz w:val="15"/>
                <w:szCs w:val="15"/>
                <w:color w:val="auto"/>
                <w:w w:val="76"/>
              </w:rPr>
              <w:t>(6)</w:t>
            </w:r>
          </w:p>
        </w:tc>
        <w:tc>
          <w:tcPr>
            <w:tcW w:w="760" w:type="dxa"/>
            <w:vAlign w:val="bottom"/>
            <w:tcBorders>
              <w:bottom w:val="single" w:sz="8" w:color="CCEEFF"/>
            </w:tcBorders>
            <w:gridSpan w:val="2"/>
            <w:shd w:val="clear" w:color="auto" w:fill="CCEEFF"/>
          </w:tcPr>
          <w:p>
            <w:pPr>
              <w:jc w:val="right"/>
              <w:ind w:right="60"/>
              <w:spacing w:after="0" w:line="141" w:lineRule="exact"/>
              <w:rPr>
                <w:sz w:val="20"/>
                <w:szCs w:val="20"/>
                <w:color w:val="auto"/>
              </w:rPr>
            </w:pPr>
            <w:r>
              <w:rPr>
                <w:rFonts w:ascii="Arial" w:cs="Arial" w:eastAsia="Arial" w:hAnsi="Arial"/>
                <w:sz w:val="16"/>
                <w:szCs w:val="16"/>
                <w:color w:val="auto"/>
              </w:rPr>
              <w:t>31,718</w:t>
            </w:r>
          </w:p>
        </w:tc>
        <w:tc>
          <w:tcPr>
            <w:tcW w:w="0" w:type="dxa"/>
            <w:vAlign w:val="bottom"/>
          </w:tcPr>
          <w:p>
            <w:pPr>
              <w:spacing w:after="0"/>
              <w:rPr>
                <w:sz w:val="1"/>
                <w:szCs w:val="1"/>
                <w:color w:val="auto"/>
              </w:rPr>
            </w:pPr>
          </w:p>
        </w:tc>
      </w:tr>
      <w:tr>
        <w:trPr>
          <w:trHeight w:val="10"/>
        </w:trPr>
        <w:tc>
          <w:tcPr>
            <w:tcW w:w="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80" w:type="dxa"/>
            <w:vAlign w:val="bottom"/>
            <w:gridSpan w:val="2"/>
          </w:tcPr>
          <w:p>
            <w:pPr>
              <w:jc w:val="right"/>
              <w:ind w:right="260"/>
              <w:spacing w:after="0" w:line="10" w:lineRule="exact"/>
              <w:rPr>
                <w:sz w:val="20"/>
                <w:szCs w:val="20"/>
                <w:color w:val="auto"/>
              </w:rPr>
            </w:pPr>
            <w:r>
              <w:rPr>
                <w:rFonts w:ascii="Arial" w:cs="Arial" w:eastAsia="Arial" w:hAnsi="Arial"/>
                <w:sz w:val="1"/>
                <w:szCs w:val="1"/>
                <w:color w:val="auto"/>
              </w:rPr>
              <w:t>03/30/2017</w:t>
            </w:r>
          </w:p>
        </w:tc>
        <w:tc>
          <w:tcPr>
            <w:tcW w:w="1360" w:type="dxa"/>
            <w:vAlign w:val="bottom"/>
            <w:gridSpan w:val="2"/>
          </w:tcPr>
          <w:p>
            <w:pPr>
              <w:jc w:val="right"/>
              <w:ind w:right="368"/>
              <w:spacing w:after="0" w:line="10" w:lineRule="exact"/>
              <w:rPr>
                <w:sz w:val="20"/>
                <w:szCs w:val="20"/>
                <w:color w:val="auto"/>
              </w:rPr>
            </w:pPr>
            <w:r>
              <w:rPr>
                <w:rFonts w:ascii="Arial" w:cs="Arial" w:eastAsia="Arial" w:hAnsi="Arial"/>
                <w:sz w:val="1"/>
                <w:szCs w:val="1"/>
                <w:color w:val="auto"/>
              </w:rPr>
              <w:t>299,333</w:t>
            </w:r>
          </w:p>
        </w:tc>
        <w:tc>
          <w:tcPr>
            <w:tcW w:w="1200" w:type="dxa"/>
            <w:vAlign w:val="bottom"/>
            <w:gridSpan w:val="2"/>
          </w:tcPr>
          <w:p>
            <w:pPr>
              <w:jc w:val="right"/>
              <w:ind w:right="280"/>
              <w:spacing w:after="0" w:line="10" w:lineRule="exact"/>
              <w:rPr>
                <w:sz w:val="20"/>
                <w:szCs w:val="20"/>
                <w:color w:val="auto"/>
              </w:rPr>
            </w:pPr>
            <w:r>
              <w:rPr>
                <w:rFonts w:ascii="Arial" w:cs="Arial" w:eastAsia="Arial" w:hAnsi="Arial"/>
                <w:sz w:val="1"/>
                <w:szCs w:val="1"/>
                <w:color w:val="auto"/>
              </w:rPr>
              <w:t>149,667</w:t>
            </w:r>
          </w:p>
        </w:tc>
        <w:tc>
          <w:tcPr>
            <w:tcW w:w="920" w:type="dxa"/>
            <w:vAlign w:val="bottom"/>
            <w:gridSpan w:val="2"/>
          </w:tcPr>
          <w:p>
            <w:pPr>
              <w:jc w:val="right"/>
              <w:ind w:right="280"/>
              <w:spacing w:after="0" w:line="10" w:lineRule="exact"/>
              <w:rPr>
                <w:sz w:val="20"/>
                <w:szCs w:val="20"/>
                <w:color w:val="auto"/>
              </w:rPr>
            </w:pPr>
            <w:r>
              <w:rPr>
                <w:rFonts w:ascii="Arial" w:cs="Arial" w:eastAsia="Arial" w:hAnsi="Arial"/>
                <w:sz w:val="1"/>
                <w:szCs w:val="1"/>
                <w:color w:val="auto"/>
              </w:rPr>
              <w:t>0.15</w:t>
            </w:r>
          </w:p>
        </w:tc>
        <w:tc>
          <w:tcPr>
            <w:tcW w:w="1180" w:type="dxa"/>
            <w:vAlign w:val="bottom"/>
            <w:gridSpan w:val="2"/>
          </w:tcPr>
          <w:p>
            <w:pPr>
              <w:jc w:val="right"/>
              <w:ind w:right="260"/>
              <w:spacing w:after="0" w:line="10" w:lineRule="exact"/>
              <w:rPr>
                <w:sz w:val="20"/>
                <w:szCs w:val="20"/>
                <w:color w:val="auto"/>
              </w:rPr>
            </w:pPr>
            <w:r>
              <w:rPr>
                <w:rFonts w:ascii="Arial" w:cs="Arial" w:eastAsia="Arial" w:hAnsi="Arial"/>
                <w:sz w:val="1"/>
                <w:szCs w:val="1"/>
                <w:color w:val="auto"/>
              </w:rPr>
              <w:t>03/30/2027</w:t>
            </w:r>
          </w:p>
        </w:tc>
        <w:tc>
          <w:tcPr>
            <w:tcW w:w="780" w:type="dxa"/>
            <w:vAlign w:val="bottom"/>
          </w:tcPr>
          <w:p>
            <w:pPr>
              <w:jc w:val="right"/>
              <w:spacing w:after="0" w:line="10" w:lineRule="exact"/>
              <w:rPr>
                <w:sz w:val="20"/>
                <w:szCs w:val="20"/>
                <w:color w:val="auto"/>
              </w:rPr>
            </w:pPr>
            <w:r>
              <w:rPr>
                <w:rFonts w:ascii="Arial" w:cs="Arial" w:eastAsia="Arial" w:hAnsi="Arial"/>
                <w:sz w:val="1"/>
                <w:szCs w:val="1"/>
                <w:color w:val="auto"/>
              </w:rPr>
              <w:t>—</w:t>
            </w:r>
          </w:p>
        </w:tc>
        <w:tc>
          <w:tcPr>
            <w:tcW w:w="440" w:type="dxa"/>
            <w:vAlign w:val="bottom"/>
          </w:tcPr>
          <w:p>
            <w:pPr>
              <w:spacing w:after="0" w:line="20" w:lineRule="exact"/>
              <w:rPr>
                <w:sz w:val="1"/>
                <w:szCs w:val="1"/>
                <w:color w:val="auto"/>
              </w:rPr>
            </w:pPr>
          </w:p>
        </w:tc>
        <w:tc>
          <w:tcPr>
            <w:tcW w:w="760" w:type="dxa"/>
            <w:vAlign w:val="bottom"/>
            <w:gridSpan w:val="2"/>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188"/>
              <w:spacing w:after="0"/>
              <w:rPr>
                <w:sz w:val="20"/>
                <w:szCs w:val="20"/>
                <w:color w:val="auto"/>
              </w:rPr>
            </w:pPr>
            <w:r>
              <w:rPr>
                <w:rFonts w:ascii="Arial" w:cs="Arial" w:eastAsia="Arial" w:hAnsi="Arial"/>
                <w:sz w:val="15"/>
                <w:szCs w:val="15"/>
                <w:color w:val="auto"/>
              </w:rPr>
              <w:t>(4)</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38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118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09/12/2019</w:t>
            </w:r>
          </w:p>
        </w:tc>
        <w:tc>
          <w:tcPr>
            <w:tcW w:w="1360" w:type="dxa"/>
            <w:vAlign w:val="bottom"/>
            <w:gridSpan w:val="2"/>
            <w:shd w:val="clear" w:color="auto" w:fill="CCEEFF"/>
          </w:tcPr>
          <w:p>
            <w:pPr>
              <w:jc w:val="right"/>
              <w:ind w:right="368"/>
              <w:spacing w:after="0" w:line="10" w:lineRule="exact"/>
              <w:rPr>
                <w:sz w:val="20"/>
                <w:szCs w:val="20"/>
                <w:color w:val="auto"/>
              </w:rPr>
            </w:pPr>
            <w:r>
              <w:rPr>
                <w:rFonts w:ascii="Arial" w:cs="Arial" w:eastAsia="Arial" w:hAnsi="Arial"/>
                <w:sz w:val="1"/>
                <w:szCs w:val="1"/>
                <w:color w:val="auto"/>
              </w:rPr>
              <w:t>212,000</w:t>
            </w:r>
          </w:p>
        </w:tc>
        <w:tc>
          <w:tcPr>
            <w:tcW w:w="1200" w:type="dxa"/>
            <w:vAlign w:val="bottom"/>
            <w:gridSpan w:val="2"/>
            <w:shd w:val="clear" w:color="auto" w:fill="CCEEFF"/>
          </w:tcPr>
          <w:p>
            <w:pPr>
              <w:jc w:val="right"/>
              <w:ind w:right="280"/>
              <w:spacing w:after="0" w:line="10" w:lineRule="exact"/>
              <w:rPr>
                <w:sz w:val="20"/>
                <w:szCs w:val="20"/>
                <w:color w:val="auto"/>
              </w:rPr>
            </w:pPr>
            <w:r>
              <w:rPr>
                <w:rFonts w:ascii="Arial" w:cs="Arial" w:eastAsia="Arial" w:hAnsi="Arial"/>
                <w:sz w:val="1"/>
                <w:szCs w:val="1"/>
                <w:color w:val="auto"/>
              </w:rPr>
              <w:t>—</w:t>
            </w:r>
          </w:p>
        </w:tc>
        <w:tc>
          <w:tcPr>
            <w:tcW w:w="920" w:type="dxa"/>
            <w:vAlign w:val="bottom"/>
            <w:gridSpan w:val="2"/>
            <w:shd w:val="clear" w:color="auto" w:fill="CCEEFF"/>
          </w:tcPr>
          <w:p>
            <w:pPr>
              <w:jc w:val="right"/>
              <w:ind w:right="280"/>
              <w:spacing w:after="0" w:line="10" w:lineRule="exact"/>
              <w:rPr>
                <w:sz w:val="20"/>
                <w:szCs w:val="20"/>
                <w:color w:val="auto"/>
              </w:rPr>
            </w:pPr>
            <w:r>
              <w:rPr>
                <w:rFonts w:ascii="Arial" w:cs="Arial" w:eastAsia="Arial" w:hAnsi="Arial"/>
                <w:sz w:val="1"/>
                <w:szCs w:val="1"/>
                <w:color w:val="auto"/>
              </w:rPr>
              <w:t>0.29</w:t>
            </w:r>
          </w:p>
        </w:tc>
        <w:tc>
          <w:tcPr>
            <w:tcW w:w="118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09/12/2029</w:t>
            </w:r>
          </w:p>
        </w:tc>
        <w:tc>
          <w:tcPr>
            <w:tcW w:w="780" w:type="dxa"/>
            <w:vAlign w:val="bottom"/>
            <w:shd w:val="clear" w:color="auto" w:fill="CCEEFF"/>
          </w:tcPr>
          <w:p>
            <w:pPr>
              <w:jc w:val="right"/>
              <w:spacing w:after="0" w:line="10" w:lineRule="exact"/>
              <w:rPr>
                <w:sz w:val="20"/>
                <w:szCs w:val="20"/>
                <w:color w:val="auto"/>
              </w:rPr>
            </w:pPr>
            <w:r>
              <w:rPr>
                <w:rFonts w:ascii="Arial" w:cs="Arial" w:eastAsia="Arial" w:hAnsi="Arial"/>
                <w:sz w:val="1"/>
                <w:szCs w:val="1"/>
                <w:color w:val="auto"/>
              </w:rPr>
              <w:t>—</w:t>
            </w:r>
          </w:p>
        </w:tc>
        <w:tc>
          <w:tcPr>
            <w:tcW w:w="44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88"/>
              <w:spacing w:after="0"/>
              <w:rPr>
                <w:sz w:val="20"/>
                <w:szCs w:val="20"/>
                <w:color w:val="auto"/>
              </w:rPr>
            </w:pPr>
            <w:r>
              <w:rPr>
                <w:rFonts w:ascii="Arial" w:cs="Arial" w:eastAsia="Arial" w:hAnsi="Arial"/>
                <w:sz w:val="15"/>
                <w:szCs w:val="15"/>
                <w:color w:val="auto"/>
              </w:rPr>
              <w:t>(5)</w:t>
            </w: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3200" w:type="dxa"/>
            <w:vAlign w:val="bottom"/>
            <w:gridSpan w:val="2"/>
          </w:tcPr>
          <w:p>
            <w:pPr>
              <w:spacing w:after="0" w:line="10" w:lineRule="exact"/>
              <w:rPr>
                <w:sz w:val="20"/>
                <w:szCs w:val="20"/>
                <w:color w:val="auto"/>
              </w:rPr>
            </w:pPr>
            <w:r>
              <w:rPr>
                <w:rFonts w:ascii="Arial" w:cs="Arial" w:eastAsia="Arial" w:hAnsi="Arial"/>
                <w:sz w:val="1"/>
                <w:szCs w:val="1"/>
                <w:color w:val="auto"/>
              </w:rPr>
              <w:t>Hong Wan, Ph.D.</w:t>
            </w:r>
          </w:p>
        </w:tc>
        <w:tc>
          <w:tcPr>
            <w:tcW w:w="1180" w:type="dxa"/>
            <w:vAlign w:val="bottom"/>
            <w:gridSpan w:val="2"/>
          </w:tcPr>
          <w:p>
            <w:pPr>
              <w:jc w:val="right"/>
              <w:ind w:right="260"/>
              <w:spacing w:after="0" w:line="10" w:lineRule="exact"/>
              <w:rPr>
                <w:sz w:val="20"/>
                <w:szCs w:val="20"/>
                <w:color w:val="auto"/>
              </w:rPr>
            </w:pPr>
            <w:r>
              <w:rPr>
                <w:rFonts w:ascii="Arial" w:cs="Arial" w:eastAsia="Arial" w:hAnsi="Arial"/>
                <w:sz w:val="1"/>
                <w:szCs w:val="1"/>
                <w:color w:val="auto"/>
              </w:rPr>
              <w:t>03/30/2017</w:t>
            </w:r>
          </w:p>
        </w:tc>
        <w:tc>
          <w:tcPr>
            <w:tcW w:w="1360" w:type="dxa"/>
            <w:vAlign w:val="bottom"/>
            <w:gridSpan w:val="2"/>
          </w:tcPr>
          <w:p>
            <w:pPr>
              <w:jc w:val="right"/>
              <w:ind w:right="368"/>
              <w:spacing w:after="0" w:line="10" w:lineRule="exact"/>
              <w:rPr>
                <w:sz w:val="20"/>
                <w:szCs w:val="20"/>
                <w:color w:val="auto"/>
              </w:rPr>
            </w:pPr>
            <w:r>
              <w:rPr>
                <w:rFonts w:ascii="Arial" w:cs="Arial" w:eastAsia="Arial" w:hAnsi="Arial"/>
                <w:sz w:val="1"/>
                <w:szCs w:val="1"/>
                <w:color w:val="auto"/>
              </w:rPr>
              <w:t>297,600</w:t>
            </w:r>
          </w:p>
        </w:tc>
        <w:tc>
          <w:tcPr>
            <w:tcW w:w="1200" w:type="dxa"/>
            <w:vAlign w:val="bottom"/>
            <w:gridSpan w:val="2"/>
          </w:tcPr>
          <w:p>
            <w:pPr>
              <w:jc w:val="right"/>
              <w:ind w:right="280"/>
              <w:spacing w:after="0" w:line="10" w:lineRule="exact"/>
              <w:rPr>
                <w:sz w:val="20"/>
                <w:szCs w:val="20"/>
                <w:color w:val="auto"/>
              </w:rPr>
            </w:pPr>
            <w:r>
              <w:rPr>
                <w:rFonts w:ascii="Arial" w:cs="Arial" w:eastAsia="Arial" w:hAnsi="Arial"/>
                <w:sz w:val="1"/>
                <w:szCs w:val="1"/>
                <w:color w:val="auto"/>
              </w:rPr>
              <w:t>148,800</w:t>
            </w:r>
          </w:p>
        </w:tc>
        <w:tc>
          <w:tcPr>
            <w:tcW w:w="920" w:type="dxa"/>
            <w:vAlign w:val="bottom"/>
            <w:gridSpan w:val="2"/>
          </w:tcPr>
          <w:p>
            <w:pPr>
              <w:jc w:val="right"/>
              <w:ind w:right="280"/>
              <w:spacing w:after="0" w:line="10" w:lineRule="exact"/>
              <w:rPr>
                <w:sz w:val="20"/>
                <w:szCs w:val="20"/>
                <w:color w:val="auto"/>
              </w:rPr>
            </w:pPr>
            <w:r>
              <w:rPr>
                <w:rFonts w:ascii="Arial" w:cs="Arial" w:eastAsia="Arial" w:hAnsi="Arial"/>
                <w:sz w:val="1"/>
                <w:szCs w:val="1"/>
                <w:color w:val="auto"/>
              </w:rPr>
              <w:t>0.15</w:t>
            </w:r>
          </w:p>
        </w:tc>
        <w:tc>
          <w:tcPr>
            <w:tcW w:w="1180" w:type="dxa"/>
            <w:vAlign w:val="bottom"/>
            <w:gridSpan w:val="2"/>
          </w:tcPr>
          <w:p>
            <w:pPr>
              <w:jc w:val="right"/>
              <w:ind w:right="260"/>
              <w:spacing w:after="0" w:line="10" w:lineRule="exact"/>
              <w:rPr>
                <w:sz w:val="20"/>
                <w:szCs w:val="20"/>
                <w:color w:val="auto"/>
              </w:rPr>
            </w:pPr>
            <w:r>
              <w:rPr>
                <w:rFonts w:ascii="Arial" w:cs="Arial" w:eastAsia="Arial" w:hAnsi="Arial"/>
                <w:sz w:val="1"/>
                <w:szCs w:val="1"/>
                <w:color w:val="auto"/>
              </w:rPr>
              <w:t>03/30/2027</w:t>
            </w:r>
          </w:p>
        </w:tc>
        <w:tc>
          <w:tcPr>
            <w:tcW w:w="780" w:type="dxa"/>
            <w:vAlign w:val="bottom"/>
          </w:tcPr>
          <w:p>
            <w:pPr>
              <w:jc w:val="right"/>
              <w:spacing w:after="0" w:line="10" w:lineRule="exact"/>
              <w:rPr>
                <w:sz w:val="20"/>
                <w:szCs w:val="20"/>
                <w:color w:val="auto"/>
              </w:rPr>
            </w:pPr>
            <w:r>
              <w:rPr>
                <w:rFonts w:ascii="Arial" w:cs="Arial" w:eastAsia="Arial" w:hAnsi="Arial"/>
                <w:sz w:val="1"/>
                <w:szCs w:val="1"/>
                <w:color w:val="auto"/>
              </w:rPr>
              <w:t>—</w:t>
            </w:r>
          </w:p>
        </w:tc>
        <w:tc>
          <w:tcPr>
            <w:tcW w:w="440" w:type="dxa"/>
            <w:vAlign w:val="bottom"/>
          </w:tcPr>
          <w:p>
            <w:pPr>
              <w:spacing w:after="0" w:line="20" w:lineRule="exact"/>
              <w:rPr>
                <w:sz w:val="1"/>
                <w:szCs w:val="1"/>
                <w:color w:val="auto"/>
              </w:rPr>
            </w:pPr>
          </w:p>
        </w:tc>
        <w:tc>
          <w:tcPr>
            <w:tcW w:w="760" w:type="dxa"/>
            <w:vAlign w:val="bottom"/>
            <w:gridSpan w:val="2"/>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188"/>
              <w:spacing w:after="0"/>
              <w:rPr>
                <w:sz w:val="20"/>
                <w:szCs w:val="20"/>
                <w:color w:val="auto"/>
              </w:rPr>
            </w:pPr>
            <w:r>
              <w:rPr>
                <w:rFonts w:ascii="Arial" w:cs="Arial" w:eastAsia="Arial" w:hAnsi="Arial"/>
                <w:sz w:val="15"/>
                <w:szCs w:val="15"/>
                <w:color w:val="auto"/>
              </w:rPr>
              <w:t>(4)</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38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118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09/12/2019</w:t>
            </w:r>
          </w:p>
        </w:tc>
        <w:tc>
          <w:tcPr>
            <w:tcW w:w="1360" w:type="dxa"/>
            <w:vAlign w:val="bottom"/>
            <w:gridSpan w:val="2"/>
            <w:shd w:val="clear" w:color="auto" w:fill="CCEEFF"/>
          </w:tcPr>
          <w:p>
            <w:pPr>
              <w:jc w:val="right"/>
              <w:ind w:right="368"/>
              <w:spacing w:after="0" w:line="10" w:lineRule="exact"/>
              <w:rPr>
                <w:sz w:val="20"/>
                <w:szCs w:val="20"/>
                <w:color w:val="auto"/>
              </w:rPr>
            </w:pPr>
            <w:r>
              <w:rPr>
                <w:rFonts w:ascii="Arial" w:cs="Arial" w:eastAsia="Arial" w:hAnsi="Arial"/>
                <w:sz w:val="1"/>
                <w:szCs w:val="1"/>
                <w:color w:val="auto"/>
              </w:rPr>
              <w:t>209,600</w:t>
            </w:r>
          </w:p>
        </w:tc>
        <w:tc>
          <w:tcPr>
            <w:tcW w:w="1200" w:type="dxa"/>
            <w:vAlign w:val="bottom"/>
            <w:gridSpan w:val="2"/>
            <w:shd w:val="clear" w:color="auto" w:fill="CCEEFF"/>
          </w:tcPr>
          <w:p>
            <w:pPr>
              <w:jc w:val="right"/>
              <w:ind w:right="280"/>
              <w:spacing w:after="0" w:line="10" w:lineRule="exact"/>
              <w:rPr>
                <w:sz w:val="20"/>
                <w:szCs w:val="20"/>
                <w:color w:val="auto"/>
              </w:rPr>
            </w:pPr>
            <w:r>
              <w:rPr>
                <w:rFonts w:ascii="Arial" w:cs="Arial" w:eastAsia="Arial" w:hAnsi="Arial"/>
                <w:sz w:val="1"/>
                <w:szCs w:val="1"/>
                <w:color w:val="auto"/>
              </w:rPr>
              <w:t>—</w:t>
            </w:r>
          </w:p>
        </w:tc>
        <w:tc>
          <w:tcPr>
            <w:tcW w:w="920" w:type="dxa"/>
            <w:vAlign w:val="bottom"/>
            <w:gridSpan w:val="2"/>
            <w:shd w:val="clear" w:color="auto" w:fill="CCEEFF"/>
          </w:tcPr>
          <w:p>
            <w:pPr>
              <w:jc w:val="right"/>
              <w:ind w:right="280"/>
              <w:spacing w:after="0" w:line="10" w:lineRule="exact"/>
              <w:rPr>
                <w:sz w:val="20"/>
                <w:szCs w:val="20"/>
                <w:color w:val="auto"/>
              </w:rPr>
            </w:pPr>
            <w:r>
              <w:rPr>
                <w:rFonts w:ascii="Arial" w:cs="Arial" w:eastAsia="Arial" w:hAnsi="Arial"/>
                <w:sz w:val="1"/>
                <w:szCs w:val="1"/>
                <w:color w:val="auto"/>
              </w:rPr>
              <w:t>0.29</w:t>
            </w:r>
          </w:p>
        </w:tc>
        <w:tc>
          <w:tcPr>
            <w:tcW w:w="118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09/12/2029</w:t>
            </w:r>
          </w:p>
        </w:tc>
        <w:tc>
          <w:tcPr>
            <w:tcW w:w="780" w:type="dxa"/>
            <w:vAlign w:val="bottom"/>
            <w:shd w:val="clear" w:color="auto" w:fill="CCEEFF"/>
          </w:tcPr>
          <w:p>
            <w:pPr>
              <w:jc w:val="right"/>
              <w:spacing w:after="0" w:line="10" w:lineRule="exact"/>
              <w:rPr>
                <w:sz w:val="20"/>
                <w:szCs w:val="20"/>
                <w:color w:val="auto"/>
              </w:rPr>
            </w:pPr>
            <w:r>
              <w:rPr>
                <w:rFonts w:ascii="Arial" w:cs="Arial" w:eastAsia="Arial" w:hAnsi="Arial"/>
                <w:sz w:val="1"/>
                <w:szCs w:val="1"/>
                <w:color w:val="auto"/>
              </w:rPr>
              <w:t>—</w:t>
            </w:r>
          </w:p>
        </w:tc>
        <w:tc>
          <w:tcPr>
            <w:tcW w:w="44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85"/>
        </w:trPr>
        <w:tc>
          <w:tcPr>
            <w:tcW w:w="38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8"/>
              <w:spacing w:after="0"/>
              <w:rPr>
                <w:sz w:val="20"/>
                <w:szCs w:val="20"/>
                <w:color w:val="auto"/>
              </w:rPr>
            </w:pPr>
            <w:r>
              <w:rPr>
                <w:rFonts w:ascii="Arial" w:cs="Arial" w:eastAsia="Arial" w:hAnsi="Arial"/>
                <w:sz w:val="15"/>
                <w:szCs w:val="15"/>
                <w:color w:val="auto"/>
              </w:rPr>
              <w:t>(5)</w:t>
            </w: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right"/>
              <w:ind w:right="28"/>
              <w:spacing w:after="0"/>
              <w:rPr>
                <w:sz w:val="20"/>
                <w:szCs w:val="20"/>
                <w:color w:val="auto"/>
              </w:rPr>
            </w:pPr>
            <w:r>
              <w:rPr>
                <w:rFonts w:ascii="Arial" w:cs="Arial" w:eastAsia="Arial" w:hAnsi="Arial"/>
                <w:sz w:val="16"/>
                <w:szCs w:val="16"/>
                <w:color w:val="auto"/>
              </w:rPr>
              <w:t>132</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hanging="276"/>
        <w:spacing w:after="0" w:line="247"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outstanding options to purchase shares of our common stock, or ALX Options, were originally granted as options to purchase ordinary shares of ALX Oncology Limited, or ALX Ireland Options, pursuant to its share award scheme and U.S. sub-scheme. In connection with the reorganization effective as of April 1, 2020, the ALX Ireland Options have been substituted and replaced with ALX Options under our 2020 Plan. While the grant date of the ALX Option is April 1, 2020, each ALX Option has the same vesting terms, exercise price and expiration date as the corresponding ALX Ireland Option.</w:t>
      </w:r>
    </w:p>
    <w:p>
      <w:pPr>
        <w:spacing w:after="0" w:line="25" w:lineRule="exact"/>
        <w:rPr>
          <w:rFonts w:ascii="Arial" w:cs="Arial" w:eastAsia="Arial" w:hAnsi="Arial"/>
          <w:sz w:val="14"/>
          <w:szCs w:val="14"/>
          <w:color w:val="auto"/>
        </w:rPr>
      </w:pPr>
    </w:p>
    <w:p>
      <w:pPr>
        <w:ind w:left="540" w:right="440" w:hanging="276"/>
        <w:spacing w:after="0" w:line="258"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column represents the fair market value of an ordinary share of ALX Oncology Limited on the date of grant, as determined by the board of directors of ALX Oncology Limited.</w:t>
      </w:r>
    </w:p>
    <w:p>
      <w:pPr>
        <w:spacing w:after="0" w:line="18" w:lineRule="exact"/>
        <w:rPr>
          <w:rFonts w:ascii="Arial" w:cs="Arial" w:eastAsia="Arial" w:hAnsi="Arial"/>
          <w:sz w:val="14"/>
          <w:szCs w:val="14"/>
          <w:color w:val="auto"/>
        </w:rPr>
      </w:pPr>
    </w:p>
    <w:p>
      <w:pPr>
        <w:ind w:left="540" w:right="200" w:hanging="276"/>
        <w:spacing w:after="0" w:line="258"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column represents the fair market value of an ordinary share of ALX Oncology Limited of $0.29 as of December 31, 2019 (the determination of the fair market value by our board of directors as of the most proximate date) multiplied by the amount shown in the column for the number of shares or units that have not vested.</w:t>
      </w:r>
    </w:p>
    <w:p>
      <w:pPr>
        <w:spacing w:after="0" w:line="18" w:lineRule="exact"/>
        <w:rPr>
          <w:rFonts w:ascii="Arial" w:cs="Arial" w:eastAsia="Arial" w:hAnsi="Arial"/>
          <w:sz w:val="14"/>
          <w:szCs w:val="14"/>
          <w:color w:val="auto"/>
        </w:rPr>
      </w:pPr>
    </w:p>
    <w:p>
      <w:pPr>
        <w:ind w:left="540" w:hanging="276"/>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shares underlying this option vest in 48 equal monthly installments beginning on May 1, 2017, subject to continued service to the Company.</w:t>
      </w:r>
    </w:p>
    <w:p>
      <w:pPr>
        <w:spacing w:after="0" w:line="41" w:lineRule="exact"/>
        <w:rPr>
          <w:rFonts w:ascii="Arial" w:cs="Arial" w:eastAsia="Arial" w:hAnsi="Arial"/>
          <w:sz w:val="14"/>
          <w:szCs w:val="14"/>
          <w:color w:val="auto"/>
        </w:rPr>
      </w:pPr>
    </w:p>
    <w:p>
      <w:pPr>
        <w:ind w:left="540" w:right="100" w:hanging="276"/>
        <w:spacing w:after="0" w:line="258"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option is subject to an early exercise provision and is immediately exercisable. The shares underlying this option vest in 48 equal monthly installments beginning on June 16, 2019, subject to continued service to the Company.</w:t>
      </w:r>
    </w:p>
    <w:p>
      <w:pPr>
        <w:spacing w:after="0" w:line="18" w:lineRule="exact"/>
        <w:rPr>
          <w:rFonts w:ascii="Arial" w:cs="Arial" w:eastAsia="Arial" w:hAnsi="Arial"/>
          <w:sz w:val="14"/>
          <w:szCs w:val="14"/>
          <w:color w:val="auto"/>
        </w:rPr>
      </w:pPr>
    </w:p>
    <w:p>
      <w:pPr>
        <w:ind w:left="540" w:right="180" w:hanging="276"/>
        <w:spacing w:after="0" w:line="258"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shares were acquired pursuant to an early exercise provision and remain subject to our repurchase right in accordance with the vesting schedule of this option. The remaining shares underlying this option vest in six equal monthly installments beginning on January 1, 2020, subject to continued service to the Company.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Jaume Pons</w:t>
      </w:r>
    </w:p>
    <w:p>
      <w:pPr>
        <w:spacing w:after="0" w:line="41" w:lineRule="exact"/>
        <w:rPr>
          <w:sz w:val="20"/>
          <w:szCs w:val="20"/>
          <w:color w:val="auto"/>
        </w:rPr>
      </w:pPr>
    </w:p>
    <w:p>
      <w:pPr>
        <w:ind w:left="120" w:right="300"/>
        <w:spacing w:after="0" w:line="232" w:lineRule="auto"/>
        <w:rPr>
          <w:sz w:val="20"/>
          <w:szCs w:val="20"/>
          <w:color w:val="auto"/>
        </w:rPr>
      </w:pPr>
      <w:r>
        <w:rPr>
          <w:rFonts w:ascii="Arial" w:cs="Arial" w:eastAsia="Arial" w:hAnsi="Arial"/>
          <w:sz w:val="17"/>
          <w:szCs w:val="17"/>
          <w:color w:val="auto"/>
        </w:rPr>
        <w:t>Prior to the completion of this offering, we intend to enter into a confirmatory employment letter with Dr. Jaume Pons, our President and Chief Executive Officer. The confirmatory employment letter will have no specific term and will provide that Dr. Pons is an at-will employee. Dr. Pons</w:t>
      </w:r>
    </w:p>
    <w:p>
      <w:pPr>
        <w:ind w:left="120"/>
        <w:spacing w:after="0" w:line="232" w:lineRule="auto"/>
        <w:rPr>
          <w:sz w:val="20"/>
          <w:szCs w:val="20"/>
          <w:color w:val="auto"/>
        </w:rPr>
      </w:pPr>
      <w:r>
        <w:rPr>
          <w:rFonts w:ascii="Arial" w:cs="Arial" w:eastAsia="Arial" w:hAnsi="Arial"/>
          <w:sz w:val="17"/>
          <w:szCs w:val="17"/>
          <w:color w:val="auto"/>
        </w:rPr>
        <w:t>current annual base salary is $ and he is eligible for an annual target cash incentive payment equal to % of his annual base salary. Effective upon the effective date of our registration statement of which this prospectus forms a part, Dr. Pons’ annual base salary will be increased</w:t>
      </w:r>
    </w:p>
    <w:p>
      <w:pPr>
        <w:ind w:left="120"/>
        <w:spacing w:after="0"/>
        <w:tabs>
          <w:tab w:leader="none" w:pos="1140" w:val="left"/>
        </w:tabs>
        <w:rPr>
          <w:sz w:val="20"/>
          <w:szCs w:val="20"/>
          <w:color w:val="auto"/>
        </w:rPr>
      </w:pPr>
      <w:r>
        <w:rPr>
          <w:rFonts w:ascii="Arial" w:cs="Arial" w:eastAsia="Arial" w:hAnsi="Arial"/>
          <w:sz w:val="17"/>
          <w:szCs w:val="17"/>
          <w:color w:val="auto"/>
        </w:rPr>
        <w:t>to $</w:t>
      </w:r>
      <w:r>
        <w:rPr>
          <w:sz w:val="20"/>
          <w:szCs w:val="20"/>
          <w:color w:val="auto"/>
        </w:rPr>
        <w:tab/>
      </w:r>
      <w:r>
        <w:rPr>
          <w:rFonts w:ascii="Arial" w:cs="Arial" w:eastAsia="Arial" w:hAnsi="Arial"/>
          <w:sz w:val="14"/>
          <w:szCs w:val="14"/>
          <w:color w:val="auto"/>
        </w:rPr>
        <w:t>.</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Sophia Randolph</w:t>
      </w:r>
    </w:p>
    <w:p>
      <w:pPr>
        <w:spacing w:after="0" w:line="41" w:lineRule="exact"/>
        <w:rPr>
          <w:sz w:val="20"/>
          <w:szCs w:val="20"/>
          <w:color w:val="auto"/>
        </w:rPr>
      </w:pPr>
    </w:p>
    <w:p>
      <w:pPr>
        <w:ind w:left="120" w:right="280"/>
        <w:spacing w:after="0" w:line="232" w:lineRule="auto"/>
        <w:rPr>
          <w:sz w:val="20"/>
          <w:szCs w:val="20"/>
          <w:color w:val="auto"/>
        </w:rPr>
      </w:pPr>
      <w:r>
        <w:rPr>
          <w:rFonts w:ascii="Arial" w:cs="Arial" w:eastAsia="Arial" w:hAnsi="Arial"/>
          <w:sz w:val="17"/>
          <w:szCs w:val="17"/>
          <w:color w:val="auto"/>
        </w:rPr>
        <w:t>Prior to the completion of this offering, we intend to enter into a confirmatory employment letter with Dr. Sophia Randolph, our Chief Medical Officer. The confirmatory employment letter will have no specific term and will provide that Dr. Randolph is an at-will employee. Dr. Randolph’s</w:t>
      </w:r>
    </w:p>
    <w:p>
      <w:pPr>
        <w:ind w:left="120" w:right="100"/>
        <w:spacing w:after="0" w:line="232" w:lineRule="auto"/>
        <w:rPr>
          <w:sz w:val="20"/>
          <w:szCs w:val="20"/>
          <w:color w:val="auto"/>
        </w:rPr>
      </w:pPr>
      <w:r>
        <w:rPr>
          <w:rFonts w:ascii="Arial" w:cs="Arial" w:eastAsia="Arial" w:hAnsi="Arial"/>
          <w:sz w:val="17"/>
          <w:szCs w:val="17"/>
          <w:color w:val="auto"/>
        </w:rPr>
        <w:t>current annual base salary is $ and she is eligible for an annual target cash incentive payment equal to % of her annual base salary. Effective upon the effective date of our registration statement of which this prospectus forms a part, Dr. Randolph’s annual base salary will be</w:t>
      </w:r>
    </w:p>
    <w:p>
      <w:pPr>
        <w:ind w:left="120"/>
        <w:spacing w:after="0"/>
        <w:tabs>
          <w:tab w:leader="none" w:pos="1920" w:val="left"/>
        </w:tabs>
        <w:rPr>
          <w:sz w:val="20"/>
          <w:szCs w:val="20"/>
          <w:color w:val="auto"/>
        </w:rPr>
      </w:pPr>
      <w:r>
        <w:rPr>
          <w:rFonts w:ascii="Arial" w:cs="Arial" w:eastAsia="Arial" w:hAnsi="Arial"/>
          <w:sz w:val="17"/>
          <w:szCs w:val="17"/>
          <w:color w:val="auto"/>
        </w:rPr>
        <w:t>increased to $</w:t>
      </w:r>
      <w:r>
        <w:rPr>
          <w:sz w:val="20"/>
          <w:szCs w:val="20"/>
          <w:color w:val="auto"/>
        </w:rPr>
        <w:tab/>
      </w:r>
      <w:r>
        <w:rPr>
          <w:rFonts w:ascii="Arial" w:cs="Arial" w:eastAsia="Arial" w:hAnsi="Arial"/>
          <w:sz w:val="17"/>
          <w:szCs w:val="17"/>
          <w:color w:val="auto"/>
        </w:rPr>
        <w:t>.</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Hong Wan</w:t>
      </w:r>
    </w:p>
    <w:p>
      <w:pPr>
        <w:spacing w:after="0" w:line="41"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Dr. Hong Wan, our former Chief Scientific Officer, resigned effective June 30, 2020 as described in “Certain Relationships and Related-Party Transactions—Tallac Therapeutics Agreements.” We have entered into a consulting agreement with Dr. Wan that provides for continued vesting of her outstanding options to purchase shares of our common stock while she provides consulting services to us under such agreement.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Executive Incentive Compensation Plan</w:t>
      </w:r>
    </w:p>
    <w:p>
      <w:pPr>
        <w:spacing w:after="0" w:line="41"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Prior to the completion of this offering, our board of directors intends to adopt our Executive Incentive Compensation Plan, or the Incentive Compensation Plan. Our Incentive Compensation Plan will be administered by our board of directors or a committee appointed by our board of directors. Unless and until our board of directors determines, our compensation committee will administer our Incentive Compensation Plan. Our Incentive Compensation Plan will allow us to grant incentive awards, generally payable in cash, to employees selected by the administrator, including our named executive officers, based upon performance goals that may be established by the administrator.</w:t>
      </w:r>
    </w:p>
    <w:p>
      <w:pPr>
        <w:spacing w:after="0" w:line="15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Under our Incentive Compensation Plan, the administrator will determine the performance goals applicable to any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regularly-related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in the compensation committee’s sole discretion.</w:t>
      </w:r>
    </w:p>
    <w:p>
      <w:pPr>
        <w:spacing w:after="0" w:line="14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administrator of our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5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Actual awards generally will be paid in cash (or its equivalent) only after they are earned, and, unless otherwise determined by the administrator, a participant must be employed with us through the date the actual award is paid. The administrator of our Incentive Compensation Plan reserves the right to settle an actual award with a grant of an equity award under our then-current equity compensation plan, which equity award may have such terms and conditions, including vesting, as the administrator of such equity compensation plan determines. Payment of awards occurs as soon as administratively practicable after they are earned, but no later than the dates set forth in our Incentive Compensation Plan.</w:t>
      </w:r>
    </w:p>
    <w:p>
      <w:pPr>
        <w:spacing w:after="0" w:line="150"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Awards under our Incentive Compensation Plan are subject to any clawback policy of ours, which we may be required to adopt from time to time to comply with applicable laws. The administrator also may impose such other clawback, recovery or recoupment provisions with respect to an award under our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51"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The administrator of our Incentive Compensation Plan will have the authority to amend, alter, suspend or terminate our Incentive Compensation Plan, provided such action does not impair the existing rights of any participant with respect to any earned awards. Our Incentive Compensation Plan will remain in effect until terminated in accordance with its terms.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 in Control and Severance Agreements</w:t>
      </w:r>
    </w:p>
    <w:p>
      <w:pPr>
        <w:spacing w:after="0" w:line="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Prior to the completion of this offering, we intend to enter into a change in control and severance agreement, or CIC Agreement, with each of Dr. Pons and Dr. Randolph, which would provide for certain severance and change in control benefits, as summarized below. Each CIC Agreement will supersede any prior agreement or arrangement that the named executive officer may have had with us that provides for severance or change in control payments and benefits. The CIC Agreements will have no specific term and will terminate upon written consent by the parties or when all obligations under the CIC Agreement are satisfied.</w:t>
      </w:r>
    </w:p>
    <w:p>
      <w:pPr>
        <w:spacing w:after="0" w:line="150"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The CIC Agreements will provide that if, other than during the period beginning three months before our change in control through the one-year anniversary of our change in control, or the CIC Period, the named executive officer’s employment with us is terminated by us without cause (as defined in the CIC Agreement, and excluding by reason of his or her death or disability) or by the named executive officer for good reason (as defined in the CIC Agreement), the named executive officer will receive the following severance payments and benefits if he or she timely executes and does not revoke a release of claims in our favor:</w:t>
      </w:r>
    </w:p>
    <w:p>
      <w:pPr>
        <w:spacing w:after="0" w:line="50" w:lineRule="exact"/>
        <w:rPr>
          <w:sz w:val="20"/>
          <w:szCs w:val="20"/>
          <w:color w:val="auto"/>
        </w:rPr>
      </w:pPr>
    </w:p>
    <w:p>
      <w:pPr>
        <w:ind w:left="980" w:right="60" w:hanging="439"/>
        <w:spacing w:after="0" w:line="243" w:lineRule="auto"/>
        <w:tabs>
          <w:tab w:leader="none" w:pos="9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7"/>
          <w:szCs w:val="17"/>
          <w:color w:val="auto"/>
        </w:rPr>
        <w:t>A lump sum cash payment equal to percent for Dr. Pons, or percent for Dr. Randolph, of the named executive officer’s base salary as in effect immediately before such termination;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980" w:hanging="432"/>
        <w:spacing w:after="0"/>
        <w:tabs>
          <w:tab w:leader="none" w:pos="980" w:val="left"/>
        </w:tabs>
        <w:numPr>
          <w:ilvl w:val="0"/>
          <w:numId w:val="88"/>
        </w:numPr>
        <w:rPr>
          <w:rFonts w:ascii="MS PGothic" w:cs="MS PGothic" w:eastAsia="MS PGothic" w:hAnsi="MS PGothic"/>
          <w:sz w:val="13"/>
          <w:szCs w:val="13"/>
          <w:color w:val="auto"/>
        </w:rPr>
      </w:pPr>
      <w:r>
        <w:rPr>
          <w:rFonts w:ascii="Arial" w:cs="Arial" w:eastAsia="Arial" w:hAnsi="Arial"/>
          <w:sz w:val="17"/>
          <w:szCs w:val="17"/>
          <w:color w:val="auto"/>
        </w:rPr>
        <w:t>Company-paid group health, dental and vision coverage under COBRA for the named executive officer and his or her eligible</w:t>
      </w:r>
    </w:p>
    <w:p>
      <w:pPr>
        <w:ind w:left="980"/>
        <w:spacing w:after="0"/>
        <w:tabs>
          <w:tab w:leader="none" w:pos="2960" w:val="left"/>
          <w:tab w:leader="none" w:pos="5140" w:val="left"/>
        </w:tabs>
        <w:rPr>
          <w:sz w:val="20"/>
          <w:szCs w:val="20"/>
          <w:color w:val="auto"/>
        </w:rPr>
      </w:pPr>
      <w:r>
        <w:rPr>
          <w:rFonts w:ascii="Arial" w:cs="Arial" w:eastAsia="Arial" w:hAnsi="Arial"/>
          <w:sz w:val="17"/>
          <w:szCs w:val="17"/>
          <w:color w:val="auto"/>
        </w:rPr>
        <w:t>dependents for up to</w:t>
      </w:r>
      <w:r>
        <w:rPr>
          <w:sz w:val="20"/>
          <w:szCs w:val="20"/>
          <w:color w:val="auto"/>
        </w:rPr>
        <w:tab/>
      </w:r>
      <w:r>
        <w:rPr>
          <w:rFonts w:ascii="Arial" w:cs="Arial" w:eastAsia="Arial" w:hAnsi="Arial"/>
          <w:sz w:val="17"/>
          <w:szCs w:val="17"/>
          <w:color w:val="auto"/>
        </w:rPr>
        <w:t>months for Dr. Pons, or</w:t>
      </w:r>
      <w:r>
        <w:rPr>
          <w:sz w:val="20"/>
          <w:szCs w:val="20"/>
          <w:color w:val="auto"/>
        </w:rPr>
        <w:tab/>
      </w:r>
      <w:r>
        <w:rPr>
          <w:rFonts w:ascii="Arial" w:cs="Arial" w:eastAsia="Arial" w:hAnsi="Arial"/>
          <w:sz w:val="17"/>
          <w:szCs w:val="17"/>
          <w:color w:val="auto"/>
        </w:rPr>
        <w:t>months for Dr. Randolph.</w:t>
      </w:r>
    </w:p>
    <w:p>
      <w:pPr>
        <w:spacing w:after="0" w:line="15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If, during the CIC Period, the named executive officer’s employment with us is terminated by us without cause (as defined in the CIC Agreement, and excluding by reason of his or her death or disability) or by the named executive officer for good reason (as defined in the CIC Agreement), the named executive officer will receive the following severance payments and benefits if he or she timely executes and does not revoke a separation agreement and release of claims in our favor:</w:t>
      </w:r>
    </w:p>
    <w:p>
      <w:pPr>
        <w:spacing w:after="0" w:line="49" w:lineRule="exact"/>
        <w:rPr>
          <w:sz w:val="20"/>
          <w:szCs w:val="20"/>
          <w:color w:val="auto"/>
        </w:rPr>
      </w:pPr>
    </w:p>
    <w:tbl>
      <w:tblPr>
        <w:tblLayout w:type="fixed"/>
        <w:tblInd w:w="540" w:type="dxa"/>
        <w:tblCellMar>
          <w:top w:w="0" w:type="dxa"/>
          <w:left w:w="0" w:type="dxa"/>
          <w:bottom w:w="0" w:type="dxa"/>
          <w:right w:w="0" w:type="dxa"/>
        </w:tblCellMar>
      </w:tblPr>
      <w:tr>
        <w:trPr>
          <w:trHeight w:val="208"/>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3060" w:type="dxa"/>
            <w:vAlign w:val="bottom"/>
          </w:tcPr>
          <w:p>
            <w:pPr>
              <w:ind w:left="180"/>
              <w:spacing w:after="0"/>
              <w:rPr>
                <w:sz w:val="20"/>
                <w:szCs w:val="20"/>
                <w:color w:val="auto"/>
              </w:rPr>
            </w:pPr>
            <w:r>
              <w:rPr>
                <w:rFonts w:ascii="Arial" w:cs="Arial" w:eastAsia="Arial" w:hAnsi="Arial"/>
                <w:sz w:val="17"/>
                <w:szCs w:val="17"/>
                <w:color w:val="auto"/>
              </w:rPr>
              <w:t>A lump sum cash payment equal to</w:t>
            </w:r>
          </w:p>
        </w:tc>
        <w:tc>
          <w:tcPr>
            <w:tcW w:w="2200" w:type="dxa"/>
            <w:vAlign w:val="bottom"/>
          </w:tcPr>
          <w:p>
            <w:pPr>
              <w:ind w:left="220"/>
              <w:spacing w:after="0"/>
              <w:rPr>
                <w:sz w:val="20"/>
                <w:szCs w:val="20"/>
                <w:color w:val="auto"/>
              </w:rPr>
            </w:pPr>
            <w:r>
              <w:rPr>
                <w:rFonts w:ascii="Arial" w:cs="Arial" w:eastAsia="Arial" w:hAnsi="Arial"/>
                <w:sz w:val="17"/>
                <w:szCs w:val="17"/>
                <w:color w:val="auto"/>
              </w:rPr>
              <w:t>percent for Dr. Pons, or</w:t>
            </w:r>
          </w:p>
        </w:tc>
        <w:tc>
          <w:tcPr>
            <w:tcW w:w="5060" w:type="dxa"/>
            <w:vAlign w:val="bottom"/>
          </w:tcPr>
          <w:p>
            <w:pPr>
              <w:ind w:left="200"/>
              <w:spacing w:after="0"/>
              <w:rPr>
                <w:sz w:val="20"/>
                <w:szCs w:val="20"/>
                <w:color w:val="auto"/>
              </w:rPr>
            </w:pPr>
            <w:r>
              <w:rPr>
                <w:rFonts w:ascii="Arial" w:cs="Arial" w:eastAsia="Arial" w:hAnsi="Arial"/>
                <w:sz w:val="17"/>
                <w:szCs w:val="17"/>
                <w:color w:val="auto"/>
              </w:rPr>
              <w:t>percent for Dr. Randolph, of the named executive officer’s base</w:t>
            </w:r>
          </w:p>
        </w:tc>
      </w:tr>
      <w:tr>
        <w:trPr>
          <w:trHeight w:val="205"/>
        </w:trPr>
        <w:tc>
          <w:tcPr>
            <w:tcW w:w="260" w:type="dxa"/>
            <w:vAlign w:val="bottom"/>
          </w:tcPr>
          <w:p>
            <w:pPr>
              <w:spacing w:after="0"/>
              <w:rPr>
                <w:sz w:val="17"/>
                <w:szCs w:val="17"/>
                <w:color w:val="auto"/>
              </w:rPr>
            </w:pPr>
          </w:p>
        </w:tc>
        <w:tc>
          <w:tcPr>
            <w:tcW w:w="10320" w:type="dxa"/>
            <w:vAlign w:val="bottom"/>
            <w:gridSpan w:val="3"/>
          </w:tcPr>
          <w:p>
            <w:pPr>
              <w:ind w:left="180"/>
              <w:spacing w:after="0"/>
              <w:rPr>
                <w:sz w:val="20"/>
                <w:szCs w:val="20"/>
                <w:color w:val="auto"/>
              </w:rPr>
            </w:pPr>
            <w:r>
              <w:rPr>
                <w:rFonts w:ascii="Arial" w:cs="Arial" w:eastAsia="Arial" w:hAnsi="Arial"/>
                <w:sz w:val="17"/>
                <w:szCs w:val="17"/>
                <w:color w:val="auto"/>
              </w:rPr>
              <w:t>salary as in effect immediately before such termination or if greater, the base salary in effect immediately before our change in control;</w:t>
            </w: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3060" w:type="dxa"/>
            <w:vAlign w:val="bottom"/>
          </w:tcPr>
          <w:p>
            <w:pPr>
              <w:ind w:left="180"/>
              <w:spacing w:after="0"/>
              <w:rPr>
                <w:sz w:val="20"/>
                <w:szCs w:val="20"/>
                <w:color w:val="auto"/>
              </w:rPr>
            </w:pPr>
            <w:r>
              <w:rPr>
                <w:rFonts w:ascii="Arial" w:cs="Arial" w:eastAsia="Arial" w:hAnsi="Arial"/>
                <w:sz w:val="17"/>
                <w:szCs w:val="17"/>
                <w:color w:val="auto"/>
              </w:rPr>
              <w:t>A lump sum cash payment equal to</w:t>
            </w:r>
          </w:p>
        </w:tc>
        <w:tc>
          <w:tcPr>
            <w:tcW w:w="2200" w:type="dxa"/>
            <w:vAlign w:val="bottom"/>
          </w:tcPr>
          <w:p>
            <w:pPr>
              <w:ind w:left="220"/>
              <w:spacing w:after="0"/>
              <w:rPr>
                <w:sz w:val="20"/>
                <w:szCs w:val="20"/>
                <w:color w:val="auto"/>
              </w:rPr>
            </w:pPr>
            <w:r>
              <w:rPr>
                <w:rFonts w:ascii="Arial" w:cs="Arial" w:eastAsia="Arial" w:hAnsi="Arial"/>
                <w:sz w:val="17"/>
                <w:szCs w:val="17"/>
                <w:color w:val="auto"/>
              </w:rPr>
              <w:t>percent for Dr. Pons, or</w:t>
            </w:r>
          </w:p>
        </w:tc>
        <w:tc>
          <w:tcPr>
            <w:tcW w:w="5060" w:type="dxa"/>
            <w:vAlign w:val="bottom"/>
          </w:tcPr>
          <w:p>
            <w:pPr>
              <w:ind w:left="200"/>
              <w:spacing w:after="0"/>
              <w:rPr>
                <w:sz w:val="20"/>
                <w:szCs w:val="20"/>
                <w:color w:val="auto"/>
              </w:rPr>
            </w:pPr>
            <w:r>
              <w:rPr>
                <w:rFonts w:ascii="Arial" w:cs="Arial" w:eastAsia="Arial" w:hAnsi="Arial"/>
                <w:sz w:val="17"/>
                <w:szCs w:val="17"/>
                <w:color w:val="auto"/>
              </w:rPr>
              <w:t>percent for Dr. Randolph, of the named executive officer’s target</w:t>
            </w:r>
          </w:p>
        </w:tc>
      </w:tr>
      <w:tr>
        <w:trPr>
          <w:trHeight w:val="189"/>
        </w:trPr>
        <w:tc>
          <w:tcPr>
            <w:tcW w:w="260" w:type="dxa"/>
            <w:vAlign w:val="bottom"/>
          </w:tcPr>
          <w:p>
            <w:pPr>
              <w:spacing w:after="0"/>
              <w:rPr>
                <w:sz w:val="16"/>
                <w:szCs w:val="16"/>
                <w:color w:val="auto"/>
              </w:rPr>
            </w:pPr>
          </w:p>
        </w:tc>
        <w:tc>
          <w:tcPr>
            <w:tcW w:w="103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bonus opportunity as in effect immediately before such termination or if greater, the target bonus opportunity in effect immediately</w:t>
            </w:r>
          </w:p>
        </w:tc>
      </w:tr>
      <w:tr>
        <w:trPr>
          <w:trHeight w:val="205"/>
        </w:trPr>
        <w:tc>
          <w:tcPr>
            <w:tcW w:w="260" w:type="dxa"/>
            <w:vAlign w:val="bottom"/>
          </w:tcPr>
          <w:p>
            <w:pPr>
              <w:spacing w:after="0"/>
              <w:rPr>
                <w:sz w:val="17"/>
                <w:szCs w:val="17"/>
                <w:color w:val="auto"/>
              </w:rPr>
            </w:pPr>
          </w:p>
        </w:tc>
        <w:tc>
          <w:tcPr>
            <w:tcW w:w="3060" w:type="dxa"/>
            <w:vAlign w:val="bottom"/>
          </w:tcPr>
          <w:p>
            <w:pPr>
              <w:ind w:left="180"/>
              <w:spacing w:after="0"/>
              <w:rPr>
                <w:sz w:val="20"/>
                <w:szCs w:val="20"/>
                <w:color w:val="auto"/>
              </w:rPr>
            </w:pPr>
            <w:r>
              <w:rPr>
                <w:rFonts w:ascii="Arial" w:cs="Arial" w:eastAsia="Arial" w:hAnsi="Arial"/>
                <w:sz w:val="17"/>
                <w:szCs w:val="17"/>
                <w:color w:val="auto"/>
              </w:rPr>
              <w:t>before our change in control;</w:t>
            </w:r>
          </w:p>
        </w:tc>
        <w:tc>
          <w:tcPr>
            <w:tcW w:w="2200" w:type="dxa"/>
            <w:vAlign w:val="bottom"/>
          </w:tcPr>
          <w:p>
            <w:pPr>
              <w:spacing w:after="0"/>
              <w:rPr>
                <w:sz w:val="17"/>
                <w:szCs w:val="17"/>
                <w:color w:val="auto"/>
              </w:rPr>
            </w:pPr>
          </w:p>
        </w:tc>
        <w:tc>
          <w:tcPr>
            <w:tcW w:w="5060" w:type="dxa"/>
            <w:vAlign w:val="bottom"/>
          </w:tcPr>
          <w:p>
            <w:pPr>
              <w:spacing w:after="0"/>
              <w:rPr>
                <w:sz w:val="17"/>
                <w:szCs w:val="17"/>
                <w:color w:val="auto"/>
              </w:rPr>
            </w:pPr>
          </w:p>
        </w:tc>
      </w:tr>
    </w:tbl>
    <w:p>
      <w:pPr>
        <w:spacing w:after="0" w:line="18" w:lineRule="exact"/>
        <w:rPr>
          <w:sz w:val="20"/>
          <w:szCs w:val="20"/>
          <w:color w:val="auto"/>
        </w:rPr>
      </w:pPr>
    </w:p>
    <w:p>
      <w:pPr>
        <w:ind w:left="980" w:hanging="432"/>
        <w:spacing w:after="0"/>
        <w:tabs>
          <w:tab w:leader="none" w:pos="98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Company-paid group health, dental and vision coverage under COBRA for the named executive officer and his or her eligible</w:t>
      </w:r>
    </w:p>
    <w:p>
      <w:pPr>
        <w:ind w:left="980"/>
        <w:spacing w:after="0"/>
        <w:tabs>
          <w:tab w:leader="none" w:pos="2960" w:val="left"/>
          <w:tab w:leader="none" w:pos="5140" w:val="left"/>
        </w:tabs>
        <w:rPr>
          <w:sz w:val="20"/>
          <w:szCs w:val="20"/>
          <w:color w:val="auto"/>
        </w:rPr>
      </w:pPr>
      <w:r>
        <w:rPr>
          <w:rFonts w:ascii="Arial" w:cs="Arial" w:eastAsia="Arial" w:hAnsi="Arial"/>
          <w:sz w:val="17"/>
          <w:szCs w:val="17"/>
          <w:color w:val="auto"/>
        </w:rPr>
        <w:t>dependents for up to</w:t>
      </w:r>
      <w:r>
        <w:rPr>
          <w:sz w:val="20"/>
          <w:szCs w:val="20"/>
          <w:color w:val="auto"/>
        </w:rPr>
        <w:tab/>
      </w:r>
      <w:r>
        <w:rPr>
          <w:rFonts w:ascii="Arial" w:cs="Arial" w:eastAsia="Arial" w:hAnsi="Arial"/>
          <w:sz w:val="17"/>
          <w:szCs w:val="17"/>
          <w:color w:val="auto"/>
        </w:rPr>
        <w:t>months for Dr. Pons, or</w:t>
      </w:r>
      <w:r>
        <w:rPr>
          <w:sz w:val="20"/>
          <w:szCs w:val="20"/>
          <w:color w:val="auto"/>
        </w:rPr>
        <w:tab/>
      </w:r>
      <w:r>
        <w:rPr>
          <w:rFonts w:ascii="Arial" w:cs="Arial" w:eastAsia="Arial" w:hAnsi="Arial"/>
          <w:sz w:val="17"/>
          <w:szCs w:val="17"/>
          <w:color w:val="auto"/>
        </w:rPr>
        <w:t>months for Dr. Randolph; and</w:t>
      </w:r>
    </w:p>
    <w:p>
      <w:pPr>
        <w:spacing w:after="0" w:line="34" w:lineRule="exact"/>
        <w:rPr>
          <w:sz w:val="20"/>
          <w:szCs w:val="20"/>
          <w:color w:val="auto"/>
        </w:rPr>
      </w:pPr>
    </w:p>
    <w:p>
      <w:pPr>
        <w:ind w:left="980" w:right="40" w:hanging="432"/>
        <w:spacing w:after="0" w:line="243" w:lineRule="auto"/>
        <w:tabs>
          <w:tab w:leader="none" w:pos="98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100% accelerated vesting and exercisability of the outstanding and unvested Company equity awards granted to the named executive officer.</w:t>
      </w:r>
    </w:p>
    <w:p>
      <w:pPr>
        <w:spacing w:after="0" w:line="144"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In addition, the CIC Agreement for Dr. Pons will provide that in the event of our change in control, percent of his outstanding equity awards will accelerate vesting.</w:t>
      </w:r>
    </w:p>
    <w:p>
      <w:pPr>
        <w:spacing w:after="0" w:line="14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Each CIC Agreement will provide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be entitled to receive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our change in control.</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Amended and Restated 2020 Equity Incentive Plan</w:t>
      </w:r>
    </w:p>
    <w:p>
      <w:pPr>
        <w:spacing w:after="0" w:line="41"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Prior to the completion of this offering, our board of directors intends to adopt, and we expect our stockholders will approve, an amendment and restatement of our 2020 Plan, or the Amended and Restated 2020 Plan. Our 2020 Plan previously was adopted by our board of directors and approved by our stockholders in April 2020. We expect that the Amended and Restated 2020 Plan will be effective on the business day immediately prior to the effective date of our registration statement related to this offering. Our Amended and Restated 2020 Plan will provide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performance units and performance shares to our employees, directors and consultants and any of our parent or subsidiary corporations’ employees and consultants.</w:t>
      </w:r>
    </w:p>
    <w:p>
      <w:pPr>
        <w:spacing w:after="0" w:line="131" w:lineRule="exact"/>
        <w:rPr>
          <w:sz w:val="20"/>
          <w:szCs w:val="20"/>
          <w:color w:val="auto"/>
        </w:rPr>
      </w:pPr>
    </w:p>
    <w:p>
      <w:pPr>
        <w:ind w:left="120" w:right="40"/>
        <w:spacing w:after="0" w:line="248"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 total of shares of our common stock will be reserved for issuance pursuant to our Amended and Restated 2020</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number of shares available for issuance under our Amended and Restated 2020 Plan will also include an annual increase on the first day of each fiscal year beginning on January 1, 2021, and ending on (and inclusive of) January 1, 2030, equal to the least of:</w:t>
      </w:r>
    </w:p>
    <w:p>
      <w:pPr>
        <w:spacing w:after="0" w:line="182" w:lineRule="exact"/>
        <w:rPr>
          <w:sz w:val="20"/>
          <w:szCs w:val="20"/>
          <w:color w:val="auto"/>
        </w:rPr>
      </w:pPr>
    </w:p>
    <w:p>
      <w:pPr>
        <w:ind w:left="1780" w:hanging="1232"/>
        <w:spacing w:after="0"/>
        <w:tabs>
          <w:tab w:leader="none" w:pos="1780" w:val="left"/>
        </w:tabs>
        <w:numPr>
          <w:ilvl w:val="0"/>
          <w:numId w:val="91"/>
        </w:numPr>
        <w:rPr>
          <w:rFonts w:ascii="MS PGothic" w:cs="MS PGothic" w:eastAsia="MS PGothic" w:hAnsi="MS PGothic"/>
          <w:sz w:val="13"/>
          <w:szCs w:val="13"/>
          <w:color w:val="auto"/>
        </w:rPr>
      </w:pPr>
      <w:r>
        <w:rPr>
          <w:rFonts w:ascii="Arial" w:cs="Arial" w:eastAsia="Arial" w:hAnsi="Arial"/>
          <w:sz w:val="17"/>
          <w:szCs w:val="17"/>
          <w:color w:val="auto"/>
        </w:rPr>
        <w:t>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1"/>
        </w:numPr>
        <w:rPr>
          <w:rFonts w:ascii="MS PGothic" w:cs="MS PGothic" w:eastAsia="MS PGothic" w:hAnsi="MS PGothic"/>
          <w:sz w:val="13"/>
          <w:szCs w:val="13"/>
          <w:color w:val="auto"/>
        </w:rPr>
      </w:pPr>
      <w:r>
        <w:rPr>
          <w:rFonts w:ascii="Arial" w:cs="Arial" w:eastAsia="Arial" w:hAnsi="Arial"/>
          <w:sz w:val="17"/>
          <w:szCs w:val="17"/>
          <w:color w:val="auto"/>
        </w:rPr>
        <w:t>four percent of the outstanding shares of our common stock as of the last day of the immediately preceding fiscal year;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1"/>
        </w:numPr>
        <w:rPr>
          <w:rFonts w:ascii="MS PGothic" w:cs="MS PGothic" w:eastAsia="MS PGothic" w:hAnsi="MS PGothic"/>
          <w:sz w:val="13"/>
          <w:szCs w:val="13"/>
          <w:color w:val="auto"/>
        </w:rPr>
      </w:pPr>
      <w:r>
        <w:rPr>
          <w:rFonts w:ascii="Arial" w:cs="Arial" w:eastAsia="Arial" w:hAnsi="Arial"/>
          <w:sz w:val="17"/>
          <w:szCs w:val="17"/>
          <w:color w:val="auto"/>
        </w:rPr>
        <w:t>such number of shares as our board of directors may determine no later than the last day of our immediately preceding fiscal year.</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Shares issuable under our Amended and Restated 2020 Plan will be authorized, but unissued, or reacquired shares of our common stock. If an award expires or becomes unexercisable without having been exercised in full, is surrendered pursuant to an exchange program, or, with respect to restricted stock, restricted stock units, performance units or performance shares, is forfeited to or repurchased due to failure to vest, the unpurchased shares (or for awards other than stock options or stock appreciation rights, the forfeited or repurchased shares) will become available for future grant or sale under the Amended and Restated 2020 Plan. With respect to stock appreciation rights, only the net shares actually issued will cease to be available under the Amended and Restated 2020 Plan and all remaining shares under stock appreciation rights will remain available for future grant or sale under the Amended and Restated 2020 Plan. Shares that have actually been issued under the Amended and Restated 2020 Plan under any award will not be returned to the Amended and Restated 2020 Plan; except if shares issued pursuant to awards of restricted stock, restricted stock units, performance shares or performance units are repurchased or forfeited, such shares will become available for future grant under the Amended and Restated 2020 Plan. Shares used to pay the exercise price of an award or satisfy the tax withholding obligations related to an award will become available for future grant or sale under the Amended and Restated 2020 Plan. To the extent an award is paid out in cash rather than shares, such cash payment will not result in a reduction in the number of shares available for issuance under the Amended and Restated 2020 Plan. For clarity, shares subject to awards that may return to and become available for issuance under the Amended and Restated 2020 Plan as described in this paragraph will include shares subject to awards granted under our 2020 Plan prior to its amendment and restatement that are outstanding as of the effective date of the Amended and Restated 2020 Plan.</w:t>
      </w:r>
    </w:p>
    <w:p>
      <w:pPr>
        <w:spacing w:after="0" w:line="132"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one or more committees appointed by our board of directors will have authority to administer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2020 Plan. We expect that the compensation committee of our board of directors will initially administer our Amended and Restated 2020 Plan. In addition, if we determine it is desirable to qualify transactions under our Amended and Restated 2020 Plan as exempt under Rule 16b-3 of the Exchange Act, such transactions will be structured to satisfy the requirements for exemption under Rule 16b-3. Subject to the provisions of our Amended and Restated 2020 Plan, the administrator has the power to administer our Amended and Restated 2020 Plan and make all determinations deemed necessary or advisable for administering the Amended and Restated 2020 Plan, including but not limited to, the power to determine the fair market value of our common stock, select the service providers to whom awards may be granted, determine the number of shares covered by each award, approve forms of award agreements for use under the Amended and Restated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Amended and Restated 2020 Plan and awards granted under it, prescribe, amend and rescind rules relating to our Amended and Restated 2020 Plan, including creating sub-plans, modify or amend each award, including but not limited to the discretionary authority to extend the post-termination exercisability period of awards (except no option or stock appreciation right will be extended past its original maximum term), and allow a participant to defer the receipt of payment of cash or the delivery of shares that would otherwise be due to such participant under an award. The administrator also has the authority to allow participants the opportunity under an exchange program to transfer outstanding awards granted under the Amended and Restated 2020 Plan to a financial institution or other person or entity selected by the administrator, and to institute an exchange program by which outstanding awards granted under the Amended and Restated 2020 Plan may be surrendered or cancelled in exchange for awards of the same type, which may have a higher or lower exercise price and/or different terms, awards of a different type and/or cash, or by which the exercise price of an outstanding award granted under the Amended and Restated 2020 Plan is increased or reduced. The administrator’s decisions, interpretations and other actions are final and binding on all participants and will be given the maximum deference permitted by applicable law.</w:t>
      </w:r>
    </w:p>
    <w:p>
      <w:pPr>
        <w:spacing w:after="0" w:line="12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may be granted under our Amended and Restated 2020 Plan. The exercise price of options granted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2020 Plan must at least be equal to the fair market value of our common stock on the date of grant. The term of an option may not exceed ten years. With respect to any participant who owns more than 10% of the voting power of all classes of our (or any of our parent’s or subsidiaries’) outstanding stock, the term of an incentive stock option granted to such participant must not exceed five years and the per-share exercise price must equal at least 110% of the fair market value of a share of our common stock on the grant date. The administrator may grant incentive stock options under the Amended and Restated 2020 Plan for</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 period of ten years from the earlier of the date our board of directors approves the Amended and Restated 2020 Plan or the date that our stockholders approve the Amended and Restated 2020 Plan. The administrator will determine the methods of payment of the exercise price of an option, which may include cash, certain shares, promissory notes if permitted by applicable law,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90 days following the termination of service. An option, however, may not be exercised later than the expiration of its term. Subject to the provisions of our Amended and Restated 2020 Plan, the administrator determines the terms of options.</w:t>
      </w:r>
    </w:p>
    <w:p>
      <w:pPr>
        <w:spacing w:after="0" w:line="130"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may be granted under our Amended and Restated 2020 Plan. Stock appreciation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allow the recipient to receive 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90 days following the termination of service. However, in no event may a stock appreciation right be exercised later than the expiration of its term. Subject to the provisions of our Amended and Restated 2020 Plan, the administrator determines the terms of stock appreciation rights, including when such rights become exercisable and whether to pay any increased appreciation in cash or with shares of our common stock, or a combination thereof, except that the per-share exercise price for the shares to be issued pursuant to the exercise of a stock appreciation right will be no less than 100% of the fair market value per share on the date of grant.</w:t>
      </w:r>
    </w:p>
    <w:p>
      <w:pPr>
        <w:spacing w:after="0" w:line="13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Restricted stock may be granted under our Amended and Restated 2020 Plan. Restricted stock awards are grants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common stock that may vest in accordance with terms and conditions established by the administrator. The administrator will determine the number of shares of restricted stock granted to any employee, director or consultant and, subject to the provisions of our Amended and Restated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unless the administrator provides otherwise. Shares of restricted stock that do not vest are subject to our right of repurchase or forfeiture.</w:t>
      </w:r>
    </w:p>
    <w:p>
      <w:pPr>
        <w:spacing w:after="0" w:line="130" w:lineRule="exact"/>
        <w:rPr>
          <w:sz w:val="20"/>
          <w:szCs w:val="20"/>
          <w:color w:val="auto"/>
        </w:rPr>
      </w:pPr>
    </w:p>
    <w:p>
      <w:pPr>
        <w:ind w:left="120" w:right="60"/>
        <w:spacing w:after="0" w:line="237"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Restricted stock units may be granted under our Amended and Restated 2020 Plan. Restricted stock units are</w:t>
      </w:r>
      <w:r>
        <w:rPr>
          <w:rFonts w:ascii="Arial" w:cs="Arial" w:eastAsia="Arial" w:hAnsi="Arial"/>
          <w:sz w:val="17"/>
          <w:szCs w:val="17"/>
          <w:i w:val="1"/>
          <w:iCs w:val="1"/>
          <w:color w:val="auto"/>
        </w:rPr>
        <w:t xml:space="preserve"> </w:t>
      </w:r>
      <w:r>
        <w:rPr>
          <w:rFonts w:ascii="Arial" w:cs="Arial" w:eastAsia="Arial" w:hAnsi="Arial"/>
          <w:sz w:val="17"/>
          <w:szCs w:val="17"/>
          <w:color w:val="auto"/>
        </w:rPr>
        <w:t>bookkeeping entries representing an amount equal to the fair market value of one share of our common stock. Subject to the provisions of our Amended and Restated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Notwithstanding the foregoing, the administrator, in its sole discretion, may accelerate the time at which any restrictions will lapse or be removed.</w:t>
      </w:r>
    </w:p>
    <w:p>
      <w:pPr>
        <w:spacing w:after="0" w:line="130"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i w:val="1"/>
          <w:iCs w:val="1"/>
          <w:color w:val="auto"/>
        </w:rPr>
        <w:t>Performance Units and Performance Shares</w:t>
      </w:r>
      <w:r>
        <w:rPr>
          <w:rFonts w:ascii="Arial" w:cs="Arial" w:eastAsia="Arial" w:hAnsi="Arial"/>
          <w:sz w:val="17"/>
          <w:szCs w:val="17"/>
          <w:color w:val="auto"/>
        </w:rPr>
        <w:t>. Performance units and performance shares may be granted under our Amended and Restated</w:t>
      </w:r>
      <w:r>
        <w:rPr>
          <w:rFonts w:ascii="Arial" w:cs="Arial" w:eastAsia="Arial" w:hAnsi="Arial"/>
          <w:sz w:val="17"/>
          <w:szCs w:val="17"/>
          <w:i w:val="1"/>
          <w:iCs w:val="1"/>
          <w:color w:val="auto"/>
        </w:rPr>
        <w:t xml:space="preserve"> </w:t>
      </w:r>
      <w:r>
        <w:rPr>
          <w:rFonts w:ascii="Arial" w:cs="Arial" w:eastAsia="Arial" w:hAnsi="Arial"/>
          <w:sz w:val="17"/>
          <w:szCs w:val="17"/>
          <w:color w:val="auto"/>
        </w:rPr>
        <w:t>2020 Plan. Performance units and performance shares are awards that will result in a payment to a participant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and/or the value of performance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dollar value established by the administrator on or prior to the grant date. Performance shares will have an initial value equal to the fair market value of our common stock on the grant date. The administrator, in its sole discretion, may pay out earned performance units or performance shares in cash, shares or in some combination thereof.</w:t>
      </w:r>
    </w:p>
    <w:p>
      <w:pPr>
        <w:spacing w:after="0" w:line="133"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i w:val="1"/>
          <w:iCs w:val="1"/>
          <w:color w:val="auto"/>
        </w:rPr>
        <w:t>Outside Directors</w:t>
      </w:r>
      <w:r>
        <w:rPr>
          <w:rFonts w:ascii="Arial" w:cs="Arial" w:eastAsia="Arial" w:hAnsi="Arial"/>
          <w:sz w:val="17"/>
          <w:szCs w:val="17"/>
          <w:color w:val="auto"/>
        </w:rPr>
        <w:t>. All outside (non-employee) directors will be eligible to receive all types of awards (except for incentive stock options) under</w:t>
      </w:r>
      <w:r>
        <w:rPr>
          <w:rFonts w:ascii="Arial" w:cs="Arial" w:eastAsia="Arial" w:hAnsi="Arial"/>
          <w:sz w:val="17"/>
          <w:szCs w:val="17"/>
          <w:i w:val="1"/>
          <w:iCs w:val="1"/>
          <w:color w:val="auto"/>
        </w:rPr>
        <w:t xml:space="preserve"> </w:t>
      </w:r>
      <w:r>
        <w:rPr>
          <w:rFonts w:ascii="Arial" w:cs="Arial" w:eastAsia="Arial" w:hAnsi="Arial"/>
          <w:sz w:val="17"/>
          <w:szCs w:val="17"/>
          <w:color w:val="auto"/>
        </w:rPr>
        <w:t>our Amended and Restated 2020 Plan. Prior to the completion of this offering, we intend to implement a formal Outside Director Compensation Policy pursuant to which our outside directors will be eligible to receive equity awards under our Amended and Restated 2020 Plan. Our Amended and Restated 2020 Plan will provide that in any given fiscal year, no outside director may be granted awards (the value of which will be based on their grant-date fair value) under our Amended and Restated 2020 Plan and any other compensation (including without limitation any cash retainers and fees) greater than $1,000,000. The grant-date fair values of awards granted under our Amended and Restated 2020 Plan will be determined according to U.S. GAAP. Any awards or other compensation provided to an individual for his or her services as an employee or a consultant (other than an outside director), or prior to the effective date of the registration statement of which this prospectus forms a part, will not count toward this limit. The maximum limit does not reflect the intended size of any potential grants or a commitment to make grants to our outside directors under our Amended and Restated 2020 Plan in the future.</w:t>
      </w:r>
    </w:p>
    <w:p>
      <w:pPr>
        <w:spacing w:after="0" w:line="130"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i w:val="1"/>
          <w:iCs w:val="1"/>
          <w:color w:val="auto"/>
        </w:rPr>
        <w:t>Non-Transferability of Awards</w:t>
      </w:r>
      <w:r>
        <w:rPr>
          <w:rFonts w:ascii="Arial" w:cs="Arial" w:eastAsia="Arial" w:hAnsi="Arial"/>
          <w:sz w:val="17"/>
          <w:szCs w:val="17"/>
          <w:color w:val="auto"/>
        </w:rPr>
        <w:t>. Unless the administrator provides otherwise, our Amended and Restated 2020 Plan generally does not allow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transfer of awards other than by will or the laws of descent and distribution, and only the recipient of an award may exercise an award during his or her lifetime. If the administrator makes an award transferrable, such award will contain such additional terms and conditions as the administrator deems appropriate.</w:t>
      </w:r>
    </w:p>
    <w:p>
      <w:pPr>
        <w:spacing w:after="0" w:line="126"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certain changes in our capitalization, such as a dividend or other distribution, recapitalization,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Amended and Restated 2020 Plan, the administrator will adjust the number and class of shares that may be delivered under our Amended and Restated 2020 Plan and/or the number, class and price of shares covered by each outstanding award and any numerical share limits set forth in our Amended and Restated 2020 Plan.</w:t>
      </w:r>
    </w:p>
    <w:p>
      <w:pPr>
        <w:spacing w:after="0" w:line="133" w:lineRule="exact"/>
        <w:rPr>
          <w:sz w:val="20"/>
          <w:szCs w:val="20"/>
          <w:color w:val="auto"/>
        </w:rPr>
      </w:pPr>
    </w:p>
    <w:p>
      <w:pPr>
        <w:ind w:left="120" w:right="80"/>
        <w:spacing w:after="0" w:line="265" w:lineRule="auto"/>
        <w:rPr>
          <w:sz w:val="20"/>
          <w:szCs w:val="20"/>
          <w:color w:val="auto"/>
        </w:rPr>
      </w:pPr>
      <w:r>
        <w:rPr>
          <w:rFonts w:ascii="Arial" w:cs="Arial" w:eastAsia="Arial" w:hAnsi="Arial"/>
          <w:sz w:val="17"/>
          <w:szCs w:val="17"/>
          <w:i w:val="1"/>
          <w:iCs w:val="1"/>
          <w:color w:val="auto"/>
        </w:rPr>
        <w:t>Dissolution or Liquidation</w:t>
      </w:r>
      <w:r>
        <w:rPr>
          <w:rFonts w:ascii="Arial" w:cs="Arial" w:eastAsia="Arial" w:hAnsi="Arial"/>
          <w:sz w:val="17"/>
          <w:szCs w:val="17"/>
          <w:color w:val="auto"/>
        </w:rPr>
        <w:t>. In the event of our proposed liquidation or dissolution, the administrator will notify participants as soon as practicable</w:t>
      </w:r>
      <w:r>
        <w:rPr>
          <w:rFonts w:ascii="Arial" w:cs="Arial" w:eastAsia="Arial" w:hAnsi="Arial"/>
          <w:sz w:val="17"/>
          <w:szCs w:val="17"/>
          <w:i w:val="1"/>
          <w:iCs w:val="1"/>
          <w:color w:val="auto"/>
        </w:rPr>
        <w:t xml:space="preserve"> </w:t>
      </w:r>
      <w:r>
        <w:rPr>
          <w:rFonts w:ascii="Arial" w:cs="Arial" w:eastAsia="Arial" w:hAnsi="Arial"/>
          <w:sz w:val="17"/>
          <w:szCs w:val="17"/>
          <w:color w:val="auto"/>
        </w:rPr>
        <w:t>and all awards will terminate immediately prior to the consummation of such proposed transaction.</w:t>
      </w:r>
    </w:p>
    <w:p>
      <w:pPr>
        <w:spacing w:after="0" w:line="108"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Merger or Change in Control</w:t>
      </w:r>
      <w:r>
        <w:rPr>
          <w:rFonts w:ascii="Arial" w:cs="Arial" w:eastAsia="Arial" w:hAnsi="Arial"/>
          <w:sz w:val="17"/>
          <w:szCs w:val="17"/>
          <w:color w:val="auto"/>
        </w:rPr>
        <w:t>. Our Amended and Restated 2020 Plan provides that in the event of a merger or change in control, as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Amended and Restated 2020 Plan, each outstanding award will be treated as the administrator determines, without a participant’s consent. The administrator may provide that awards granted under the Amended and Restated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52"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In the event that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prior to the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If an outside director’s awards are assumed or substituted for in a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 xml:space="preserve">Clawback. </w:t>
      </w:r>
      <w:r>
        <w:rPr>
          <w:rFonts w:ascii="Arial" w:cs="Arial" w:eastAsia="Arial" w:hAnsi="Arial"/>
          <w:sz w:val="17"/>
          <w:szCs w:val="17"/>
          <w:color w:val="auto"/>
        </w:rPr>
        <w:t>Awards are subject to any clawback policy of ours, which we may establish and/or amend from time to time to comply with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laws. The administrator also may specify in an award agreement that the participant’s rights, payments and benefits with respect to an award will be subject to reduction, cancellation, forfeiture or recoupment upon the occurrence of certain specified events. Our board of directors may require a participant to forfeit, return or reimburse us all or a portion of the award and any amounts paid under the award in order to comply with any clawback policy of ours or applicable laws.</w:t>
      </w:r>
    </w:p>
    <w:p>
      <w:pPr>
        <w:spacing w:after="0" w:line="130" w:lineRule="exact"/>
        <w:rPr>
          <w:sz w:val="20"/>
          <w:szCs w:val="20"/>
          <w:color w:val="auto"/>
        </w:rPr>
      </w:pPr>
    </w:p>
    <w:p>
      <w:pPr>
        <w:jc w:val="both"/>
        <w:ind w:left="120" w:right="60"/>
        <w:spacing w:after="0" w:line="248" w:lineRule="auto"/>
        <w:rPr>
          <w:sz w:val="20"/>
          <w:szCs w:val="20"/>
          <w:color w:val="auto"/>
        </w:rPr>
      </w:pPr>
      <w:r>
        <w:rPr>
          <w:rFonts w:ascii="Arial" w:cs="Arial" w:eastAsia="Arial" w:hAnsi="Arial"/>
          <w:sz w:val="17"/>
          <w:szCs w:val="17"/>
          <w:i w:val="1"/>
          <w:iCs w:val="1"/>
          <w:color w:val="auto"/>
        </w:rPr>
        <w:t>Amendment; Termination</w:t>
      </w:r>
      <w:r>
        <w:rPr>
          <w:rFonts w:ascii="Arial" w:cs="Arial" w:eastAsia="Arial" w:hAnsi="Arial"/>
          <w:sz w:val="17"/>
          <w:szCs w:val="17"/>
          <w:color w:val="auto"/>
        </w:rPr>
        <w:t>. The administrator has the authority to amend, suspend or terminate our Amended and Restated 2020 Plan,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such action does not materially impair the rights of any participant unless mutually agreed otherwise. Our Amended and Restated 2020 Plan will remain in effect until terminated in accordance with its terms.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95"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Prior to the completion of this offering, our board of directors intends to adopt, and we expect our stockholders will approve, our ESPP. Our ESPP will be effective upon the later of its adoption by our board of directors or one business day immediately before the effective date of our registration statement of which this prospectus forms a part. However, no offering period or purchase period under the ESPP will begin unless and until determined by our board of directors or its compensation committee.</w:t>
      </w:r>
    </w:p>
    <w:p>
      <w:pPr>
        <w:spacing w:after="0" w:line="131" w:lineRule="exact"/>
        <w:rPr>
          <w:sz w:val="20"/>
          <w:szCs w:val="20"/>
          <w:color w:val="auto"/>
        </w:rPr>
      </w:pPr>
    </w:p>
    <w:p>
      <w:pPr>
        <w:ind w:left="120" w:right="140"/>
        <w:spacing w:after="0" w:line="248"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 total of shares of our common stock will be available for issuance under our ESPP. In addition, our ESPP will</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for annual increases in the number of shares of our common stock available for issuance under our ESPP on the first day of each of our fiscal years beginning with our fiscal year 2021, equal to the least of:</w:t>
      </w:r>
    </w:p>
    <w:p>
      <w:pPr>
        <w:spacing w:after="0" w:line="182" w:lineRule="exact"/>
        <w:rPr>
          <w:sz w:val="20"/>
          <w:szCs w:val="20"/>
          <w:color w:val="auto"/>
        </w:rPr>
      </w:pPr>
    </w:p>
    <w:p>
      <w:pPr>
        <w:ind w:left="1780" w:hanging="1232"/>
        <w:spacing w:after="0"/>
        <w:tabs>
          <w:tab w:leader="none" w:pos="1780" w:val="left"/>
        </w:tabs>
        <w:numPr>
          <w:ilvl w:val="0"/>
          <w:numId w:val="92"/>
        </w:numPr>
        <w:rPr>
          <w:rFonts w:ascii="MS PGothic" w:cs="MS PGothic" w:eastAsia="MS PGothic" w:hAnsi="MS PGothic"/>
          <w:sz w:val="13"/>
          <w:szCs w:val="13"/>
          <w:color w:val="auto"/>
        </w:rPr>
      </w:pPr>
      <w:r>
        <w:rPr>
          <w:rFonts w:ascii="Arial" w:cs="Arial" w:eastAsia="Arial" w:hAnsi="Arial"/>
          <w:sz w:val="17"/>
          <w:szCs w:val="17"/>
          <w:color w:val="auto"/>
        </w:rPr>
        <w:t>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2"/>
        </w:numPr>
        <w:rPr>
          <w:rFonts w:ascii="MS PGothic" w:cs="MS PGothic" w:eastAsia="MS PGothic" w:hAnsi="MS PGothic"/>
          <w:sz w:val="13"/>
          <w:szCs w:val="13"/>
          <w:color w:val="auto"/>
        </w:rPr>
      </w:pPr>
      <w:r>
        <w:rPr>
          <w:rFonts w:ascii="Arial" w:cs="Arial" w:eastAsia="Arial" w:hAnsi="Arial"/>
          <w:sz w:val="17"/>
          <w:szCs w:val="17"/>
          <w:color w:val="auto"/>
        </w:rPr>
        <w:t>one percent of the outstanding shares of our common stock on the last day of our immediately preceding fiscal year;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2"/>
        </w:numPr>
        <w:rPr>
          <w:rFonts w:ascii="MS PGothic" w:cs="MS PGothic" w:eastAsia="MS PGothic" w:hAnsi="MS PGothic"/>
          <w:sz w:val="13"/>
          <w:szCs w:val="13"/>
          <w:color w:val="auto"/>
        </w:rPr>
      </w:pPr>
      <w:r>
        <w:rPr>
          <w:rFonts w:ascii="Arial" w:cs="Arial" w:eastAsia="Arial" w:hAnsi="Arial"/>
          <w:sz w:val="17"/>
          <w:szCs w:val="17"/>
          <w:color w:val="auto"/>
        </w:rPr>
        <w:t>such number of shares as our board of directors may determine no later than the last day of our immediately preceding fiscal year.</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Shares issuable under the ESPP will be authorized, but unissued, or reacquired shares of our common stock.</w:t>
      </w:r>
    </w:p>
    <w:p>
      <w:pPr>
        <w:spacing w:after="0" w:line="13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a committee appointed by our board of directors will have the authority to administer our ESPP.</w:t>
      </w:r>
      <w:r>
        <w:rPr>
          <w:rFonts w:ascii="Arial" w:cs="Arial" w:eastAsia="Arial" w:hAnsi="Arial"/>
          <w:sz w:val="17"/>
          <w:szCs w:val="17"/>
          <w:i w:val="1"/>
          <w:iCs w:val="1"/>
          <w:color w:val="auto"/>
        </w:rPr>
        <w:t xml:space="preserve"> </w:t>
      </w:r>
      <w:r>
        <w:rPr>
          <w:rFonts w:ascii="Arial" w:cs="Arial" w:eastAsia="Arial" w:hAnsi="Arial"/>
          <w:sz w:val="17"/>
          <w:szCs w:val="17"/>
          <w:color w:val="auto"/>
        </w:rPr>
        <w:t>Unless and until determined otherwise by our board of directors, the compensation committee of our board of directors will administer the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0"/>
        <w:spacing w:after="0" w:line="238" w:lineRule="auto"/>
        <w:rPr>
          <w:sz w:val="20"/>
          <w:szCs w:val="20"/>
          <w:color w:val="auto"/>
        </w:rPr>
      </w:pPr>
      <w:r>
        <w:rPr>
          <w:rFonts w:ascii="Arial" w:cs="Arial" w:eastAsia="Arial" w:hAnsi="Arial"/>
          <w:sz w:val="17"/>
          <w:szCs w:val="17"/>
          <w:color w:val="auto"/>
        </w:rPr>
        <w:t>procedures, sub-plans and appendices to the enrollment agreement as are necessary or appropriate to permit participation in the ESPP by employees who are non-U.S. nationals or employed outside the U.S. The administrator’s findings, decisions and determinations are final and binding on all participants to the maximum extent permitted by law.</w:t>
      </w:r>
    </w:p>
    <w:p>
      <w:pPr>
        <w:spacing w:after="0" w:line="129" w:lineRule="exact"/>
        <w:rPr>
          <w:sz w:val="20"/>
          <w:szCs w:val="20"/>
          <w:color w:val="auto"/>
        </w:rPr>
      </w:pPr>
    </w:p>
    <w:p>
      <w:pPr>
        <w:ind w:left="120" w:right="520"/>
        <w:spacing w:after="0" w:line="237"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Generally, any of our employees are eligible to participate in our ESPP if they are customarily employed by us or any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w:t>
      </w:r>
    </w:p>
    <w:p>
      <w:pPr>
        <w:spacing w:after="0" w:line="2" w:lineRule="exact"/>
        <w:rPr>
          <w:sz w:val="20"/>
          <w:szCs w:val="20"/>
          <w:color w:val="auto"/>
        </w:rPr>
      </w:pPr>
    </w:p>
    <w:p>
      <w:pPr>
        <w:ind w:left="120" w:hanging="4"/>
        <w:spacing w:after="0" w:line="234" w:lineRule="auto"/>
        <w:tabs>
          <w:tab w:leader="none" w:pos="376" w:val="left"/>
        </w:tabs>
        <w:numPr>
          <w:ilvl w:val="0"/>
          <w:numId w:val="93"/>
        </w:numPr>
        <w:rPr>
          <w:rFonts w:ascii="Arial" w:cs="Arial" w:eastAsia="Arial" w:hAnsi="Arial"/>
          <w:sz w:val="17"/>
          <w:szCs w:val="17"/>
          <w:color w:val="auto"/>
        </w:rPr>
      </w:pPr>
      <w:r>
        <w:rPr>
          <w:rFonts w:ascii="Arial" w:cs="Arial" w:eastAsia="Arial" w:hAnsi="Arial"/>
          <w:sz w:val="17"/>
          <w:szCs w:val="17"/>
          <w:color w:val="auto"/>
        </w:rPr>
        <w:t>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w:t>
      </w:r>
    </w:p>
    <w:p>
      <w:pPr>
        <w:spacing w:after="0" w:line="149"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26" w:lineRule="exact"/>
        <w:rPr>
          <w:sz w:val="20"/>
          <w:szCs w:val="20"/>
          <w:color w:val="auto"/>
        </w:rPr>
      </w:pPr>
    </w:p>
    <w:p>
      <w:pPr>
        <w:jc w:val="both"/>
        <w:ind w:left="120" w:right="240"/>
        <w:spacing w:after="0" w:line="248" w:lineRule="auto"/>
        <w:rPr>
          <w:sz w:val="20"/>
          <w:szCs w:val="20"/>
          <w:color w:val="auto"/>
        </w:rPr>
      </w:pPr>
      <w:r>
        <w:rPr>
          <w:rFonts w:ascii="Arial" w:cs="Arial" w:eastAsia="Arial" w:hAnsi="Arial"/>
          <w:sz w:val="17"/>
          <w:szCs w:val="17"/>
          <w:i w:val="1"/>
          <w:iCs w:val="1"/>
          <w:color w:val="auto"/>
        </w:rPr>
        <w:t>Offering Periods and Purchase Periods</w:t>
      </w:r>
      <w:r>
        <w:rPr>
          <w:rFonts w:ascii="Arial" w:cs="Arial" w:eastAsia="Arial" w:hAnsi="Arial"/>
          <w:sz w:val="17"/>
          <w:szCs w:val="17"/>
          <w:color w:val="auto"/>
        </w:rPr>
        <w:t>. Our ESPP includes a component, or the 423 Component, that is intended to qualify as an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stock purchase plan” under Code Section 423, and a component that does not comply with Code Section 423, or the Non-423 Component. For purposes of this summary, a reference to our ESPP generally will mean the terms and operations of the 423 Component.</w:t>
      </w:r>
    </w:p>
    <w:p>
      <w:pPr>
        <w:spacing w:after="0" w:line="141"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Our ESPP will provide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our ESPP, including the starting and ending dates of offering periods and purchase periods and the number of purchase periods in any offering periods. Unless determined otherwise by the administrator, if the fair market value of a share of our common stock on a purchase date is less than the fair market value of a share of our common stock on the first trading day of the offering period, participants in that offering period will be withdrawn from that offering period following their purchase of shares on such purchase date and automatically will be enrolled in a new offering period.</w:t>
      </w:r>
    </w:p>
    <w:p>
      <w:pPr>
        <w:spacing w:after="0" w:line="131"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i w:val="1"/>
          <w:iCs w:val="1"/>
          <w:color w:val="auto"/>
        </w:rPr>
        <w:t>Contributions</w:t>
      </w:r>
      <w:r>
        <w:rPr>
          <w:rFonts w:ascii="Arial" w:cs="Arial" w:eastAsia="Arial" w:hAnsi="Arial"/>
          <w:sz w:val="17"/>
          <w:szCs w:val="17"/>
          <w:color w:val="auto"/>
        </w:rPr>
        <w:t>. Our ESPP permits participants to purchase shares of our common stock through payroll deductions of up to 15% of their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spacing w:after="0" w:line="126" w:lineRule="exact"/>
        <w:rPr>
          <w:sz w:val="20"/>
          <w:szCs w:val="20"/>
          <w:color w:val="auto"/>
        </w:rPr>
      </w:pPr>
    </w:p>
    <w:p>
      <w:pPr>
        <w:ind w:left="120" w:right="80"/>
        <w:spacing w:after="0" w:line="239" w:lineRule="auto"/>
        <w:rPr>
          <w:sz w:val="20"/>
          <w:szCs w:val="20"/>
          <w:color w:val="auto"/>
        </w:rPr>
      </w:pPr>
      <w:r>
        <w:rPr>
          <w:rFonts w:ascii="Arial" w:cs="Arial" w:eastAsia="Arial" w:hAnsi="Arial"/>
          <w:sz w:val="17"/>
          <w:szCs w:val="17"/>
          <w:i w:val="1"/>
          <w:iCs w:val="1"/>
          <w:color w:val="auto"/>
        </w:rPr>
        <w:t>Exercise of Purchase Right</w:t>
      </w:r>
      <w:r>
        <w:rPr>
          <w:rFonts w:ascii="Arial" w:cs="Arial" w:eastAsia="Arial" w:hAnsi="Arial"/>
          <w:sz w:val="17"/>
          <w:szCs w:val="17"/>
          <w:color w:val="auto"/>
        </w:rPr>
        <w:t>. Amounts deducted and accumulated by a participant under our ESPP are used to purchase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at the end of each purchase period. The purchase price of the shares will be 85% of the lower of (a) the fair market value of a share of our common stock on the first trading day of the offering period or (b) the fair market value of a share of our common stock on the exercise date. A</w:t>
      </w:r>
    </w:p>
    <w:p>
      <w:pPr>
        <w:spacing w:after="0" w:line="1"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participant will be permitted to purchase a maximum of shares during each period. Until shares of our common stock are issued (as evidenced by the appropriate entry on our books or the books of a duly authorized transfer agent of our) to a participant, the participant will have only rights of an unsecured creditor with respect to such shares, and no right to vote or receive dividends or any other rights as a stockholder with respect to such shares.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right="40"/>
        <w:spacing w:after="0" w:line="265" w:lineRule="auto"/>
        <w:rPr>
          <w:sz w:val="20"/>
          <w:szCs w:val="20"/>
          <w:color w:val="auto"/>
        </w:rPr>
      </w:pPr>
      <w:r>
        <w:rPr>
          <w:rFonts w:ascii="Arial" w:cs="Arial" w:eastAsia="Arial" w:hAnsi="Arial"/>
          <w:sz w:val="17"/>
          <w:szCs w:val="17"/>
          <w:i w:val="1"/>
          <w:iCs w:val="1"/>
          <w:color w:val="auto"/>
        </w:rPr>
        <w:t>Non-transferability</w:t>
      </w:r>
      <w:r>
        <w:rPr>
          <w:rFonts w:ascii="Arial" w:cs="Arial" w:eastAsia="Arial" w:hAnsi="Arial"/>
          <w:sz w:val="17"/>
          <w:szCs w:val="17"/>
          <w:color w:val="auto"/>
        </w:rPr>
        <w:t>. A participant may not transfer the contributions credited to his or her ESPP account or rights granted under our ESPP,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by will or the laws of descent and distribution.</w:t>
      </w:r>
    </w:p>
    <w:p>
      <w:pPr>
        <w:spacing w:after="0" w:line="108" w:lineRule="exact"/>
        <w:rPr>
          <w:sz w:val="20"/>
          <w:szCs w:val="20"/>
          <w:color w:val="auto"/>
        </w:rPr>
      </w:pPr>
    </w:p>
    <w:p>
      <w:pPr>
        <w:ind w:left="120" w:right="100"/>
        <w:spacing w:after="0" w:line="237"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Our ESPP provides that in the event that any dividend or other distribution (whether in the form of cash,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other securities or other property), recapitalization, stock split, reverse stock split, reorganization, merger, consolidation, split-up, spin-off,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30" w:lineRule="exact"/>
        <w:rPr>
          <w:sz w:val="20"/>
          <w:szCs w:val="20"/>
          <w:color w:val="auto"/>
        </w:rPr>
      </w:pPr>
    </w:p>
    <w:p>
      <w:pPr>
        <w:ind w:left="120" w:right="100"/>
        <w:spacing w:after="0"/>
        <w:rPr>
          <w:sz w:val="20"/>
          <w:szCs w:val="20"/>
          <w:color w:val="auto"/>
        </w:rPr>
      </w:pPr>
      <w:r>
        <w:rPr>
          <w:rFonts w:ascii="Arial" w:cs="Arial" w:eastAsia="Arial" w:hAnsi="Arial"/>
          <w:sz w:val="17"/>
          <w:szCs w:val="17"/>
          <w:i w:val="1"/>
          <w:iCs w:val="1"/>
          <w:color w:val="auto"/>
        </w:rPr>
        <w:t>Merger or Change in Control</w:t>
      </w:r>
      <w:r>
        <w:rPr>
          <w:rFonts w:ascii="Arial" w:cs="Arial" w:eastAsia="Arial" w:hAnsi="Arial"/>
          <w:sz w:val="17"/>
          <w:szCs w:val="17"/>
          <w:color w:val="auto"/>
        </w:rPr>
        <w:t>. In the event of our merger or change in control, as defined in our ESPP, a successor corporation may assume or</w:t>
      </w:r>
      <w:r>
        <w:rPr>
          <w:rFonts w:ascii="Arial" w:cs="Arial" w:eastAsia="Arial" w:hAnsi="Arial"/>
          <w:sz w:val="17"/>
          <w:szCs w:val="17"/>
          <w:i w:val="1"/>
          <w:iCs w:val="1"/>
          <w:color w:val="auto"/>
        </w:rPr>
        <w:t xml:space="preserve"> </w:t>
      </w:r>
      <w:r>
        <w:rPr>
          <w:rFonts w:ascii="Arial" w:cs="Arial" w:eastAsia="Arial" w:hAnsi="Arial"/>
          <w:sz w:val="17"/>
          <w:szCs w:val="17"/>
          <w:color w:val="auto"/>
        </w:rPr>
        <w:t>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3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The administrator has the authority to modify, amend, suspend or terminate our ESPP except that,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prior to the effective date of our registration statement related to this offering, unless we terminate it earlier.</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9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(generally, up to 90% of the employee’s eligible compensation), on a pre-tax or after-tax (Roth) basis, through contributions to the 401(k) plan. All of a participant’s contributions into the 401(k) plan are 100% vested when contributed. The 401(k) plan permits us to make matching contributions and profit-sharing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Plan Sales</w:t>
      </w:r>
    </w:p>
    <w:p>
      <w:pPr>
        <w:spacing w:after="0" w:line="8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prior to the day following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offering, the sale of any shares under such plan would be subject to the lock-up agreement that the director or executive officer has entered into with the underwriters.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336"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The following is a description of certain relationships and transactions since January 2017 involving our directors, executive officers or beneficial holders of more than 5% of our capital stock. Compensation arrangements with our directors and officers are described in “Management— Director Compensation,” “Executive Compensation” and “Management.”</w:t>
      </w:r>
    </w:p>
    <w:p>
      <w:pPr>
        <w:spacing w:after="0" w:line="147"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Prior to April 1, 2020, all of our beneficial holders were shareholders of our predecessor, ALX Oncology Limited. On April 1, 2020, we were incorporated in Delaware and completed a reorganization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us as they did in ALX Oncology Limited immediately prior to the reorganization.</w:t>
      </w:r>
    </w:p>
    <w:p>
      <w:pPr>
        <w:spacing w:after="0" w:line="150"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The related-party transaction disclosures included below reflect transactions between ALX Oncology Limited and related parties from January 1, 2017 to March 31, 2020, the period prior to our incorporation and the effectiveness of the reorganization. For all other times, it includes transactions between us and related parties.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Reorganization Transaction</w:t>
      </w:r>
    </w:p>
    <w:p>
      <w:pPr>
        <w:spacing w:after="0" w:line="53"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As described above, on April 1, 2020, we consummated a reorganization whereby we issued and sold to the existing shareholders of ALX Oncology Limited an aggregate of 20,840,532 shares of our common stock at purchase prices per share ranging from $0.001 to $0.29, an aggregate of 61,180,500 shares of our Series A convertible preferred stock at a purchase price per share of $1.00, an aggregate of 6,690,729 shares of our Series B convertible preferred stock at a purchase price per share of $1.4432 and an aggregate of 72,754,989 shares of our Series C convertible preferred stock at a purchase price per share of $1.4432, in exchange for promissory notes with an aggregate principal amount of $176.3 million. We also acquired 525,000,000 ordinary shares of ALX Oncology Limited in exchange for the promissory notes that were acquired in connection with such issuance and sale of our capital stock.</w:t>
      </w:r>
    </w:p>
    <w:p>
      <w:pPr>
        <w:spacing w:after="0" w:line="151"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Purchasers of our shares of common stock, Series A convertible preferred stock, Series B convertible preferred stock and Series C convertible preferred stock include certain of our directors and executive officers and venture capital funds that beneficially own more than 5% of our outstanding capital stock and/or are represented on our board of directors. The following table presents the number of shares purchased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154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SHARES OF</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67"/>
        </w:trPr>
        <w:tc>
          <w:tcPr>
            <w:tcW w:w="740" w:type="dxa"/>
            <w:vAlign w:val="bottom"/>
            <w:tcBorders>
              <w:bottom w:val="single" w:sz="8" w:color="auto"/>
            </w:tcBorders>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5500" w:type="dxa"/>
            <w:vAlign w:val="bottom"/>
          </w:tcPr>
          <w:p>
            <w:pPr>
              <w:spacing w:after="0"/>
              <w:rPr>
                <w:sz w:val="14"/>
                <w:szCs w:val="14"/>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9"/>
              </w:rPr>
              <w:t>COMMON STOCK</w:t>
            </w:r>
          </w:p>
        </w:tc>
        <w:tc>
          <w:tcPr>
            <w:tcW w:w="260" w:type="dxa"/>
            <w:vAlign w:val="bottom"/>
          </w:tcPr>
          <w:p>
            <w:pPr>
              <w:spacing w:after="0"/>
              <w:rPr>
                <w:sz w:val="14"/>
                <w:szCs w:val="14"/>
                <w:color w:val="auto"/>
              </w:rPr>
            </w:pPr>
          </w:p>
        </w:tc>
        <w:tc>
          <w:tcPr>
            <w:tcW w:w="1120" w:type="dxa"/>
            <w:vAlign w:val="bottom"/>
          </w:tcPr>
          <w:p>
            <w:pPr>
              <w:jc w:val="right"/>
              <w:ind w:right="421"/>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28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w w:val="99"/>
              </w:rPr>
              <w:t>Sophia Randolph, M.D., Ph.D.</w:t>
            </w:r>
          </w:p>
        </w:tc>
        <w:tc>
          <w:tcPr>
            <w:tcW w:w="5500" w:type="dxa"/>
            <w:vAlign w:val="bottom"/>
            <w:vMerge w:val="restart"/>
            <w:shd w:val="clear" w:color="auto" w:fill="CCEEFF"/>
          </w:tcPr>
          <w:p>
            <w:pPr>
              <w:jc w:val="right"/>
              <w:ind w:right="5247"/>
              <w:spacing w:after="0" w:line="156" w:lineRule="exact"/>
              <w:rPr>
                <w:sz w:val="20"/>
                <w:szCs w:val="20"/>
                <w:color w:val="auto"/>
              </w:rPr>
            </w:pPr>
            <w:r>
              <w:rPr>
                <w:rFonts w:ascii="Arial" w:cs="Arial" w:eastAsia="Arial" w:hAnsi="Arial"/>
                <w:sz w:val="15"/>
                <w:szCs w:val="15"/>
                <w:color w:val="auto"/>
                <w:w w:val="87"/>
              </w:rPr>
              <w:t>(1)</w:t>
            </w: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280" w:type="dxa"/>
            <w:vAlign w:val="bottom"/>
            <w:gridSpan w:val="2"/>
            <w:vMerge w:val="continue"/>
            <w:shd w:val="clear" w:color="auto" w:fill="CCEEFF"/>
          </w:tcPr>
          <w:p>
            <w:pPr>
              <w:spacing w:after="0"/>
              <w:rPr>
                <w:sz w:val="11"/>
                <w:szCs w:val="11"/>
                <w:color w:val="auto"/>
              </w:rPr>
            </w:pPr>
          </w:p>
        </w:tc>
        <w:tc>
          <w:tcPr>
            <w:tcW w:w="5500" w:type="dxa"/>
            <w:vAlign w:val="bottom"/>
            <w:vMerge w:val="continue"/>
            <w:shd w:val="clear" w:color="auto" w:fill="CCEEFF"/>
          </w:tcPr>
          <w:p>
            <w:pPr>
              <w:spacing w:after="0"/>
              <w:rPr>
                <w:sz w:val="11"/>
                <w:szCs w:val="11"/>
                <w:color w:val="auto"/>
              </w:rPr>
            </w:pPr>
          </w:p>
        </w:tc>
        <w:tc>
          <w:tcPr>
            <w:tcW w:w="1860" w:type="dxa"/>
            <w:vAlign w:val="bottom"/>
            <w:gridSpan w:val="2"/>
            <w:vMerge w:val="restart"/>
            <w:shd w:val="clear" w:color="auto" w:fill="CCEEFF"/>
          </w:tcPr>
          <w:p>
            <w:pPr>
              <w:jc w:val="right"/>
              <w:ind w:right="660"/>
              <w:spacing w:after="0" w:line="176" w:lineRule="exact"/>
              <w:rPr>
                <w:sz w:val="20"/>
                <w:szCs w:val="20"/>
                <w:color w:val="auto"/>
              </w:rPr>
            </w:pPr>
            <w:r>
              <w:rPr>
                <w:rFonts w:ascii="Arial" w:cs="Arial" w:eastAsia="Arial" w:hAnsi="Arial"/>
                <w:sz w:val="17"/>
                <w:szCs w:val="17"/>
                <w:color w:val="auto"/>
              </w:rPr>
              <w:t>875,000</w:t>
            </w:r>
          </w:p>
        </w:tc>
        <w:tc>
          <w:tcPr>
            <w:tcW w:w="260" w:type="dxa"/>
            <w:vAlign w:val="bottom"/>
            <w:vMerge w:val="restart"/>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120" w:type="dxa"/>
            <w:vAlign w:val="bottom"/>
            <w:tcBorders>
              <w:right w:val="single" w:sz="8" w:color="CCEEFF"/>
            </w:tcBorders>
            <w:vMerge w:val="restart"/>
            <w:shd w:val="clear" w:color="auto" w:fill="CCEEFF"/>
          </w:tcPr>
          <w:p>
            <w:pPr>
              <w:jc w:val="right"/>
              <w:spacing w:after="0" w:line="176" w:lineRule="exact"/>
              <w:rPr>
                <w:sz w:val="20"/>
                <w:szCs w:val="20"/>
                <w:color w:val="auto"/>
              </w:rPr>
            </w:pPr>
            <w:r>
              <w:rPr>
                <w:rFonts w:ascii="Arial" w:cs="Arial" w:eastAsia="Arial" w:hAnsi="Arial"/>
                <w:sz w:val="17"/>
                <w:szCs w:val="17"/>
                <w:color w:val="auto"/>
              </w:rPr>
              <w:t>131,250</w:t>
            </w:r>
          </w:p>
        </w:tc>
        <w:tc>
          <w:tcPr>
            <w:tcW w:w="0" w:type="dxa"/>
            <w:vAlign w:val="bottom"/>
          </w:tcPr>
          <w:p>
            <w:pPr>
              <w:spacing w:after="0"/>
              <w:rPr>
                <w:sz w:val="1"/>
                <w:szCs w:val="1"/>
                <w:color w:val="auto"/>
              </w:rPr>
            </w:pPr>
          </w:p>
        </w:tc>
      </w:tr>
      <w:tr>
        <w:trPr>
          <w:trHeight w:val="41"/>
        </w:trPr>
        <w:tc>
          <w:tcPr>
            <w:tcW w:w="2280" w:type="dxa"/>
            <w:vAlign w:val="bottom"/>
            <w:gridSpan w:val="2"/>
            <w:vMerge w:val="continue"/>
            <w:shd w:val="clear" w:color="auto" w:fill="CCEEFF"/>
          </w:tcPr>
          <w:p>
            <w:pPr>
              <w:spacing w:after="0"/>
              <w:rPr>
                <w:sz w:val="3"/>
                <w:szCs w:val="3"/>
                <w:color w:val="auto"/>
              </w:rPr>
            </w:pPr>
          </w:p>
        </w:tc>
        <w:tc>
          <w:tcPr>
            <w:tcW w:w="5500" w:type="dxa"/>
            <w:vAlign w:val="bottom"/>
            <w:shd w:val="clear" w:color="auto" w:fill="CCEEFF"/>
          </w:tcPr>
          <w:p>
            <w:pPr>
              <w:spacing w:after="0"/>
              <w:rPr>
                <w:sz w:val="3"/>
                <w:szCs w:val="3"/>
                <w:color w:val="auto"/>
              </w:rPr>
            </w:pPr>
          </w:p>
        </w:tc>
        <w:tc>
          <w:tcPr>
            <w:tcW w:w="1860" w:type="dxa"/>
            <w:vAlign w:val="bottom"/>
            <w:gridSpan w:val="2"/>
            <w:vMerge w:val="continue"/>
            <w:shd w:val="clear" w:color="auto" w:fill="CCEEFF"/>
          </w:tcPr>
          <w:p>
            <w:pPr>
              <w:spacing w:after="0"/>
              <w:rPr>
                <w:sz w:val="3"/>
                <w:szCs w:val="3"/>
                <w:color w:val="auto"/>
              </w:rPr>
            </w:pPr>
          </w:p>
        </w:tc>
        <w:tc>
          <w:tcPr>
            <w:tcW w:w="260" w:type="dxa"/>
            <w:vAlign w:val="bottom"/>
            <w:vMerge w:val="continue"/>
            <w:shd w:val="clear" w:color="auto" w:fill="CCEEFF"/>
          </w:tcPr>
          <w:p>
            <w:pPr>
              <w:spacing w:after="0"/>
              <w:rPr>
                <w:sz w:val="3"/>
                <w:szCs w:val="3"/>
                <w:color w:val="auto"/>
              </w:rPr>
            </w:pPr>
          </w:p>
        </w:tc>
        <w:tc>
          <w:tcPr>
            <w:tcW w:w="1120" w:type="dxa"/>
            <w:vAlign w:val="bottom"/>
            <w:tcBorders>
              <w:right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Dr. Randolph currently serves as our 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INVESTOR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Entities affiliated with venBio Global Strategic Fund, LP</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p>
      <w:pPr>
        <w:ind w:left="120"/>
        <w:spacing w:after="0" w:line="232" w:lineRule="auto"/>
        <w:rPr>
          <w:sz w:val="20"/>
          <w:szCs w:val="20"/>
          <w:color w:val="auto"/>
        </w:rPr>
      </w:pPr>
      <w:r>
        <w:rPr>
          <w:rFonts w:ascii="Arial" w:cs="Arial" w:eastAsia="Arial" w:hAnsi="Arial"/>
          <w:sz w:val="17"/>
          <w:szCs w:val="17"/>
          <w:color w:val="auto"/>
        </w:rPr>
        <w:t>Goodman Barinaga Trust</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Jason Lettmann</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SHARES OF SERIES A</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CONVERTIBLE</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r>
      <w:tr>
        <w:trPr>
          <w:trHeight w:val="175"/>
        </w:trPr>
        <w:tc>
          <w:tcPr>
            <w:tcW w:w="2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r>
      <w:tr>
        <w:trPr>
          <w:trHeight w:val="176"/>
        </w:trPr>
        <w:tc>
          <w:tcPr>
            <w:tcW w:w="15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36,184,150</w:t>
            </w:r>
          </w:p>
        </w:tc>
        <w:tc>
          <w:tcPr>
            <w:tcW w:w="580" w:type="dxa"/>
            <w:vAlign w:val="bottom"/>
          </w:tcPr>
          <w:p>
            <w:pPr>
              <w:spacing w:after="0"/>
              <w:rPr>
                <w:sz w:val="15"/>
                <w:szCs w:val="15"/>
                <w:color w:val="auto"/>
              </w:rPr>
            </w:pPr>
          </w:p>
        </w:tc>
        <w:tc>
          <w:tcPr>
            <w:tcW w:w="26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36,184,150</w:t>
            </w:r>
          </w:p>
        </w:tc>
        <w:tc>
          <w:tcPr>
            <w:tcW w:w="20" w:type="dxa"/>
            <w:vAlign w:val="bottom"/>
          </w:tcPr>
          <w:p>
            <w:pPr>
              <w:spacing w:after="0"/>
              <w:rPr>
                <w:sz w:val="15"/>
                <w:szCs w:val="15"/>
                <w:color w:val="auto"/>
              </w:rPr>
            </w:pPr>
          </w:p>
        </w:tc>
      </w:tr>
      <w:tr>
        <w:trPr>
          <w:trHeight w:val="189"/>
        </w:trPr>
        <w:tc>
          <w:tcPr>
            <w:tcW w:w="212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16,976,504</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16,976,504</w:t>
            </w:r>
          </w:p>
        </w:tc>
      </w:tr>
      <w:tr>
        <w:trPr>
          <w:trHeight w:val="189"/>
        </w:trPr>
        <w:tc>
          <w:tcPr>
            <w:tcW w:w="212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514,446</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514,446</w:t>
            </w:r>
          </w:p>
        </w:tc>
      </w:tr>
      <w:tr>
        <w:trPr>
          <w:trHeight w:val="205"/>
        </w:trPr>
        <w:tc>
          <w:tcPr>
            <w:tcW w:w="2120" w:type="dxa"/>
            <w:vAlign w:val="bottom"/>
            <w:gridSpan w:val="2"/>
          </w:tcPr>
          <w:p>
            <w:pPr>
              <w:jc w:val="right"/>
              <w:ind w:right="580"/>
              <w:spacing w:after="0"/>
              <w:rPr>
                <w:sz w:val="20"/>
                <w:szCs w:val="20"/>
                <w:color w:val="auto"/>
              </w:rPr>
            </w:pPr>
            <w:r>
              <w:rPr>
                <w:rFonts w:ascii="Arial" w:cs="Arial" w:eastAsia="Arial" w:hAnsi="Arial"/>
                <w:sz w:val="17"/>
                <w:szCs w:val="17"/>
                <w:color w:val="auto"/>
              </w:rPr>
              <w:t>514,446</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514,446</w:t>
            </w:r>
          </w:p>
        </w:tc>
      </w:tr>
    </w:tbl>
    <w:p>
      <w:pPr>
        <w:spacing w:after="0" w:line="200" w:lineRule="exact"/>
        <w:rPr>
          <w:sz w:val="20"/>
          <w:szCs w:val="20"/>
          <w:color w:val="auto"/>
        </w:rPr>
      </w:pPr>
    </w:p>
    <w:p>
      <w:pPr>
        <w:sectPr>
          <w:pgSz w:w="11900" w:h="16838" w:orient="portrait"/>
          <w:cols w:equalWidth="0" w:num="2">
            <w:col w:w="6920" w:space="720"/>
            <w:col w:w="3500"/>
          </w:cols>
          <w:pgMar w:left="320" w:top="459" w:right="439" w:bottom="1440" w:gutter="0" w:footer="0" w:header="0"/>
          <w:type w:val="continuous"/>
        </w:sectPr>
      </w:pPr>
    </w:p>
    <w:p>
      <w:pPr>
        <w:spacing w:after="0" w:line="65" w:lineRule="exact"/>
        <w:rPr>
          <w:sz w:val="20"/>
          <w:szCs w:val="20"/>
          <w:color w:val="auto"/>
        </w:rPr>
      </w:pPr>
    </w:p>
    <w:p>
      <w:pPr>
        <w:ind w:left="540" w:right="60" w:hanging="276"/>
        <w:spacing w:after="0" w:line="249"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140"/>
          </w:cols>
          <w:pgMar w:left="320" w:top="459" w:right="43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hanging="276"/>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Dr. Goodman, our Executive Chairman, is a trustee of the Goodman Barinaga Trust.</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Mr. Lettmann, a member of our board of directors, is a General Partner of Lightstone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INVESTOR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Entities affiliated with venBio Global Strategic Fund, LP</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p>
      <w:pPr>
        <w:ind w:left="120"/>
        <w:spacing w:after="0"/>
        <w:rPr>
          <w:sz w:val="20"/>
          <w:szCs w:val="20"/>
          <w:color w:val="auto"/>
        </w:rPr>
      </w:pPr>
      <w:r>
        <w:rPr>
          <w:rFonts w:ascii="Arial" w:cs="Arial" w:eastAsia="Arial" w:hAnsi="Arial"/>
          <w:sz w:val="17"/>
          <w:szCs w:val="17"/>
          <w:color w:val="auto"/>
        </w:rPr>
        <w:t>Goodman Barinaga Trust</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00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SHARES OF SERIES B</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CONVERTIBLE</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r>
      <w:tr>
        <w:trPr>
          <w:trHeight w:val="175"/>
        </w:trPr>
        <w:tc>
          <w:tcPr>
            <w:tcW w:w="2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r>
      <w:tr>
        <w:trPr>
          <w:trHeight w:val="176"/>
        </w:trPr>
        <w:tc>
          <w:tcPr>
            <w:tcW w:w="15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3,227,201</w:t>
            </w:r>
          </w:p>
        </w:tc>
        <w:tc>
          <w:tcPr>
            <w:tcW w:w="760" w:type="dxa"/>
            <w:vAlign w:val="bottom"/>
          </w:tcPr>
          <w:p>
            <w:pPr>
              <w:spacing w:after="0"/>
              <w:rPr>
                <w:sz w:val="15"/>
                <w:szCs w:val="15"/>
                <w:color w:val="auto"/>
              </w:rPr>
            </w:pPr>
          </w:p>
        </w:tc>
        <w:tc>
          <w:tcPr>
            <w:tcW w:w="26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4,657,496</w:t>
            </w:r>
          </w:p>
        </w:tc>
        <w:tc>
          <w:tcPr>
            <w:tcW w:w="20" w:type="dxa"/>
            <w:vAlign w:val="bottom"/>
          </w:tcPr>
          <w:p>
            <w:pPr>
              <w:spacing w:after="0"/>
              <w:rPr>
                <w:sz w:val="15"/>
                <w:szCs w:val="15"/>
                <w:color w:val="auto"/>
              </w:rPr>
            </w:pPr>
          </w:p>
        </w:tc>
      </w:tr>
      <w:tr>
        <w:trPr>
          <w:trHeight w:val="189"/>
        </w:trPr>
        <w:tc>
          <w:tcPr>
            <w:tcW w:w="2320" w:type="dxa"/>
            <w:vAlign w:val="bottom"/>
            <w:gridSpan w:val="2"/>
          </w:tcPr>
          <w:p>
            <w:pPr>
              <w:jc w:val="right"/>
              <w:ind w:right="760"/>
              <w:spacing w:after="0" w:line="189" w:lineRule="exact"/>
              <w:rPr>
                <w:sz w:val="20"/>
                <w:szCs w:val="20"/>
                <w:color w:val="auto"/>
              </w:rPr>
            </w:pPr>
            <w:r>
              <w:rPr>
                <w:rFonts w:ascii="Arial" w:cs="Arial" w:eastAsia="Arial" w:hAnsi="Arial"/>
                <w:sz w:val="17"/>
                <w:szCs w:val="17"/>
                <w:color w:val="auto"/>
              </w:rPr>
              <w:t>1,514,104</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2,185,155</w:t>
            </w:r>
          </w:p>
        </w:tc>
      </w:tr>
      <w:tr>
        <w:trPr>
          <w:trHeight w:val="205"/>
        </w:trPr>
        <w:tc>
          <w:tcPr>
            <w:tcW w:w="2320" w:type="dxa"/>
            <w:vAlign w:val="bottom"/>
            <w:gridSpan w:val="2"/>
          </w:tcPr>
          <w:p>
            <w:pPr>
              <w:jc w:val="right"/>
              <w:ind w:right="760"/>
              <w:spacing w:after="0"/>
              <w:rPr>
                <w:sz w:val="20"/>
                <w:szCs w:val="20"/>
                <w:color w:val="auto"/>
              </w:rPr>
            </w:pPr>
            <w:r>
              <w:rPr>
                <w:rFonts w:ascii="Arial" w:cs="Arial" w:eastAsia="Arial" w:hAnsi="Arial"/>
                <w:sz w:val="17"/>
                <w:szCs w:val="17"/>
                <w:color w:val="auto"/>
              </w:rPr>
              <w:t>103,935</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149,999</w:t>
            </w:r>
          </w:p>
        </w:tc>
      </w:tr>
    </w:tbl>
    <w:p>
      <w:pPr>
        <w:spacing w:after="0" w:line="200" w:lineRule="exact"/>
        <w:rPr>
          <w:sz w:val="20"/>
          <w:szCs w:val="20"/>
          <w:color w:val="auto"/>
        </w:rPr>
      </w:pPr>
    </w:p>
    <w:p>
      <w:pPr>
        <w:sectPr>
          <w:pgSz w:w="11900" w:h="16838" w:orient="portrait"/>
          <w:cols w:equalWidth="0" w:num="2">
            <w:col w:w="6720" w:space="720"/>
            <w:col w:w="3700"/>
          </w:cols>
          <w:pgMar w:left="320" w:top="459" w:right="439" w:bottom="1440" w:gutter="0" w:footer="0" w:header="0"/>
          <w:type w:val="continuous"/>
        </w:sectPr>
      </w:pPr>
    </w:p>
    <w:p>
      <w:pPr>
        <w:spacing w:after="0" w:line="65" w:lineRule="exact"/>
        <w:rPr>
          <w:sz w:val="20"/>
          <w:szCs w:val="20"/>
          <w:color w:val="auto"/>
        </w:rPr>
      </w:pPr>
    </w:p>
    <w:p>
      <w:pPr>
        <w:ind w:left="540" w:right="60" w:hanging="276"/>
        <w:spacing w:after="0" w:line="249"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Dr. Goodman, our Executive Chairman, is a trustee of the Goodman Barinaga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SHARES OF SERIES C</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3360" w:type="dxa"/>
            <w:vAlign w:val="bottom"/>
          </w:tcPr>
          <w:p>
            <w:pPr>
              <w:spacing w:after="0"/>
              <w:rPr>
                <w:sz w:val="15"/>
                <w:szCs w:val="15"/>
                <w:color w:val="auto"/>
              </w:rPr>
            </w:pPr>
          </w:p>
        </w:tc>
        <w:tc>
          <w:tcPr>
            <w:tcW w:w="2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Emaldi Corporation</w:t>
            </w:r>
            <w:r>
              <w:rPr>
                <w:rFonts w:ascii="Arial" w:cs="Arial" w:eastAsia="Arial" w:hAnsi="Arial"/>
                <w:sz w:val="14"/>
                <w:szCs w:val="14"/>
                <w:color w:val="auto"/>
              </w:rPr>
              <w:t>(1)</w:t>
            </w:r>
          </w:p>
        </w:tc>
        <w:tc>
          <w:tcPr>
            <w:tcW w:w="33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346,452</w:t>
            </w:r>
          </w:p>
        </w:tc>
        <w:tc>
          <w:tcPr>
            <w:tcW w:w="5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500,000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60" w:type="dxa"/>
            <w:vAlign w:val="bottom"/>
            <w:gridSpan w:val="2"/>
          </w:tcPr>
          <w:p>
            <w:pPr>
              <w:spacing w:after="0" w:line="135" w:lineRule="exact"/>
              <w:rPr>
                <w:sz w:val="20"/>
                <w:szCs w:val="20"/>
                <w:color w:val="auto"/>
              </w:rPr>
            </w:pPr>
            <w:r>
              <w:rPr>
                <w:rFonts w:ascii="Arial" w:cs="Arial" w:eastAsia="Arial" w:hAnsi="Arial"/>
                <w:sz w:val="15"/>
                <w:szCs w:val="15"/>
                <w:color w:val="auto"/>
              </w:rPr>
              <w:t>Entities affiliated with venBio Global Strategic Fund, LP</w:t>
            </w:r>
          </w:p>
        </w:tc>
        <w:tc>
          <w:tcPr>
            <w:tcW w:w="3360" w:type="dxa"/>
            <w:vAlign w:val="bottom"/>
            <w:vMerge w:val="restart"/>
          </w:tcPr>
          <w:p>
            <w:pPr>
              <w:jc w:val="right"/>
              <w:ind w:right="3107"/>
              <w:spacing w:after="0"/>
              <w:rPr>
                <w:sz w:val="20"/>
                <w:szCs w:val="20"/>
                <w:color w:val="auto"/>
              </w:rPr>
            </w:pPr>
            <w:r>
              <w:rPr>
                <w:rFonts w:ascii="Arial" w:cs="Arial" w:eastAsia="Arial" w:hAnsi="Arial"/>
                <w:sz w:val="15"/>
                <w:szCs w:val="15"/>
                <w:color w:val="auto"/>
                <w:w w:val="87"/>
              </w:rPr>
              <w:t>(2)</w:t>
            </w:r>
          </w:p>
        </w:tc>
        <w:tc>
          <w:tcPr>
            <w:tcW w:w="2120" w:type="dxa"/>
            <w:vAlign w:val="bottom"/>
            <w:gridSpan w:val="2"/>
          </w:tcPr>
          <w:p>
            <w:pPr>
              <w:jc w:val="right"/>
              <w:ind w:right="580"/>
              <w:spacing w:after="0" w:line="135" w:lineRule="exact"/>
              <w:rPr>
                <w:sz w:val="20"/>
                <w:szCs w:val="20"/>
                <w:color w:val="auto"/>
              </w:rPr>
            </w:pPr>
            <w:r>
              <w:rPr>
                <w:rFonts w:ascii="Arial" w:cs="Arial" w:eastAsia="Arial" w:hAnsi="Arial"/>
                <w:sz w:val="15"/>
                <w:szCs w:val="15"/>
                <w:color w:val="auto"/>
              </w:rPr>
              <w:t>6,929,047</w:t>
            </w:r>
          </w:p>
        </w:tc>
        <w:tc>
          <w:tcPr>
            <w:tcW w:w="26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10,000,001</w:t>
            </w:r>
          </w:p>
        </w:tc>
        <w:tc>
          <w:tcPr>
            <w:tcW w:w="0" w:type="dxa"/>
            <w:vAlign w:val="bottom"/>
          </w:tcPr>
          <w:p>
            <w:pPr>
              <w:spacing w:after="0"/>
              <w:rPr>
                <w:sz w:val="1"/>
                <w:szCs w:val="1"/>
                <w:color w:val="auto"/>
              </w:rPr>
            </w:pPr>
          </w:p>
        </w:tc>
      </w:tr>
      <w:tr>
        <w:trPr>
          <w:trHeight w:val="48"/>
        </w:trPr>
        <w:tc>
          <w:tcPr>
            <w:tcW w:w="7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3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(3)</w:t>
            </w:r>
          </w:p>
        </w:tc>
        <w:tc>
          <w:tcPr>
            <w:tcW w:w="336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5,654,798</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8,161,004</w:t>
            </w:r>
          </w:p>
        </w:tc>
        <w:tc>
          <w:tcPr>
            <w:tcW w:w="0" w:type="dxa"/>
            <w:vAlign w:val="bottom"/>
          </w:tcPr>
          <w:p>
            <w:pPr>
              <w:spacing w:after="0"/>
              <w:rPr>
                <w:sz w:val="1"/>
                <w:szCs w:val="1"/>
                <w:color w:val="auto"/>
              </w:rPr>
            </w:pPr>
          </w:p>
        </w:tc>
      </w:tr>
      <w:tr>
        <w:trPr>
          <w:trHeight w:val="4"/>
        </w:trPr>
        <w:tc>
          <w:tcPr>
            <w:tcW w:w="4160" w:type="dxa"/>
            <w:vAlign w:val="bottom"/>
            <w:gridSpan w:val="2"/>
          </w:tcPr>
          <w:p>
            <w:pPr>
              <w:spacing w:after="0" w:line="4" w:lineRule="exact"/>
              <w:rPr>
                <w:sz w:val="20"/>
                <w:szCs w:val="20"/>
                <w:color w:val="auto"/>
              </w:rPr>
            </w:pPr>
            <w:r>
              <w:rPr>
                <w:rFonts w:ascii="Arial" w:cs="Arial" w:eastAsia="Arial" w:hAnsi="Arial"/>
                <w:sz w:val="1"/>
                <w:szCs w:val="1"/>
                <w:color w:val="auto"/>
              </w:rPr>
              <w:t>Logos Opportunities Fund I, LP</w:t>
            </w:r>
          </w:p>
        </w:tc>
        <w:tc>
          <w:tcPr>
            <w:tcW w:w="3360" w:type="dxa"/>
            <w:vAlign w:val="bottom"/>
          </w:tcPr>
          <w:p>
            <w:pPr>
              <w:spacing w:after="0" w:line="20" w:lineRule="exact"/>
              <w:rPr>
                <w:sz w:val="1"/>
                <w:szCs w:val="1"/>
                <w:color w:val="auto"/>
              </w:rPr>
            </w:pPr>
          </w:p>
        </w:tc>
        <w:tc>
          <w:tcPr>
            <w:tcW w:w="2120" w:type="dxa"/>
            <w:vAlign w:val="bottom"/>
            <w:gridSpan w:val="2"/>
          </w:tcPr>
          <w:p>
            <w:pPr>
              <w:jc w:val="right"/>
              <w:ind w:right="580"/>
              <w:spacing w:after="0" w:line="4" w:lineRule="exact"/>
              <w:rPr>
                <w:sz w:val="20"/>
                <w:szCs w:val="20"/>
                <w:color w:val="auto"/>
              </w:rPr>
            </w:pPr>
            <w:r>
              <w:rPr>
                <w:rFonts w:ascii="Arial" w:cs="Arial" w:eastAsia="Arial" w:hAnsi="Arial"/>
                <w:sz w:val="1"/>
                <w:szCs w:val="1"/>
                <w:color w:val="auto"/>
              </w:rPr>
              <w:t>13,858,093</w:t>
            </w:r>
          </w:p>
        </w:tc>
        <w:tc>
          <w:tcPr>
            <w:tcW w:w="260" w:type="dxa"/>
            <w:vAlign w:val="bottom"/>
          </w:tcPr>
          <w:p>
            <w:pPr>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20,000,000</w:t>
            </w:r>
          </w:p>
        </w:tc>
        <w:tc>
          <w:tcPr>
            <w:tcW w:w="0" w:type="dxa"/>
            <w:vAlign w:val="bottom"/>
          </w:tcPr>
          <w:p>
            <w:pPr>
              <w:spacing w:after="0" w:line="20" w:lineRule="exact"/>
              <w:rPr>
                <w:sz w:val="1"/>
                <w:szCs w:val="1"/>
                <w:color w:val="auto"/>
              </w:rPr>
            </w:pPr>
          </w:p>
        </w:tc>
      </w:tr>
      <w:tr>
        <w:trPr>
          <w:trHeight w:val="179"/>
        </w:trPr>
        <w:tc>
          <w:tcPr>
            <w:tcW w:w="4160" w:type="dxa"/>
            <w:vAlign w:val="bottom"/>
            <w:gridSpan w:val="2"/>
          </w:tcPr>
          <w:p>
            <w:pPr>
              <w:ind w:left="2360"/>
              <w:spacing w:after="0"/>
              <w:rPr>
                <w:sz w:val="20"/>
                <w:szCs w:val="20"/>
                <w:color w:val="auto"/>
              </w:rPr>
            </w:pPr>
            <w:r>
              <w:rPr>
                <w:rFonts w:ascii="Arial" w:cs="Arial" w:eastAsia="Arial" w:hAnsi="Arial"/>
                <w:sz w:val="15"/>
                <w:szCs w:val="15"/>
                <w:color w:val="auto"/>
              </w:rPr>
              <w:t>(4)</w:t>
            </w:r>
          </w:p>
        </w:tc>
        <w:tc>
          <w:tcPr>
            <w:tcW w:w="3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16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Vivo Capital Fund IX, LP</w:t>
            </w:r>
          </w:p>
        </w:tc>
        <w:tc>
          <w:tcPr>
            <w:tcW w:w="3360" w:type="dxa"/>
            <w:vAlign w:val="bottom"/>
            <w:shd w:val="clear" w:color="auto" w:fill="CCEEFF"/>
          </w:tcPr>
          <w:p>
            <w:pPr>
              <w:spacing w:after="0" w:line="20" w:lineRule="exact"/>
              <w:rPr>
                <w:sz w:val="1"/>
                <w:szCs w:val="1"/>
                <w:color w:val="auto"/>
              </w:rPr>
            </w:pPr>
          </w:p>
        </w:tc>
        <w:tc>
          <w:tcPr>
            <w:tcW w:w="2120" w:type="dxa"/>
            <w:vAlign w:val="bottom"/>
            <w:gridSpan w:val="2"/>
            <w:shd w:val="clear" w:color="auto" w:fill="CCEEFF"/>
          </w:tcPr>
          <w:p>
            <w:pPr>
              <w:jc w:val="right"/>
              <w:ind w:right="580"/>
              <w:spacing w:after="0" w:line="10" w:lineRule="exact"/>
              <w:rPr>
                <w:sz w:val="20"/>
                <w:szCs w:val="20"/>
                <w:color w:val="auto"/>
              </w:rPr>
            </w:pPr>
            <w:r>
              <w:rPr>
                <w:rFonts w:ascii="Arial" w:cs="Arial" w:eastAsia="Arial" w:hAnsi="Arial"/>
                <w:sz w:val="1"/>
                <w:szCs w:val="1"/>
                <w:color w:val="auto"/>
              </w:rPr>
              <w:t>20,787,140</w:t>
            </w:r>
          </w:p>
        </w:tc>
        <w:tc>
          <w:tcPr>
            <w:tcW w:w="260" w:type="dxa"/>
            <w:vAlign w:val="bottom"/>
            <w:shd w:val="clear" w:color="auto" w:fill="CCEEFF"/>
          </w:tcPr>
          <w:p>
            <w:pPr>
              <w:spacing w:after="0" w:line="10" w:lineRule="exact"/>
              <w:rPr>
                <w:sz w:val="20"/>
                <w:szCs w:val="20"/>
                <w:color w:val="auto"/>
              </w:rPr>
            </w:pPr>
            <w:r>
              <w:rPr>
                <w:rFonts w:ascii="Arial" w:cs="Arial" w:eastAsia="Arial" w:hAnsi="Arial"/>
                <w:sz w:val="1"/>
                <w:szCs w:val="1"/>
                <w:color w:val="auto"/>
              </w:rPr>
              <w:t>$</w:t>
            </w:r>
          </w:p>
        </w:tc>
        <w:tc>
          <w:tcPr>
            <w:tcW w:w="112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30,000,000</w:t>
            </w:r>
          </w:p>
        </w:tc>
        <w:tc>
          <w:tcPr>
            <w:tcW w:w="0" w:type="dxa"/>
            <w:vAlign w:val="bottom"/>
          </w:tcPr>
          <w:p>
            <w:pPr>
              <w:spacing w:after="0" w:line="20" w:lineRule="exact"/>
              <w:rPr>
                <w:sz w:val="1"/>
                <w:szCs w:val="1"/>
                <w:color w:val="auto"/>
              </w:rPr>
            </w:pPr>
          </w:p>
        </w:tc>
      </w:tr>
      <w:tr>
        <w:trPr>
          <w:trHeight w:val="185"/>
        </w:trPr>
        <w:tc>
          <w:tcPr>
            <w:tcW w:w="416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rPr>
              <w:t>(5)</w:t>
            </w:r>
          </w:p>
        </w:tc>
        <w:tc>
          <w:tcPr>
            <w:tcW w:w="3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5" w:lineRule="exact"/>
        <w:rPr>
          <w:sz w:val="20"/>
          <w:szCs w:val="20"/>
          <w:color w:val="auto"/>
        </w:rPr>
      </w:pPr>
    </w:p>
    <w:p>
      <w:pPr>
        <w:ind w:left="540" w:hanging="276"/>
        <w:spacing w:after="0"/>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Dr. Corey Goodman, our Executive Chairman, is a director of Emaldi Corporation.</w:t>
      </w:r>
    </w:p>
    <w:p>
      <w:pPr>
        <w:spacing w:after="0" w:line="41" w:lineRule="exact"/>
        <w:rPr>
          <w:rFonts w:ascii="Arial" w:cs="Arial" w:eastAsia="Arial" w:hAnsi="Arial"/>
          <w:sz w:val="14"/>
          <w:szCs w:val="14"/>
          <w:color w:val="auto"/>
        </w:rPr>
      </w:pPr>
    </w:p>
    <w:p>
      <w:pPr>
        <w:ind w:left="540" w:right="60" w:hanging="276"/>
        <w:spacing w:after="0" w:line="249" w:lineRule="auto"/>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Dr. Graham Walmsley, a member of our board of directors, is a Founding Member and Managing Partner of Logos Capital.</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Jack Nielsen, a member of our board of directors, is a Managing Director of Vivo Capital.</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Share Financings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C Convertible Preferred Shares Transaction</w:t>
      </w:r>
    </w:p>
    <w:p>
      <w:pPr>
        <w:spacing w:after="0" w:line="54"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In February 2020, we issued and sold an aggregate of 72,754,989 shares of our Series C convertible preferred shares at a purchase price of $1.4432 per share for an aggregate purchase price of approximately $105.0 million.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140"/>
          </w:cols>
          <w:pgMar w:left="320" w:top="459" w:right="43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280"/>
        <w:spacing w:after="0" w:line="238" w:lineRule="auto"/>
        <w:rPr>
          <w:sz w:val="20"/>
          <w:szCs w:val="20"/>
          <w:color w:val="auto"/>
        </w:rPr>
      </w:pPr>
      <w:r>
        <w:rPr>
          <w:rFonts w:ascii="Arial" w:cs="Arial" w:eastAsia="Arial" w:hAnsi="Arial"/>
          <w:sz w:val="17"/>
          <w:szCs w:val="17"/>
          <w:color w:val="auto"/>
        </w:rPr>
        <w:t>Purchasers of our Series C convertible preferred shares include venture capital funds that beneficially owned more than 5% of our outstanding share capital and/or are represented on our board of directors. The following table presents the number of shares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SERIES C</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3360" w:type="dxa"/>
            <w:vAlign w:val="bottom"/>
          </w:tcPr>
          <w:p>
            <w:pPr>
              <w:spacing w:after="0"/>
              <w:rPr>
                <w:sz w:val="15"/>
                <w:szCs w:val="15"/>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PREFERRED SHARES</w:t>
            </w: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Emaldi Corporation</w:t>
            </w:r>
            <w:r>
              <w:rPr>
                <w:rFonts w:ascii="Arial" w:cs="Arial" w:eastAsia="Arial" w:hAnsi="Arial"/>
                <w:sz w:val="14"/>
                <w:szCs w:val="14"/>
                <w:color w:val="auto"/>
              </w:rPr>
              <w:t>(1)</w:t>
            </w:r>
          </w:p>
        </w:tc>
        <w:tc>
          <w:tcPr>
            <w:tcW w:w="33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346,452</w:t>
            </w:r>
          </w:p>
        </w:tc>
        <w:tc>
          <w:tcPr>
            <w:tcW w:w="5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500,000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60" w:type="dxa"/>
            <w:vAlign w:val="bottom"/>
            <w:gridSpan w:val="2"/>
          </w:tcPr>
          <w:p>
            <w:pPr>
              <w:spacing w:after="0" w:line="135" w:lineRule="exact"/>
              <w:rPr>
                <w:sz w:val="20"/>
                <w:szCs w:val="20"/>
                <w:color w:val="auto"/>
              </w:rPr>
            </w:pPr>
            <w:r>
              <w:rPr>
                <w:rFonts w:ascii="Arial" w:cs="Arial" w:eastAsia="Arial" w:hAnsi="Arial"/>
                <w:sz w:val="15"/>
                <w:szCs w:val="15"/>
                <w:color w:val="auto"/>
              </w:rPr>
              <w:t>Entities affiliated with venBio Global Strategic Fund, LP</w:t>
            </w:r>
          </w:p>
        </w:tc>
        <w:tc>
          <w:tcPr>
            <w:tcW w:w="3360" w:type="dxa"/>
            <w:vAlign w:val="bottom"/>
            <w:vMerge w:val="restart"/>
          </w:tcPr>
          <w:p>
            <w:pPr>
              <w:jc w:val="right"/>
              <w:ind w:right="3107"/>
              <w:spacing w:after="0"/>
              <w:rPr>
                <w:sz w:val="20"/>
                <w:szCs w:val="20"/>
                <w:color w:val="auto"/>
              </w:rPr>
            </w:pPr>
            <w:r>
              <w:rPr>
                <w:rFonts w:ascii="Arial" w:cs="Arial" w:eastAsia="Arial" w:hAnsi="Arial"/>
                <w:sz w:val="15"/>
                <w:szCs w:val="15"/>
                <w:color w:val="auto"/>
                <w:w w:val="87"/>
              </w:rPr>
              <w:t>(2)</w:t>
            </w:r>
          </w:p>
        </w:tc>
        <w:tc>
          <w:tcPr>
            <w:tcW w:w="2120" w:type="dxa"/>
            <w:vAlign w:val="bottom"/>
            <w:gridSpan w:val="2"/>
          </w:tcPr>
          <w:p>
            <w:pPr>
              <w:jc w:val="right"/>
              <w:ind w:right="580"/>
              <w:spacing w:after="0" w:line="135" w:lineRule="exact"/>
              <w:rPr>
                <w:sz w:val="20"/>
                <w:szCs w:val="20"/>
                <w:color w:val="auto"/>
              </w:rPr>
            </w:pPr>
            <w:r>
              <w:rPr>
                <w:rFonts w:ascii="Arial" w:cs="Arial" w:eastAsia="Arial" w:hAnsi="Arial"/>
                <w:sz w:val="15"/>
                <w:szCs w:val="15"/>
                <w:color w:val="auto"/>
              </w:rPr>
              <w:t>6,929,047</w:t>
            </w:r>
          </w:p>
        </w:tc>
        <w:tc>
          <w:tcPr>
            <w:tcW w:w="26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10,000,001</w:t>
            </w:r>
          </w:p>
        </w:tc>
        <w:tc>
          <w:tcPr>
            <w:tcW w:w="0" w:type="dxa"/>
            <w:vAlign w:val="bottom"/>
          </w:tcPr>
          <w:p>
            <w:pPr>
              <w:spacing w:after="0"/>
              <w:rPr>
                <w:sz w:val="1"/>
                <w:szCs w:val="1"/>
                <w:color w:val="auto"/>
              </w:rPr>
            </w:pPr>
          </w:p>
        </w:tc>
      </w:tr>
      <w:tr>
        <w:trPr>
          <w:trHeight w:val="48"/>
        </w:trPr>
        <w:tc>
          <w:tcPr>
            <w:tcW w:w="7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3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(3)</w:t>
            </w:r>
          </w:p>
        </w:tc>
        <w:tc>
          <w:tcPr>
            <w:tcW w:w="336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5,654,798</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8,161,004</w:t>
            </w:r>
          </w:p>
        </w:tc>
        <w:tc>
          <w:tcPr>
            <w:tcW w:w="0" w:type="dxa"/>
            <w:vAlign w:val="bottom"/>
          </w:tcPr>
          <w:p>
            <w:pPr>
              <w:spacing w:after="0"/>
              <w:rPr>
                <w:sz w:val="1"/>
                <w:szCs w:val="1"/>
                <w:color w:val="auto"/>
              </w:rPr>
            </w:pPr>
          </w:p>
        </w:tc>
      </w:tr>
      <w:tr>
        <w:trPr>
          <w:trHeight w:val="4"/>
        </w:trPr>
        <w:tc>
          <w:tcPr>
            <w:tcW w:w="4160" w:type="dxa"/>
            <w:vAlign w:val="bottom"/>
            <w:gridSpan w:val="2"/>
          </w:tcPr>
          <w:p>
            <w:pPr>
              <w:spacing w:after="0" w:line="4" w:lineRule="exact"/>
              <w:rPr>
                <w:sz w:val="20"/>
                <w:szCs w:val="20"/>
                <w:color w:val="auto"/>
              </w:rPr>
            </w:pPr>
            <w:r>
              <w:rPr>
                <w:rFonts w:ascii="Arial" w:cs="Arial" w:eastAsia="Arial" w:hAnsi="Arial"/>
                <w:sz w:val="1"/>
                <w:szCs w:val="1"/>
                <w:color w:val="auto"/>
              </w:rPr>
              <w:t>Logos Opportunities Fund I, LP</w:t>
            </w:r>
          </w:p>
        </w:tc>
        <w:tc>
          <w:tcPr>
            <w:tcW w:w="3360" w:type="dxa"/>
            <w:vAlign w:val="bottom"/>
          </w:tcPr>
          <w:p>
            <w:pPr>
              <w:spacing w:after="0" w:line="20" w:lineRule="exact"/>
              <w:rPr>
                <w:sz w:val="1"/>
                <w:szCs w:val="1"/>
                <w:color w:val="auto"/>
              </w:rPr>
            </w:pPr>
          </w:p>
        </w:tc>
        <w:tc>
          <w:tcPr>
            <w:tcW w:w="2120" w:type="dxa"/>
            <w:vAlign w:val="bottom"/>
            <w:gridSpan w:val="2"/>
          </w:tcPr>
          <w:p>
            <w:pPr>
              <w:jc w:val="right"/>
              <w:ind w:right="580"/>
              <w:spacing w:after="0" w:line="4" w:lineRule="exact"/>
              <w:rPr>
                <w:sz w:val="20"/>
                <w:szCs w:val="20"/>
                <w:color w:val="auto"/>
              </w:rPr>
            </w:pPr>
            <w:r>
              <w:rPr>
                <w:rFonts w:ascii="Arial" w:cs="Arial" w:eastAsia="Arial" w:hAnsi="Arial"/>
                <w:sz w:val="1"/>
                <w:szCs w:val="1"/>
                <w:color w:val="auto"/>
              </w:rPr>
              <w:t>13,858,093</w:t>
            </w:r>
          </w:p>
        </w:tc>
        <w:tc>
          <w:tcPr>
            <w:tcW w:w="260" w:type="dxa"/>
            <w:vAlign w:val="bottom"/>
          </w:tcPr>
          <w:p>
            <w:pPr>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20,000,000</w:t>
            </w:r>
          </w:p>
        </w:tc>
        <w:tc>
          <w:tcPr>
            <w:tcW w:w="0" w:type="dxa"/>
            <w:vAlign w:val="bottom"/>
          </w:tcPr>
          <w:p>
            <w:pPr>
              <w:spacing w:after="0" w:line="20" w:lineRule="exact"/>
              <w:rPr>
                <w:sz w:val="1"/>
                <w:szCs w:val="1"/>
                <w:color w:val="auto"/>
              </w:rPr>
            </w:pPr>
          </w:p>
        </w:tc>
      </w:tr>
      <w:tr>
        <w:trPr>
          <w:trHeight w:val="179"/>
        </w:trPr>
        <w:tc>
          <w:tcPr>
            <w:tcW w:w="4160" w:type="dxa"/>
            <w:vAlign w:val="bottom"/>
            <w:gridSpan w:val="2"/>
          </w:tcPr>
          <w:p>
            <w:pPr>
              <w:ind w:left="2360"/>
              <w:spacing w:after="0"/>
              <w:rPr>
                <w:sz w:val="20"/>
                <w:szCs w:val="20"/>
                <w:color w:val="auto"/>
              </w:rPr>
            </w:pPr>
            <w:r>
              <w:rPr>
                <w:rFonts w:ascii="Arial" w:cs="Arial" w:eastAsia="Arial" w:hAnsi="Arial"/>
                <w:sz w:val="15"/>
                <w:szCs w:val="15"/>
                <w:color w:val="auto"/>
              </w:rPr>
              <w:t>(4)</w:t>
            </w:r>
          </w:p>
        </w:tc>
        <w:tc>
          <w:tcPr>
            <w:tcW w:w="3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16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Vivo Capital Fund IX, LP</w:t>
            </w:r>
          </w:p>
        </w:tc>
        <w:tc>
          <w:tcPr>
            <w:tcW w:w="3360" w:type="dxa"/>
            <w:vAlign w:val="bottom"/>
            <w:shd w:val="clear" w:color="auto" w:fill="CCEEFF"/>
          </w:tcPr>
          <w:p>
            <w:pPr>
              <w:spacing w:after="0" w:line="20" w:lineRule="exact"/>
              <w:rPr>
                <w:sz w:val="1"/>
                <w:szCs w:val="1"/>
                <w:color w:val="auto"/>
              </w:rPr>
            </w:pPr>
          </w:p>
        </w:tc>
        <w:tc>
          <w:tcPr>
            <w:tcW w:w="2120" w:type="dxa"/>
            <w:vAlign w:val="bottom"/>
            <w:gridSpan w:val="2"/>
            <w:shd w:val="clear" w:color="auto" w:fill="CCEEFF"/>
          </w:tcPr>
          <w:p>
            <w:pPr>
              <w:jc w:val="right"/>
              <w:ind w:right="580"/>
              <w:spacing w:after="0" w:line="10" w:lineRule="exact"/>
              <w:rPr>
                <w:sz w:val="20"/>
                <w:szCs w:val="20"/>
                <w:color w:val="auto"/>
              </w:rPr>
            </w:pPr>
            <w:r>
              <w:rPr>
                <w:rFonts w:ascii="Arial" w:cs="Arial" w:eastAsia="Arial" w:hAnsi="Arial"/>
                <w:sz w:val="1"/>
                <w:szCs w:val="1"/>
                <w:color w:val="auto"/>
              </w:rPr>
              <w:t>20,787,140</w:t>
            </w:r>
          </w:p>
        </w:tc>
        <w:tc>
          <w:tcPr>
            <w:tcW w:w="260" w:type="dxa"/>
            <w:vAlign w:val="bottom"/>
            <w:shd w:val="clear" w:color="auto" w:fill="CCEEFF"/>
          </w:tcPr>
          <w:p>
            <w:pPr>
              <w:spacing w:after="0" w:line="10" w:lineRule="exact"/>
              <w:rPr>
                <w:sz w:val="20"/>
                <w:szCs w:val="20"/>
                <w:color w:val="auto"/>
              </w:rPr>
            </w:pPr>
            <w:r>
              <w:rPr>
                <w:rFonts w:ascii="Arial" w:cs="Arial" w:eastAsia="Arial" w:hAnsi="Arial"/>
                <w:sz w:val="1"/>
                <w:szCs w:val="1"/>
                <w:color w:val="auto"/>
              </w:rPr>
              <w:t>$</w:t>
            </w:r>
          </w:p>
        </w:tc>
        <w:tc>
          <w:tcPr>
            <w:tcW w:w="112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30,000,000</w:t>
            </w:r>
          </w:p>
        </w:tc>
        <w:tc>
          <w:tcPr>
            <w:tcW w:w="0" w:type="dxa"/>
            <w:vAlign w:val="bottom"/>
          </w:tcPr>
          <w:p>
            <w:pPr>
              <w:spacing w:after="0" w:line="20" w:lineRule="exact"/>
              <w:rPr>
                <w:sz w:val="1"/>
                <w:szCs w:val="1"/>
                <w:color w:val="auto"/>
              </w:rPr>
            </w:pPr>
          </w:p>
        </w:tc>
      </w:tr>
      <w:tr>
        <w:trPr>
          <w:trHeight w:val="185"/>
        </w:trPr>
        <w:tc>
          <w:tcPr>
            <w:tcW w:w="416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rPr>
              <w:t>(5)</w:t>
            </w:r>
          </w:p>
        </w:tc>
        <w:tc>
          <w:tcPr>
            <w:tcW w:w="3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ind w:left="540" w:hanging="276"/>
        <w:spacing w:after="0"/>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Dr. Corey Goodman, our Executive Chairman, is a director of Emaldi Corporation.</w:t>
      </w:r>
    </w:p>
    <w:p>
      <w:pPr>
        <w:spacing w:after="0" w:line="41" w:lineRule="exact"/>
        <w:rPr>
          <w:rFonts w:ascii="Arial" w:cs="Arial" w:eastAsia="Arial" w:hAnsi="Arial"/>
          <w:sz w:val="14"/>
          <w:szCs w:val="14"/>
          <w:color w:val="auto"/>
        </w:rPr>
      </w:pPr>
    </w:p>
    <w:p>
      <w:pPr>
        <w:ind w:left="540" w:right="60" w:hanging="276"/>
        <w:spacing w:after="0" w:line="249"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Dr. Graham Walmsley, a member of our board of directors, is a Founding Member and Managing Partner of Logos Capital.</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Jack Nielsen, a member of our board of directors, is a Managing Director of Vivo Capital.</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B Convertible Preferred Shares Transaction</w:t>
      </w:r>
    </w:p>
    <w:p>
      <w:pPr>
        <w:spacing w:after="0" w:line="54"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In May 2019, we issued and sold an aggregate of 6,690,729 shares of our Series B convertible preferred shares at a purchase price of $1.4432 per share for an aggregate purchase price of approximately $9.6 million.</w:t>
      </w:r>
    </w:p>
    <w:p>
      <w:pPr>
        <w:spacing w:after="0" w:line="144"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7"/>
          <w:szCs w:val="17"/>
          <w:color w:val="auto"/>
        </w:rPr>
        <w:t>Purchasers of our Series B convertible preferred shares include venture capital funds that beneficially owned more than 5% of our outstanding share capital and/or are represented on our board of directors. The following table presents the number of shares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SERIES B</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280" w:type="dxa"/>
            <w:vAlign w:val="bottom"/>
          </w:tcPr>
          <w:p>
            <w:pPr>
              <w:spacing w:after="0"/>
              <w:rPr>
                <w:sz w:val="14"/>
                <w:szCs w:val="14"/>
                <w:color w:val="auto"/>
              </w:rPr>
            </w:pPr>
          </w:p>
        </w:tc>
        <w:tc>
          <w:tcPr>
            <w:tcW w:w="2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67"/>
        </w:trPr>
        <w:tc>
          <w:tcPr>
            <w:tcW w:w="740" w:type="dxa"/>
            <w:vAlign w:val="bottom"/>
            <w:tcBorders>
              <w:bottom w:val="single" w:sz="8" w:color="auto"/>
            </w:tcBorders>
            <w:vMerge w:val="continue"/>
          </w:tcPr>
          <w:p>
            <w:pPr>
              <w:spacing w:after="0"/>
              <w:rPr>
                <w:sz w:val="14"/>
                <w:szCs w:val="14"/>
                <w:color w:val="auto"/>
              </w:rPr>
            </w:pPr>
          </w:p>
        </w:tc>
        <w:tc>
          <w:tcPr>
            <w:tcW w:w="3420" w:type="dxa"/>
            <w:vAlign w:val="bottom"/>
            <w:vMerge w:val="continue"/>
          </w:tcPr>
          <w:p>
            <w:pPr>
              <w:spacing w:after="0"/>
              <w:rPr>
                <w:sz w:val="14"/>
                <w:szCs w:val="14"/>
                <w:color w:val="auto"/>
              </w:rPr>
            </w:pPr>
          </w:p>
        </w:tc>
        <w:tc>
          <w:tcPr>
            <w:tcW w:w="3280" w:type="dxa"/>
            <w:vAlign w:val="bottom"/>
          </w:tcPr>
          <w:p>
            <w:pPr>
              <w:spacing w:after="0"/>
              <w:rPr>
                <w:sz w:val="14"/>
                <w:szCs w:val="14"/>
                <w:color w:val="auto"/>
              </w:rPr>
            </w:pPr>
          </w:p>
        </w:tc>
        <w:tc>
          <w:tcPr>
            <w:tcW w:w="2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PREFERRED SHARES</w:t>
            </w:r>
          </w:p>
        </w:tc>
        <w:tc>
          <w:tcPr>
            <w:tcW w:w="260" w:type="dxa"/>
            <w:vAlign w:val="bottom"/>
          </w:tcPr>
          <w:p>
            <w:pPr>
              <w:spacing w:after="0"/>
              <w:rPr>
                <w:sz w:val="14"/>
                <w:szCs w:val="14"/>
                <w:color w:val="auto"/>
              </w:rPr>
            </w:pPr>
          </w:p>
        </w:tc>
        <w:tc>
          <w:tcPr>
            <w:tcW w:w="1120" w:type="dxa"/>
            <w:vAlign w:val="bottom"/>
          </w:tcPr>
          <w:p>
            <w:pPr>
              <w:jc w:val="right"/>
              <w:ind w:right="446"/>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7"/>
        </w:trPr>
        <w:tc>
          <w:tcPr>
            <w:tcW w:w="4160" w:type="dxa"/>
            <w:vAlign w:val="bottom"/>
            <w:tcBorders>
              <w:bottom w:val="single" w:sz="8" w:color="CCEEFF"/>
            </w:tcBorders>
            <w:gridSpan w:val="2"/>
            <w:shd w:val="clear" w:color="auto" w:fill="CCEEFF"/>
          </w:tcPr>
          <w:p>
            <w:pPr>
              <w:spacing w:after="0" w:line="7" w:lineRule="exact"/>
              <w:rPr>
                <w:sz w:val="20"/>
                <w:szCs w:val="20"/>
                <w:color w:val="auto"/>
              </w:rPr>
            </w:pPr>
            <w:r>
              <w:rPr>
                <w:rFonts w:ascii="Arial" w:cs="Arial" w:eastAsia="Arial" w:hAnsi="Arial"/>
                <w:sz w:val="1"/>
                <w:szCs w:val="1"/>
                <w:color w:val="auto"/>
              </w:rPr>
              <w:t>Entities affiliated with venBio Global Strategic Fund, LP</w:t>
            </w:r>
          </w:p>
        </w:tc>
        <w:tc>
          <w:tcPr>
            <w:tcW w:w="3280" w:type="dxa"/>
            <w:vAlign w:val="bottom"/>
            <w:tcBorders>
              <w:bottom w:val="single" w:sz="8" w:color="CCEEFF"/>
            </w:tcBorders>
            <w:vMerge w:val="restart"/>
            <w:shd w:val="clear" w:color="auto" w:fill="CCEEFF"/>
          </w:tcPr>
          <w:p>
            <w:pPr>
              <w:jc w:val="right"/>
              <w:ind w:right="3027"/>
              <w:spacing w:after="0" w:line="171" w:lineRule="exact"/>
              <w:rPr>
                <w:sz w:val="20"/>
                <w:szCs w:val="20"/>
                <w:color w:val="auto"/>
              </w:rPr>
            </w:pPr>
            <w:r>
              <w:rPr>
                <w:rFonts w:ascii="Arial" w:cs="Arial" w:eastAsia="Arial" w:hAnsi="Arial"/>
                <w:sz w:val="15"/>
                <w:szCs w:val="15"/>
                <w:color w:val="auto"/>
                <w:w w:val="87"/>
              </w:rPr>
              <w:t>(1)</w:t>
            </w:r>
          </w:p>
        </w:tc>
        <w:tc>
          <w:tcPr>
            <w:tcW w:w="1540" w:type="dxa"/>
            <w:vAlign w:val="bottom"/>
            <w:tcBorders>
              <w:bottom w:val="single" w:sz="8" w:color="auto"/>
            </w:tcBorders>
            <w:shd w:val="clear" w:color="auto" w:fill="000000"/>
          </w:tcPr>
          <w:p>
            <w:pPr>
              <w:ind w:left="780"/>
              <w:spacing w:after="0" w:line="7" w:lineRule="exact"/>
              <w:rPr>
                <w:sz w:val="20"/>
                <w:szCs w:val="20"/>
                <w:color w:val="auto"/>
              </w:rPr>
            </w:pPr>
            <w:r>
              <w:rPr>
                <w:rFonts w:ascii="Arial" w:cs="Arial" w:eastAsia="Arial" w:hAnsi="Arial"/>
                <w:sz w:val="1"/>
                <w:szCs w:val="1"/>
                <w:color w:val="auto"/>
              </w:rPr>
              <w:t>3,227,201</w:t>
            </w:r>
          </w:p>
        </w:tc>
        <w:tc>
          <w:tcPr>
            <w:tcW w:w="66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7" w:lineRule="exact"/>
              <w:rPr>
                <w:sz w:val="20"/>
                <w:szCs w:val="20"/>
                <w:color w:val="auto"/>
              </w:rPr>
            </w:pPr>
            <w:r>
              <w:rPr>
                <w:rFonts w:ascii="Arial" w:cs="Arial" w:eastAsia="Arial" w:hAnsi="Arial"/>
                <w:sz w:val="1"/>
                <w:szCs w:val="1"/>
                <w:color w:val="auto"/>
              </w:rPr>
              <w:t>$</w:t>
            </w:r>
          </w:p>
        </w:tc>
        <w:tc>
          <w:tcPr>
            <w:tcW w:w="1120" w:type="dxa"/>
            <w:vAlign w:val="bottom"/>
            <w:tcBorders>
              <w:bottom w:val="single" w:sz="8" w:color="auto"/>
              <w:right w:val="single" w:sz="8" w:color="CCEEFF"/>
            </w:tcBorders>
            <w:shd w:val="clear" w:color="auto" w:fill="000000"/>
          </w:tcPr>
          <w:p>
            <w:pPr>
              <w:jc w:val="right"/>
              <w:ind w:right="6"/>
              <w:spacing w:after="0" w:line="7" w:lineRule="exact"/>
              <w:rPr>
                <w:sz w:val="20"/>
                <w:szCs w:val="20"/>
                <w:color w:val="auto"/>
              </w:rPr>
            </w:pPr>
            <w:r>
              <w:rPr>
                <w:rFonts w:ascii="Arial" w:cs="Arial" w:eastAsia="Arial" w:hAnsi="Arial"/>
                <w:sz w:val="1"/>
                <w:szCs w:val="1"/>
                <w:color w:val="auto"/>
              </w:rPr>
              <w:t>4,657,496</w:t>
            </w:r>
          </w:p>
        </w:tc>
        <w:tc>
          <w:tcPr>
            <w:tcW w:w="0" w:type="dxa"/>
            <w:vAlign w:val="bottom"/>
          </w:tcPr>
          <w:p>
            <w:pPr>
              <w:spacing w:after="0" w:line="20" w:lineRule="exact"/>
              <w:rPr>
                <w:sz w:val="1"/>
                <w:szCs w:val="1"/>
                <w:color w:val="auto"/>
              </w:rPr>
            </w:pPr>
          </w:p>
        </w:tc>
      </w:tr>
      <w:tr>
        <w:trPr>
          <w:trHeight w:val="149"/>
        </w:trPr>
        <w:tc>
          <w:tcPr>
            <w:tcW w:w="740" w:type="dxa"/>
            <w:vAlign w:val="bottom"/>
            <w:tcBorders>
              <w:bottom w:val="single" w:sz="8" w:color="CCEEFF"/>
            </w:tcBorders>
            <w:shd w:val="clear" w:color="auto" w:fill="CCEEFF"/>
          </w:tcPr>
          <w:p>
            <w:pPr>
              <w:spacing w:after="0"/>
              <w:rPr>
                <w:sz w:val="12"/>
                <w:szCs w:val="12"/>
                <w:color w:val="auto"/>
              </w:rPr>
            </w:pPr>
          </w:p>
        </w:tc>
        <w:tc>
          <w:tcPr>
            <w:tcW w:w="3420" w:type="dxa"/>
            <w:vAlign w:val="bottom"/>
            <w:tcBorders>
              <w:bottom w:val="single" w:sz="8" w:color="CCEEFF"/>
            </w:tcBorders>
            <w:shd w:val="clear" w:color="auto" w:fill="CCEEFF"/>
          </w:tcPr>
          <w:p>
            <w:pPr>
              <w:spacing w:after="0"/>
              <w:rPr>
                <w:sz w:val="12"/>
                <w:szCs w:val="12"/>
                <w:color w:val="auto"/>
              </w:rPr>
            </w:pPr>
          </w:p>
        </w:tc>
        <w:tc>
          <w:tcPr>
            <w:tcW w:w="3280" w:type="dxa"/>
            <w:vAlign w:val="bottom"/>
            <w:tcBorders>
              <w:bottom w:val="single" w:sz="8" w:color="CCEEFF"/>
            </w:tcBorders>
            <w:vMerge w:val="continue"/>
            <w:shd w:val="clear" w:color="auto" w:fill="CCEEFF"/>
          </w:tcPr>
          <w:p>
            <w:pPr>
              <w:spacing w:after="0"/>
              <w:rPr>
                <w:sz w:val="12"/>
                <w:szCs w:val="12"/>
                <w:color w:val="auto"/>
              </w:rPr>
            </w:pPr>
          </w:p>
        </w:tc>
        <w:tc>
          <w:tcPr>
            <w:tcW w:w="15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60" w:type="dxa"/>
            <w:vAlign w:val="bottom"/>
            <w:gridSpan w:val="2"/>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tc>
        <w:tc>
          <w:tcPr>
            <w:tcW w:w="3280" w:type="dxa"/>
            <w:vAlign w:val="bottom"/>
          </w:tcPr>
          <w:p>
            <w:pPr>
              <w:spacing w:after="0"/>
              <w:rPr>
                <w:sz w:val="17"/>
                <w:szCs w:val="17"/>
                <w:color w:val="auto"/>
              </w:rPr>
            </w:pPr>
          </w:p>
        </w:tc>
        <w:tc>
          <w:tcPr>
            <w:tcW w:w="2200" w:type="dxa"/>
            <w:vAlign w:val="bottom"/>
            <w:gridSpan w:val="2"/>
          </w:tcPr>
          <w:p>
            <w:pPr>
              <w:ind w:left="780"/>
              <w:spacing w:after="0"/>
              <w:rPr>
                <w:sz w:val="20"/>
                <w:szCs w:val="20"/>
                <w:color w:val="auto"/>
              </w:rPr>
            </w:pPr>
            <w:r>
              <w:rPr>
                <w:rFonts w:ascii="Arial" w:cs="Arial" w:eastAsia="Arial" w:hAnsi="Arial"/>
                <w:sz w:val="17"/>
                <w:szCs w:val="17"/>
                <w:color w:val="auto"/>
              </w:rPr>
              <w:t>1,514,104</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6"/>
              <w:spacing w:after="0"/>
              <w:rPr>
                <w:sz w:val="20"/>
                <w:szCs w:val="20"/>
                <w:color w:val="auto"/>
              </w:rPr>
            </w:pPr>
            <w:r>
              <w:rPr>
                <w:rFonts w:ascii="Arial" w:cs="Arial" w:eastAsia="Arial" w:hAnsi="Arial"/>
                <w:sz w:val="17"/>
                <w:szCs w:val="17"/>
                <w:color w:val="auto"/>
              </w:rPr>
              <w:t>2,185,155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9" w:lineRule="exact"/>
        <w:rPr>
          <w:sz w:val="20"/>
          <w:szCs w:val="20"/>
          <w:color w:val="auto"/>
        </w:rPr>
      </w:pPr>
    </w:p>
    <w:p>
      <w:pPr>
        <w:ind w:left="540" w:right="20" w:hanging="276"/>
        <w:spacing w:after="0" w:line="247" w:lineRule="auto"/>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 Dr. Robert Adelman previously served as a member of our board of directors and is a Managing Partner of venBio Partners.</w:t>
      </w:r>
    </w:p>
    <w:p>
      <w:pPr>
        <w:spacing w:after="0" w:line="25" w:lineRule="exact"/>
        <w:rPr>
          <w:rFonts w:ascii="Arial" w:cs="Arial" w:eastAsia="Arial" w:hAnsi="Arial"/>
          <w:sz w:val="14"/>
          <w:szCs w:val="14"/>
          <w:color w:val="auto"/>
        </w:rPr>
      </w:pPr>
    </w:p>
    <w:p>
      <w:pPr>
        <w:ind w:left="540" w:right="20" w:hanging="276"/>
        <w:spacing w:after="0" w:line="245" w:lineRule="auto"/>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Caroline Gaynor, a former member of our board of directors and after our reorganization continues to serve on the board of directors of ALX Oncology Limited, one of our subsidiaries, is a Vice President of Lightstone Ventures.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Promissory Notes Transaction</w:t>
      </w:r>
    </w:p>
    <w:p>
      <w:pPr>
        <w:spacing w:after="0" w:line="54" w:lineRule="exact"/>
        <w:rPr>
          <w:sz w:val="20"/>
          <w:szCs w:val="20"/>
          <w:color w:val="auto"/>
        </w:rPr>
      </w:pPr>
    </w:p>
    <w:p>
      <w:pPr>
        <w:jc w:val="both"/>
        <w:ind w:left="120" w:right="120"/>
        <w:spacing w:after="0" w:line="236" w:lineRule="auto"/>
        <w:rPr>
          <w:sz w:val="20"/>
          <w:szCs w:val="20"/>
          <w:color w:val="auto"/>
        </w:rPr>
      </w:pPr>
      <w:r>
        <w:rPr>
          <w:rFonts w:ascii="Arial" w:cs="Arial" w:eastAsia="Arial" w:hAnsi="Arial"/>
          <w:sz w:val="17"/>
          <w:szCs w:val="17"/>
          <w:color w:val="auto"/>
        </w:rPr>
        <w:t>In March 2017, we entered into a convertible promissory note agreement with certain of our directors and venture capital funds that beneficially owned more than 5% of our outstanding share capital and/or are represented on our board of directors, pursuant to which we issued convertible promissory notes in an aggregate principal amount of approximately $25.0 million. The convertible promissory notes bore interest at a rate of 2% per annum, had a maturity date of December 31, 2018 and were convertible into our Series A convertible preferred shares at a</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conversion price of $1.00 per share. In September 2017, all of the convertible promissory notes were converted into our Series A convertible preferred shares.</w:t>
      </w:r>
    </w:p>
    <w:p>
      <w:pPr>
        <w:spacing w:after="0" w:line="144"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Purchasers of our Series A convertible preferred shares include venture capital funds that beneficially own more than 5% of our outstanding share capital and/or are represented on its board of directors and are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5980" w:type="dxa"/>
            <w:vAlign w:val="bottom"/>
          </w:tcPr>
          <w:p>
            <w:pPr>
              <w:jc w:val="center"/>
              <w:ind w:left="4188"/>
              <w:spacing w:after="0"/>
              <w:rPr>
                <w:sz w:val="20"/>
                <w:szCs w:val="20"/>
                <w:color w:val="auto"/>
              </w:rPr>
            </w:pPr>
            <w:r>
              <w:rPr>
                <w:rFonts w:ascii="Arial" w:cs="Arial" w:eastAsia="Arial" w:hAnsi="Arial"/>
                <w:sz w:val="14"/>
                <w:szCs w:val="14"/>
                <w:b w:val="1"/>
                <w:bCs w:val="1"/>
                <w:color w:val="auto"/>
              </w:rPr>
              <w:t>AGGREGATE PRINCIPAL</w:t>
            </w:r>
          </w:p>
        </w:tc>
        <w:tc>
          <w:tcPr>
            <w:tcW w:w="0" w:type="dxa"/>
            <w:vAlign w:val="bottom"/>
          </w:tcPr>
          <w:p>
            <w:pPr>
              <w:spacing w:after="0"/>
              <w:rPr>
                <w:sz w:val="1"/>
                <w:szCs w:val="1"/>
                <w:color w:val="auto"/>
              </w:rPr>
            </w:pPr>
          </w:p>
        </w:tc>
      </w:tr>
      <w:tr>
        <w:trPr>
          <w:trHeight w:val="162"/>
        </w:trPr>
        <w:tc>
          <w:tcPr>
            <w:tcW w:w="4980" w:type="dxa"/>
            <w:vAlign w:val="bottom"/>
            <w:vMerge w:val="continue"/>
          </w:tcPr>
          <w:p>
            <w:pPr>
              <w:spacing w:after="0"/>
              <w:rPr>
                <w:sz w:val="14"/>
                <w:szCs w:val="14"/>
                <w:color w:val="auto"/>
              </w:rPr>
            </w:pPr>
          </w:p>
        </w:tc>
        <w:tc>
          <w:tcPr>
            <w:tcW w:w="5980" w:type="dxa"/>
            <w:vAlign w:val="bottom"/>
          </w:tcPr>
          <w:p>
            <w:pPr>
              <w:jc w:val="center"/>
              <w:ind w:left="41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bl>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14"/>
        </w:trPr>
        <w:tc>
          <w:tcPr>
            <w:tcW w:w="9220" w:type="dxa"/>
            <w:vAlign w:val="bottom"/>
            <w:tcBorders>
              <w:bottom w:val="single" w:sz="8" w:color="CCEEFF"/>
            </w:tcBorders>
            <w:gridSpan w:val="2"/>
            <w:shd w:val="clear" w:color="auto" w:fill="000000"/>
          </w:tcPr>
          <w:p>
            <w:pPr>
              <w:spacing w:after="0"/>
              <w:rPr>
                <w:sz w:val="20"/>
                <w:szCs w:val="20"/>
                <w:color w:val="auto"/>
              </w:rPr>
            </w:pPr>
            <w:r>
              <w:rPr>
                <w:rFonts w:ascii="Arial" w:cs="Arial" w:eastAsia="Arial" w:hAnsi="Arial"/>
                <w:sz w:val="1"/>
                <w:szCs w:val="1"/>
                <w:color w:val="auto"/>
              </w:rPr>
              <w:t>venBio Global Strategic Fund, II LP</w:t>
            </w:r>
          </w:p>
        </w:tc>
        <w:tc>
          <w:tcPr>
            <w:tcW w:w="500" w:type="dxa"/>
            <w:vAlign w:val="bottom"/>
            <w:tcBorders>
              <w:bottom w:val="single" w:sz="8" w:color="auto"/>
            </w:tcBorders>
            <w:shd w:val="clear" w:color="auto" w:fill="000000"/>
          </w:tcPr>
          <w:p>
            <w:pPr>
              <w:jc w:val="right"/>
              <w:ind w:right="379"/>
              <w:spacing w:after="0"/>
              <w:rPr>
                <w:sz w:val="20"/>
                <w:szCs w:val="20"/>
                <w:color w:val="auto"/>
              </w:rPr>
            </w:pPr>
            <w:r>
              <w:rPr>
                <w:rFonts w:ascii="Arial" w:cs="Arial" w:eastAsia="Arial" w:hAnsi="Arial"/>
                <w:sz w:val="1"/>
                <w:szCs w:val="1"/>
                <w:color w:val="auto"/>
              </w:rPr>
              <w:t>$</w:t>
            </w:r>
          </w:p>
        </w:tc>
        <w:tc>
          <w:tcPr>
            <w:tcW w:w="1300" w:type="dxa"/>
            <w:vAlign w:val="bottom"/>
            <w:tcBorders>
              <w:bottom w:val="single" w:sz="8" w:color="auto"/>
              <w:right w:val="single" w:sz="8" w:color="CCEEFF"/>
            </w:tcBorders>
            <w:shd w:val="clear" w:color="auto" w:fill="000000"/>
          </w:tcPr>
          <w:p>
            <w:pPr>
              <w:jc w:val="right"/>
              <w:ind w:right="39"/>
              <w:spacing w:after="0"/>
              <w:rPr>
                <w:sz w:val="20"/>
                <w:szCs w:val="20"/>
                <w:color w:val="auto"/>
              </w:rPr>
            </w:pPr>
            <w:r>
              <w:rPr>
                <w:rFonts w:ascii="Arial" w:cs="Arial" w:eastAsia="Arial" w:hAnsi="Arial"/>
                <w:sz w:val="1"/>
                <w:szCs w:val="1"/>
                <w:color w:val="auto"/>
              </w:rPr>
              <w:t>15,652,073</w:t>
            </w:r>
          </w:p>
        </w:tc>
      </w:tr>
      <w:tr>
        <w:trPr>
          <w:trHeight w:val="156"/>
        </w:trPr>
        <w:tc>
          <w:tcPr>
            <w:tcW w:w="9220" w:type="dxa"/>
            <w:vAlign w:val="bottom"/>
            <w:tcBorders>
              <w:bottom w:val="single" w:sz="8" w:color="CCEEFF"/>
            </w:tcBorders>
            <w:gridSpan w:val="2"/>
            <w:shd w:val="clear" w:color="auto" w:fill="CCEEFF"/>
          </w:tcPr>
          <w:p>
            <w:pPr>
              <w:ind w:left="2660"/>
              <w:spacing w:after="0" w:line="154" w:lineRule="exact"/>
              <w:rPr>
                <w:sz w:val="20"/>
                <w:szCs w:val="20"/>
                <w:color w:val="auto"/>
              </w:rPr>
            </w:pPr>
            <w:r>
              <w:rPr>
                <w:rFonts w:ascii="Arial" w:cs="Arial" w:eastAsia="Arial" w:hAnsi="Arial"/>
                <w:sz w:val="15"/>
                <w:szCs w:val="15"/>
                <w:color w:val="auto"/>
              </w:rPr>
              <w:t>(1)</w:t>
            </w:r>
          </w:p>
        </w:tc>
        <w:tc>
          <w:tcPr>
            <w:tcW w:w="5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right w:val="single" w:sz="8" w:color="CCEEFF"/>
            </w:tcBorders>
            <w:shd w:val="clear" w:color="auto" w:fill="CCEEFF"/>
          </w:tcPr>
          <w:p>
            <w:pPr>
              <w:spacing w:after="0"/>
              <w:rPr>
                <w:sz w:val="13"/>
                <w:szCs w:val="13"/>
                <w:color w:val="auto"/>
              </w:rPr>
            </w:pPr>
          </w:p>
        </w:tc>
      </w:tr>
      <w:tr>
        <w:trPr>
          <w:trHeight w:val="189"/>
        </w:trPr>
        <w:tc>
          <w:tcPr>
            <w:tcW w:w="9220" w:type="dxa"/>
            <w:vAlign w:val="bottom"/>
            <w:gridSpan w:val="2"/>
          </w:tcPr>
          <w:p>
            <w:pPr>
              <w:spacing w:after="0" w:line="189" w:lineRule="exact"/>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tc>
        <w:tc>
          <w:tcPr>
            <w:tcW w:w="500" w:type="dxa"/>
            <w:vAlign w:val="bottom"/>
          </w:tcPr>
          <w:p>
            <w:pPr>
              <w:jc w:val="right"/>
              <w:ind w:right="379"/>
              <w:spacing w:after="0" w:line="189" w:lineRule="exact"/>
              <w:rPr>
                <w:sz w:val="20"/>
                <w:szCs w:val="20"/>
                <w:color w:val="auto"/>
              </w:rPr>
            </w:pPr>
            <w:r>
              <w:rPr>
                <w:rFonts w:ascii="Arial" w:cs="Arial" w:eastAsia="Arial" w:hAnsi="Arial"/>
                <w:sz w:val="17"/>
                <w:szCs w:val="17"/>
                <w:color w:val="auto"/>
                <w:w w:val="84"/>
              </w:rPr>
              <w:t>$</w:t>
            </w:r>
          </w:p>
        </w:tc>
        <w:tc>
          <w:tcPr>
            <w:tcW w:w="1300" w:type="dxa"/>
            <w:vAlign w:val="bottom"/>
          </w:tcPr>
          <w:p>
            <w:pPr>
              <w:jc w:val="right"/>
              <w:ind w:right="39"/>
              <w:spacing w:after="0" w:line="189" w:lineRule="exact"/>
              <w:rPr>
                <w:sz w:val="20"/>
                <w:szCs w:val="20"/>
                <w:color w:val="auto"/>
              </w:rPr>
            </w:pPr>
            <w:r>
              <w:rPr>
                <w:rFonts w:ascii="Arial" w:cs="Arial" w:eastAsia="Arial" w:hAnsi="Arial"/>
                <w:sz w:val="17"/>
                <w:szCs w:val="17"/>
                <w:color w:val="auto"/>
              </w:rPr>
              <w:t>6,750,000</w:t>
            </w:r>
          </w:p>
        </w:tc>
      </w:tr>
      <w:tr>
        <w:trPr>
          <w:trHeight w:val="4"/>
        </w:trPr>
        <w:tc>
          <w:tcPr>
            <w:tcW w:w="922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Corey Goodman, Ph.D.</w:t>
            </w:r>
          </w:p>
        </w:tc>
        <w:tc>
          <w:tcPr>
            <w:tcW w:w="500" w:type="dxa"/>
            <w:vAlign w:val="bottom"/>
            <w:shd w:val="clear" w:color="auto" w:fill="CCEEFF"/>
          </w:tcPr>
          <w:p>
            <w:pPr>
              <w:jc w:val="right"/>
              <w:ind w:right="379"/>
              <w:spacing w:after="0" w:line="4" w:lineRule="exact"/>
              <w:rPr>
                <w:sz w:val="20"/>
                <w:szCs w:val="20"/>
                <w:color w:val="auto"/>
              </w:rPr>
            </w:pPr>
            <w:r>
              <w:rPr>
                <w:rFonts w:ascii="Arial" w:cs="Arial" w:eastAsia="Arial" w:hAnsi="Arial"/>
                <w:sz w:val="1"/>
                <w:szCs w:val="1"/>
                <w:color w:val="auto"/>
              </w:rPr>
              <w:t>$</w:t>
            </w:r>
          </w:p>
        </w:tc>
        <w:tc>
          <w:tcPr>
            <w:tcW w:w="1300" w:type="dxa"/>
            <w:vAlign w:val="bottom"/>
            <w:tcBorders>
              <w:right w:val="single" w:sz="8" w:color="CCEEFF"/>
            </w:tcBorders>
            <w:shd w:val="clear" w:color="auto" w:fill="CCEEFF"/>
          </w:tcPr>
          <w:p>
            <w:pPr>
              <w:jc w:val="right"/>
              <w:ind w:right="39"/>
              <w:spacing w:after="0" w:line="4" w:lineRule="exact"/>
              <w:rPr>
                <w:sz w:val="20"/>
                <w:szCs w:val="20"/>
                <w:color w:val="auto"/>
              </w:rPr>
            </w:pPr>
            <w:r>
              <w:rPr>
                <w:rFonts w:ascii="Arial" w:cs="Arial" w:eastAsia="Arial" w:hAnsi="Arial"/>
                <w:sz w:val="1"/>
                <w:szCs w:val="1"/>
                <w:color w:val="auto"/>
              </w:rPr>
              <w:t>222,568</w:t>
            </w:r>
          </w:p>
        </w:tc>
      </w:tr>
      <w:tr>
        <w:trPr>
          <w:trHeight w:val="179"/>
        </w:trPr>
        <w:tc>
          <w:tcPr>
            <w:tcW w:w="9220" w:type="dxa"/>
            <w:vAlign w:val="bottom"/>
            <w:gridSpan w:val="2"/>
            <w:shd w:val="clear" w:color="auto" w:fill="CCEEFF"/>
          </w:tcPr>
          <w:p>
            <w:pPr>
              <w:ind w:left="1780"/>
              <w:spacing w:after="0"/>
              <w:rPr>
                <w:sz w:val="20"/>
                <w:szCs w:val="20"/>
                <w:color w:val="auto"/>
              </w:rPr>
            </w:pPr>
            <w:r>
              <w:rPr>
                <w:rFonts w:ascii="Arial" w:cs="Arial" w:eastAsia="Arial" w:hAnsi="Arial"/>
                <w:sz w:val="15"/>
                <w:szCs w:val="15"/>
                <w:color w:val="auto"/>
              </w:rPr>
              <w:t>(1)</w:t>
            </w:r>
          </w:p>
        </w:tc>
        <w:tc>
          <w:tcPr>
            <w:tcW w:w="500" w:type="dxa"/>
            <w:vAlign w:val="bottom"/>
            <w:shd w:val="clear" w:color="auto" w:fill="CCEEFF"/>
          </w:tcPr>
          <w:p>
            <w:pPr>
              <w:spacing w:after="0"/>
              <w:rPr>
                <w:sz w:val="15"/>
                <w:szCs w:val="15"/>
                <w:color w:val="auto"/>
              </w:rPr>
            </w:pPr>
          </w:p>
        </w:tc>
        <w:tc>
          <w:tcPr>
            <w:tcW w:w="1300" w:type="dxa"/>
            <w:vAlign w:val="bottom"/>
            <w:tcBorders>
              <w:right w:val="single" w:sz="8" w:color="CCEEFF"/>
            </w:tcBorders>
            <w:shd w:val="clear" w:color="auto" w:fill="CCEEFF"/>
          </w:tcPr>
          <w:p>
            <w:pPr>
              <w:spacing w:after="0"/>
              <w:rPr>
                <w:sz w:val="15"/>
                <w:szCs w:val="15"/>
                <w:color w:val="auto"/>
              </w:rPr>
            </w:pPr>
          </w:p>
        </w:tc>
      </w:tr>
      <w:tr>
        <w:trPr>
          <w:trHeight w:val="10"/>
        </w:trPr>
        <w:tc>
          <w:tcPr>
            <w:tcW w:w="9220" w:type="dxa"/>
            <w:vAlign w:val="bottom"/>
            <w:gridSpan w:val="2"/>
          </w:tcPr>
          <w:p>
            <w:pPr>
              <w:spacing w:after="0" w:line="10" w:lineRule="exact"/>
              <w:rPr>
                <w:sz w:val="20"/>
                <w:szCs w:val="20"/>
                <w:color w:val="auto"/>
              </w:rPr>
            </w:pPr>
            <w:r>
              <w:rPr>
                <w:rFonts w:ascii="Arial" w:cs="Arial" w:eastAsia="Arial" w:hAnsi="Arial"/>
                <w:sz w:val="1"/>
                <w:szCs w:val="1"/>
                <w:color w:val="auto"/>
              </w:rPr>
              <w:t>Robert Adelman, M.D.</w:t>
            </w:r>
          </w:p>
        </w:tc>
        <w:tc>
          <w:tcPr>
            <w:tcW w:w="500" w:type="dxa"/>
            <w:vAlign w:val="bottom"/>
          </w:tcPr>
          <w:p>
            <w:pPr>
              <w:jc w:val="right"/>
              <w:ind w:right="379"/>
              <w:spacing w:after="0" w:line="10" w:lineRule="exact"/>
              <w:rPr>
                <w:sz w:val="20"/>
                <w:szCs w:val="20"/>
                <w:color w:val="auto"/>
              </w:rPr>
            </w:pPr>
            <w:r>
              <w:rPr>
                <w:rFonts w:ascii="Arial" w:cs="Arial" w:eastAsia="Arial" w:hAnsi="Arial"/>
                <w:sz w:val="1"/>
                <w:szCs w:val="1"/>
                <w:color w:val="auto"/>
              </w:rPr>
              <w:t>$</w:t>
            </w:r>
          </w:p>
        </w:tc>
        <w:tc>
          <w:tcPr>
            <w:tcW w:w="1300" w:type="dxa"/>
            <w:vAlign w:val="bottom"/>
          </w:tcPr>
          <w:p>
            <w:pPr>
              <w:jc w:val="right"/>
              <w:ind w:right="39"/>
              <w:spacing w:after="0" w:line="10" w:lineRule="exact"/>
              <w:rPr>
                <w:sz w:val="20"/>
                <w:szCs w:val="20"/>
                <w:color w:val="auto"/>
              </w:rPr>
            </w:pPr>
            <w:r>
              <w:rPr>
                <w:rFonts w:ascii="Arial" w:cs="Arial" w:eastAsia="Arial" w:hAnsi="Arial"/>
                <w:sz w:val="1"/>
                <w:szCs w:val="1"/>
                <w:color w:val="auto"/>
              </w:rPr>
              <w:t>222,568</w:t>
            </w:r>
          </w:p>
        </w:tc>
      </w:tr>
      <w:tr>
        <w:trPr>
          <w:trHeight w:val="179"/>
        </w:trPr>
        <w:tc>
          <w:tcPr>
            <w:tcW w:w="9220" w:type="dxa"/>
            <w:vAlign w:val="bottom"/>
            <w:gridSpan w:val="2"/>
          </w:tcPr>
          <w:p>
            <w:pPr>
              <w:ind w:left="1680"/>
              <w:spacing w:after="0"/>
              <w:rPr>
                <w:sz w:val="20"/>
                <w:szCs w:val="20"/>
                <w:color w:val="auto"/>
              </w:rPr>
            </w:pPr>
            <w:r>
              <w:rPr>
                <w:rFonts w:ascii="Arial" w:cs="Arial" w:eastAsia="Arial" w:hAnsi="Arial"/>
                <w:sz w:val="15"/>
                <w:szCs w:val="15"/>
                <w:color w:val="auto"/>
              </w:rPr>
              <w:t>(1)</w:t>
            </w: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0"/>
        </w:trPr>
        <w:tc>
          <w:tcPr>
            <w:tcW w:w="922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Jason Lettmann</w:t>
            </w:r>
          </w:p>
        </w:tc>
        <w:tc>
          <w:tcPr>
            <w:tcW w:w="500" w:type="dxa"/>
            <w:vAlign w:val="bottom"/>
            <w:shd w:val="clear" w:color="auto" w:fill="CCEEFF"/>
          </w:tcPr>
          <w:p>
            <w:pPr>
              <w:jc w:val="right"/>
              <w:ind w:right="379"/>
              <w:spacing w:after="0" w:line="10" w:lineRule="exact"/>
              <w:rPr>
                <w:sz w:val="20"/>
                <w:szCs w:val="20"/>
                <w:color w:val="auto"/>
              </w:rPr>
            </w:pPr>
            <w:r>
              <w:rPr>
                <w:rFonts w:ascii="Arial" w:cs="Arial" w:eastAsia="Arial" w:hAnsi="Arial"/>
                <w:sz w:val="1"/>
                <w:szCs w:val="1"/>
                <w:color w:val="auto"/>
              </w:rPr>
              <w:t>$</w:t>
            </w:r>
          </w:p>
        </w:tc>
        <w:tc>
          <w:tcPr>
            <w:tcW w:w="1300" w:type="dxa"/>
            <w:vAlign w:val="bottom"/>
            <w:tcBorders>
              <w:right w:val="single" w:sz="8" w:color="CCEEFF"/>
            </w:tcBorders>
            <w:shd w:val="clear" w:color="auto" w:fill="CCEEFF"/>
          </w:tcPr>
          <w:p>
            <w:pPr>
              <w:jc w:val="right"/>
              <w:ind w:right="39"/>
              <w:spacing w:after="0" w:line="10" w:lineRule="exact"/>
              <w:rPr>
                <w:sz w:val="20"/>
                <w:szCs w:val="20"/>
                <w:color w:val="auto"/>
              </w:rPr>
            </w:pPr>
            <w:r>
              <w:rPr>
                <w:rFonts w:ascii="Arial" w:cs="Arial" w:eastAsia="Arial" w:hAnsi="Arial"/>
                <w:sz w:val="1"/>
                <w:szCs w:val="1"/>
                <w:color w:val="auto"/>
              </w:rPr>
              <w:t>222,568</w:t>
            </w:r>
          </w:p>
        </w:tc>
      </w:tr>
      <w:tr>
        <w:trPr>
          <w:trHeight w:val="185"/>
        </w:trPr>
        <w:tc>
          <w:tcPr>
            <w:tcW w:w="922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rPr>
              <w:t>(3)</w:t>
            </w:r>
          </w:p>
        </w:tc>
        <w:tc>
          <w:tcPr>
            <w:tcW w:w="500" w:type="dxa"/>
            <w:vAlign w:val="bottom"/>
            <w:shd w:val="clear" w:color="auto" w:fill="CCEEFF"/>
          </w:tcPr>
          <w:p>
            <w:pPr>
              <w:spacing w:after="0"/>
              <w:rPr>
                <w:sz w:val="16"/>
                <w:szCs w:val="16"/>
                <w:color w:val="auto"/>
              </w:rPr>
            </w:pPr>
          </w:p>
        </w:tc>
        <w:tc>
          <w:tcPr>
            <w:tcW w:w="1300" w:type="dxa"/>
            <w:vAlign w:val="bottom"/>
            <w:tcBorders>
              <w:right w:val="single" w:sz="8" w:color="CCEEFF"/>
            </w:tcBorders>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jc w:val="both"/>
        <w:ind w:left="540" w:right="160" w:hanging="276"/>
        <w:spacing w:after="0" w:line="249" w:lineRule="auto"/>
        <w:tabs>
          <w:tab w:leader="none" w:pos="5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Dr. Corey Goodman, our Executive Chairman, is a Managing Partner of venBio Partners. Dr. Jaume Pons, our Chief Executive Officer and a member of our board of directors, is a venture partner of venBio Partners. Dr. Robert Adelman previously served as a member of our board of directors and is a Managing Partner of venBio Partners.</w:t>
      </w:r>
    </w:p>
    <w:p>
      <w:pPr>
        <w:spacing w:after="0" w:line="25" w:lineRule="exact"/>
        <w:rPr>
          <w:rFonts w:ascii="Arial" w:cs="Arial" w:eastAsia="Arial" w:hAnsi="Arial"/>
          <w:sz w:val="14"/>
          <w:szCs w:val="14"/>
          <w:color w:val="auto"/>
        </w:rPr>
      </w:pPr>
    </w:p>
    <w:p>
      <w:pPr>
        <w:ind w:left="540" w:right="20" w:hanging="276"/>
        <w:spacing w:after="0" w:line="245" w:lineRule="auto"/>
        <w:tabs>
          <w:tab w:leader="none" w:pos="5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Caroline Gaynor, a former member of our board of directors and after our reorganization continues to serve on the board of directors of ALX Oncology Limited, one of our subsidiaries, is a Vice President of Lightstone Ventures. Jason Lettmann, a member of our board of directors, is a General Partner of Lightstone Ventures. Dr. Jaume Pons, our Chief Executive Officer and a member of our board of directors, is a scientific advisor of Lightstone Ventures.</w:t>
      </w:r>
    </w:p>
    <w:p>
      <w:pPr>
        <w:spacing w:after="0" w:line="28" w:lineRule="exact"/>
        <w:rPr>
          <w:rFonts w:ascii="Arial" w:cs="Arial" w:eastAsia="Arial" w:hAnsi="Arial"/>
          <w:sz w:val="14"/>
          <w:szCs w:val="14"/>
          <w:color w:val="auto"/>
        </w:rPr>
      </w:pPr>
    </w:p>
    <w:p>
      <w:pPr>
        <w:ind w:left="540" w:hanging="276"/>
        <w:spacing w:after="0"/>
        <w:tabs>
          <w:tab w:leader="none" w:pos="5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Mr. Lettmann, a member of our board of directors, is a General Partner of Lightstone Ventures.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80"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are party to an investors’ rights agreement, as amended, with certain holders of our capital stock, including venBio, Lightstone Ventures, Vivo Capital and Logos Capital.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venBio Consulting Agreement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January 2017, Dr. Jaume Pons, our Chief Executive Officer and the Chief Executive Officer of ALX Oncology Limited, entered into</w:t>
      </w:r>
    </w:p>
    <w:p>
      <w:pPr>
        <w:ind w:left="120" w:right="160"/>
        <w:spacing w:after="0" w:line="236" w:lineRule="auto"/>
        <w:rPr>
          <w:sz w:val="20"/>
          <w:szCs w:val="20"/>
          <w:color w:val="auto"/>
        </w:rPr>
      </w:pPr>
      <w:r>
        <w:rPr>
          <w:rFonts w:ascii="Arial" w:cs="Arial" w:eastAsia="Arial" w:hAnsi="Arial"/>
          <w:sz w:val="17"/>
          <w:szCs w:val="17"/>
          <w:color w:val="auto"/>
        </w:rPr>
        <w:t>a consulting agreement with venBio, one of our stockholders and an affiliate of one of our directors, Dr. Corey Goodman, to provide assistance with deal generation, evaluate potential investments and serve on boards of venBio’s portfolio companies. In accordance with this agreement as compensation for services provided, venBio paid Dr. Pons approximately $125,000 per year in 2017, 2018 and 2019. The consulting agreement remains in effect until terminated by either party with or without prior notice.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Tallac Therapeutics Agreements</w:t>
      </w:r>
    </w:p>
    <w:p>
      <w:pPr>
        <w:spacing w:after="0" w:line="93"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In May 2018, Dr. Jaume Pons, our Chief Executive Officer, entered into a consulting agreement with Tallac Therapeutics. Dr. Pons was engaged to provide management services. In accordance with this agreement as compensation for his services, Tallac Therapeutics issued Dr. Pons shares of its common stock. The consulting agreement will terminate automatically upon the later of completion of all projects under the consulting agreement or two years. In addition, Tallac Therapeutics may terminate the agreement at any time without prior notice, and Dr. Pons may terminate the agreement upon 30 days’ prior written notice if no services remain outstanding under the agreement.</w:t>
      </w:r>
    </w:p>
    <w:p>
      <w:pPr>
        <w:spacing w:after="0" w:line="150" w:lineRule="exact"/>
        <w:rPr>
          <w:sz w:val="20"/>
          <w:szCs w:val="20"/>
          <w:color w:val="auto"/>
        </w:rPr>
      </w:pPr>
    </w:p>
    <w:p>
      <w:pPr>
        <w:ind w:left="120" w:right="360"/>
        <w:spacing w:after="0" w:line="238" w:lineRule="auto"/>
        <w:rPr>
          <w:sz w:val="20"/>
          <w:szCs w:val="20"/>
          <w:color w:val="auto"/>
        </w:rPr>
      </w:pPr>
      <w:r>
        <w:rPr>
          <w:rFonts w:ascii="Arial" w:cs="Arial" w:eastAsia="Arial" w:hAnsi="Arial"/>
          <w:sz w:val="17"/>
          <w:szCs w:val="17"/>
          <w:color w:val="auto"/>
        </w:rPr>
        <w:t>Dr. Pons served as the Chief Executive Officer of Tallac Therapeutics until April 2020, and Dr. Hong Wan, our former Chief Scientific Officer, currently serves as the Chief Executive Officer of Tallac Therapeutics. Dr. Pons also currently serves as a member of the board of directors of Tallac Therapeutics.</w:t>
      </w:r>
    </w:p>
    <w:p>
      <w:pPr>
        <w:spacing w:after="0" w:line="147"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In addition, two of our current investors, venBio and Lightstone Ventures, who were also investors of ALX Oncology Limited prior to April 1, 2020, are also investors in Tallac Therapeutics.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In June 2018, we entered into the Tollnine Agreement to provide research and development services to Tallac Therapeutics. Pursuant to the terms of the Tollnine Agreement, which was amended in May 2019 and will be terminated effective as of June 30, 2020, ALX Oncology Inc. (f/k/a Alexo Therapeutics Inc.), our indirectly wholly-owned subsidiary, provided certain research and development services to Tallac Therapeutics for a service fee based on the costs incurred by the Company plus a mark-up. For the years ended December 31, 2018 and December 31, 2019, and for the three months ended March 31, 2019 and March 31. 2020, ALX Oncology Limited recognized related-party revenues of $2.1 million and $4.8 million, and $1.0 million and $0.7 million, respectively. As of December 31, 2018, December 31, 2019 and March 31, 2020, we had outstanding related-party receivables from Tallac Therapeutics of $0.9 million, $0.5 million and $1.2 million, respectively.</w:t>
      </w:r>
    </w:p>
    <w:p>
      <w:pPr>
        <w:spacing w:after="0" w:line="151"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As of July 1, 2020, we will terminate the Tollnine Agreement and entered into a series of transactions with Tallac Therapeutics and Dr. Wan as described below, subject to the closing of such transactions.</w:t>
      </w:r>
    </w:p>
    <w:p>
      <w:pPr>
        <w:spacing w:after="0" w:line="165" w:lineRule="exact"/>
        <w:rPr>
          <w:sz w:val="20"/>
          <w:szCs w:val="20"/>
          <w:color w:val="auto"/>
        </w:rPr>
      </w:pPr>
    </w:p>
    <w:p>
      <w:pPr>
        <w:ind w:left="980" w:right="40" w:hanging="432"/>
        <w:spacing w:after="0" w:line="244"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Entry into the Tallac Services Agreement: </w:t>
      </w:r>
      <w:r>
        <w:rPr>
          <w:rFonts w:ascii="Arial" w:cs="Arial" w:eastAsia="Arial" w:hAnsi="Arial"/>
          <w:sz w:val="17"/>
          <w:szCs w:val="17"/>
          <w:color w:val="auto"/>
        </w:rPr>
        <w:t>We entered into the Tallac Services Agreement, with Tallac Therapeutics effective as of</w:t>
      </w:r>
      <w:r>
        <w:rPr>
          <w:rFonts w:ascii="Arial" w:cs="Arial" w:eastAsia="Arial" w:hAnsi="Arial"/>
          <w:sz w:val="17"/>
          <w:szCs w:val="17"/>
          <w:b w:val="1"/>
          <w:bCs w:val="1"/>
          <w:color w:val="auto"/>
        </w:rPr>
        <w:t xml:space="preserve"> </w:t>
      </w:r>
      <w:r>
        <w:rPr>
          <w:rFonts w:ascii="Arial" w:cs="Arial" w:eastAsia="Arial" w:hAnsi="Arial"/>
          <w:sz w:val="17"/>
          <w:szCs w:val="17"/>
          <w:color w:val="auto"/>
        </w:rPr>
        <w:t>July 1, 2020. The Tallac Services Agreement provides that Tallac Therapeutics will provide certain preclinical research services to us for a service fee based on the costs incurred by Tallac Therapeutics plus a mark-up equal to 10.0% of such costs. The Tallac Services Agreement has an initial term of four years and is renewed automatically for additional one year terms thereafter.</w:t>
      </w:r>
    </w:p>
    <w:p>
      <w:pPr>
        <w:spacing w:after="0" w:line="1" w:lineRule="exact"/>
        <w:rPr>
          <w:rFonts w:ascii="MS PGothic" w:cs="MS PGothic" w:eastAsia="MS PGothic" w:hAnsi="MS PGothic"/>
          <w:sz w:val="13"/>
          <w:szCs w:val="13"/>
          <w:color w:val="auto"/>
        </w:rPr>
      </w:pPr>
    </w:p>
    <w:p>
      <w:pPr>
        <w:ind w:left="980" w:right="20" w:hanging="432"/>
        <w:spacing w:after="0" w:line="237"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Resignation of Dr. Wan and entry into Consulting Agreement: </w:t>
      </w:r>
      <w:r>
        <w:rPr>
          <w:rFonts w:ascii="Arial" w:cs="Arial" w:eastAsia="Arial" w:hAnsi="Arial"/>
          <w:sz w:val="17"/>
          <w:szCs w:val="17"/>
          <w:color w:val="auto"/>
        </w:rPr>
        <w:t>Dr. Wan resigned from her position as our Chief Scientific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will cease to be our employee effective as of June 30, 2020. In connection with her resignation, we entered into a Consulting Agreement with Dr. Wan effective as of July 1, 2020. Under the Consulting Agreement, Dr. Wan will serve as our Chief Science Consultant and, among other things, spend approximately 20% of her time performing activities typically performed by a consulting scientific adviser in the biotechnology industry. In exchange for such services, the options to purchase shares of our common stock that were previously granted to Dr. Wan will continue to vest and be exercisable subject to Dr. Wan remaining a service provider under the Consulting Agreement or the Tallac Services Agreement. The Consulting Agreement has an initial term of four years and is renewed automatically for additional one year terms thereafter.</w:t>
      </w:r>
    </w:p>
    <w:p>
      <w:pPr>
        <w:spacing w:after="0" w:line="8" w:lineRule="exact"/>
        <w:rPr>
          <w:rFonts w:ascii="MS PGothic" w:cs="MS PGothic" w:eastAsia="MS PGothic" w:hAnsi="MS PGothic"/>
          <w:sz w:val="13"/>
          <w:szCs w:val="13"/>
          <w:color w:val="auto"/>
        </w:rPr>
      </w:pPr>
    </w:p>
    <w:p>
      <w:pPr>
        <w:ind w:left="980" w:right="160" w:hanging="432"/>
        <w:spacing w:after="0" w:line="241"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Transfer of employees to Tallac Therapeutics: </w:t>
      </w:r>
      <w:r>
        <w:rPr>
          <w:rFonts w:ascii="Arial" w:cs="Arial" w:eastAsia="Arial" w:hAnsi="Arial"/>
          <w:sz w:val="17"/>
          <w:szCs w:val="17"/>
          <w:color w:val="auto"/>
        </w:rPr>
        <w:t>In addition to Dr. Wan, eight of our employees, or Transferred Employees, also will</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 their employment with us effective as of June 30, 2020 and will become employees of Tallac Therapeutics effective as of July 1, 2020. The options to purchase shares of our common stock that were previously granted to the Transferred Employees will continue to vest and be exercisable subject to the Transferred Employees remaining service providers under the Tallac Services Agreement.</w:t>
      </w:r>
    </w:p>
    <w:p>
      <w:pPr>
        <w:spacing w:after="0" w:line="4" w:lineRule="exact"/>
        <w:rPr>
          <w:rFonts w:ascii="MS PGothic" w:cs="MS PGothic" w:eastAsia="MS PGothic" w:hAnsi="MS PGothic"/>
          <w:sz w:val="13"/>
          <w:szCs w:val="13"/>
          <w:color w:val="auto"/>
        </w:rPr>
      </w:pPr>
    </w:p>
    <w:p>
      <w:pPr>
        <w:ind w:left="980" w:right="380" w:hanging="432"/>
        <w:spacing w:after="0" w:line="249"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Entry into Asset Transfer Agreement: </w:t>
      </w:r>
      <w:r>
        <w:rPr>
          <w:rFonts w:ascii="Arial" w:cs="Arial" w:eastAsia="Arial" w:hAnsi="Arial"/>
          <w:sz w:val="17"/>
          <w:szCs w:val="17"/>
          <w:color w:val="auto"/>
        </w:rPr>
        <w:t>ALX Oncology Inc. entered into an Asset Transfer Agreement with Tallac Therapeutics</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as of July 1, 2020, pursuant to which Tallac Therapeutics will purchase certain lab equipment and other assets from ALX Oncology Inc. for minimal cash consideration representing the aggregate book value of such assets.</w:t>
      </w:r>
    </w:p>
    <w:p>
      <w:pPr>
        <w:spacing w:after="0" w:line="141"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In addition to the transactions described above, we also intend to assign to Tallac Therapeutics our lease with respect to our premises located at 866 Malcolm Road, Burlingame, California, and receive a sublease for such premises from Tallac Therapeutics, in each case subject to the agreement and consent of the landlord as appropriate.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Directed Share Program</w:t>
      </w:r>
    </w:p>
    <w:p>
      <w:pPr>
        <w:spacing w:after="0" w:line="9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At our request, an affiliate of Jefferies LLC, a participating underwriter, has reserved up to 3% of the shares of common stock being offered by this prospectus for sale, at the initial public offering price, to certain of our officers, directors, employees and other persons who do business with us. Any reserved shares purchased by our executive officers and members of their households will be subject to the 180-day lock-up described elsewhere in this prospectus. We do not currently know the extent to which these related persons will participate in our directed share program, if at all, or how much of our common stock they will purchase. See “Underwriting” for additional information.</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9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amended and restated certificate of incorporation, which will be in effect upon the completion of this offering, will contain provisions limiting the liability of the members of our board of directors, and our amended and restated bylaws, which will be in effect upon the completion of this offering, will provide that we will indemnify each of our officers and the members of our board of directors to the fullest extent permitted under Delaware law. Our amended and restated certificate of incorporation and amended and restated bylaws will also provide our board of directors with discretion to indemnify our employees and other agents when it determines to be appropriate. In addition, we have entered into or will enter into an indemnification agreement with each of our executive officers and the members of our board of directors requiring us to indemnify them. See the section titled “Executive Compensation—Limitation on Liability and Indemnification of Directors and Officers.”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Related-Party Transaction Policy</w:t>
      </w:r>
    </w:p>
    <w:p>
      <w:pPr>
        <w:spacing w:after="0" w:line="80"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Our audit committee will have the primary responsibility for reviewing and approving or disapproving “related-party transactions,” which are transactions between us and related persons in which the aggregate amount involved exceeds or may be expected to exceed $120,000 and in which a related person has or will have a direct or indirect material interest. The charter of our audit committee will provide that our audit committee shall review and approve in advance any related-party transaction.</w:t>
      </w:r>
    </w:p>
    <w:p>
      <w:pPr>
        <w:spacing w:after="0" w:line="14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Prior to the completion of this offering, we intend to adopt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45"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0980"/>
          </w:cols>
          <w:pgMar w:left="320" w:top="459" w:right="5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beneficial ownership of our common stock as of May 31, 2020 by:</w:t>
      </w:r>
    </w:p>
    <w:p>
      <w:pPr>
        <w:spacing w:after="0" w:line="196" w:lineRule="exact"/>
        <w:rPr>
          <w:sz w:val="20"/>
          <w:szCs w:val="20"/>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each person, or group of affiliated persons, who is known by us to beneficially own more than 5% of our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each of the named executive officers;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each of our directors;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all of our executive officers and directors as a group.</w:t>
      </w:r>
    </w:p>
    <w:p>
      <w:pPr>
        <w:spacing w:after="0" w:line="156"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50" w:lineRule="exact"/>
        <w:rPr>
          <w:sz w:val="20"/>
          <w:szCs w:val="20"/>
          <w:color w:val="auto"/>
        </w:rPr>
      </w:pPr>
    </w:p>
    <w:p>
      <w:pPr>
        <w:ind w:left="120" w:right="60"/>
        <w:spacing w:after="0" w:line="232" w:lineRule="auto"/>
        <w:rPr>
          <w:sz w:val="20"/>
          <w:szCs w:val="20"/>
          <w:color w:val="auto"/>
        </w:rPr>
      </w:pPr>
      <w:r>
        <w:rPr>
          <w:rFonts w:ascii="Arial" w:cs="Arial" w:eastAsia="Arial" w:hAnsi="Arial"/>
          <w:sz w:val="17"/>
          <w:szCs w:val="17"/>
          <w:color w:val="auto"/>
        </w:rPr>
        <w:t>We have based our calculation of the percentage of beneficial ownership prior to this offering on 161,466,750 shares of our common stock outstanding as of May 31, 2020, which includes 55,104 shares of common stock that are subject to a right of repurchase and 140,626,218 shares of our common stock resulting from the automatic conversion of all outstanding shares of our convertible preferred stock into our common stock upon the completion of this offering, as if this conversion had occurred as of May 31, 2020. We have based our calculation of the percentage of</w:t>
      </w:r>
    </w:p>
    <w:p>
      <w:pPr>
        <w:ind w:left="120" w:right="100"/>
        <w:spacing w:after="0" w:line="235" w:lineRule="auto"/>
        <w:rPr>
          <w:sz w:val="20"/>
          <w:szCs w:val="20"/>
          <w:color w:val="auto"/>
        </w:rPr>
      </w:pPr>
      <w:r>
        <w:rPr>
          <w:rFonts w:ascii="Arial" w:cs="Arial" w:eastAsia="Arial" w:hAnsi="Arial"/>
          <w:sz w:val="17"/>
          <w:szCs w:val="17"/>
          <w:color w:val="auto"/>
        </w:rPr>
        <w:t>beneficial ownership after this offering on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May 31, 2020,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50"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Unless otherwise indicated, the address of each beneficial owner listed in the table below is c/o ALX Oncology Holdings Inc., 866 Malcolm Road, Suite 100, Burlingame, California 94010.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rPr>
              <w:t>NUMBER OF SHARES</w:t>
            </w:r>
          </w:p>
        </w:tc>
        <w:tc>
          <w:tcPr>
            <w:tcW w:w="25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9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rPr>
              <w:t>BENEFICIALLY OWNED</w:t>
            </w:r>
          </w:p>
        </w:tc>
        <w:tc>
          <w:tcPr>
            <w:tcW w:w="25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80" w:type="dxa"/>
            <w:vAlign w:val="bottom"/>
            <w:vMerge w:val="restart"/>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Borders>
              <w:top w:val="single" w:sz="8" w:color="auto"/>
            </w:tcBorders>
            <w:gridSpan w:val="2"/>
          </w:tcPr>
          <w:p>
            <w:pPr>
              <w:jc w:val="right"/>
              <w:ind w:right="600"/>
              <w:spacing w:after="0" w:line="143" w:lineRule="exact"/>
              <w:rPr>
                <w:sz w:val="20"/>
                <w:szCs w:val="20"/>
                <w:color w:val="auto"/>
              </w:rPr>
            </w:pPr>
            <w:r>
              <w:rPr>
                <w:rFonts w:ascii="Arial" w:cs="Arial" w:eastAsia="Arial" w:hAnsi="Arial"/>
                <w:sz w:val="14"/>
                <w:szCs w:val="14"/>
                <w:b w:val="1"/>
                <w:bCs w:val="1"/>
                <w:color w:val="auto"/>
              </w:rPr>
              <w:t>BEFORE THE</w:t>
            </w:r>
          </w:p>
        </w:tc>
        <w:tc>
          <w:tcPr>
            <w:tcW w:w="8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AFTER THE</w:t>
            </w:r>
          </w:p>
        </w:tc>
        <w:tc>
          <w:tcPr>
            <w:tcW w:w="540" w:type="dxa"/>
            <w:vAlign w:val="bottom"/>
          </w:tcPr>
          <w:p>
            <w:pPr>
              <w:spacing w:after="0"/>
              <w:rPr>
                <w:sz w:val="12"/>
                <w:szCs w:val="12"/>
                <w:color w:val="auto"/>
              </w:rPr>
            </w:pPr>
          </w:p>
        </w:tc>
        <w:tc>
          <w:tcPr>
            <w:tcW w:w="1620" w:type="dxa"/>
            <w:vAlign w:val="bottom"/>
            <w:tcBorders>
              <w:top w:val="single" w:sz="8" w:color="auto"/>
            </w:tcBorders>
            <w:gridSpan w:val="2"/>
          </w:tcPr>
          <w:p>
            <w:pPr>
              <w:jc w:val="right"/>
              <w:ind w:right="680"/>
              <w:spacing w:after="0" w:line="143" w:lineRule="exact"/>
              <w:rPr>
                <w:sz w:val="20"/>
                <w:szCs w:val="20"/>
                <w:color w:val="auto"/>
              </w:rPr>
            </w:pPr>
            <w:r>
              <w:rPr>
                <w:rFonts w:ascii="Arial" w:cs="Arial" w:eastAsia="Arial" w:hAnsi="Arial"/>
                <w:sz w:val="14"/>
                <w:szCs w:val="14"/>
                <w:b w:val="1"/>
                <w:bCs w:val="1"/>
                <w:color w:val="auto"/>
              </w:rPr>
              <w:t>BEFORE THE</w:t>
            </w:r>
          </w:p>
        </w:tc>
        <w:tc>
          <w:tcPr>
            <w:tcW w:w="8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AFTER THE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6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OFFERING</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OFFERING</w:t>
            </w:r>
          </w:p>
        </w:tc>
        <w:tc>
          <w:tcPr>
            <w:tcW w:w="16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OFFERING</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63"/>
        </w:trPr>
        <w:tc>
          <w:tcPr>
            <w:tcW w:w="444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5% or Greater Stockholders:</w:t>
            </w:r>
          </w:p>
        </w:tc>
        <w:tc>
          <w:tcPr>
            <w:tcW w:w="6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Entities affiliated with venBio Partners</w:t>
            </w:r>
            <w:r>
              <w:rPr>
                <w:rFonts w:ascii="Arial" w:cs="Arial" w:eastAsia="Arial" w:hAnsi="Arial"/>
                <w:sz w:val="14"/>
                <w:szCs w:val="14"/>
                <w:color w:val="auto"/>
              </w:rPr>
              <w:t>(1)</w:t>
            </w:r>
          </w:p>
        </w:tc>
        <w:tc>
          <w:tcPr>
            <w:tcW w:w="600" w:type="dxa"/>
            <w:vAlign w:val="bottom"/>
          </w:tcPr>
          <w:p>
            <w:pPr>
              <w:spacing w:after="0"/>
              <w:rPr>
                <w:sz w:val="16"/>
                <w:szCs w:val="16"/>
                <w:color w:val="auto"/>
              </w:rPr>
            </w:pPr>
          </w:p>
        </w:tc>
        <w:tc>
          <w:tcPr>
            <w:tcW w:w="2140" w:type="dxa"/>
            <w:vAlign w:val="bottom"/>
            <w:gridSpan w:val="3"/>
          </w:tcPr>
          <w:p>
            <w:pPr>
              <w:jc w:val="right"/>
              <w:ind w:right="560"/>
              <w:spacing w:after="0" w:line="189" w:lineRule="exact"/>
              <w:rPr>
                <w:sz w:val="20"/>
                <w:szCs w:val="20"/>
                <w:color w:val="auto"/>
              </w:rPr>
            </w:pPr>
            <w:r>
              <w:rPr>
                <w:rFonts w:ascii="Arial" w:cs="Arial" w:eastAsia="Arial" w:hAnsi="Arial"/>
                <w:sz w:val="17"/>
                <w:szCs w:val="17"/>
                <w:color w:val="auto"/>
              </w:rPr>
              <w:t>49,380,398</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30.6%</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Entities affiliated with Lightstone Ventures</w:t>
            </w:r>
            <w:r>
              <w:rPr>
                <w:rFonts w:ascii="Arial" w:cs="Arial" w:eastAsia="Arial" w:hAnsi="Arial"/>
                <w:sz w:val="14"/>
                <w:szCs w:val="14"/>
                <w:color w:val="auto"/>
              </w:rPr>
              <w:t>(2)</w:t>
            </w:r>
          </w:p>
        </w:tc>
        <w:tc>
          <w:tcPr>
            <w:tcW w:w="600" w:type="dxa"/>
            <w:vAlign w:val="bottom"/>
            <w:shd w:val="clear" w:color="auto" w:fill="CCEEFF"/>
          </w:tcPr>
          <w:p>
            <w:pPr>
              <w:spacing w:after="0"/>
              <w:rPr>
                <w:sz w:val="16"/>
                <w:szCs w:val="16"/>
                <w:color w:val="auto"/>
              </w:rPr>
            </w:pPr>
          </w:p>
        </w:tc>
        <w:tc>
          <w:tcPr>
            <w:tcW w:w="2140" w:type="dxa"/>
            <w:vAlign w:val="bottom"/>
            <w:gridSpan w:val="3"/>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24,145,406</w:t>
            </w: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15.0</w:t>
            </w: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Vivo Capital Fund IX, L.P.</w:t>
            </w:r>
            <w:r>
              <w:rPr>
                <w:rFonts w:ascii="Arial" w:cs="Arial" w:eastAsia="Arial" w:hAnsi="Arial"/>
                <w:sz w:val="14"/>
                <w:szCs w:val="14"/>
                <w:color w:val="auto"/>
              </w:rPr>
              <w:t>(3)</w:t>
            </w:r>
          </w:p>
        </w:tc>
        <w:tc>
          <w:tcPr>
            <w:tcW w:w="600" w:type="dxa"/>
            <w:vAlign w:val="bottom"/>
          </w:tcPr>
          <w:p>
            <w:pPr>
              <w:spacing w:after="0"/>
              <w:rPr>
                <w:sz w:val="16"/>
                <w:szCs w:val="16"/>
                <w:color w:val="auto"/>
              </w:rPr>
            </w:pPr>
          </w:p>
        </w:tc>
        <w:tc>
          <w:tcPr>
            <w:tcW w:w="2140" w:type="dxa"/>
            <w:vAlign w:val="bottom"/>
            <w:gridSpan w:val="3"/>
          </w:tcPr>
          <w:p>
            <w:pPr>
              <w:jc w:val="right"/>
              <w:ind w:right="560"/>
              <w:spacing w:after="0" w:line="189" w:lineRule="exact"/>
              <w:rPr>
                <w:sz w:val="20"/>
                <w:szCs w:val="20"/>
                <w:color w:val="auto"/>
              </w:rPr>
            </w:pPr>
            <w:r>
              <w:rPr>
                <w:rFonts w:ascii="Arial" w:cs="Arial" w:eastAsia="Arial" w:hAnsi="Arial"/>
                <w:sz w:val="17"/>
                <w:szCs w:val="17"/>
                <w:color w:val="auto"/>
              </w:rPr>
              <w:t>20,787,140</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gridSpan w:val="2"/>
          </w:tcPr>
          <w:p>
            <w:pPr>
              <w:jc w:val="right"/>
              <w:ind w:right="680"/>
              <w:spacing w:after="0" w:line="189" w:lineRule="exact"/>
              <w:rPr>
                <w:sz w:val="20"/>
                <w:szCs w:val="20"/>
                <w:color w:val="auto"/>
              </w:rPr>
            </w:pPr>
            <w:r>
              <w:rPr>
                <w:rFonts w:ascii="Arial" w:cs="Arial" w:eastAsia="Arial" w:hAnsi="Arial"/>
                <w:sz w:val="17"/>
                <w:szCs w:val="17"/>
                <w:color w:val="auto"/>
              </w:rPr>
              <w:t>12.9</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Logos Opportunities Fund I, L.P.</w:t>
            </w:r>
          </w:p>
        </w:tc>
        <w:tc>
          <w:tcPr>
            <w:tcW w:w="600" w:type="dxa"/>
            <w:vAlign w:val="bottom"/>
            <w:shd w:val="clear" w:color="auto" w:fill="CCEEFF"/>
          </w:tcPr>
          <w:p>
            <w:pPr>
              <w:spacing w:after="0" w:line="20" w:lineRule="exact"/>
              <w:rPr>
                <w:sz w:val="1"/>
                <w:szCs w:val="1"/>
                <w:color w:val="auto"/>
              </w:rPr>
            </w:pPr>
          </w:p>
        </w:tc>
        <w:tc>
          <w:tcPr>
            <w:tcW w:w="2140" w:type="dxa"/>
            <w:vAlign w:val="bottom"/>
            <w:gridSpan w:val="3"/>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13,858,093</w:t>
            </w:r>
          </w:p>
        </w:tc>
        <w:tc>
          <w:tcPr>
            <w:tcW w:w="8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20" w:type="dxa"/>
            <w:vAlign w:val="bottom"/>
            <w:gridSpan w:val="2"/>
            <w:shd w:val="clear" w:color="auto" w:fill="CCEEFF"/>
          </w:tcPr>
          <w:p>
            <w:pPr>
              <w:jc w:val="right"/>
              <w:ind w:right="680"/>
              <w:spacing w:after="0" w:line="4" w:lineRule="exact"/>
              <w:rPr>
                <w:sz w:val="20"/>
                <w:szCs w:val="20"/>
                <w:color w:val="auto"/>
              </w:rPr>
            </w:pPr>
            <w:r>
              <w:rPr>
                <w:rFonts w:ascii="Arial" w:cs="Arial" w:eastAsia="Arial" w:hAnsi="Arial"/>
                <w:sz w:val="1"/>
                <w:szCs w:val="1"/>
                <w:color w:val="auto"/>
              </w:rPr>
              <w:t>8.6</w:t>
            </w:r>
          </w:p>
        </w:tc>
        <w:tc>
          <w:tcPr>
            <w:tcW w:w="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440" w:type="dxa"/>
            <w:vAlign w:val="bottom"/>
            <w:gridSpan w:val="2"/>
            <w:shd w:val="clear" w:color="auto" w:fill="CCEEFF"/>
          </w:tcPr>
          <w:p>
            <w:pPr>
              <w:jc w:val="right"/>
              <w:ind w:right="1820"/>
              <w:spacing w:after="0"/>
              <w:rPr>
                <w:sz w:val="20"/>
                <w:szCs w:val="20"/>
                <w:color w:val="auto"/>
              </w:rPr>
            </w:pPr>
            <w:r>
              <w:rPr>
                <w:rFonts w:ascii="Arial" w:cs="Arial" w:eastAsia="Arial" w:hAnsi="Arial"/>
                <w:sz w:val="15"/>
                <w:szCs w:val="15"/>
                <w:color w:val="auto"/>
              </w:rPr>
              <w:t>(4)</w:t>
            </w:r>
          </w:p>
        </w:tc>
        <w:tc>
          <w:tcPr>
            <w:tcW w:w="6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Named Executive Officers:</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Jaume Pons, Ph.D.</w:t>
            </w:r>
            <w:r>
              <w:rPr>
                <w:rFonts w:ascii="Arial" w:cs="Arial" w:eastAsia="Arial" w:hAnsi="Arial"/>
                <w:sz w:val="14"/>
                <w:szCs w:val="14"/>
                <w:color w:val="auto"/>
              </w:rPr>
              <w:t>(5)</w:t>
            </w:r>
          </w:p>
        </w:tc>
        <w:tc>
          <w:tcPr>
            <w:tcW w:w="600" w:type="dxa"/>
            <w:vAlign w:val="bottom"/>
            <w:shd w:val="clear" w:color="auto" w:fill="CCEEFF"/>
          </w:tcPr>
          <w:p>
            <w:pPr>
              <w:spacing w:after="0"/>
              <w:rPr>
                <w:sz w:val="16"/>
                <w:szCs w:val="16"/>
                <w:color w:val="auto"/>
              </w:rPr>
            </w:pPr>
          </w:p>
        </w:tc>
        <w:tc>
          <w:tcPr>
            <w:tcW w:w="2140" w:type="dxa"/>
            <w:vAlign w:val="bottom"/>
            <w:gridSpan w:val="3"/>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9,344,685</w:t>
            </w: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5.6</w:t>
            </w: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tcPr>
          <w:p>
            <w:pPr>
              <w:spacing w:after="0" w:line="4" w:lineRule="exact"/>
              <w:rPr>
                <w:sz w:val="20"/>
                <w:szCs w:val="20"/>
                <w:color w:val="auto"/>
              </w:rPr>
            </w:pPr>
            <w:r>
              <w:rPr>
                <w:rFonts w:ascii="Arial" w:cs="Arial" w:eastAsia="Arial" w:hAnsi="Arial"/>
                <w:sz w:val="1"/>
                <w:szCs w:val="1"/>
                <w:color w:val="auto"/>
              </w:rPr>
              <w:t>Sophia Randolph, M.D., Ph.D.</w:t>
            </w:r>
          </w:p>
        </w:tc>
        <w:tc>
          <w:tcPr>
            <w:tcW w:w="600" w:type="dxa"/>
            <w:vAlign w:val="bottom"/>
          </w:tcPr>
          <w:p>
            <w:pPr>
              <w:spacing w:after="0" w:line="20" w:lineRule="exact"/>
              <w:rPr>
                <w:sz w:val="1"/>
                <w:szCs w:val="1"/>
                <w:color w:val="auto"/>
              </w:rPr>
            </w:pPr>
          </w:p>
        </w:tc>
        <w:tc>
          <w:tcPr>
            <w:tcW w:w="2140" w:type="dxa"/>
            <w:vAlign w:val="bottom"/>
            <w:gridSpan w:val="3"/>
          </w:tcPr>
          <w:p>
            <w:pPr>
              <w:jc w:val="right"/>
              <w:ind w:right="560"/>
              <w:spacing w:after="0" w:line="4" w:lineRule="exact"/>
              <w:rPr>
                <w:sz w:val="20"/>
                <w:szCs w:val="20"/>
                <w:color w:val="auto"/>
              </w:rPr>
            </w:pPr>
            <w:r>
              <w:rPr>
                <w:rFonts w:ascii="Arial" w:cs="Arial" w:eastAsia="Arial" w:hAnsi="Arial"/>
                <w:sz w:val="1"/>
                <w:szCs w:val="1"/>
                <w:color w:val="auto"/>
              </w:rPr>
              <w:t>2,441,562</w:t>
            </w: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gridSpan w:val="2"/>
          </w:tcPr>
          <w:p>
            <w:pPr>
              <w:jc w:val="right"/>
              <w:ind w:right="680"/>
              <w:spacing w:after="0" w:line="4" w:lineRule="exact"/>
              <w:rPr>
                <w:sz w:val="20"/>
                <w:szCs w:val="20"/>
                <w:color w:val="auto"/>
              </w:rPr>
            </w:pPr>
            <w:r>
              <w:rPr>
                <w:rFonts w:ascii="Arial" w:cs="Arial" w:eastAsia="Arial" w:hAnsi="Arial"/>
                <w:sz w:val="1"/>
                <w:szCs w:val="1"/>
                <w:color w:val="auto"/>
              </w:rPr>
              <w:t>1.5</w:t>
            </w: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40" w:type="dxa"/>
            <w:vAlign w:val="bottom"/>
            <w:gridSpan w:val="2"/>
          </w:tcPr>
          <w:p>
            <w:pPr>
              <w:ind w:left="2280"/>
              <w:spacing w:after="0"/>
              <w:rPr>
                <w:sz w:val="20"/>
                <w:szCs w:val="20"/>
                <w:color w:val="auto"/>
              </w:rPr>
            </w:pPr>
            <w:r>
              <w:rPr>
                <w:rFonts w:ascii="Arial" w:cs="Arial" w:eastAsia="Arial" w:hAnsi="Arial"/>
                <w:sz w:val="15"/>
                <w:szCs w:val="15"/>
                <w:color w:val="auto"/>
              </w:rPr>
              <w:t>(6)</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44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Hong Wan, Ph.D.</w:t>
            </w:r>
          </w:p>
        </w:tc>
        <w:tc>
          <w:tcPr>
            <w:tcW w:w="600" w:type="dxa"/>
            <w:vAlign w:val="bottom"/>
            <w:shd w:val="clear" w:color="auto" w:fill="CCEEFF"/>
          </w:tcPr>
          <w:p>
            <w:pPr>
              <w:spacing w:after="0" w:line="20" w:lineRule="exact"/>
              <w:rPr>
                <w:sz w:val="1"/>
                <w:szCs w:val="1"/>
                <w:color w:val="auto"/>
              </w:rPr>
            </w:pPr>
          </w:p>
        </w:tc>
        <w:tc>
          <w:tcPr>
            <w:tcW w:w="2140" w:type="dxa"/>
            <w:vAlign w:val="bottom"/>
            <w:gridSpan w:val="3"/>
            <w:shd w:val="clear" w:color="auto" w:fill="CCEEFF"/>
          </w:tcPr>
          <w:p>
            <w:pPr>
              <w:jc w:val="right"/>
              <w:ind w:right="560"/>
              <w:spacing w:after="0" w:line="10" w:lineRule="exact"/>
              <w:rPr>
                <w:sz w:val="20"/>
                <w:szCs w:val="20"/>
                <w:color w:val="auto"/>
              </w:rPr>
            </w:pPr>
            <w:r>
              <w:rPr>
                <w:rFonts w:ascii="Arial" w:cs="Arial" w:eastAsia="Arial" w:hAnsi="Arial"/>
                <w:sz w:val="1"/>
                <w:szCs w:val="1"/>
                <w:color w:val="auto"/>
              </w:rPr>
              <w:t>2,550,781</w:t>
            </w:r>
          </w:p>
        </w:tc>
        <w:tc>
          <w:tcPr>
            <w:tcW w:w="8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20" w:type="dxa"/>
            <w:vAlign w:val="bottom"/>
            <w:gridSpan w:val="2"/>
            <w:shd w:val="clear" w:color="auto" w:fill="CCEEFF"/>
          </w:tcPr>
          <w:p>
            <w:pPr>
              <w:jc w:val="right"/>
              <w:ind w:right="680"/>
              <w:spacing w:after="0" w:line="10" w:lineRule="exact"/>
              <w:rPr>
                <w:sz w:val="20"/>
                <w:szCs w:val="20"/>
                <w:color w:val="auto"/>
              </w:rPr>
            </w:pPr>
            <w:r>
              <w:rPr>
                <w:rFonts w:ascii="Arial" w:cs="Arial" w:eastAsia="Arial" w:hAnsi="Arial"/>
                <w:sz w:val="1"/>
                <w:szCs w:val="1"/>
                <w:color w:val="auto"/>
              </w:rPr>
              <w:t>1.6</w:t>
            </w:r>
          </w:p>
        </w:tc>
        <w:tc>
          <w:tcPr>
            <w:tcW w:w="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160" w:type="dxa"/>
            <w:vAlign w:val="bottom"/>
            <w:shd w:val="clear" w:color="auto" w:fill="CCEEFF"/>
          </w:tcPr>
          <w:p>
            <w:pPr>
              <w:ind w:left="1320"/>
              <w:spacing w:after="0"/>
              <w:rPr>
                <w:sz w:val="20"/>
                <w:szCs w:val="20"/>
                <w:color w:val="auto"/>
              </w:rPr>
            </w:pPr>
            <w:r>
              <w:rPr>
                <w:rFonts w:ascii="Arial" w:cs="Arial" w:eastAsia="Arial" w:hAnsi="Arial"/>
                <w:sz w:val="15"/>
                <w:szCs w:val="15"/>
                <w:color w:val="auto"/>
              </w:rPr>
              <w:t>(7)</w:t>
            </w:r>
          </w:p>
        </w:tc>
        <w:tc>
          <w:tcPr>
            <w:tcW w:w="2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Non-Employee Directors:</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Corey Goodman, Ph.D.</w:t>
            </w:r>
          </w:p>
        </w:tc>
        <w:tc>
          <w:tcPr>
            <w:tcW w:w="600" w:type="dxa"/>
            <w:vAlign w:val="bottom"/>
            <w:shd w:val="clear" w:color="auto" w:fill="CCEEFF"/>
          </w:tcPr>
          <w:p>
            <w:pPr>
              <w:spacing w:after="0" w:line="20" w:lineRule="exact"/>
              <w:rPr>
                <w:sz w:val="1"/>
                <w:szCs w:val="1"/>
                <w:color w:val="auto"/>
              </w:rPr>
            </w:pPr>
          </w:p>
        </w:tc>
        <w:tc>
          <w:tcPr>
            <w:tcW w:w="2140" w:type="dxa"/>
            <w:vAlign w:val="bottom"/>
            <w:gridSpan w:val="3"/>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50,345,231</w:t>
            </w:r>
          </w:p>
        </w:tc>
        <w:tc>
          <w:tcPr>
            <w:tcW w:w="8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20" w:type="dxa"/>
            <w:vAlign w:val="bottom"/>
            <w:gridSpan w:val="2"/>
            <w:shd w:val="clear" w:color="auto" w:fill="CCEEFF"/>
          </w:tcPr>
          <w:p>
            <w:pPr>
              <w:jc w:val="right"/>
              <w:ind w:right="680"/>
              <w:spacing w:after="0" w:line="4" w:lineRule="exact"/>
              <w:rPr>
                <w:sz w:val="20"/>
                <w:szCs w:val="20"/>
                <w:color w:val="auto"/>
              </w:rPr>
            </w:pPr>
            <w:r>
              <w:rPr>
                <w:rFonts w:ascii="Arial" w:cs="Arial" w:eastAsia="Arial" w:hAnsi="Arial"/>
                <w:sz w:val="1"/>
                <w:szCs w:val="1"/>
                <w:color w:val="auto"/>
              </w:rPr>
              <w:t>31.2</w:t>
            </w:r>
          </w:p>
        </w:tc>
        <w:tc>
          <w:tcPr>
            <w:tcW w:w="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160" w:type="dxa"/>
            <w:vAlign w:val="bottom"/>
            <w:shd w:val="clear" w:color="auto" w:fill="CCEEFF"/>
          </w:tcPr>
          <w:p>
            <w:pPr>
              <w:ind w:left="1780"/>
              <w:spacing w:after="0"/>
              <w:rPr>
                <w:sz w:val="20"/>
                <w:szCs w:val="20"/>
                <w:color w:val="auto"/>
              </w:rPr>
            </w:pPr>
            <w:r>
              <w:rPr>
                <w:rFonts w:ascii="Arial" w:cs="Arial" w:eastAsia="Arial" w:hAnsi="Arial"/>
                <w:sz w:val="15"/>
                <w:szCs w:val="15"/>
                <w:color w:val="auto"/>
              </w:rPr>
              <w:t>(8)</w:t>
            </w:r>
          </w:p>
        </w:tc>
        <w:tc>
          <w:tcPr>
            <w:tcW w:w="2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Rekha Hemrajani</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6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gridSpan w:val="2"/>
          </w:tcPr>
          <w:p>
            <w:pPr>
              <w:jc w:val="right"/>
              <w:ind w:right="680"/>
              <w:spacing w:after="0" w:line="189" w:lineRule="exact"/>
              <w:rPr>
                <w:sz w:val="20"/>
                <w:szCs w:val="20"/>
                <w:color w:val="auto"/>
              </w:rPr>
            </w:pPr>
            <w:r>
              <w:rPr>
                <w:rFonts w:ascii="Arial" w:cs="Arial" w:eastAsia="Arial" w:hAnsi="Arial"/>
                <w:sz w:val="17"/>
                <w:szCs w:val="17"/>
                <w:color w:val="auto"/>
              </w:rPr>
              <w:t>*</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Jason Lettmann</w:t>
            </w:r>
          </w:p>
        </w:tc>
        <w:tc>
          <w:tcPr>
            <w:tcW w:w="600" w:type="dxa"/>
            <w:vAlign w:val="bottom"/>
            <w:shd w:val="clear" w:color="auto" w:fill="CCEEFF"/>
          </w:tcPr>
          <w:p>
            <w:pPr>
              <w:spacing w:after="0" w:line="20" w:lineRule="exact"/>
              <w:rPr>
                <w:sz w:val="1"/>
                <w:szCs w:val="1"/>
                <w:color w:val="auto"/>
              </w:rPr>
            </w:pPr>
          </w:p>
        </w:tc>
        <w:tc>
          <w:tcPr>
            <w:tcW w:w="2140" w:type="dxa"/>
            <w:vAlign w:val="bottom"/>
            <w:gridSpan w:val="3"/>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24,729,142</w:t>
            </w:r>
          </w:p>
        </w:tc>
        <w:tc>
          <w:tcPr>
            <w:tcW w:w="8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20" w:type="dxa"/>
            <w:vAlign w:val="bottom"/>
            <w:gridSpan w:val="2"/>
            <w:shd w:val="clear" w:color="auto" w:fill="CCEEFF"/>
          </w:tcPr>
          <w:p>
            <w:pPr>
              <w:jc w:val="right"/>
              <w:ind w:right="680"/>
              <w:spacing w:after="0" w:line="4" w:lineRule="exact"/>
              <w:rPr>
                <w:sz w:val="20"/>
                <w:szCs w:val="20"/>
                <w:color w:val="auto"/>
              </w:rPr>
            </w:pPr>
            <w:r>
              <w:rPr>
                <w:rFonts w:ascii="Arial" w:cs="Arial" w:eastAsia="Arial" w:hAnsi="Arial"/>
                <w:sz w:val="1"/>
                <w:szCs w:val="1"/>
                <w:color w:val="auto"/>
              </w:rPr>
              <w:t>15.3</w:t>
            </w:r>
          </w:p>
        </w:tc>
        <w:tc>
          <w:tcPr>
            <w:tcW w:w="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160" w:type="dxa"/>
            <w:vAlign w:val="bottom"/>
            <w:shd w:val="clear" w:color="auto" w:fill="CCEEFF"/>
          </w:tcPr>
          <w:p>
            <w:pPr>
              <w:ind w:left="1220"/>
              <w:spacing w:after="0"/>
              <w:rPr>
                <w:sz w:val="20"/>
                <w:szCs w:val="20"/>
                <w:color w:val="auto"/>
              </w:rPr>
            </w:pPr>
            <w:r>
              <w:rPr>
                <w:rFonts w:ascii="Arial" w:cs="Arial" w:eastAsia="Arial" w:hAnsi="Arial"/>
                <w:sz w:val="15"/>
                <w:szCs w:val="15"/>
                <w:color w:val="auto"/>
              </w:rPr>
              <w:t>(9)</w:t>
            </w:r>
          </w:p>
        </w:tc>
        <w:tc>
          <w:tcPr>
            <w:tcW w:w="2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Jack Nielsen</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6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gridSpan w:val="2"/>
          </w:tcPr>
          <w:p>
            <w:pPr>
              <w:jc w:val="right"/>
              <w:ind w:right="680"/>
              <w:spacing w:after="0" w:line="189" w:lineRule="exact"/>
              <w:rPr>
                <w:sz w:val="20"/>
                <w:szCs w:val="20"/>
                <w:color w:val="auto"/>
              </w:rPr>
            </w:pPr>
            <w:r>
              <w:rPr>
                <w:rFonts w:ascii="Arial" w:cs="Arial" w:eastAsia="Arial" w:hAnsi="Arial"/>
                <w:sz w:val="17"/>
                <w:szCs w:val="17"/>
                <w:color w:val="auto"/>
              </w:rPr>
              <w:t>*</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Graham Walmsley, M.D., Ph.D.</w:t>
            </w:r>
          </w:p>
        </w:tc>
        <w:tc>
          <w:tcPr>
            <w:tcW w:w="600" w:type="dxa"/>
            <w:vAlign w:val="bottom"/>
            <w:shd w:val="clear" w:color="auto" w:fill="CCEEFF"/>
          </w:tcPr>
          <w:p>
            <w:pPr>
              <w:spacing w:after="0" w:line="20" w:lineRule="exact"/>
              <w:rPr>
                <w:sz w:val="1"/>
                <w:szCs w:val="1"/>
                <w:color w:val="auto"/>
              </w:rPr>
            </w:pPr>
          </w:p>
        </w:tc>
        <w:tc>
          <w:tcPr>
            <w:tcW w:w="2140" w:type="dxa"/>
            <w:vAlign w:val="bottom"/>
            <w:gridSpan w:val="3"/>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13,858,093</w:t>
            </w:r>
          </w:p>
        </w:tc>
        <w:tc>
          <w:tcPr>
            <w:tcW w:w="8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20" w:type="dxa"/>
            <w:vAlign w:val="bottom"/>
            <w:gridSpan w:val="2"/>
            <w:shd w:val="clear" w:color="auto" w:fill="CCEEFF"/>
          </w:tcPr>
          <w:p>
            <w:pPr>
              <w:jc w:val="right"/>
              <w:ind w:right="680"/>
              <w:spacing w:after="0" w:line="4" w:lineRule="exact"/>
              <w:rPr>
                <w:sz w:val="20"/>
                <w:szCs w:val="20"/>
                <w:color w:val="auto"/>
              </w:rPr>
            </w:pPr>
            <w:r>
              <w:rPr>
                <w:rFonts w:ascii="Arial" w:cs="Arial" w:eastAsia="Arial" w:hAnsi="Arial"/>
                <w:sz w:val="1"/>
                <w:szCs w:val="1"/>
                <w:color w:val="auto"/>
              </w:rPr>
              <w:t>8.6</w:t>
            </w:r>
          </w:p>
        </w:tc>
        <w:tc>
          <w:tcPr>
            <w:tcW w:w="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440" w:type="dxa"/>
            <w:vAlign w:val="bottom"/>
            <w:gridSpan w:val="2"/>
            <w:shd w:val="clear" w:color="auto" w:fill="CCEEFF"/>
          </w:tcPr>
          <w:p>
            <w:pPr>
              <w:jc w:val="right"/>
              <w:ind w:right="1820"/>
              <w:spacing w:after="0"/>
              <w:rPr>
                <w:sz w:val="20"/>
                <w:szCs w:val="20"/>
                <w:color w:val="auto"/>
              </w:rPr>
            </w:pPr>
            <w:r>
              <w:rPr>
                <w:rFonts w:ascii="Arial" w:cs="Arial" w:eastAsia="Arial" w:hAnsi="Arial"/>
                <w:sz w:val="15"/>
                <w:szCs w:val="15"/>
                <w:color w:val="auto"/>
              </w:rPr>
              <w:t>(10)</w:t>
            </w:r>
          </w:p>
        </w:tc>
        <w:tc>
          <w:tcPr>
            <w:tcW w:w="6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line="135" w:lineRule="exact"/>
              <w:rPr>
                <w:sz w:val="20"/>
                <w:szCs w:val="20"/>
                <w:color w:val="auto"/>
              </w:rPr>
            </w:pPr>
            <w:r>
              <w:rPr>
                <w:rFonts w:ascii="Arial" w:cs="Arial" w:eastAsia="Arial" w:hAnsi="Arial"/>
                <w:sz w:val="15"/>
                <w:szCs w:val="15"/>
                <w:color w:val="auto"/>
              </w:rPr>
              <w:t>All executive officers and directors as a group (11 persons)</w:t>
            </w:r>
          </w:p>
        </w:tc>
        <w:tc>
          <w:tcPr>
            <w:tcW w:w="600" w:type="dxa"/>
            <w:vAlign w:val="bottom"/>
            <w:vMerge w:val="restart"/>
          </w:tcPr>
          <w:p>
            <w:pPr>
              <w:jc w:val="right"/>
              <w:ind w:right="267"/>
              <w:spacing w:after="0"/>
              <w:rPr>
                <w:sz w:val="20"/>
                <w:szCs w:val="20"/>
                <w:color w:val="auto"/>
              </w:rPr>
            </w:pPr>
            <w:r>
              <w:rPr>
                <w:rFonts w:ascii="Arial" w:cs="Arial" w:eastAsia="Arial" w:hAnsi="Arial"/>
                <w:sz w:val="15"/>
                <w:szCs w:val="15"/>
                <w:color w:val="auto"/>
                <w:w w:val="89"/>
              </w:rPr>
              <w:t>(11)</w:t>
            </w:r>
          </w:p>
        </w:tc>
        <w:tc>
          <w:tcPr>
            <w:tcW w:w="2140" w:type="dxa"/>
            <w:vAlign w:val="bottom"/>
            <w:gridSpan w:val="3"/>
          </w:tcPr>
          <w:p>
            <w:pPr>
              <w:jc w:val="right"/>
              <w:ind w:right="560"/>
              <w:spacing w:after="0" w:line="135" w:lineRule="exact"/>
              <w:rPr>
                <w:sz w:val="20"/>
                <w:szCs w:val="20"/>
                <w:color w:val="auto"/>
              </w:rPr>
            </w:pPr>
            <w:r>
              <w:rPr>
                <w:rFonts w:ascii="Arial" w:cs="Arial" w:eastAsia="Arial" w:hAnsi="Arial"/>
                <w:sz w:val="15"/>
                <w:szCs w:val="15"/>
                <w:color w:val="auto"/>
              </w:rPr>
              <w:t>107,633,784</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20" w:type="dxa"/>
            <w:vAlign w:val="bottom"/>
            <w:gridSpan w:val="2"/>
          </w:tcPr>
          <w:p>
            <w:pPr>
              <w:jc w:val="right"/>
              <w:ind w:right="680"/>
              <w:spacing w:after="0" w:line="135" w:lineRule="exact"/>
              <w:rPr>
                <w:sz w:val="20"/>
                <w:szCs w:val="20"/>
                <w:color w:val="auto"/>
              </w:rPr>
            </w:pPr>
            <w:r>
              <w:rPr>
                <w:rFonts w:ascii="Arial" w:cs="Arial" w:eastAsia="Arial" w:hAnsi="Arial"/>
                <w:sz w:val="15"/>
                <w:szCs w:val="15"/>
                <w:color w:val="auto"/>
              </w:rPr>
              <w:t>61.6</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1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2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gridSpan w:val="2"/>
          </w:tcPr>
          <w:p>
            <w:pPr>
              <w:jc w:val="right"/>
              <w:ind w:right="904"/>
              <w:spacing w:after="0"/>
              <w:rPr>
                <w:sz w:val="20"/>
                <w:szCs w:val="20"/>
                <w:color w:val="auto"/>
              </w:rPr>
            </w:pPr>
            <w:r>
              <w:rPr>
                <w:rFonts w:ascii="Arial" w:cs="Arial" w:eastAsia="Arial" w:hAnsi="Arial"/>
                <w:sz w:val="16"/>
                <w:szCs w:val="16"/>
                <w:color w:val="auto"/>
              </w:rPr>
              <w:t>148</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Represents beneficial ownership of less than one percent (1%) of the outstanding shares of our common stock.</w:t>
      </w:r>
    </w:p>
    <w:p>
      <w:pPr>
        <w:spacing w:after="0" w:line="42" w:lineRule="exact"/>
        <w:rPr>
          <w:sz w:val="20"/>
          <w:szCs w:val="20"/>
          <w:color w:val="auto"/>
        </w:rPr>
      </w:pPr>
    </w:p>
    <w:p>
      <w:pPr>
        <w:ind w:left="540" w:right="40" w:hanging="276"/>
        <w:spacing w:after="0" w:line="244" w:lineRule="auto"/>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Consists of (i) 25,940,398 shares held of record by venBio Global Strategic Fund II, L.P.; (ii) 20,401,000 shares held of record by venBio Global Strategic Fund, L.P.; and (iii) 3,039,000 shares held of record by venBio SPV, LLC. venBio Global Strategic GP II, L.P. (GS GP II LP) is the general partner of GSF II LP and venBio Global Strategic GP II, Ltd. (GS GP II Ltd) is the general partner of GS GP II LP. venBio Global Strategic GP, L.P. (GS GP LP) is the general partner of GSF LP and venBio Global Strategic GP, Ltd. (GS GP Ltd) is the general partner of GS GP LP. As the Directors of venBio Global GS GP II Ltd and GS GP Ltd and the Managing Directors of venBio SPV, LLC (SPV LLC), Robert Adelman and Corey Goodman, one of our directors, share voting and dispositive power with respect to the shares held of record by GSF II LP, GSF LP and SPV LLC. An additional 514,446 shares are held of record by Dr. Adelman. The address for these entities is c/o venBio Partners, LLC, 1700 Owens Street, Suite 595, San Francisco, California 94158.</w:t>
      </w:r>
    </w:p>
    <w:p>
      <w:pPr>
        <w:spacing w:after="0" w:line="28" w:lineRule="exact"/>
        <w:rPr>
          <w:rFonts w:ascii="Arial" w:cs="Arial" w:eastAsia="Arial" w:hAnsi="Arial"/>
          <w:sz w:val="14"/>
          <w:szCs w:val="14"/>
          <w:color w:val="auto"/>
        </w:rPr>
      </w:pPr>
    </w:p>
    <w:p>
      <w:pPr>
        <w:ind w:left="540" w:right="40" w:hanging="276"/>
        <w:spacing w:after="0" w:line="244" w:lineRule="auto"/>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Consists of (i) 12,049,278 shares held of record by Lightstone Ventures, LP (LV LP); (ii) 9,864,223 shares held of record by Lightstone Ventures II, LP (LV II LP); (iii) 1,642,746 shares held of record by Lightstone Ventures (A), LP (LV(A) LP); and (iv) 589,159 shares held of record by Lightstone Ventures II (A), LP (LV II(A) LP). LSV Associates, LLC (LSV Associates) is the General Partner of LV LP and LV(A) LP. As the individual general partners of LSV Associates, Michael A. Carusi, Jean M. George and Henry A. Plain Jr. share voting and dispositive power with respect to the shares held of record by LV LP and LV(A) LP. LSV Associates II, LLC (LSV Associates II) is the General Partner of LV II LP and LV II(A) LP. As the individual general partners of LSV Associates II, Michael A. Carusi, Jean M. George, Henry A. Plain Jr. and Jason W. Lettmann share voting and dispositive power with respect to the shares held of record by LV II LP and LV II(A) LP. The address for these entities is c/o LSV Capital Management, LLC, 2884 Sand Hill Road, Suite 121, Menlo Park, California 94025.</w:t>
      </w:r>
    </w:p>
    <w:p>
      <w:pPr>
        <w:spacing w:after="0" w:line="28" w:lineRule="exact"/>
        <w:rPr>
          <w:rFonts w:ascii="Arial" w:cs="Arial" w:eastAsia="Arial" w:hAnsi="Arial"/>
          <w:sz w:val="14"/>
          <w:szCs w:val="14"/>
          <w:color w:val="auto"/>
        </w:rPr>
      </w:pPr>
    </w:p>
    <w:p>
      <w:pPr>
        <w:ind w:left="540" w:right="40" w:hanging="276"/>
        <w:spacing w:after="0" w:line="249" w:lineRule="auto"/>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Consists of 20,787,140 shares held of record by Vivo Capital Fund IX, L.P. (VIVO IX LP). Vivo Capital IX, LLC (VIVO IX LLC) is the General Partner of VIVO IX LP. As the managing members of VIVO IX LLC, Frank Kung, Albert Cha, Edgar Engleman, Shan Fu and Chen Yu share voting and dispositive power with respect to the shares held of record by VIVO IX LP. The address for these entities is c/o Vivo Capital, 192 Lytton Avenue, Palo Alto, California 94301.</w:t>
      </w:r>
    </w:p>
    <w:p>
      <w:pPr>
        <w:spacing w:after="0" w:line="25" w:lineRule="exact"/>
        <w:rPr>
          <w:rFonts w:ascii="Arial" w:cs="Arial" w:eastAsia="Arial" w:hAnsi="Arial"/>
          <w:sz w:val="14"/>
          <w:szCs w:val="14"/>
          <w:color w:val="auto"/>
        </w:rPr>
      </w:pPr>
    </w:p>
    <w:p>
      <w:pPr>
        <w:ind w:left="540" w:right="120" w:hanging="276"/>
        <w:spacing w:after="0" w:line="247" w:lineRule="auto"/>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Consists of 13,858,093 shares held of record by Logos Opportunities Fund I, L.P. (Logos LP). Logos Opportunities GP, LLC (Logos GP) is the general partner of Logos Opportunities Fund I, L.P. (Logos LP). Arsani William and Graham Walmsley are the managing members of Logos GP and share voting and dispositive power with respect to the shares held of record by Logos Opportunities Fund I, LP. The address for these entities is c/o Logos Capital, 1 Letterman Drive, Building D, Suite D3-700, San Francisco, California 94129.</w:t>
      </w:r>
    </w:p>
    <w:p>
      <w:pPr>
        <w:spacing w:after="0" w:line="25" w:lineRule="exact"/>
        <w:rPr>
          <w:rFonts w:ascii="Arial" w:cs="Arial" w:eastAsia="Arial" w:hAnsi="Arial"/>
          <w:sz w:val="14"/>
          <w:szCs w:val="14"/>
          <w:color w:val="auto"/>
        </w:rPr>
      </w:pPr>
    </w:p>
    <w:p>
      <w:pPr>
        <w:ind w:left="540" w:right="640" w:hanging="276"/>
        <w:spacing w:after="0" w:line="258" w:lineRule="auto"/>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Consists of (i) 3,529,617 shares held of record by Dr. Pons and (ii) 5,815,068 shares issuable upon option exercise within 60 days of May 31, 2020, of which 1,989,280 are fully vested.</w:t>
      </w:r>
    </w:p>
    <w:p>
      <w:pPr>
        <w:spacing w:after="0" w:line="18" w:lineRule="exact"/>
        <w:rPr>
          <w:rFonts w:ascii="Arial" w:cs="Arial" w:eastAsia="Arial" w:hAnsi="Arial"/>
          <w:sz w:val="14"/>
          <w:szCs w:val="14"/>
          <w:color w:val="auto"/>
        </w:rPr>
      </w:pPr>
    </w:p>
    <w:p>
      <w:pPr>
        <w:ind w:left="540" w:right="480" w:hanging="276"/>
        <w:spacing w:after="0" w:line="258" w:lineRule="auto"/>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Consists of (i) 875,000 shares held of record by Dr. Randolph and (ii) 1,566,562 shares issuable upon option exercise within 60 days of May 31, 2020, of which 529,061 are fully vested.</w:t>
      </w:r>
    </w:p>
    <w:p>
      <w:pPr>
        <w:spacing w:after="0" w:line="18" w:lineRule="exact"/>
        <w:rPr>
          <w:rFonts w:ascii="Arial" w:cs="Arial" w:eastAsia="Arial" w:hAnsi="Arial"/>
          <w:sz w:val="14"/>
          <w:szCs w:val="14"/>
          <w:color w:val="auto"/>
        </w:rPr>
      </w:pPr>
    </w:p>
    <w:p>
      <w:pPr>
        <w:ind w:left="540" w:hanging="276"/>
        <w:spacing w:after="0" w:line="249" w:lineRule="auto"/>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Consists of (i) 142,044 shares held of record by the Kwauk and Wan Family Trust for which Dr. Wan serves as trustee; (ii) 860,000 shares held of record by Dr. Wan and (iii) 1,548,737 shares issuable upon option exercise within 60 days of May 31, 2020, of which 524,853 are fully vested. Dr. Wan, our former Chief Scientific Officer, resigned effective June 30, 2020.</w:t>
      </w:r>
    </w:p>
    <w:p>
      <w:pPr>
        <w:spacing w:after="0" w:line="25" w:lineRule="exact"/>
        <w:rPr>
          <w:rFonts w:ascii="Arial" w:cs="Arial" w:eastAsia="Arial" w:hAnsi="Arial"/>
          <w:sz w:val="14"/>
          <w:szCs w:val="14"/>
          <w:color w:val="auto"/>
        </w:rPr>
      </w:pPr>
    </w:p>
    <w:p>
      <w:pPr>
        <w:ind w:left="540" w:right="60" w:hanging="276"/>
        <w:spacing w:after="0" w:line="249" w:lineRule="auto"/>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Consists of (i) the shares disclosed in footnote (1) above which are held of record by entities affiliated with venBio Partners; (ii) 618,381 shares held of record by the Goodman Baringa Trust for which Dr. Goodman serves as trustee and (iii) 346,452 shares held of record by the Emaldi Corporation for which Dr. Goodman serves as a director.</w:t>
      </w:r>
    </w:p>
    <w:p>
      <w:pPr>
        <w:spacing w:after="0" w:line="25" w:lineRule="exact"/>
        <w:rPr>
          <w:rFonts w:ascii="Arial" w:cs="Arial" w:eastAsia="Arial" w:hAnsi="Arial"/>
          <w:sz w:val="14"/>
          <w:szCs w:val="14"/>
          <w:color w:val="auto"/>
        </w:rPr>
      </w:pPr>
    </w:p>
    <w:p>
      <w:pPr>
        <w:ind w:left="540" w:right="100" w:hanging="276"/>
        <w:spacing w:after="0" w:line="258" w:lineRule="auto"/>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Consists of (i) the shares disclosed in footnote (2) above which are held of record by entities affiliated with Lightstone Ventures and (ii) 583,736 shares held of record by Mr. Lettmann.</w:t>
      </w:r>
    </w:p>
    <w:p>
      <w:pPr>
        <w:spacing w:after="0" w:line="18" w:lineRule="exact"/>
        <w:rPr>
          <w:rFonts w:ascii="Arial" w:cs="Arial" w:eastAsia="Arial" w:hAnsi="Arial"/>
          <w:sz w:val="14"/>
          <w:szCs w:val="14"/>
          <w:color w:val="auto"/>
        </w:rPr>
      </w:pPr>
    </w:p>
    <w:p>
      <w:pPr>
        <w:ind w:left="540" w:hanging="356"/>
        <w:spacing w:after="0"/>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Consists of the shares disclosed in footnote (4) above which are held of record by Logos LP.</w:t>
      </w:r>
    </w:p>
    <w:p>
      <w:pPr>
        <w:spacing w:after="0" w:line="41" w:lineRule="exact"/>
        <w:rPr>
          <w:rFonts w:ascii="Arial" w:cs="Arial" w:eastAsia="Arial" w:hAnsi="Arial"/>
          <w:sz w:val="14"/>
          <w:szCs w:val="14"/>
          <w:color w:val="auto"/>
        </w:rPr>
      </w:pPr>
    </w:p>
    <w:p>
      <w:pPr>
        <w:ind w:left="540" w:right="20" w:hanging="356"/>
        <w:spacing w:after="0" w:line="249" w:lineRule="auto"/>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Consists of (i) 94,408,417 shares beneficially owned by our executive officers and directors and (ii) 13,225,367 shares issuable upon option exercise within 60 days of May 31, 2020, of which 3,503,455 are fully vested. Includes shares beneficially owned or issuable upon option exercise within 60 days of May 31, 2020 by Dr. Wan, our former Chief Scientific Officer, who resigned effective June 30, 2020.</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36"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Copies of these documents will be filed with the SEC as exhibits to our registration statement, of which this prospectus forms a part. The descriptions of the common stock and preferred stock reflect changes to our capital structure that will occur upon the completion of this offering.</w:t>
      </w:r>
    </w:p>
    <w:p>
      <w:pPr>
        <w:spacing w:after="0" w:line="150"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Upon the completion of this offering and the filing of our amended and restated certificate of incorporation to be effective upon completion of this offering, our authorized capital stock will consist of 1,000,000,000 shares of common stock, par value $0.001 per share, and 100,000,000 shares of convertible preferred stock, par value $0.001 per share.</w:t>
      </w:r>
    </w:p>
    <w:p>
      <w:pPr>
        <w:spacing w:after="0" w:line="147"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Upon the closing of this offering, all the outstanding shares of our convertible preferred stock will automatically convert into an aggregate of 140,626,218 shares of our common stock.</w:t>
      </w:r>
    </w:p>
    <w:p>
      <w:pPr>
        <w:spacing w:after="0" w:line="144" w:lineRule="exact"/>
        <w:rPr>
          <w:sz w:val="20"/>
          <w:szCs w:val="20"/>
          <w:color w:val="auto"/>
        </w:rPr>
      </w:pPr>
    </w:p>
    <w:p>
      <w:pPr>
        <w:ind w:left="120" w:right="100"/>
        <w:spacing w:after="0" w:line="232" w:lineRule="auto"/>
        <w:rPr>
          <w:sz w:val="20"/>
          <w:szCs w:val="20"/>
          <w:color w:val="auto"/>
        </w:rPr>
      </w:pPr>
      <w:r>
        <w:rPr>
          <w:rFonts w:ascii="Arial" w:cs="Arial" w:eastAsia="Arial" w:hAnsi="Arial"/>
          <w:sz w:val="17"/>
          <w:szCs w:val="17"/>
          <w:color w:val="auto"/>
        </w:rPr>
        <w:t>Based on 20,840,532 shares of common stock outstanding as of April 1, 2020 (including shares of common stock that are subject to a right of repurchase), and after giving effect to the automatic conversion of all of our outstanding convertible preferred stock into an aggregate of</w:t>
      </w:r>
    </w:p>
    <w:p>
      <w:pPr>
        <w:ind w:left="120" w:right="60"/>
        <w:spacing w:after="0" w:line="232" w:lineRule="auto"/>
        <w:rPr>
          <w:sz w:val="20"/>
          <w:szCs w:val="20"/>
          <w:color w:val="auto"/>
        </w:rPr>
      </w:pPr>
      <w:r>
        <w:rPr>
          <w:rFonts w:ascii="Arial" w:cs="Arial" w:eastAsia="Arial" w:hAnsi="Arial"/>
          <w:sz w:val="17"/>
          <w:szCs w:val="17"/>
          <w:color w:val="auto"/>
        </w:rPr>
        <w:t>140,626,218 shares of common stock upon the completion of this offering and the issuance of shares of common stock in this offering, there will be shares of common stock outstanding upon the closing of this offering. As of April 1, 2020, we had 69 stockholders of</w:t>
      </w:r>
    </w:p>
    <w:p>
      <w:pPr>
        <w:ind w:left="120"/>
        <w:spacing w:after="0"/>
        <w:rPr>
          <w:sz w:val="20"/>
          <w:szCs w:val="20"/>
          <w:color w:val="auto"/>
        </w:rPr>
      </w:pPr>
      <w:r>
        <w:rPr>
          <w:rFonts w:ascii="Arial" w:cs="Arial" w:eastAsia="Arial" w:hAnsi="Arial"/>
          <w:sz w:val="17"/>
          <w:szCs w:val="17"/>
          <w:color w:val="auto"/>
        </w:rPr>
        <w:t>record. As of April 1, 2020, there were 21,063,923 shares of common stock subject to outstanding options.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Voting Rights</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Our certificate of incorporation and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Dividends</w:t>
      </w:r>
    </w:p>
    <w:p>
      <w:pPr>
        <w:spacing w:after="0" w:line="41"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Subject to preferences that may be applicable to any then-outstanding convertible preferred stock, holders of our common stock are entitled to receive dividends, if any, as may be declared from time to time by our board of directors out of legally available funds.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Liquidation</w:t>
      </w:r>
    </w:p>
    <w:p>
      <w:pPr>
        <w:spacing w:after="0" w:line="41"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41"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41"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Upon the closing of this offering, our board of directors will have the authority, without further action by the stockholders, to issue up to</w:t>
      </w:r>
    </w:p>
    <w:p>
      <w:pPr>
        <w:ind w:left="120"/>
        <w:spacing w:after="0" w:line="234" w:lineRule="auto"/>
        <w:rPr>
          <w:sz w:val="20"/>
          <w:szCs w:val="20"/>
          <w:color w:val="auto"/>
        </w:rPr>
      </w:pPr>
      <w:r>
        <w:rPr>
          <w:rFonts w:ascii="Arial" w:cs="Arial" w:eastAsia="Arial" w:hAnsi="Arial"/>
          <w:sz w:val="17"/>
          <w:szCs w:val="17"/>
          <w:color w:val="auto"/>
        </w:rPr>
        <w:t>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Upon closing of this offering, no shares of preferred stock will be outstanding, and we have no present plan to issue any shares of preferred stock.</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April 1, 2020, we had outstanding options to purchase an aggregate of 21,063,923 shares of our common stock, with a weighted-average</w:t>
      </w:r>
    </w:p>
    <w:p>
      <w:pPr>
        <w:ind w:left="120" w:right="220"/>
        <w:spacing w:after="0" w:line="243" w:lineRule="auto"/>
        <w:rPr>
          <w:sz w:val="20"/>
          <w:szCs w:val="20"/>
          <w:color w:val="auto"/>
        </w:rPr>
      </w:pPr>
      <w:r>
        <w:rPr>
          <w:rFonts w:ascii="Arial" w:cs="Arial" w:eastAsia="Arial" w:hAnsi="Arial"/>
          <w:sz w:val="17"/>
          <w:szCs w:val="17"/>
          <w:color w:val="auto"/>
        </w:rPr>
        <w:t>exercise price of $0.47 per share, under our 2020 Plan. After April 1, 2020, we issued options to purchase an aggregate of shares of our common stock, with a weighted-average exercise price of $ per share, under our 2020 Plan.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80" w:lineRule="exact"/>
        <w:rPr>
          <w:sz w:val="20"/>
          <w:szCs w:val="20"/>
          <w:color w:val="auto"/>
        </w:rPr>
      </w:pPr>
    </w:p>
    <w:p>
      <w:pPr>
        <w:ind w:left="120" w:right="540"/>
        <w:spacing w:after="0" w:line="232" w:lineRule="auto"/>
        <w:rPr>
          <w:sz w:val="20"/>
          <w:szCs w:val="20"/>
          <w:color w:val="auto"/>
        </w:rPr>
      </w:pPr>
      <w:r>
        <w:rPr>
          <w:rFonts w:ascii="Arial" w:cs="Arial" w:eastAsia="Arial" w:hAnsi="Arial"/>
          <w:sz w:val="17"/>
          <w:szCs w:val="17"/>
          <w:color w:val="auto"/>
        </w:rPr>
        <w:t>As of April 1,2020, we had outstanding warrants to purchase an aggregate of 403,348 shares of our Series B convertible preferred stock at $1.4432 per share, pursuant to the Loan Agreement. Immediately prior to</w:t>
      </w:r>
    </w:p>
    <w:p>
      <w:pPr>
        <w:ind w:left="120"/>
        <w:spacing w:after="0"/>
        <w:rPr>
          <w:sz w:val="20"/>
          <w:szCs w:val="20"/>
          <w:color w:val="auto"/>
        </w:rPr>
      </w:pPr>
      <w:r>
        <w:rPr>
          <w:rFonts w:ascii="Arial" w:cs="Arial" w:eastAsia="Arial" w:hAnsi="Arial"/>
          <w:sz w:val="17"/>
          <w:szCs w:val="17"/>
          <w:color w:val="auto"/>
        </w:rPr>
        <w:t>the completion of this offering, these warrants will be converted into warrants to purchase common stock.</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93"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are party to an amended and restated investors’ rights agreement that provides that certain holders of our convertible preferred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Generally, in an underwritten offering, the managing underwriter, if any, has the right, subject to specified conditions, to limit the number of shares such holders may include.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After this offering, the holders of an aggregate of 143,882,738 shares of our common stock will be entitled to certain demand registration rights. At any time beginning 180 days after the effective date of this offering and before the three-year anniversary of the date of the investors’ rights agreement, the holders of at least 50% of the shares in the aggregate may request that we file a registration statement to register all or a portion of their shares. Such request for registration must cover at least 40% of the shares or shares with an anticipated aggregate public offering price, net of underwriting discounts and expenses, of at least $15.0 million.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S-3 Registration Rights</w:t>
      </w:r>
    </w:p>
    <w:p>
      <w:pPr>
        <w:spacing w:after="0" w:line="54"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After this offering, the holders of an aggregate of 143,882,738 shares of our common stock will be entitled to certain Form S-3 registration rights. At any time when we are eligible to file a registration statement on Form S-3, the holders of at least 10% of these shares can make a request that we register their shares on Form S-3 if such request covers shares with an anticipated aggregate public offering price, net of underwriting discounts and expenses, of at least $1.0 million.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54" w:lineRule="exact"/>
        <w:rPr>
          <w:sz w:val="20"/>
          <w:szCs w:val="20"/>
          <w:color w:val="auto"/>
        </w:rPr>
      </w:pPr>
    </w:p>
    <w:p>
      <w:pPr>
        <w:ind w:left="120" w:right="300"/>
        <w:spacing w:after="0" w:line="235" w:lineRule="auto"/>
        <w:rPr>
          <w:sz w:val="20"/>
          <w:szCs w:val="20"/>
          <w:color w:val="auto"/>
        </w:rPr>
      </w:pPr>
      <w:r>
        <w:rPr>
          <w:rFonts w:ascii="Arial" w:cs="Arial" w:eastAsia="Arial" w:hAnsi="Arial"/>
          <w:sz w:val="17"/>
          <w:szCs w:val="17"/>
          <w:color w:val="auto"/>
        </w:rPr>
        <w:t>In connection with this offering, the holders of an aggregate of 143,882,738 shares of our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registration and have the right to include their shares in the registration, subject to limitations that the underwriters may impose on the number of shares included in the offering.</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4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Expenses of Registration</w:t>
      </w:r>
    </w:p>
    <w:p>
      <w:pPr>
        <w:spacing w:after="0" w:line="4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will pay the registration expenses, other than underwriting discounts and commissions, of the shares registered by the demand, Form S-3 and piggyback registrations described above.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41"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demand, Form S-3 and piggyback registration described above will expire upon the earliest of (1) the fifth anniversary after the closing of this offering, (2) a deemed liquidation event (as defined in our amended and restated certificate of incorporation, in effect prior to the completion of this offering) and (3) such time after the completion of this offering that such stockholder can sell all of its shares entitled to registration rights under Rule 144 of the Securities Act.</w:t>
      </w:r>
    </w:p>
    <w:p>
      <w:pPr>
        <w:spacing w:after="0" w:line="186"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35"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Preferred Stock</w:t>
      </w:r>
    </w:p>
    <w:p>
      <w:pPr>
        <w:spacing w:after="0" w:line="5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Our amended and restated certificate of incorporation will contain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Classified Board</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amended and restated certificate of incorporation will provide that our board of directors is divided into three classes, designated Class I, Class II and Class III. Each class will be an equal number of directors, as nearly as possible, consisting of one-third of the total number of directors constituting the entire board of directors. The term of initial Class I directors shall terminate on the date of the 2021 annual meeting, the term of the initial Class II directors shall terminate on the date of the 2022 annual meeting, and the term of the initial Class III directors shall terminate on the date of the 2023 annual meeting. At each annual meeting of stockholders beginning in 2021, successors to the class of directors whose term expires at that annual meeting will be elected for a three-year term.</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Removal of Directors</w:t>
      </w:r>
    </w:p>
    <w:p>
      <w:pPr>
        <w:spacing w:after="0" w:line="54"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Our amended and restated certificate of incorporation will provide that stockholders may only remove a director for cause by a vote of no less than a majority of the shares present in person or by proxy at the meeting and entitled to vote.</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Director Vacancies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amended and restated certificate of incorporation will authorize only our board of directors to fill vacant directorships.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54"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Our amended and restated certificate of incorporation will provide that stockholders do not have the right to cumulate votes in the election of directors.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Special Meetings of Stockholders</w:t>
      </w:r>
    </w:p>
    <w:p>
      <w:pPr>
        <w:spacing w:after="0" w:line="54"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Advance Notice Procedures for Director Nominations</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bylaws will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Action by Written Consent</w:t>
      </w:r>
    </w:p>
    <w:p>
      <w:pPr>
        <w:spacing w:after="0" w:line="54" w:lineRule="exact"/>
        <w:rPr>
          <w:sz w:val="20"/>
          <w:szCs w:val="20"/>
          <w:color w:val="auto"/>
        </w:rPr>
      </w:pPr>
    </w:p>
    <w:p>
      <w:pPr>
        <w:ind w:left="120" w:right="840"/>
        <w:spacing w:after="0" w:line="243"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Amending our Certificate of Incorporation and Bylaws</w:t>
      </w:r>
    </w:p>
    <w:p>
      <w:pPr>
        <w:spacing w:after="0" w:line="54"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will provide that our bylaws may be amended, altered or repealed by the board of directors.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Authorized but Unissued Shares</w:t>
      </w:r>
    </w:p>
    <w:p>
      <w:pPr>
        <w:spacing w:after="0" w:line="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authorized but unissued shares of common stock and preferred stock will be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Exclusive Jurisdiction</w:t>
      </w:r>
    </w:p>
    <w:p>
      <w:pPr>
        <w:spacing w:after="0" w:line="5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Our amended and restated bylaws that will become effective upon the completion of this offering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would not apply to suits brought to enforce a duty or liability created by the Exchange Act or any other claim for which the U.S. federal courts have exclusive jurisdiction. Our amended and restated bylaws further provide that the federal district courts of the United States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For additional information, please also see the section titled “Risk Factors—Our amended and restated bylaws that will become effective upon the completion of this offering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Business Combinations with Interested Stockholders</w:t>
      </w:r>
    </w:p>
    <w:p>
      <w:pPr>
        <w:spacing w:after="0" w:line="54" w:lineRule="exact"/>
        <w:rPr>
          <w:sz w:val="20"/>
          <w:szCs w:val="20"/>
          <w:color w:val="auto"/>
        </w:rPr>
      </w:pPr>
    </w:p>
    <w:p>
      <w:pPr>
        <w:ind w:left="120" w:right="120"/>
        <w:spacing w:after="0" w:line="232" w:lineRule="auto"/>
        <w:rPr>
          <w:sz w:val="20"/>
          <w:szCs w:val="20"/>
          <w:color w:val="auto"/>
        </w:rPr>
      </w:pPr>
      <w:r>
        <w:rPr>
          <w:rFonts w:ascii="Arial" w:cs="Arial" w:eastAsia="Arial" w:hAnsi="Arial"/>
          <w:sz w:val="17"/>
          <w:szCs w:val="17"/>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w:t>
      </w:r>
    </w:p>
    <w:p>
      <w:pPr>
        <w:ind w:left="120" w:right="40" w:hanging="4"/>
        <w:spacing w:after="0" w:line="234" w:lineRule="auto"/>
        <w:tabs>
          <w:tab w:leader="none" w:pos="35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49" w:lineRule="exact"/>
        <w:rPr>
          <w:sz w:val="20"/>
          <w:szCs w:val="20"/>
          <w:color w:val="auto"/>
        </w:rPr>
      </w:pPr>
    </w:p>
    <w:p>
      <w:pPr>
        <w:ind w:left="120" w:right="300"/>
        <w:spacing w:after="0" w:line="236" w:lineRule="auto"/>
        <w:rPr>
          <w:sz w:val="20"/>
          <w:szCs w:val="20"/>
          <w:color w:val="auto"/>
        </w:rPr>
      </w:pPr>
      <w:r>
        <w:rPr>
          <w:rFonts w:ascii="Arial" w:cs="Arial" w:eastAsia="Arial" w:hAnsi="Arial"/>
          <w:sz w:val="17"/>
          <w:szCs w:val="17"/>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Listing</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applied to list our common stock on the Nasdaq Global Select Market under the symbol “ALXO.”</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Transfer Agent and Registrar</w:t>
      </w:r>
    </w:p>
    <w:p>
      <w:pPr>
        <w:spacing w:after="0" w:line="54"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The transfer agent and registrar for our common stock is Computershare Trust Company, N.A. The transfer agent and registrar’s address is 250 Royal Street, Canton, Massachusetts 02021.</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336"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Prior to this offering, there has been no public market for our common stock, and although we expect that our common stock will be approved for listing on Nasdaq,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51"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Upon completion of this offering, based on our shares outstanding as of , 2020 and after giving effect to the automatic conversion of all outstanding shares of our convertible preferred stock, shares of our common stock will be outstanding, or shares of common</w:t>
      </w:r>
    </w:p>
    <w:p>
      <w:pPr>
        <w:ind w:left="120" w:right="220"/>
        <w:spacing w:after="0" w:line="235" w:lineRule="auto"/>
        <w:rPr>
          <w:sz w:val="20"/>
          <w:szCs w:val="20"/>
          <w:color w:val="auto"/>
        </w:rPr>
      </w:pPr>
      <w:r>
        <w:rPr>
          <w:rFonts w:ascii="Arial" w:cs="Arial" w:eastAsia="Arial" w:hAnsi="Arial"/>
          <w:sz w:val="17"/>
          <w:szCs w:val="17"/>
          <w:color w:val="auto"/>
        </w:rPr>
        <w:t>stock if the underwriters exercise their option to purchase additional shares in full. All of the shares of common 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4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As a result of the lock-up agreements and market stand-off provisions described below and the provisions of Rules 144 or 701 and no exercise of the underwriters’ option to purchase additional shares, the shares of our common stock that will be deemed “restricted securities” will be available for sale in the public market following the completion of this offering as follows:</w:t>
      </w:r>
    </w:p>
    <w:p>
      <w:pPr>
        <w:spacing w:after="0" w:line="188" w:lineRule="exact"/>
        <w:rPr>
          <w:sz w:val="20"/>
          <w:szCs w:val="20"/>
          <w:color w:val="auto"/>
        </w:rPr>
      </w:pPr>
    </w:p>
    <w:p>
      <w:pPr>
        <w:ind w:left="1780" w:hanging="1232"/>
        <w:spacing w:after="0"/>
        <w:tabs>
          <w:tab w:leader="none" w:pos="17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shares will be eligible for sale on the date of this prospectus; and</w:t>
      </w:r>
    </w:p>
    <w:p>
      <w:pPr>
        <w:spacing w:after="0" w:line="34" w:lineRule="exact"/>
        <w:rPr>
          <w:rFonts w:ascii="MS PGothic" w:cs="MS PGothic" w:eastAsia="MS PGothic" w:hAnsi="MS PGothic"/>
          <w:sz w:val="13"/>
          <w:szCs w:val="13"/>
          <w:color w:val="auto"/>
        </w:rPr>
      </w:pPr>
    </w:p>
    <w:p>
      <w:pPr>
        <w:ind w:left="980" w:right="120" w:hanging="432"/>
        <w:spacing w:after="0" w:line="243" w:lineRule="auto"/>
        <w:tabs>
          <w:tab w:leader="none" w:pos="1787"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shares will be eligible for sale upon expiration of the lock-up agreements and market stand-off provisions described below, beginning more than 180 days after the date of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 and Market Stand-off Agreements</w:t>
      </w:r>
    </w:p>
    <w:p>
      <w:pPr>
        <w:spacing w:after="0" w:line="9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officers, directors and the holders of substantially all of our capital stock, options and warrants have entered into market stand-off agreements with us and have entered into or will enter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consent of Jefferies LLC, Credit Suisse Securities (USA) LLC and Piper Sandler &amp; Co. See the section titled “Underwriting” for additional information.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Rule 144, as currently in effect, generally provides that, once we have been subject to the public company reporting requirements of Section 13 or Section 15(d) of the Exchange Act for at least 90 days, a stockholder who is not deemed to have been one of our affiliates at any time during the preceding 90 days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conditions of Rule 144.</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Rule 144 also provides that a stockholder who is deemed to have been one of our affiliates at any time during the preceding 90 days and who has beneficially owned the shares of our common stock proposed to be sold for at least six months is entitled to sell such shares in reliance upon Rule 144 within any three month period beginning 90 days after the date of this prospectus a number of shares that does not exceed the greater of the following:</w:t>
      </w:r>
    </w:p>
    <w:p>
      <w:pPr>
        <w:spacing w:after="0" w:line="183" w:lineRule="exact"/>
        <w:rPr>
          <w:sz w:val="20"/>
          <w:szCs w:val="20"/>
          <w:color w:val="auto"/>
        </w:rPr>
      </w:pPr>
    </w:p>
    <w:p>
      <w:pPr>
        <w:ind w:left="980" w:hanging="432"/>
        <w:spacing w:after="0"/>
        <w:tabs>
          <w:tab w:leader="none" w:pos="980" w:val="left"/>
        </w:tabs>
        <w:numPr>
          <w:ilvl w:val="0"/>
          <w:numId w:val="106"/>
        </w:numPr>
        <w:rPr>
          <w:rFonts w:ascii="MS PGothic" w:cs="MS PGothic" w:eastAsia="MS PGothic" w:hAnsi="MS PGothic"/>
          <w:sz w:val="13"/>
          <w:szCs w:val="13"/>
          <w:color w:val="auto"/>
        </w:rPr>
      </w:pPr>
      <w:r>
        <w:rPr>
          <w:rFonts w:ascii="Arial" w:cs="Arial" w:eastAsia="Arial" w:hAnsi="Arial"/>
          <w:sz w:val="17"/>
          <w:szCs w:val="17"/>
          <w:color w:val="auto"/>
        </w:rPr>
        <w:t>1% of the number of shares of our capital stock then outstanding, which will equal shares immediately after the completion of this</w:t>
      </w:r>
    </w:p>
    <w:tbl>
      <w:tblPr>
        <w:tblLayout w:type="fixed"/>
        <w:tblInd w:w="980" w:type="dxa"/>
        <w:tblCellMar>
          <w:top w:w="0" w:type="dxa"/>
          <w:left w:w="0" w:type="dxa"/>
          <w:bottom w:w="0" w:type="dxa"/>
          <w:right w:w="0" w:type="dxa"/>
        </w:tblCellMar>
      </w:tblPr>
      <w:tr>
        <w:trPr>
          <w:trHeight w:val="205"/>
        </w:trPr>
        <w:tc>
          <w:tcPr>
            <w:tcW w:w="8880" w:type="dxa"/>
            <w:vAlign w:val="bottom"/>
          </w:tcPr>
          <w:p>
            <w:pPr>
              <w:spacing w:after="0"/>
              <w:rPr>
                <w:sz w:val="20"/>
                <w:szCs w:val="20"/>
                <w:color w:val="auto"/>
              </w:rPr>
            </w:pPr>
            <w:r>
              <w:rPr>
                <w:rFonts w:ascii="Arial" w:cs="Arial" w:eastAsia="Arial" w:hAnsi="Arial"/>
                <w:sz w:val="17"/>
                <w:szCs w:val="17"/>
                <w:color w:val="auto"/>
              </w:rPr>
              <w:t>offering, assuming no exercise by the underwriters of their option to purchase additional shares (calculated as of</w:t>
            </w:r>
          </w:p>
        </w:tc>
        <w:tc>
          <w:tcPr>
            <w:tcW w:w="1180" w:type="dxa"/>
            <w:vAlign w:val="bottom"/>
          </w:tcPr>
          <w:p>
            <w:pPr>
              <w:ind w:left="400"/>
              <w:spacing w:after="0"/>
              <w:rPr>
                <w:sz w:val="20"/>
                <w:szCs w:val="20"/>
                <w:color w:val="auto"/>
              </w:rPr>
            </w:pPr>
            <w:r>
              <w:rPr>
                <w:rFonts w:ascii="Arial" w:cs="Arial" w:eastAsia="Arial" w:hAnsi="Arial"/>
                <w:sz w:val="17"/>
                <w:szCs w:val="17"/>
                <w:color w:val="auto"/>
                <w:w w:val="98"/>
              </w:rPr>
              <w:t>, 2020); or</w:t>
            </w:r>
          </w:p>
        </w:tc>
      </w:tr>
    </w:tbl>
    <w:p>
      <w:pPr>
        <w:spacing w:after="0" w:line="25" w:lineRule="exact"/>
        <w:rPr>
          <w:sz w:val="20"/>
          <w:szCs w:val="20"/>
          <w:color w:val="auto"/>
        </w:rPr>
      </w:pPr>
    </w:p>
    <w:p>
      <w:pPr>
        <w:ind w:left="980" w:right="140" w:hanging="432"/>
        <w:spacing w:after="0" w:line="243" w:lineRule="auto"/>
        <w:tabs>
          <w:tab w:leader="none" w:pos="980" w:val="left"/>
        </w:tabs>
        <w:numPr>
          <w:ilvl w:val="0"/>
          <w:numId w:val="107"/>
        </w:numPr>
        <w:rPr>
          <w:rFonts w:ascii="MS PGothic" w:cs="MS PGothic" w:eastAsia="MS PGothic" w:hAnsi="MS PGothic"/>
          <w:sz w:val="13"/>
          <w:szCs w:val="13"/>
          <w:color w:val="auto"/>
        </w:rPr>
      </w:pPr>
      <w:r>
        <w:rPr>
          <w:rFonts w:ascii="Arial" w:cs="Arial" w:eastAsia="Arial" w:hAnsi="Arial"/>
          <w:sz w:val="17"/>
          <w:szCs w:val="17"/>
          <w:color w:val="auto"/>
        </w:rPr>
        <w:t>the average weekly trading volume of our common stock during the four calendar weeks preceding the filing of a notice on Form 144 with respect to such sale.</w:t>
      </w:r>
    </w:p>
    <w:p>
      <w:pPr>
        <w:spacing w:after="0" w:line="144"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93"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90 days may sell such shares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w:t>
      </w:r>
    </w:p>
    <w:p>
      <w:pPr>
        <w:jc w:val="both"/>
        <w:ind w:left="120"/>
        <w:spacing w:after="0" w:line="243" w:lineRule="auto"/>
        <w:rPr>
          <w:sz w:val="20"/>
          <w:szCs w:val="20"/>
          <w:color w:val="auto"/>
        </w:rPr>
      </w:pPr>
      <w:r>
        <w:rPr>
          <w:rFonts w:ascii="Arial" w:cs="Arial" w:eastAsia="Arial" w:hAnsi="Arial"/>
          <w:sz w:val="17"/>
          <w:szCs w:val="17"/>
          <w:color w:val="auto"/>
        </w:rPr>
        <w:t>However, all stockholders who purchased shares of our common stock pursuant to a written compensatory benefit plan or contract are required to wait until 90 days after the date of this prospectus before selling such shares pursuant to Rule 701.</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After the completion of this offering, the holders of up to 143,882,738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 Registration Rights” for a description of these registration rights.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Plans</w:t>
      </w:r>
    </w:p>
    <w:p>
      <w:pPr>
        <w:spacing w:after="0" w:line="80"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After the completion of this offering, we intend to file with the Securities and Exchange Commission a registration statement on Form S-8 under the Securities Act to register all of the shares of our common stock subject to equity awards outstanding or reserved for issuance under our equity compensation plans. Such registration statement is expected to be filed and become effective as soon as practicable after the completion of this offering. The shares of our common stock covered by such registration statement will be eligible for sale in the public market without restriction under the Securities Act immediately upon the effectiveness of such registration statement, subject to vesting restrictions, the conditions of</w:t>
      </w:r>
    </w:p>
    <w:p>
      <w:pPr>
        <w:ind w:left="120" w:right="540"/>
        <w:spacing w:after="0" w:line="243" w:lineRule="auto"/>
        <w:rPr>
          <w:sz w:val="20"/>
          <w:szCs w:val="20"/>
          <w:color w:val="auto"/>
        </w:rPr>
      </w:pPr>
      <w:r>
        <w:rPr>
          <w:rFonts w:ascii="Arial" w:cs="Arial" w:eastAsia="Arial" w:hAnsi="Arial"/>
          <w:sz w:val="17"/>
          <w:szCs w:val="17"/>
          <w:color w:val="auto"/>
        </w:rPr>
        <w:t>Rule 144 applicable to affiliates and any applicable market stand-off agreements and lock-up agreements. See the section titled “Executive Compensation—Employee Benefit and Stock Plans” for a description of our equity compensation plans.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MATERIAL U.S. FEDERAL INCOME AND TAX CONSIDERATIONS FOR NON-U.S. HOLDERS OF OUR COMMON STOCK</w:t>
      </w:r>
    </w:p>
    <w:p>
      <w:pPr>
        <w:spacing w:after="0" w:line="336"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The following is a summary of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upon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5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This summary also does not address the tax considerations arising under the laws of any non-U.S., state or local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190" w:lineRule="exact"/>
        <w:rPr>
          <w:sz w:val="20"/>
          <w:szCs w:val="20"/>
          <w:color w:val="auto"/>
        </w:rPr>
      </w:pPr>
    </w:p>
    <w:p>
      <w:pPr>
        <w:ind w:left="980" w:hanging="432"/>
        <w:spacing w:after="0"/>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banks, insurance companies, regulated investment companies, real estate investment trusts or other financial institutions;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persons subject to the alternative minimum tax;</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tax-exempt organizations;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pension plans and tax-qualified retirement plans;</w:t>
      </w:r>
    </w:p>
    <w:p>
      <w:pPr>
        <w:spacing w:after="0" w:line="34"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22"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entities or arrangements classified as partnerships for U.S. federal income tax purposes or other pass through entities such as subchapter S corporations (or investors in such entities or arrangements);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brokers or dealers in securities or currencies;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persons who own, or are deemed to own, more than five percent of our capital stock (except to the extent specifically set forth below);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certain former citizens or long-term residents of the United States;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persons who hold our common stock as a position in a hedging transaction, “straddle,” “conversion transaction,” or other risk reduction transaction;</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persons who hold or receive our common stock pursuant to the exercise of any option or otherwise as compensation;</w:t>
      </w:r>
    </w:p>
    <w:p>
      <w:pPr>
        <w:spacing w:after="0" w:line="34"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persons who do not hold our common stock as a capital asset within the meaning of Section 1221 of the Code (generally, property held for investment) or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persons deemed to sell our common stock under the constructive sale provisions of the Code.</w:t>
      </w:r>
    </w:p>
    <w:p>
      <w:pPr>
        <w:spacing w:after="0" w:line="156"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In addition, if a partnership (or other entity or arrangement classified as a partnership for U.S. federal income tax purposes) holds our common stock, the tax treatment of a partner in the partnership generally will depend on the status of the partner and upon the activities of the partnership. A partner in a partnership that will hold our common stock should consult his, her or its own tax advisor regarding the tax considerations of the purchase, ownership and disposition of our common stock through a partnership.</w:t>
      </w:r>
    </w:p>
    <w:p>
      <w:pPr>
        <w:spacing w:after="0" w:line="129"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considerations of the purchase, ownership and disposition of our common stock arising under the U.S. federal gift or estate tax rules or under the laws of any state, local, non-U.S. or other taxing jurisdiction or under any applicable tax treaty.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 Defined</w:t>
      </w:r>
    </w:p>
    <w:p>
      <w:pPr>
        <w:spacing w:after="0" w:line="93"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For purposes of this discussion, you are a “non-U.S. holder” if you are a beneficial owner of our common stock that, for U.S. federal income tax purposes, is neither a partnership nor:</w:t>
      </w:r>
    </w:p>
    <w:p>
      <w:pPr>
        <w:spacing w:after="0" w:line="185" w:lineRule="exact"/>
        <w:rPr>
          <w:sz w:val="20"/>
          <w:szCs w:val="20"/>
          <w:color w:val="auto"/>
        </w:rPr>
      </w:pPr>
    </w:p>
    <w:p>
      <w:pPr>
        <w:ind w:left="980" w:hanging="432"/>
        <w:spacing w:after="0"/>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an individual who is a citizen or resident of the United States;</w:t>
      </w:r>
    </w:p>
    <w:p>
      <w:pPr>
        <w:spacing w:after="0" w:line="34"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an estate whose income is subject to U.S. federal income tax regardless of its source; or</w:t>
      </w:r>
    </w:p>
    <w:p>
      <w:pPr>
        <w:spacing w:after="0" w:line="34"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8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As described in the section titled “Dividend Policy,” we have never declared or paid cash dividends on our common stock, and we do not anticipate paying any dividends on our common stock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“—Gain on Disposition of Common Stock.”</w:t>
      </w:r>
    </w:p>
    <w:p>
      <w:pPr>
        <w:spacing w:after="0" w:line="14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We may withhold up to 30% of the gross amount of the entire distribution even if the amount constituting a dividend, as described above, is less than the gross amount to the extent provided for in the Treasury Regulations. A non-U.S. holder of shares of our common stock may obtain a refund of any excess amounts withheld by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properly certifying such exemption. Such effectively connected dividends, although not subject to U.S. federal withholding tax, generally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the application of any applicable tax treaties that may provide for different rules.</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93"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Subject to the discussions below regarding backup withholding and FATCA withholding, you generally will not be required to pay U.S. federal income tax on any gain realized upon the sale or other disposition of our common stock unless:</w:t>
      </w:r>
    </w:p>
    <w:p>
      <w:pPr>
        <w:spacing w:after="0" w:line="185" w:lineRule="exact"/>
        <w:rPr>
          <w:sz w:val="20"/>
          <w:szCs w:val="20"/>
          <w:color w:val="auto"/>
        </w:rPr>
      </w:pPr>
    </w:p>
    <w:p>
      <w:pPr>
        <w:ind w:left="980" w:right="40" w:hanging="432"/>
        <w:spacing w:after="0" w:line="243" w:lineRule="auto"/>
        <w:tabs>
          <w:tab w:leader="none" w:pos="980" w:val="left"/>
        </w:tabs>
        <w:numPr>
          <w:ilvl w:val="0"/>
          <w:numId w:val="110"/>
        </w:numPr>
        <w:rPr>
          <w:rFonts w:ascii="MS PGothic" w:cs="MS PGothic" w:eastAsia="MS PGothic" w:hAnsi="MS PGothic"/>
          <w:sz w:val="13"/>
          <w:szCs w:val="13"/>
          <w:color w:val="auto"/>
        </w:rPr>
      </w:pPr>
      <w:r>
        <w:rPr>
          <w:rFonts w:ascii="Arial" w:cs="Arial" w:eastAsia="Arial" w:hAnsi="Arial"/>
          <w:sz w:val="17"/>
          <w:szCs w:val="17"/>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22"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110"/>
        </w:numPr>
        <w:rPr>
          <w:rFonts w:ascii="MS PGothic" w:cs="MS PGothic" w:eastAsia="MS PGothic" w:hAnsi="MS PGothic"/>
          <w:sz w:val="13"/>
          <w:szCs w:val="13"/>
          <w:color w:val="auto"/>
        </w:rPr>
      </w:pPr>
      <w:r>
        <w:rPr>
          <w:rFonts w:ascii="Arial" w:cs="Arial" w:eastAsia="Arial" w:hAnsi="Arial"/>
          <w:sz w:val="17"/>
          <w:szCs w:val="17"/>
          <w:color w:val="auto"/>
        </w:rPr>
        <w:t>you are an individual who is present in the United States for a period or periods aggregating 183 days or more during the calendar year in which the sale or disposition occurs and certain other conditions are met; or</w:t>
      </w:r>
    </w:p>
    <w:p>
      <w:pPr>
        <w:spacing w:after="0" w:line="22" w:lineRule="exact"/>
        <w:rPr>
          <w:rFonts w:ascii="MS PGothic" w:cs="MS PGothic" w:eastAsia="MS PGothic" w:hAnsi="MS PGothic"/>
          <w:sz w:val="13"/>
          <w:szCs w:val="13"/>
          <w:color w:val="auto"/>
        </w:rPr>
      </w:pPr>
    </w:p>
    <w:p>
      <w:pPr>
        <w:jc w:val="both"/>
        <w:ind w:left="980" w:right="140" w:hanging="432"/>
        <w:spacing w:after="0" w:line="238" w:lineRule="auto"/>
        <w:tabs>
          <w:tab w:leader="none" w:pos="980" w:val="left"/>
        </w:tabs>
        <w:numPr>
          <w:ilvl w:val="0"/>
          <w:numId w:val="110"/>
        </w:numPr>
        <w:rPr>
          <w:rFonts w:ascii="MS PGothic" w:cs="MS PGothic" w:eastAsia="MS PGothic" w:hAnsi="MS PGothic"/>
          <w:sz w:val="13"/>
          <w:szCs w:val="13"/>
          <w:color w:val="auto"/>
        </w:rPr>
      </w:pPr>
      <w:r>
        <w:rPr>
          <w:rFonts w:ascii="Arial" w:cs="Arial" w:eastAsia="Arial" w:hAnsi="Arial"/>
          <w:sz w:val="17"/>
          <w:szCs w:val="17"/>
          <w:color w:val="auto"/>
        </w:rPr>
        <w:t>our common stock constitutes a U.S. real property interest by reason of our status as a “U.S. real property holding corporation,” or a USRPHC, for U.S. federal income tax purposes at any time within the shorter of the five-year period preceding your disposition of, or your holding period for, our common stock.</w:t>
      </w:r>
    </w:p>
    <w:p>
      <w:pPr>
        <w:spacing w:after="0" w:line="147"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80"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47"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Payments of dividends on or of proceeds from the disposition of our common stock made to you may be subject to backup withholding at the applicable statutory rate (currently, 24%) unless you establish an exemption, for example, by properly certifying your non-U.S. status on a properly completed IRS Form W-8BEN or W-8BEN-E or another appropriate version of IRS Form W-8. Notwithstanding the foregoing, backup withholding and information reporting may apply if either we or our paying agent has actual knowledge, or reason to know, that you are a U.S. person.</w:t>
      </w:r>
    </w:p>
    <w:p>
      <w:pPr>
        <w:spacing w:after="0" w:line="150"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Requirements under the Foreign Account Tax Compliance Act</w:t>
      </w:r>
    </w:p>
    <w:p>
      <w:pPr>
        <w:spacing w:after="0" w:line="80"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Sections 1471 through 1474 of the Code and the Treasury Regulations and other official IRS guidance issued thereunder, or collectively FATCA, generally impose a U.S. federal withholding tax of 30% on dividends on, and the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4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withholding obligations under FATCA generally apply to dividends on our common stock and to the payment of gross proceeds of a sale or other disposition of our common stock. However, the U.S. Treasury Department has issued proposed regulations that, if finalized in their present form, would eliminate FATCA withholding on gross proceeds of the sale or other disposition of our common stock (but not on payments of dividends). The preamble of such proposed regulations state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a non-U.S. holder might be eligible for refunds or credits of such taxes. An intergovernmental agreement between the United States and the non-U.S. holder’s country of residence may modify the requirements described in this section. Prospective investors should consult with their own tax advisors regarding the application of FATCA withholding to their investment in, and ownership and disposition of, our common stock.</w:t>
      </w:r>
    </w:p>
    <w:p>
      <w:pPr>
        <w:spacing w:after="0" w:line="128"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color w:val="auto"/>
        </w:rPr>
        <w:t>The preceding discussion of U.S. federal income tax considerations is for general information only. It is not tax advice to investors in their particular circumstances. Each prospective investor should consult its own tax advisor regarding the particular U.S. federal, state and local and non-U.S. tax considerations of purchasing, owning and disposing of our common stock, including the consequences of any proposed change in applicable laws.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336"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Subject to the terms and conditions set forth in the underwriting agreement, dated , 2020, between us and Jefferies LLC, Credit Suisse Securities (USA) LLC, Piper Sandler &amp; Co. and Cantor Fitzgerald &amp; Co.,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8820" w:type="dxa"/>
            <w:vAlign w:val="bottom"/>
            <w:vMerge w:val="restart"/>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auto"/>
            </w:tcBorders>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6"/>
        </w:trPr>
        <w:tc>
          <w:tcPr>
            <w:tcW w:w="99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Jefferies LLC</w:t>
            </w: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900" w:type="dxa"/>
            <w:vAlign w:val="bottom"/>
            <w:gridSpan w:val="2"/>
          </w:tcPr>
          <w:p>
            <w:pPr>
              <w:spacing w:after="0" w:line="189" w:lineRule="exact"/>
              <w:rPr>
                <w:sz w:val="20"/>
                <w:szCs w:val="20"/>
                <w:color w:val="auto"/>
              </w:rPr>
            </w:pPr>
            <w:r>
              <w:rPr>
                <w:rFonts w:ascii="Arial" w:cs="Arial" w:eastAsia="Arial" w:hAnsi="Arial"/>
                <w:sz w:val="17"/>
                <w:szCs w:val="17"/>
                <w:color w:val="auto"/>
              </w:rPr>
              <w:t>Credit Suisse Securities (USA) LLC</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Piper Sandler &amp; Co.</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900" w:type="dxa"/>
            <w:vAlign w:val="bottom"/>
            <w:gridSpan w:val="2"/>
          </w:tcPr>
          <w:p>
            <w:pPr>
              <w:spacing w:after="0" w:line="183" w:lineRule="exact"/>
              <w:rPr>
                <w:sz w:val="20"/>
                <w:szCs w:val="20"/>
                <w:color w:val="auto"/>
              </w:rPr>
            </w:pPr>
            <w:r>
              <w:rPr>
                <w:rFonts w:ascii="Arial" w:cs="Arial" w:eastAsia="Arial" w:hAnsi="Arial"/>
                <w:sz w:val="17"/>
                <w:szCs w:val="17"/>
                <w:color w:val="auto"/>
              </w:rPr>
              <w:t>Cantor Fitzgerald &amp; Co.</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7"/>
                <w:szCs w:val="17"/>
                <w:color w:val="auto"/>
              </w:rPr>
              <w:t>LifeSci Capital LLC</w:t>
            </w: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90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Total</w:t>
            </w:r>
          </w:p>
        </w:tc>
        <w:tc>
          <w:tcPr>
            <w:tcW w:w="10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Borders>
              <w:bottom w:val="single" w:sz="8" w:color="auto"/>
            </w:tcBorders>
          </w:tcPr>
          <w:p>
            <w:pPr>
              <w:spacing w:after="0"/>
              <w:rPr>
                <w:sz w:val="18"/>
                <w:szCs w:val="18"/>
                <w:color w:val="auto"/>
              </w:rPr>
            </w:pPr>
          </w:p>
        </w:tc>
        <w:tc>
          <w:tcPr>
            <w:tcW w:w="8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5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50"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w:t>
      </w:r>
    </w:p>
    <w:p>
      <w:pPr>
        <w:spacing w:after="0" w:line="14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At our request, an affiliate of Jefferies LLC, a participating underwriter, has reserved up to 3% of the shares of common stock being offered by this prospectus for sale, at the initial public offering price, to certain of our officers, directors, employees and other persons associated with us. Any reserved shares purchased by our executive officers and members of their households will be subject to the 180-day lock-up described elsewhere in this prospectus.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 and Expenses</w:t>
      </w:r>
    </w:p>
    <w:p>
      <w:pPr>
        <w:spacing w:after="0" w:line="80"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The underwriters have advised us that they propose to offer the shares of common stock to the public at the initial public offering price set forth on the cover page of this prospectus and to certain dealers, which may include the underwriters, at that price less a concession not in excess of</w:t>
      </w:r>
    </w:p>
    <w:p>
      <w:pPr>
        <w:ind w:left="820" w:hanging="704"/>
        <w:spacing w:after="0" w:line="232" w:lineRule="auto"/>
        <w:tabs>
          <w:tab w:leader="none" w:pos="8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per share of common stock. The underwriters may allow, and certain dealers may reallow, a discount from the concession not in excess</w:t>
      </w:r>
    </w:p>
    <w:p>
      <w:pPr>
        <w:ind w:left="120" w:right="20"/>
        <w:spacing w:after="0" w:line="238" w:lineRule="auto"/>
        <w:rPr>
          <w:sz w:val="20"/>
          <w:szCs w:val="20"/>
          <w:color w:val="auto"/>
        </w:rPr>
      </w:pPr>
      <w:r>
        <w:rPr>
          <w:rFonts w:ascii="Arial" w:cs="Arial" w:eastAsia="Arial" w:hAnsi="Arial"/>
          <w:sz w:val="17"/>
          <w:szCs w:val="17"/>
          <w:color w:val="auto"/>
        </w:rPr>
        <w:t>of $ per share of common stock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2200" w:type="dxa"/>
            <w:vAlign w:val="bottom"/>
            <w:gridSpan w:val="3"/>
          </w:tcPr>
          <w:p>
            <w:pPr>
              <w:jc w:val="right"/>
              <w:ind w:right="607"/>
              <w:spacing w:after="0"/>
              <w:rPr>
                <w:sz w:val="20"/>
                <w:szCs w:val="20"/>
                <w:color w:val="auto"/>
              </w:rPr>
            </w:pPr>
            <w:r>
              <w:rPr>
                <w:rFonts w:ascii="Arial" w:cs="Arial" w:eastAsia="Arial" w:hAnsi="Arial"/>
                <w:sz w:val="14"/>
                <w:szCs w:val="14"/>
                <w:b w:val="1"/>
                <w:bCs w:val="1"/>
                <w:color w:val="auto"/>
              </w:rPr>
              <w:t>PER SHARE</w:t>
            </w:r>
          </w:p>
        </w:tc>
        <w:tc>
          <w:tcPr>
            <w:tcW w:w="460" w:type="dxa"/>
            <w:vAlign w:val="bottom"/>
          </w:tcPr>
          <w:p>
            <w:pPr>
              <w:spacing w:after="0"/>
              <w:rPr>
                <w:sz w:val="15"/>
                <w:szCs w:val="15"/>
                <w:color w:val="auto"/>
              </w:rPr>
            </w:pPr>
          </w:p>
        </w:tc>
        <w:tc>
          <w:tcPr>
            <w:tcW w:w="2280" w:type="dxa"/>
            <w:vAlign w:val="bottom"/>
            <w:gridSpan w:val="4"/>
          </w:tcPr>
          <w:p>
            <w:pPr>
              <w:ind w:left="880"/>
              <w:spacing w:after="0"/>
              <w:rPr>
                <w:sz w:val="20"/>
                <w:szCs w:val="20"/>
                <w:color w:val="auto"/>
              </w:rPr>
            </w:pPr>
            <w:r>
              <w:rPr>
                <w:rFonts w:ascii="Arial" w:cs="Arial" w:eastAsia="Arial" w:hAnsi="Arial"/>
                <w:sz w:val="14"/>
                <w:szCs w:val="14"/>
                <w:b w:val="1"/>
                <w:bCs w:val="1"/>
                <w:color w:val="auto"/>
              </w:rPr>
              <w:t>TOTAL</w:t>
            </w:r>
          </w:p>
        </w:tc>
      </w:tr>
      <w:tr>
        <w:trPr>
          <w:trHeight w:val="142"/>
        </w:trPr>
        <w:tc>
          <w:tcPr>
            <w:tcW w:w="6080" w:type="dxa"/>
            <w:vAlign w:val="bottom"/>
          </w:tcPr>
          <w:p>
            <w:pPr>
              <w:spacing w:after="0"/>
              <w:rPr>
                <w:sz w:val="12"/>
                <w:szCs w:val="12"/>
                <w:color w:val="auto"/>
              </w:rPr>
            </w:pPr>
          </w:p>
        </w:tc>
        <w:tc>
          <w:tcPr>
            <w:tcW w:w="1320" w:type="dxa"/>
            <w:vAlign w:val="bottom"/>
            <w:tcBorders>
              <w:top w:val="single" w:sz="8" w:color="auto"/>
            </w:tcBorders>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WITHOUT</w:t>
            </w:r>
          </w:p>
        </w:tc>
        <w:tc>
          <w:tcPr>
            <w:tcW w:w="8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460" w:type="dxa"/>
            <w:vAlign w:val="bottom"/>
          </w:tcPr>
          <w:p>
            <w:pPr>
              <w:spacing w:after="0"/>
              <w:rPr>
                <w:sz w:val="12"/>
                <w:szCs w:val="12"/>
                <w:color w:val="auto"/>
              </w:rPr>
            </w:pPr>
          </w:p>
        </w:tc>
        <w:tc>
          <w:tcPr>
            <w:tcW w:w="1320" w:type="dxa"/>
            <w:vAlign w:val="bottom"/>
            <w:tcBorders>
              <w:top w:val="single" w:sz="8" w:color="auto"/>
            </w:tcBorders>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WITHOUT</w:t>
            </w:r>
          </w:p>
        </w:tc>
        <w:tc>
          <w:tcPr>
            <w:tcW w:w="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r>
      <w:tr>
        <w:trPr>
          <w:trHeight w:val="162"/>
        </w:trPr>
        <w:tc>
          <w:tcPr>
            <w:tcW w:w="608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OPTION TO</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46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OPTION TO</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608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PURCHASE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46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PURCHASE</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608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ADDITIONAL</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46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ADDITIONAL</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ADDITIONAL</w:t>
            </w:r>
          </w:p>
        </w:tc>
      </w:tr>
      <w:tr>
        <w:trPr>
          <w:trHeight w:val="175"/>
        </w:trPr>
        <w:tc>
          <w:tcPr>
            <w:tcW w:w="608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SHARES</w:t>
            </w:r>
          </w:p>
        </w:tc>
      </w:tr>
      <w:tr>
        <w:trPr>
          <w:trHeight w:val="183"/>
        </w:trPr>
        <w:tc>
          <w:tcPr>
            <w:tcW w:w="60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23"/>
              <w:spacing w:after="0" w:line="183" w:lineRule="exact"/>
              <w:rPr>
                <w:sz w:val="20"/>
                <w:szCs w:val="20"/>
                <w:color w:val="auto"/>
              </w:rPr>
            </w:pPr>
            <w:r>
              <w:rPr>
                <w:rFonts w:ascii="Arial" w:cs="Arial" w:eastAsia="Arial" w:hAnsi="Arial"/>
                <w:sz w:val="17"/>
                <w:szCs w:val="17"/>
                <w:color w:val="auto"/>
                <w:w w:val="84"/>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7"/>
                <w:szCs w:val="17"/>
                <w:color w:val="auto"/>
              </w:rPr>
              <w:t>Underwriting discounts and commissions paid by us</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440" w:type="dxa"/>
            <w:vAlign w:val="bottom"/>
          </w:tcPr>
          <w:p>
            <w:pPr>
              <w:spacing w:after="0"/>
              <w:rPr>
                <w:sz w:val="16"/>
                <w:szCs w:val="16"/>
                <w:color w:val="auto"/>
              </w:rPr>
            </w:pP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728"/>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900" w:type="dxa"/>
            <w:vAlign w:val="bottom"/>
          </w:tcPr>
          <w:p>
            <w:pPr>
              <w:jc w:val="right"/>
              <w:ind w:right="723"/>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6"/>
                <w:szCs w:val="16"/>
                <w:color w:val="auto"/>
              </w:rPr>
            </w:pP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us, before expenses</w:t>
            </w: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728"/>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3"/>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w:t>
      </w:r>
    </w:p>
    <w:p>
      <w:pPr>
        <w:ind w:left="120" w:right="280"/>
        <w:spacing w:after="0"/>
        <w:rPr>
          <w:sz w:val="20"/>
          <w:szCs w:val="20"/>
          <w:color w:val="auto"/>
        </w:rPr>
      </w:pPr>
      <w:r>
        <w:rPr>
          <w:rFonts w:ascii="Arial" w:cs="Arial" w:eastAsia="Arial" w:hAnsi="Arial"/>
          <w:sz w:val="17"/>
          <w:szCs w:val="17"/>
          <w:color w:val="auto"/>
        </w:rPr>
        <w:t>will be approximately $ . We have also agreed to reimburse the underwriters for up to $ for their Financial Industry Regulatory Authority, Inc., or FINRA, counsel fee. In accordance with FINRA Rule 5110, this reimbursed fee is deemed underwriting compensation for this offering.</w:t>
      </w:r>
    </w:p>
    <w:p>
      <w:pPr>
        <w:spacing w:after="0" w:line="3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Offering Price</w:t>
      </w:r>
    </w:p>
    <w:p>
      <w:pPr>
        <w:spacing w:after="0" w:line="80"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49"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applied to list our common stock on the Nasdaq Global Select Market under the symbol “ALXO.”</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w:t>
      </w:r>
    </w:p>
    <w:p>
      <w:pPr>
        <w:ind w:left="120" w:right="360"/>
        <w:spacing w:after="0"/>
        <w:rPr>
          <w:sz w:val="20"/>
          <w:szCs w:val="20"/>
          <w:color w:val="auto"/>
        </w:rPr>
      </w:pPr>
      <w:r>
        <w:rPr>
          <w:rFonts w:ascii="Arial" w:cs="Arial" w:eastAsia="Arial" w:hAnsi="Arial"/>
          <w:sz w:val="17"/>
          <w:szCs w:val="17"/>
          <w:color w:val="auto"/>
        </w:rPr>
        <w:t>or in part, 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3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80"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We, our officers, directors and holders of substantially all our outstanding capital stock have agreed, subject to specified exceptions, not to directly or indirectly:</w:t>
      </w:r>
    </w:p>
    <w:p>
      <w:pPr>
        <w:spacing w:after="0" w:line="185" w:lineRule="exact"/>
        <w:rPr>
          <w:sz w:val="20"/>
          <w:szCs w:val="20"/>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sell, offer to sell, contract to sell or lend any of our securities,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effect any short sale, or establish or increase any “put equivalent position” (as defined in Rule 16a-1(h) under the Exchange Act) or liquidate or decrease any “call equivalent position” (as defined in Rule 16a-1(b) under the Exchange Act) of any of our securities,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pledge, hypothecate or grant any security interest in any of our securities,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in any other way transfer or dispose of our securities,</w:t>
      </w:r>
    </w:p>
    <w:p>
      <w:pPr>
        <w:spacing w:after="0" w:line="34"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enter into any swap, hedge or similar arrangement or agreement that transfers, in whole or in part, the economic risk of ownership of any of our securities, regardless of whether any such transaction is to be settled in securities, in cash or otherwise,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announce the offering of any of our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submit or file any registration statement under the Securities Act in respect of any of our securities,</w:t>
      </w:r>
    </w:p>
    <w:p>
      <w:pPr>
        <w:spacing w:after="0" w:line="34" w:lineRule="exact"/>
        <w:rPr>
          <w:rFonts w:ascii="MS PGothic" w:cs="MS PGothic" w:eastAsia="MS PGothic" w:hAnsi="MS PGothic"/>
          <w:sz w:val="13"/>
          <w:szCs w:val="13"/>
          <w:color w:val="auto"/>
        </w:rPr>
      </w:pPr>
    </w:p>
    <w:p>
      <w:pPr>
        <w:ind w:left="980" w:right="580" w:hanging="432"/>
        <w:spacing w:after="0" w:line="243" w:lineRule="auto"/>
        <w:tabs>
          <w:tab w:leader="none" w:pos="9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effect a reverse stock split, recapitalization, share consolidation, reclassification or similar transaction affecting our outstanding common stock or</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 Credit Suisse Securities (USA) LLC and Piper Sandler &amp; Co.</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w:t>
      </w:r>
    </w:p>
    <w:p>
      <w:pPr>
        <w:spacing w:after="0" w:line="15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Jefferies LLC, Credit Suisse Securities (USA) LLC and Piper Sandler &amp; Co.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w:t>
      </w:r>
    </w:p>
    <w:p>
      <w:pPr>
        <w:spacing w:after="0" w:line="9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underwriters have advised us that they,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4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50"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49"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080"/>
          </w:cols>
          <w:pgMar w:left="320" w:top="459"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47"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The underwriters may also engage in passive market making transactions in our common stock on the Nasdaq Global Select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9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Activities and Relationships</w:t>
      </w:r>
    </w:p>
    <w:p>
      <w:pPr>
        <w:spacing w:after="0" w:line="80"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European Economic Area and the United Kingdom</w:t>
      </w:r>
    </w:p>
    <w:p>
      <w:pPr>
        <w:spacing w:after="0" w:line="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90" w:lineRule="exact"/>
        <w:rPr>
          <w:sz w:val="20"/>
          <w:szCs w:val="20"/>
          <w:color w:val="auto"/>
        </w:rPr>
      </w:pPr>
    </w:p>
    <w:p>
      <w:pPr>
        <w:ind w:left="980" w:hanging="432"/>
        <w:spacing w:after="0"/>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to any legal entity which is a qualified investor as defined under the Prospectus Regulation;</w:t>
      </w:r>
    </w:p>
    <w:p>
      <w:pPr>
        <w:spacing w:after="0" w:line="34"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underwriters; or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in any other circumstances falling within Article 1(4) of the Prospectus Regulation,</w:t>
      </w:r>
    </w:p>
    <w:p>
      <w:pPr>
        <w:spacing w:after="0" w:line="15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48"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United Kingdom</w:t>
      </w:r>
    </w:p>
    <w:p>
      <w:pPr>
        <w:spacing w:after="0" w:line="4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51" w:lineRule="exact"/>
        <w:rPr>
          <w:sz w:val="20"/>
          <w:szCs w:val="20"/>
          <w:color w:val="auto"/>
        </w:rPr>
      </w:pPr>
    </w:p>
    <w:p>
      <w:pPr>
        <w:jc w:val="both"/>
        <w:ind w:left="120" w:right="360"/>
        <w:spacing w:after="0" w:line="238" w:lineRule="auto"/>
        <w:rPr>
          <w:sz w:val="20"/>
          <w:szCs w:val="20"/>
          <w:color w:val="auto"/>
        </w:rPr>
      </w:pPr>
      <w:r>
        <w:rPr>
          <w:rFonts w:ascii="Arial" w:cs="Arial" w:eastAsia="Arial" w:hAnsi="Arial"/>
          <w:sz w:val="17"/>
          <w:szCs w:val="17"/>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Canada</w:t>
      </w:r>
    </w:p>
    <w:p>
      <w:pPr>
        <w:spacing w:after="0" w:line="29" w:lineRule="exact"/>
        <w:rPr>
          <w:sz w:val="20"/>
          <w:szCs w:val="20"/>
          <w:color w:val="auto"/>
        </w:rPr>
      </w:pPr>
    </w:p>
    <w:p>
      <w:pPr>
        <w:ind w:left="400" w:hanging="284"/>
        <w:spacing w:after="0"/>
        <w:tabs>
          <w:tab w:leader="none" w:pos="400"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Resale Restrictions</w:t>
      </w:r>
    </w:p>
    <w:p>
      <w:pPr>
        <w:spacing w:after="0" w:line="45"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distribution of shares of common stock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 our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 of common stock.</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400" w:hanging="284"/>
        <w:spacing w:after="0"/>
        <w:tabs>
          <w:tab w:leader="none" w:pos="400"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Representations of Canadian Purchasers</w:t>
      </w:r>
    </w:p>
    <w:p>
      <w:pPr>
        <w:spacing w:after="0" w:line="52"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By purchasing shares of our common stock in Canada and accepting delivery of a purchase confirmation, a purchaser is representing to us and the dealer from whom the purchase confirmation is received that:</w:t>
      </w:r>
    </w:p>
    <w:p>
      <w:pPr>
        <w:spacing w:after="0" w:line="185" w:lineRule="exact"/>
        <w:rPr>
          <w:sz w:val="20"/>
          <w:szCs w:val="20"/>
          <w:color w:val="auto"/>
        </w:rPr>
      </w:pPr>
    </w:p>
    <w:p>
      <w:pPr>
        <w:ind w:left="980" w:right="20" w:hanging="432"/>
        <w:spacing w:after="0" w:line="238" w:lineRule="auto"/>
        <w:tabs>
          <w:tab w:leader="none" w:pos="980" w:val="left"/>
        </w:tabs>
        <w:numPr>
          <w:ilvl w:val="1"/>
          <w:numId w:val="117"/>
        </w:numPr>
        <w:rPr>
          <w:rFonts w:ascii="MS PGothic" w:cs="MS PGothic" w:eastAsia="MS PGothic" w:hAnsi="MS PGothic"/>
          <w:sz w:val="13"/>
          <w:szCs w:val="13"/>
          <w:color w:val="auto"/>
        </w:rPr>
      </w:pPr>
      <w:r>
        <w:rPr>
          <w:rFonts w:ascii="Arial" w:cs="Arial" w:eastAsia="Arial" w:hAnsi="Arial"/>
          <w:sz w:val="17"/>
          <w:szCs w:val="17"/>
          <w:color w:val="auto"/>
        </w:rPr>
        <w:t>the purchaser is entitled under applicable provincial securities laws to purchase the shares of our common stock without the benefit of a prospectus qualified under those securities laws as it is an “accredited investor” as defined under National Instrument 45-106 – Prospectus Exemptions,</w:t>
      </w:r>
    </w:p>
    <w:p>
      <w:pPr>
        <w:spacing w:after="0" w:line="25"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1"/>
          <w:numId w:val="117"/>
        </w:numPr>
        <w:rPr>
          <w:rFonts w:ascii="MS PGothic" w:cs="MS PGothic" w:eastAsia="MS PGothic" w:hAnsi="MS PGothic"/>
          <w:sz w:val="13"/>
          <w:szCs w:val="13"/>
          <w:color w:val="auto"/>
        </w:rPr>
      </w:pPr>
      <w:r>
        <w:rPr>
          <w:rFonts w:ascii="Arial" w:cs="Arial" w:eastAsia="Arial" w:hAnsi="Arial"/>
          <w:sz w:val="17"/>
          <w:szCs w:val="17"/>
          <w:color w:val="auto"/>
        </w:rPr>
        <w:t>the purchaser is a “permitted client” as defined in National Instrument 31-103—Registration Requirements, Exemptions and Ongoing Registrant Obligations,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1"/>
          <w:numId w:val="117"/>
        </w:numPr>
        <w:rPr>
          <w:rFonts w:ascii="MS PGothic" w:cs="MS PGothic" w:eastAsia="MS PGothic" w:hAnsi="MS PGothic"/>
          <w:sz w:val="13"/>
          <w:szCs w:val="13"/>
          <w:color w:val="auto"/>
        </w:rPr>
      </w:pPr>
      <w:r>
        <w:rPr>
          <w:rFonts w:ascii="Arial" w:cs="Arial" w:eastAsia="Arial" w:hAnsi="Arial"/>
          <w:sz w:val="17"/>
          <w:szCs w:val="17"/>
          <w:color w:val="auto"/>
        </w:rPr>
        <w:t>where required by law, the purchaser is purchasing as principal and not as agent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1"/>
          <w:numId w:val="117"/>
        </w:numPr>
        <w:rPr>
          <w:rFonts w:ascii="MS PGothic" w:cs="MS PGothic" w:eastAsia="MS PGothic" w:hAnsi="MS PGothic"/>
          <w:sz w:val="13"/>
          <w:szCs w:val="13"/>
          <w:color w:val="auto"/>
        </w:rPr>
      </w:pPr>
      <w:r>
        <w:rPr>
          <w:rFonts w:ascii="Arial" w:cs="Arial" w:eastAsia="Arial" w:hAnsi="Arial"/>
          <w:sz w:val="17"/>
          <w:szCs w:val="17"/>
          <w:color w:val="auto"/>
        </w:rPr>
        <w:t>the purchaser has reviewed the text above under Resale Restrictions.</w:t>
      </w:r>
    </w:p>
    <w:p>
      <w:pPr>
        <w:spacing w:after="0" w:line="43" w:lineRule="exact"/>
        <w:rPr>
          <w:rFonts w:ascii="MS PGothic" w:cs="MS PGothic" w:eastAsia="MS PGothic" w:hAnsi="MS PGothic"/>
          <w:sz w:val="13"/>
          <w:szCs w:val="13"/>
          <w:color w:val="auto"/>
        </w:rPr>
      </w:pPr>
    </w:p>
    <w:p>
      <w:pPr>
        <w:ind w:left="400" w:hanging="284"/>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Conflicts of Interest</w:t>
      </w:r>
    </w:p>
    <w:p>
      <w:pPr>
        <w:spacing w:after="0" w:line="52" w:lineRule="exact"/>
        <w:rPr>
          <w:sz w:val="20"/>
          <w:szCs w:val="20"/>
          <w:color w:val="auto"/>
        </w:rPr>
      </w:pPr>
    </w:p>
    <w:p>
      <w:pPr>
        <w:jc w:val="both"/>
        <w:ind w:left="120" w:right="40"/>
        <w:spacing w:after="0" w:line="243" w:lineRule="auto"/>
        <w:rPr>
          <w:sz w:val="20"/>
          <w:szCs w:val="20"/>
          <w:color w:val="auto"/>
        </w:rPr>
      </w:pPr>
      <w:r>
        <w:rPr>
          <w:rFonts w:ascii="Arial" w:cs="Arial" w:eastAsia="Arial" w:hAnsi="Arial"/>
          <w:sz w:val="17"/>
          <w:szCs w:val="17"/>
          <w:color w:val="auto"/>
        </w:rPr>
        <w:t>Canadian purchasers are hereby notified that each of shares of our the underwriters are relying on the exemption set out in section 3A.3 or 3A.4, if applicable, of National Instrument 33-105 – Underwriting Conflicts from having to provide certain conflict of interest disclosure in this document.</w:t>
      </w:r>
    </w:p>
    <w:p>
      <w:pPr>
        <w:spacing w:after="0" w:line="32" w:lineRule="exact"/>
        <w:rPr>
          <w:sz w:val="20"/>
          <w:szCs w:val="20"/>
          <w:color w:val="auto"/>
        </w:rPr>
      </w:pPr>
    </w:p>
    <w:p>
      <w:pPr>
        <w:ind w:left="400" w:hanging="284"/>
        <w:spacing w:after="0"/>
        <w:tabs>
          <w:tab w:leader="none" w:pos="40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Statutory Rights of Action</w:t>
      </w:r>
    </w:p>
    <w:p>
      <w:pPr>
        <w:spacing w:after="0" w:line="52"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37" w:lineRule="exact"/>
        <w:rPr>
          <w:sz w:val="20"/>
          <w:szCs w:val="20"/>
          <w:color w:val="auto"/>
        </w:rPr>
      </w:pPr>
    </w:p>
    <w:p>
      <w:pPr>
        <w:ind w:left="400" w:hanging="284"/>
        <w:spacing w:after="0"/>
        <w:tabs>
          <w:tab w:leader="none" w:pos="400"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Enforcement of Legal Rights</w:t>
      </w:r>
    </w:p>
    <w:p>
      <w:pPr>
        <w:spacing w:after="0" w:line="52"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37" w:lineRule="exact"/>
        <w:rPr>
          <w:sz w:val="20"/>
          <w:szCs w:val="20"/>
          <w:color w:val="auto"/>
        </w:rPr>
      </w:pPr>
    </w:p>
    <w:p>
      <w:pPr>
        <w:ind w:left="380" w:hanging="264"/>
        <w:spacing w:after="0"/>
        <w:tabs>
          <w:tab w:leader="none" w:pos="380"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Taxation and Eligibility for Investment</w:t>
      </w:r>
    </w:p>
    <w:p>
      <w:pPr>
        <w:spacing w:after="0" w:line="52" w:lineRule="exact"/>
        <w:rPr>
          <w:sz w:val="20"/>
          <w:szCs w:val="20"/>
          <w:color w:val="auto"/>
        </w:rPr>
      </w:pPr>
    </w:p>
    <w:p>
      <w:pPr>
        <w:jc w:val="both"/>
        <w:ind w:left="120" w:right="320"/>
        <w:spacing w:after="0" w:line="238" w:lineRule="auto"/>
        <w:rPr>
          <w:sz w:val="20"/>
          <w:szCs w:val="20"/>
          <w:color w:val="auto"/>
        </w:rPr>
      </w:pPr>
      <w:r>
        <w:rPr>
          <w:rFonts w:ascii="Arial" w:cs="Arial" w:eastAsia="Arial" w:hAnsi="Arial"/>
          <w:sz w:val="17"/>
          <w:szCs w:val="17"/>
          <w:color w:val="auto"/>
        </w:rPr>
        <w:t>Canadian purchasers of shares of common stock should consult their own legal and tax advisors with respect to the tax consequences of an investment in the shares of our common stock in their particular circumstances and about the eligibility of the shares of our common stock for investment by the purchaser under relevant Canadian legislation.</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Australia</w:t>
      </w:r>
    </w:p>
    <w:p>
      <w:pPr>
        <w:spacing w:after="0" w:line="5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confirm and warrant that you are either:</w:t>
      </w:r>
    </w:p>
    <w:p>
      <w:pPr>
        <w:spacing w:after="0" w:line="196" w:lineRule="exact"/>
        <w:rPr>
          <w:sz w:val="20"/>
          <w:szCs w:val="20"/>
          <w:color w:val="auto"/>
        </w:rPr>
      </w:pPr>
    </w:p>
    <w:p>
      <w:pPr>
        <w:ind w:left="980" w:hanging="432"/>
        <w:spacing w:after="0"/>
        <w:tabs>
          <w:tab w:leader="none" w:pos="980" w:val="left"/>
        </w:tabs>
        <w:numPr>
          <w:ilvl w:val="0"/>
          <w:numId w:val="121"/>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708(8)(a) or (b) of the Corporations Act;</w:t>
      </w:r>
    </w:p>
    <w:p>
      <w:pPr>
        <w:spacing w:after="0" w:line="34"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121"/>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121"/>
        </w:numPr>
        <w:rPr>
          <w:rFonts w:ascii="MS PGothic" w:cs="MS PGothic" w:eastAsia="MS PGothic" w:hAnsi="MS PGothic"/>
          <w:sz w:val="13"/>
          <w:szCs w:val="13"/>
          <w:color w:val="auto"/>
        </w:rPr>
      </w:pPr>
      <w:r>
        <w:rPr>
          <w:rFonts w:ascii="Arial" w:cs="Arial" w:eastAsia="Arial" w:hAnsi="Arial"/>
          <w:sz w:val="17"/>
          <w:szCs w:val="17"/>
          <w:color w:val="auto"/>
        </w:rPr>
        <w:t>a person associated with the Company under Section 708(12) of the Corporations Act;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21"/>
        </w:numPr>
        <w:rPr>
          <w:rFonts w:ascii="MS PGothic" w:cs="MS PGothic" w:eastAsia="MS PGothic" w:hAnsi="MS PGothic"/>
          <w:sz w:val="13"/>
          <w:szCs w:val="13"/>
          <w:color w:val="auto"/>
        </w:rPr>
      </w:pPr>
      <w:r>
        <w:rPr>
          <w:rFonts w:ascii="Arial" w:cs="Arial" w:eastAsia="Arial" w:hAnsi="Arial"/>
          <w:sz w:val="17"/>
          <w:szCs w:val="17"/>
          <w:color w:val="auto"/>
        </w:rPr>
        <w:t>a “professional investor” within the meaning of section 708(11)(a) or (b) of the Corporations Act.</w:t>
      </w:r>
    </w:p>
    <w:p>
      <w:pPr>
        <w:spacing w:after="0" w:line="156"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080"/>
          </w:cols>
          <w:pgMar w:left="320" w:top="459"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560"/>
        <w:spacing w:after="0" w:line="238"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Hong Kong</w:t>
      </w:r>
    </w:p>
    <w:p>
      <w:pPr>
        <w:spacing w:after="0" w:line="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No shares of our common stock have been offered or sold, and no shares of our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the SFO, and any rules made under that Ordinance; or in other circumstances which do not result in the document being a “prospectus” as defined in the Companies Ordinance (Cap. 32) of Hong Kong, or the CO, or which do not constitute an offer or invitation to the public for the purpose of the CO or the SFO. No document, invitation or advertisement relating to the shares of our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our common stock which are or are intended to be disposed of only to persons outside Hong Kong or only to “professional investors” as defined in the SFO and any rules made under that Ordinance.</w:t>
      </w:r>
    </w:p>
    <w:p>
      <w:pPr>
        <w:spacing w:after="0" w:line="15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shares of our common stock may not be offered for subscription to members of the public in Hong Kong. Each person acquiring the shares of our common stock will be required, and is deemed by the acquisition of the shares of our common stock, to confirm that he is aware of the restriction on offers of the shares of our common stock described in this prospectus and the relevant offering documents and that he is not acquiring, and has not been offered any shares of our common stock in circumstances that contravene any such restrictions.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Israel</w:t>
      </w:r>
    </w:p>
    <w:p>
      <w:pPr>
        <w:spacing w:after="0" w:line="4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Japan</w:t>
      </w:r>
    </w:p>
    <w:p>
      <w:pPr>
        <w:spacing w:after="0" w:line="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Singapore</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Section 275, of the SFA, or (iii) otherwise pursuant to, and in accordance with the conditions of, any other applicable provision of the SFA.</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Where the shares of our common stock are subscribed or purchased under Section 275 of the SFA by a relevant person which is:</w:t>
      </w:r>
    </w:p>
    <w:p>
      <w:pPr>
        <w:spacing w:after="0" w:line="196" w:lineRule="exact"/>
        <w:rPr>
          <w:sz w:val="20"/>
          <w:szCs w:val="20"/>
          <w:color w:val="auto"/>
        </w:rPr>
      </w:pPr>
    </w:p>
    <w:p>
      <w:pPr>
        <w:ind w:left="980" w:right="320" w:hanging="432"/>
        <w:spacing w:after="0" w:line="243" w:lineRule="auto"/>
        <w:tabs>
          <w:tab w:leader="none" w:pos="980" w:val="left"/>
        </w:tabs>
        <w:numPr>
          <w:ilvl w:val="0"/>
          <w:numId w:val="122"/>
        </w:numPr>
        <w:rPr>
          <w:rFonts w:ascii="MS PGothic" w:cs="MS PGothic" w:eastAsia="MS PGothic" w:hAnsi="MS PGothic"/>
          <w:sz w:val="13"/>
          <w:szCs w:val="13"/>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2"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122"/>
        </w:numPr>
        <w:rPr>
          <w:rFonts w:ascii="MS PGothic" w:cs="MS PGothic" w:eastAsia="MS PGothic" w:hAnsi="MS PGothic"/>
          <w:sz w:val="13"/>
          <w:szCs w:val="13"/>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44"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spacing w:after="0" w:line="188" w:lineRule="exact"/>
        <w:rPr>
          <w:sz w:val="20"/>
          <w:szCs w:val="20"/>
          <w:color w:val="auto"/>
        </w:rPr>
      </w:pPr>
    </w:p>
    <w:p>
      <w:pPr>
        <w:ind w:left="980" w:right="60" w:hanging="432"/>
        <w:spacing w:after="0" w:line="243" w:lineRule="auto"/>
        <w:tabs>
          <w:tab w:leader="none" w:pos="980" w:val="left"/>
        </w:tabs>
        <w:numPr>
          <w:ilvl w:val="0"/>
          <w:numId w:val="123"/>
        </w:numPr>
        <w:rPr>
          <w:rFonts w:ascii="MS PGothic" w:cs="MS PGothic" w:eastAsia="MS PGothic" w:hAnsi="MS PGothic"/>
          <w:sz w:val="13"/>
          <w:szCs w:val="13"/>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23"/>
        </w:numPr>
        <w:rPr>
          <w:rFonts w:ascii="MS PGothic" w:cs="MS PGothic" w:eastAsia="MS PGothic" w:hAnsi="MS PGothic"/>
          <w:sz w:val="13"/>
          <w:szCs w:val="13"/>
          <w:color w:val="auto"/>
        </w:rPr>
      </w:pPr>
      <w:r>
        <w:rPr>
          <w:rFonts w:ascii="Arial" w:cs="Arial" w:eastAsia="Arial" w:hAnsi="Arial"/>
          <w:sz w:val="17"/>
          <w:szCs w:val="17"/>
          <w:color w:val="auto"/>
        </w:rPr>
        <w:t>where no consideration is or will be given for the transfer;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23"/>
        </w:numPr>
        <w:rPr>
          <w:rFonts w:ascii="MS PGothic" w:cs="MS PGothic" w:eastAsia="MS PGothic" w:hAnsi="MS PGothic"/>
          <w:sz w:val="13"/>
          <w:szCs w:val="13"/>
          <w:color w:val="auto"/>
        </w:rPr>
      </w:pPr>
      <w:r>
        <w:rPr>
          <w:rFonts w:ascii="Arial" w:cs="Arial" w:eastAsia="Arial" w:hAnsi="Arial"/>
          <w:sz w:val="17"/>
          <w:szCs w:val="17"/>
          <w:color w:val="auto"/>
        </w:rPr>
        <w:t>where the transfer is by operation of law;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23"/>
        </w:numPr>
        <w:rPr>
          <w:rFonts w:ascii="MS PGothic" w:cs="MS PGothic" w:eastAsia="MS PGothic" w:hAnsi="MS PGothic"/>
          <w:sz w:val="13"/>
          <w:szCs w:val="13"/>
          <w:color w:val="auto"/>
        </w:rPr>
      </w:pPr>
      <w:r>
        <w:rPr>
          <w:rFonts w:ascii="Arial" w:cs="Arial" w:eastAsia="Arial" w:hAnsi="Arial"/>
          <w:sz w:val="17"/>
          <w:szCs w:val="17"/>
          <w:color w:val="auto"/>
        </w:rPr>
        <w:t>as specified in Section 276(7) of the SFA; or</w:t>
      </w:r>
    </w:p>
    <w:p>
      <w:pPr>
        <w:spacing w:after="0" w:line="34" w:lineRule="exact"/>
        <w:rPr>
          <w:rFonts w:ascii="MS PGothic" w:cs="MS PGothic" w:eastAsia="MS PGothic" w:hAnsi="MS PGothic"/>
          <w:sz w:val="13"/>
          <w:szCs w:val="13"/>
          <w:color w:val="auto"/>
        </w:rPr>
      </w:pPr>
    </w:p>
    <w:p>
      <w:pPr>
        <w:ind w:left="980" w:right="340" w:hanging="432"/>
        <w:spacing w:after="0" w:line="243" w:lineRule="auto"/>
        <w:tabs>
          <w:tab w:leader="none" w:pos="980" w:val="left"/>
        </w:tabs>
        <w:numPr>
          <w:ilvl w:val="0"/>
          <w:numId w:val="123"/>
        </w:numPr>
        <w:rPr>
          <w:rFonts w:ascii="MS PGothic" w:cs="MS PGothic" w:eastAsia="MS PGothic" w:hAnsi="MS PGothic"/>
          <w:sz w:val="13"/>
          <w:szCs w:val="13"/>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Switzerland</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Neither this prospectus nor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1060"/>
          </w:cols>
          <w:pgMar w:left="320" w:top="459" w:right="5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336"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Wilson Sonsini Goodrich &amp; Rosati, Professional Corporation, Palo Alto, California. Cooley LLP, San Francisco, California, is representing the underwriters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336"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The consolidated financial statements of ALX Oncology Limited as of December 31, 2018 and 2019, and each of the years in the two-year period ended December 31, 2019,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147"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The financial statement of ALX Oncology Holdings Inc. as of April 1, 2020 (inception), has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36"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by this prospectus. This prospectus, which constitutes a part of the registration statement, does not include all of the information contained in the registration statement, some of which is contained in exhibits to the registration statement as permitted by the rules and regulations of the SEC. You should refer to the registration statement and its exhibits for additional information. Whenever we make references in this prospectus to any of our contracts, agreements or other documents, such references are not necessarily complete and you should refer to the exhibits attached to the registration statement for copies of the actual contract, agreement or other document.</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can read our SEC filings, including the registration statement and its exhibits, over the Internet at the SEC’s website at www.sec.gov.</w:t>
      </w:r>
    </w:p>
    <w:p>
      <w:pPr>
        <w:spacing w:after="0" w:line="15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When we complete this offering, we will be subject to the information reporting requirements of the Exchange Act, and we will file annual, quarterly and special reports, proxy statements and other information with the SEC. These reports, proxy statements and other information will be available at the website of the SEC referred to above. We also maintain a website at which you may access these materials free of charge as soon as reasonably practicable after they are electronically filed with, or furnished to, the SEC. The information contained on our website is not a part of this prospectus.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Audited Balance Sheet as of April 1, 2020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540" w:type="dxa"/>
            <w:vAlign w:val="bottom"/>
          </w:tcPr>
          <w:p>
            <w:pPr>
              <w:spacing w:after="0"/>
              <w:rPr>
                <w:rFonts w:ascii="Arial" w:cs="Arial" w:eastAsia="Arial" w:hAnsi="Arial"/>
                <w:sz w:val="17"/>
                <w:szCs w:val="17"/>
                <w:u w:val="single" w:color="auto"/>
                <w:color w:val="0000EE"/>
              </w:rPr>
            </w:pPr>
            <w:hyperlink w:anchor="page174">
              <w:r>
                <w:rPr>
                  <w:rFonts w:ascii="Arial" w:cs="Arial" w:eastAsia="Arial" w:hAnsi="Arial"/>
                  <w:sz w:val="17"/>
                  <w:szCs w:val="17"/>
                  <w:u w:val="single" w:color="auto"/>
                  <w:color w:val="0000EE"/>
                </w:rPr>
                <w:t>Report of Independent Registered Public Accounting Firm</w:t>
              </w:r>
            </w:hyperlink>
          </w:p>
        </w:tc>
        <w:tc>
          <w:tcPr>
            <w:tcW w:w="3480" w:type="dxa"/>
            <w:vAlign w:val="bottom"/>
          </w:tcPr>
          <w:p>
            <w:pPr>
              <w:ind w:left="3160"/>
              <w:spacing w:after="0"/>
              <w:rPr>
                <w:sz w:val="20"/>
                <w:szCs w:val="20"/>
                <w:color w:val="auto"/>
              </w:rPr>
            </w:pPr>
            <w:r>
              <w:rPr>
                <w:rFonts w:ascii="Arial" w:cs="Arial" w:eastAsia="Arial" w:hAnsi="Arial"/>
                <w:sz w:val="17"/>
                <w:szCs w:val="17"/>
                <w:color w:val="auto"/>
              </w:rPr>
              <w:t>F-2</w:t>
            </w:r>
          </w:p>
        </w:tc>
      </w:tr>
      <w:tr>
        <w:trPr>
          <w:trHeight w:val="189"/>
        </w:trPr>
        <w:tc>
          <w:tcPr>
            <w:tcW w:w="7540" w:type="dxa"/>
            <w:vAlign w:val="bottom"/>
          </w:tcPr>
          <w:p>
            <w:pPr>
              <w:spacing w:after="0" w:line="189" w:lineRule="exact"/>
              <w:rPr>
                <w:rFonts w:ascii="Arial" w:cs="Arial" w:eastAsia="Arial" w:hAnsi="Arial"/>
                <w:sz w:val="17"/>
                <w:szCs w:val="17"/>
                <w:u w:val="single" w:color="auto"/>
                <w:color w:val="0000EE"/>
              </w:rPr>
            </w:pPr>
            <w:hyperlink w:anchor="page175">
              <w:r>
                <w:rPr>
                  <w:rFonts w:ascii="Arial" w:cs="Arial" w:eastAsia="Arial" w:hAnsi="Arial"/>
                  <w:sz w:val="17"/>
                  <w:szCs w:val="17"/>
                  <w:u w:val="single" w:color="auto"/>
                  <w:color w:val="0000EE"/>
                </w:rPr>
                <w:t>Balance Sheet</w:t>
              </w:r>
            </w:hyperlink>
          </w:p>
        </w:tc>
        <w:tc>
          <w:tcPr>
            <w:tcW w:w="3480" w:type="dxa"/>
            <w:vAlign w:val="bottom"/>
          </w:tcPr>
          <w:p>
            <w:pPr>
              <w:ind w:left="3160"/>
              <w:spacing w:after="0" w:line="189" w:lineRule="exact"/>
              <w:rPr>
                <w:sz w:val="20"/>
                <w:szCs w:val="20"/>
                <w:color w:val="auto"/>
              </w:rPr>
            </w:pPr>
            <w:r>
              <w:rPr>
                <w:rFonts w:ascii="Arial" w:cs="Arial" w:eastAsia="Arial" w:hAnsi="Arial"/>
                <w:sz w:val="17"/>
                <w:szCs w:val="17"/>
                <w:color w:val="auto"/>
              </w:rPr>
              <w:t>F-3</w:t>
            </w:r>
          </w:p>
        </w:tc>
      </w:tr>
      <w:tr>
        <w:trPr>
          <w:trHeight w:val="205"/>
        </w:trPr>
        <w:tc>
          <w:tcPr>
            <w:tcW w:w="7540" w:type="dxa"/>
            <w:vAlign w:val="bottom"/>
          </w:tcPr>
          <w:p>
            <w:pPr>
              <w:spacing w:after="0"/>
              <w:rPr>
                <w:rFonts w:ascii="Arial" w:cs="Arial" w:eastAsia="Arial" w:hAnsi="Arial"/>
                <w:sz w:val="17"/>
                <w:szCs w:val="17"/>
                <w:u w:val="single" w:color="auto"/>
                <w:color w:val="0000EE"/>
              </w:rPr>
            </w:pPr>
            <w:hyperlink w:anchor="page176">
              <w:r>
                <w:rPr>
                  <w:rFonts w:ascii="Arial" w:cs="Arial" w:eastAsia="Arial" w:hAnsi="Arial"/>
                  <w:sz w:val="17"/>
                  <w:szCs w:val="17"/>
                  <w:u w:val="single" w:color="auto"/>
                  <w:color w:val="0000EE"/>
                </w:rPr>
                <w:t>Notes to Balance Sheet</w:t>
              </w:r>
            </w:hyperlink>
          </w:p>
        </w:tc>
        <w:tc>
          <w:tcPr>
            <w:tcW w:w="3480" w:type="dxa"/>
            <w:vAlign w:val="bottom"/>
          </w:tcPr>
          <w:p>
            <w:pPr>
              <w:ind w:left="3160"/>
              <w:spacing w:after="0"/>
              <w:rPr>
                <w:sz w:val="20"/>
                <w:szCs w:val="20"/>
                <w:color w:val="auto"/>
              </w:rPr>
            </w:pPr>
            <w:r>
              <w:rPr>
                <w:rFonts w:ascii="Arial" w:cs="Arial" w:eastAsia="Arial" w:hAnsi="Arial"/>
                <w:sz w:val="17"/>
                <w:szCs w:val="17"/>
                <w:color w:val="auto"/>
              </w:rPr>
              <w:t>F-4</w:t>
            </w:r>
          </w:p>
        </w:tc>
      </w:tr>
      <w:tr>
        <w:trPr>
          <w:trHeight w:val="207"/>
        </w:trPr>
        <w:tc>
          <w:tcPr>
            <w:tcW w:w="754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380" w:type="dxa"/>
            <w:vAlign w:val="bottom"/>
          </w:tcPr>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Report of Independent Registered Public Accounting Firm</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F-5</w:t>
            </w:r>
          </w:p>
        </w:tc>
      </w:tr>
      <w:tr>
        <w:trPr>
          <w:trHeight w:val="189"/>
        </w:trPr>
        <w:tc>
          <w:tcPr>
            <w:tcW w:w="10380" w:type="dxa"/>
            <w:vAlign w:val="bottom"/>
          </w:tcPr>
          <w:p>
            <w:pPr>
              <w:spacing w:after="0" w:line="189" w:lineRule="exact"/>
              <w:rPr>
                <w:sz w:val="20"/>
                <w:szCs w:val="20"/>
                <w:color w:val="auto"/>
              </w:rPr>
            </w:pPr>
            <w:r>
              <w:rPr>
                <w:rFonts w:ascii="Arial" w:cs="Arial" w:eastAsia="Arial" w:hAnsi="Arial"/>
                <w:sz w:val="17"/>
                <w:szCs w:val="17"/>
                <w:color w:val="auto"/>
              </w:rPr>
              <w:t>Consolidated Financial Statements:</w:t>
            </w:r>
          </w:p>
        </w:tc>
        <w:tc>
          <w:tcPr>
            <w:tcW w:w="640" w:type="dxa"/>
            <w:vAlign w:val="bottom"/>
          </w:tcPr>
          <w:p>
            <w:pPr>
              <w:spacing w:after="0"/>
              <w:rPr>
                <w:sz w:val="16"/>
                <w:szCs w:val="16"/>
                <w:color w:val="auto"/>
              </w:rPr>
            </w:pP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78">
              <w:r>
                <w:rPr>
                  <w:rFonts w:ascii="Arial" w:cs="Arial" w:eastAsia="Arial" w:hAnsi="Arial"/>
                  <w:sz w:val="17"/>
                  <w:szCs w:val="17"/>
                  <w:u w:val="single" w:color="auto"/>
                  <w:color w:val="0000EE"/>
                </w:rPr>
                <w:t>Consolidated Balance Sheets as of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F-6</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79">
              <w:r>
                <w:rPr>
                  <w:rFonts w:ascii="Arial" w:cs="Arial" w:eastAsia="Arial" w:hAnsi="Arial"/>
                  <w:sz w:val="17"/>
                  <w:szCs w:val="17"/>
                  <w:u w:val="single" w:color="auto"/>
                  <w:color w:val="0000EE"/>
                </w:rPr>
                <w:t>Consolidated Statements of Operations and Comprehensive Loss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F-7</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0">
              <w:r>
                <w:rPr>
                  <w:rFonts w:ascii="Arial" w:cs="Arial" w:eastAsia="Arial" w:hAnsi="Arial"/>
                  <w:sz w:val="17"/>
                  <w:szCs w:val="17"/>
                  <w:u w:val="single" w:color="auto"/>
                  <w:color w:val="0000EE"/>
                </w:rPr>
                <w:t>Consolidated Statements of Convertible Preferred Shares and Shareholders’ Deficit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F-8</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1">
              <w:r>
                <w:rPr>
                  <w:rFonts w:ascii="Arial" w:cs="Arial" w:eastAsia="Arial" w:hAnsi="Arial"/>
                  <w:sz w:val="17"/>
                  <w:szCs w:val="17"/>
                  <w:u w:val="single" w:color="auto"/>
                  <w:color w:val="0000EE"/>
                </w:rPr>
                <w:t>Consolidated Statements of Cash Flows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F-9</w:t>
            </w:r>
          </w:p>
        </w:tc>
      </w:tr>
      <w:tr>
        <w:trPr>
          <w:trHeight w:val="205"/>
        </w:trPr>
        <w:tc>
          <w:tcPr>
            <w:tcW w:w="10380" w:type="dxa"/>
            <w:vAlign w:val="bottom"/>
          </w:tcPr>
          <w:p>
            <w:pPr>
              <w:spacing w:after="0"/>
              <w:rPr>
                <w:rFonts w:ascii="Arial" w:cs="Arial" w:eastAsia="Arial" w:hAnsi="Arial"/>
                <w:sz w:val="17"/>
                <w:szCs w:val="17"/>
                <w:u w:val="single" w:color="auto"/>
                <w:color w:val="0000EE"/>
              </w:rPr>
            </w:pPr>
            <w:hyperlink w:anchor="page182">
              <w:r>
                <w:rPr>
                  <w:rFonts w:ascii="Arial" w:cs="Arial" w:eastAsia="Arial" w:hAnsi="Arial"/>
                  <w:sz w:val="17"/>
                  <w:szCs w:val="17"/>
                  <w:u w:val="single" w:color="auto"/>
                  <w:color w:val="0000EE"/>
                </w:rPr>
                <w:t>Notes to Consolidated Financial Statements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F-10</w:t>
            </w:r>
          </w:p>
        </w:tc>
      </w:tr>
      <w:tr>
        <w:trPr>
          <w:trHeight w:val="207"/>
        </w:trPr>
        <w:tc>
          <w:tcPr>
            <w:tcW w:w="10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360" w:type="dxa"/>
            <w:vAlign w:val="bottom"/>
            <w:gridSpan w:val="4"/>
          </w:tcPr>
          <w:p>
            <w:pPr>
              <w:spacing w:after="0"/>
              <w:rPr>
                <w:rFonts w:ascii="Arial" w:cs="Arial" w:eastAsia="Arial" w:hAnsi="Arial"/>
                <w:sz w:val="17"/>
                <w:szCs w:val="17"/>
                <w:u w:val="single" w:color="auto"/>
                <w:color w:val="0000EE"/>
              </w:rPr>
            </w:pPr>
            <w:hyperlink w:anchor="page206">
              <w:r>
                <w:rPr>
                  <w:rFonts w:ascii="Arial" w:cs="Arial" w:eastAsia="Arial" w:hAnsi="Arial"/>
                  <w:sz w:val="17"/>
                  <w:szCs w:val="17"/>
                  <w:u w:val="single" w:color="auto"/>
                  <w:color w:val="0000EE"/>
                </w:rPr>
                <w:t>Condensed Consolidated Balance Sheets as of December 31, 2019 and March 31, 2020</w:t>
              </w:r>
            </w:hyperlink>
          </w:p>
        </w:tc>
        <w:tc>
          <w:tcPr>
            <w:tcW w:w="660" w:type="dxa"/>
            <w:vAlign w:val="bottom"/>
          </w:tcPr>
          <w:p>
            <w:pPr>
              <w:ind w:left="240"/>
              <w:spacing w:after="0"/>
              <w:rPr>
                <w:sz w:val="20"/>
                <w:szCs w:val="20"/>
                <w:color w:val="auto"/>
              </w:rPr>
            </w:pPr>
            <w:r>
              <w:rPr>
                <w:rFonts w:ascii="Arial" w:cs="Arial" w:eastAsia="Arial" w:hAnsi="Arial"/>
                <w:sz w:val="17"/>
                <w:szCs w:val="17"/>
                <w:color w:val="auto"/>
              </w:rPr>
              <w:t>F-34</w:t>
            </w:r>
          </w:p>
        </w:tc>
        <w:tc>
          <w:tcPr>
            <w:tcW w:w="0" w:type="dxa"/>
            <w:vAlign w:val="bottom"/>
          </w:tcPr>
          <w:p>
            <w:pPr>
              <w:spacing w:after="0"/>
              <w:rPr>
                <w:sz w:val="1"/>
                <w:szCs w:val="1"/>
                <w:color w:val="auto"/>
              </w:rPr>
            </w:pPr>
          </w:p>
        </w:tc>
      </w:tr>
      <w:tr>
        <w:trPr>
          <w:trHeight w:val="189"/>
        </w:trPr>
        <w:tc>
          <w:tcPr>
            <w:tcW w:w="10360" w:type="dxa"/>
            <w:vAlign w:val="bottom"/>
            <w:gridSpan w:val="4"/>
          </w:tcPr>
          <w:p>
            <w:pPr>
              <w:spacing w:after="0" w:line="189" w:lineRule="exact"/>
              <w:rPr>
                <w:rFonts w:ascii="Arial" w:cs="Arial" w:eastAsia="Arial" w:hAnsi="Arial"/>
                <w:sz w:val="17"/>
                <w:szCs w:val="17"/>
                <w:u w:val="single" w:color="auto"/>
                <w:color w:val="0000EE"/>
              </w:rPr>
            </w:pPr>
            <w:hyperlink w:anchor="page208">
              <w:r>
                <w:rPr>
                  <w:rFonts w:ascii="Arial" w:cs="Arial" w:eastAsia="Arial" w:hAnsi="Arial"/>
                  <w:sz w:val="17"/>
                  <w:szCs w:val="17"/>
                  <w:u w:val="single" w:color="auto"/>
                  <w:color w:val="0000EE"/>
                </w:rPr>
                <w:t>Condensed Consolidated Statements of Operations and Comprehensive Loss for the three months ended March 31, 2019 and 2020</w:t>
              </w:r>
            </w:hyperlink>
          </w:p>
        </w:tc>
        <w:tc>
          <w:tcPr>
            <w:tcW w:w="660" w:type="dxa"/>
            <w:vAlign w:val="bottom"/>
          </w:tcPr>
          <w:p>
            <w:pPr>
              <w:ind w:left="240"/>
              <w:spacing w:after="0" w:line="189" w:lineRule="exact"/>
              <w:rPr>
                <w:sz w:val="20"/>
                <w:szCs w:val="20"/>
                <w:color w:val="auto"/>
              </w:rPr>
            </w:pPr>
            <w:r>
              <w:rPr>
                <w:rFonts w:ascii="Arial" w:cs="Arial" w:eastAsia="Arial" w:hAnsi="Arial"/>
                <w:sz w:val="17"/>
                <w:szCs w:val="17"/>
                <w:color w:val="auto"/>
              </w:rPr>
              <w:t>F-36</w:t>
            </w:r>
          </w:p>
        </w:tc>
        <w:tc>
          <w:tcPr>
            <w:tcW w:w="0" w:type="dxa"/>
            <w:vAlign w:val="bottom"/>
          </w:tcPr>
          <w:p>
            <w:pPr>
              <w:spacing w:after="0"/>
              <w:rPr>
                <w:sz w:val="1"/>
                <w:szCs w:val="1"/>
                <w:color w:val="auto"/>
              </w:rPr>
            </w:pPr>
          </w:p>
        </w:tc>
      </w:tr>
      <w:tr>
        <w:trPr>
          <w:trHeight w:val="168"/>
        </w:trPr>
        <w:tc>
          <w:tcPr>
            <w:tcW w:w="10140" w:type="dxa"/>
            <w:vAlign w:val="bottom"/>
            <w:tcBorders>
              <w:bottom w:val="single" w:sz="8" w:color="0000EE"/>
            </w:tcBorders>
            <w:gridSpan w:val="3"/>
          </w:tcPr>
          <w:p>
            <w:pPr>
              <w:spacing w:after="0" w:line="168" w:lineRule="exact"/>
              <w:rPr>
                <w:rFonts w:ascii="Arial" w:cs="Arial" w:eastAsia="Arial" w:hAnsi="Arial"/>
                <w:sz w:val="17"/>
                <w:szCs w:val="17"/>
                <w:color w:val="0000EE"/>
              </w:rPr>
            </w:pPr>
            <w:hyperlink w:anchor="page209">
              <w:r>
                <w:rPr>
                  <w:rFonts w:ascii="Arial" w:cs="Arial" w:eastAsia="Arial" w:hAnsi="Arial"/>
                  <w:sz w:val="17"/>
                  <w:szCs w:val="17"/>
                  <w:color w:val="0000EE"/>
                </w:rPr>
                <w:t>Condensed Consolidated Statements of Convertible Preferred Shares and Shareholders’ Deficit for the three months ended March 31,</w:t>
              </w:r>
            </w:hyperlink>
          </w:p>
        </w:tc>
        <w:tc>
          <w:tcPr>
            <w:tcW w:w="220" w:type="dxa"/>
            <w:vAlign w:val="bottom"/>
          </w:tcPr>
          <w:p>
            <w:pPr>
              <w:spacing w:after="0"/>
              <w:rPr>
                <w:sz w:val="14"/>
                <w:szCs w:val="14"/>
                <w:color w:val="auto"/>
              </w:rPr>
            </w:pPr>
          </w:p>
        </w:tc>
        <w:tc>
          <w:tcPr>
            <w:tcW w:w="660" w:type="dxa"/>
            <w:vAlign w:val="bottom"/>
            <w:vMerge w:val="restart"/>
          </w:tcPr>
          <w:p>
            <w:pPr>
              <w:ind w:left="240"/>
              <w:spacing w:after="0"/>
              <w:rPr>
                <w:sz w:val="20"/>
                <w:szCs w:val="20"/>
                <w:color w:val="auto"/>
              </w:rPr>
            </w:pPr>
            <w:r>
              <w:rPr>
                <w:rFonts w:ascii="Arial" w:cs="Arial" w:eastAsia="Arial" w:hAnsi="Arial"/>
                <w:sz w:val="17"/>
                <w:szCs w:val="17"/>
                <w:color w:val="auto"/>
              </w:rPr>
              <w:t>F-37</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0120" w:type="dxa"/>
            <w:vAlign w:val="bottom"/>
            <w:gridSpan w:val="3"/>
          </w:tcPr>
          <w:p>
            <w:pPr>
              <w:spacing w:after="0" w:line="169" w:lineRule="exact"/>
              <w:rPr>
                <w:rFonts w:ascii="Arial" w:cs="Arial" w:eastAsia="Arial" w:hAnsi="Arial"/>
                <w:sz w:val="17"/>
                <w:szCs w:val="17"/>
                <w:color w:val="0000EE"/>
              </w:rPr>
            </w:pPr>
            <w:hyperlink w:anchor="page209">
              <w:r>
                <w:rPr>
                  <w:rFonts w:ascii="Arial" w:cs="Arial" w:eastAsia="Arial" w:hAnsi="Arial"/>
                  <w:sz w:val="17"/>
                  <w:szCs w:val="17"/>
                  <w:color w:val="0000EE"/>
                </w:rPr>
                <w:t>2019 and 2020</w:t>
              </w:r>
            </w:hyperlink>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980" w:type="dxa"/>
            <w:vAlign w:val="bottom"/>
            <w:gridSpan w:val="2"/>
          </w:tcPr>
          <w:p>
            <w:pPr>
              <w:spacing w:after="0" w:line="20" w:lineRule="exact"/>
              <w:rPr>
                <w:sz w:val="1"/>
                <w:szCs w:val="1"/>
                <w:color w:val="auto"/>
              </w:rPr>
            </w:pPr>
          </w:p>
        </w:tc>
        <w:tc>
          <w:tcPr>
            <w:tcW w:w="660" w:type="dxa"/>
            <w:vAlign w:val="bottom"/>
            <w:vMerge w:val="restart"/>
          </w:tcPr>
          <w:p>
            <w:pPr>
              <w:ind w:left="240"/>
              <w:spacing w:after="0"/>
              <w:rPr>
                <w:sz w:val="20"/>
                <w:szCs w:val="20"/>
                <w:color w:val="auto"/>
              </w:rPr>
            </w:pPr>
            <w:r>
              <w:rPr>
                <w:rFonts w:ascii="Arial" w:cs="Arial" w:eastAsia="Arial" w:hAnsi="Arial"/>
                <w:sz w:val="17"/>
                <w:szCs w:val="17"/>
                <w:color w:val="auto"/>
              </w:rPr>
              <w:t>F-38</w:t>
            </w:r>
          </w:p>
        </w:tc>
        <w:tc>
          <w:tcPr>
            <w:tcW w:w="0" w:type="dxa"/>
            <w:vAlign w:val="bottom"/>
          </w:tcPr>
          <w:p>
            <w:pPr>
              <w:spacing w:after="0" w:line="20" w:lineRule="exact"/>
              <w:rPr>
                <w:sz w:val="1"/>
                <w:szCs w:val="1"/>
                <w:color w:val="auto"/>
              </w:rPr>
            </w:pPr>
          </w:p>
        </w:tc>
      </w:tr>
      <w:tr>
        <w:trPr>
          <w:trHeight w:val="190"/>
        </w:trPr>
        <w:tc>
          <w:tcPr>
            <w:tcW w:w="10360" w:type="dxa"/>
            <w:vAlign w:val="bottom"/>
            <w:gridSpan w:val="4"/>
          </w:tcPr>
          <w:p>
            <w:pPr>
              <w:spacing w:after="0" w:line="190" w:lineRule="exact"/>
              <w:rPr>
                <w:rFonts w:ascii="Arial" w:cs="Arial" w:eastAsia="Arial" w:hAnsi="Arial"/>
                <w:sz w:val="17"/>
                <w:szCs w:val="17"/>
                <w:u w:val="single" w:color="auto"/>
                <w:color w:val="0000EE"/>
              </w:rPr>
            </w:pPr>
            <w:hyperlink w:anchor="page210">
              <w:r>
                <w:rPr>
                  <w:rFonts w:ascii="Arial" w:cs="Arial" w:eastAsia="Arial" w:hAnsi="Arial"/>
                  <w:sz w:val="17"/>
                  <w:szCs w:val="17"/>
                  <w:u w:val="single" w:color="auto"/>
                  <w:color w:val="0000EE"/>
                </w:rPr>
                <w:t>Condensed Consolidated Statements of Cash Flows for the three months ended March 31, 2019 and 2020</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360" w:type="dxa"/>
            <w:vAlign w:val="bottom"/>
            <w:gridSpan w:val="4"/>
          </w:tcPr>
          <w:p>
            <w:pPr>
              <w:spacing w:after="0"/>
              <w:rPr>
                <w:rFonts w:ascii="Arial" w:cs="Arial" w:eastAsia="Arial" w:hAnsi="Arial"/>
                <w:sz w:val="17"/>
                <w:szCs w:val="17"/>
                <w:u w:val="single" w:color="auto"/>
                <w:color w:val="0000EE"/>
              </w:rPr>
            </w:pPr>
            <w:hyperlink w:anchor="page211">
              <w:r>
                <w:rPr>
                  <w:rFonts w:ascii="Arial" w:cs="Arial" w:eastAsia="Arial" w:hAnsi="Arial"/>
                  <w:sz w:val="17"/>
                  <w:szCs w:val="17"/>
                  <w:u w:val="single" w:color="auto"/>
                  <w:color w:val="0000EE"/>
                </w:rPr>
                <w:t>Notes to Unaudited Condensed Consolidated Financial Statements</w:t>
              </w:r>
            </w:hyperlink>
          </w:p>
        </w:tc>
        <w:tc>
          <w:tcPr>
            <w:tcW w:w="660" w:type="dxa"/>
            <w:vAlign w:val="bottom"/>
          </w:tcPr>
          <w:p>
            <w:pPr>
              <w:ind w:left="240"/>
              <w:spacing w:after="0"/>
              <w:rPr>
                <w:sz w:val="20"/>
                <w:szCs w:val="20"/>
                <w:color w:val="auto"/>
              </w:rPr>
            </w:pPr>
            <w:r>
              <w:rPr>
                <w:rFonts w:ascii="Arial" w:cs="Arial" w:eastAsia="Arial" w:hAnsi="Arial"/>
                <w:sz w:val="17"/>
                <w:szCs w:val="17"/>
                <w:color w:val="auto"/>
              </w:rPr>
              <w:t>F-39</w:t>
            </w:r>
          </w:p>
        </w:tc>
        <w:tc>
          <w:tcPr>
            <w:tcW w:w="0" w:type="dxa"/>
            <w:vAlign w:val="bottom"/>
          </w:tcPr>
          <w:p>
            <w:pPr>
              <w:spacing w:after="0"/>
              <w:rPr>
                <w:sz w:val="1"/>
                <w:szCs w:val="1"/>
                <w:color w:val="auto"/>
              </w:rPr>
            </w:pPr>
          </w:p>
        </w:tc>
      </w:tr>
      <w:tr>
        <w:trPr>
          <w:trHeight w:val="206"/>
        </w:trPr>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980" w:type="dxa"/>
            <w:vAlign w:val="bottom"/>
            <w:gridSpan w:val="2"/>
          </w:tcPr>
          <w:p>
            <w:pPr>
              <w:ind w:left="4000"/>
              <w:spacing w:after="0"/>
              <w:rPr>
                <w:sz w:val="20"/>
                <w:szCs w:val="20"/>
                <w:color w:val="auto"/>
              </w:rPr>
            </w:pPr>
            <w:r>
              <w:rPr>
                <w:rFonts w:ascii="Arial" w:cs="Arial" w:eastAsia="Arial" w:hAnsi="Arial"/>
                <w:sz w:val="16"/>
                <w:szCs w:val="16"/>
                <w:color w:val="auto"/>
              </w:rPr>
              <w:t>F-1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Stockholders and Board of Directors</w:t>
      </w:r>
    </w:p>
    <w:p>
      <w:pPr>
        <w:ind w:left="120"/>
        <w:spacing w:after="0"/>
        <w:rPr>
          <w:sz w:val="20"/>
          <w:szCs w:val="20"/>
          <w:color w:val="auto"/>
        </w:rPr>
      </w:pPr>
      <w:r>
        <w:rPr>
          <w:rFonts w:ascii="Arial" w:cs="Arial" w:eastAsia="Arial" w:hAnsi="Arial"/>
          <w:sz w:val="17"/>
          <w:szCs w:val="17"/>
          <w:color w:val="auto"/>
        </w:rPr>
        <w:t>ALX Oncology Holdings Inc.:</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Opinion on the Financial Statement</w:t>
      </w:r>
    </w:p>
    <w:p>
      <w:pPr>
        <w:spacing w:after="0" w:line="95"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We have audited the accompanying balance sheet of ALX Oncology Holdings Inc. (the Company) as of April 1, 2020 (inception), and the related notes (collectively, the financial statement). In our opinion, the financial statement presents fairly, in all material respects, the financial position of the Company as of April 1, 2020 (inception), in conformity with U.S. generally accepted accounting principles.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8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KPMG LLP</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served as the Company’s auditor since 2020.</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San Francisco, California</w:t>
      </w:r>
    </w:p>
    <w:p>
      <w:pPr>
        <w:ind w:left="120"/>
        <w:spacing w:after="0"/>
        <w:rPr>
          <w:sz w:val="20"/>
          <w:szCs w:val="20"/>
          <w:color w:val="auto"/>
        </w:rPr>
      </w:pPr>
      <w:r>
        <w:rPr>
          <w:rFonts w:ascii="Arial" w:cs="Arial" w:eastAsia="Arial" w:hAnsi="Arial"/>
          <w:sz w:val="17"/>
          <w:szCs w:val="17"/>
          <w:color w:val="auto"/>
        </w:rPr>
        <w:t>June 12, 2020</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10060" w:type="dxa"/>
            <w:vAlign w:val="bottom"/>
          </w:tcPr>
          <w:p>
            <w:pPr>
              <w:ind w:left="4060"/>
              <w:spacing w:after="0"/>
              <w:rPr>
                <w:sz w:val="20"/>
                <w:szCs w:val="20"/>
                <w:color w:val="auto"/>
              </w:rPr>
            </w:pPr>
            <w:r>
              <w:rPr>
                <w:rFonts w:ascii="Arial" w:cs="Arial" w:eastAsia="Arial" w:hAnsi="Arial"/>
                <w:sz w:val="18"/>
                <w:szCs w:val="18"/>
                <w:b w:val="1"/>
                <w:bCs w:val="1"/>
                <w:color w:val="auto"/>
              </w:rPr>
              <w:t>ALX ONCOLOGY HOLDINGS INC.</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0"/>
        </w:trPr>
        <w:tc>
          <w:tcPr>
            <w:tcW w:w="10060" w:type="dxa"/>
            <w:vAlign w:val="bottom"/>
          </w:tcPr>
          <w:p>
            <w:pPr>
              <w:ind w:left="488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4"/>
        </w:trPr>
        <w:tc>
          <w:tcPr>
            <w:tcW w:w="10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385"/>
        </w:trPr>
        <w:tc>
          <w:tcPr>
            <w:tcW w:w="10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1,</w:t>
            </w:r>
          </w:p>
        </w:tc>
      </w:tr>
      <w:tr>
        <w:trPr>
          <w:trHeight w:val="162"/>
        </w:trPr>
        <w:tc>
          <w:tcPr>
            <w:tcW w:w="10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75"/>
        </w:trPr>
        <w:tc>
          <w:tcPr>
            <w:tcW w:w="1006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(INCEPTION)</w:t>
            </w:r>
          </w:p>
        </w:tc>
      </w:tr>
      <w:tr>
        <w:trPr>
          <w:trHeight w:val="169"/>
        </w:trPr>
        <w:tc>
          <w:tcPr>
            <w:tcW w:w="100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10060" w:type="dxa"/>
            <w:vAlign w:val="bottom"/>
          </w:tcPr>
          <w:p>
            <w:pPr>
              <w:ind w:left="240"/>
              <w:spacing w:after="0" w:line="189" w:lineRule="exact"/>
              <w:rPr>
                <w:sz w:val="20"/>
                <w:szCs w:val="20"/>
                <w:color w:val="auto"/>
              </w:rPr>
            </w:pPr>
            <w:r>
              <w:rPr>
                <w:rFonts w:ascii="Arial" w:cs="Arial" w:eastAsia="Arial" w:hAnsi="Arial"/>
                <w:sz w:val="17"/>
                <w:szCs w:val="17"/>
                <w:color w:val="auto"/>
              </w:rPr>
              <w:t>Total assets</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ind w:left="580"/>
              <w:spacing w:after="0" w:line="189" w:lineRule="exact"/>
              <w:rPr>
                <w:sz w:val="20"/>
                <w:szCs w:val="20"/>
                <w:color w:val="auto"/>
              </w:rPr>
            </w:pPr>
            <w:r>
              <w:rPr>
                <w:rFonts w:ascii="Arial" w:cs="Arial" w:eastAsia="Arial" w:hAnsi="Arial"/>
                <w:sz w:val="17"/>
                <w:szCs w:val="17"/>
                <w:color w:val="auto"/>
              </w:rPr>
              <w:t>—</w:t>
            </w:r>
          </w:p>
        </w:tc>
      </w:tr>
      <w:tr>
        <w:trPr>
          <w:trHeight w:val="20"/>
        </w:trPr>
        <w:tc>
          <w:tcPr>
            <w:tcW w:w="10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Liabilities and stockholders’ equity</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10060" w:type="dxa"/>
            <w:vAlign w:val="bottom"/>
          </w:tcPr>
          <w:p>
            <w:pPr>
              <w:ind w:left="240"/>
              <w:spacing w:after="0" w:line="189" w:lineRule="exact"/>
              <w:rPr>
                <w:sz w:val="20"/>
                <w:szCs w:val="20"/>
                <w:color w:val="auto"/>
              </w:rPr>
            </w:pPr>
            <w:r>
              <w:rPr>
                <w:rFonts w:ascii="Arial" w:cs="Arial" w:eastAsia="Arial" w:hAnsi="Arial"/>
                <w:sz w:val="17"/>
                <w:szCs w:val="17"/>
                <w:color w:val="auto"/>
              </w:rPr>
              <w:t>Total liabilities</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ind w:left="580"/>
              <w:spacing w:after="0" w:line="189" w:lineRule="exact"/>
              <w:rPr>
                <w:sz w:val="20"/>
                <w:szCs w:val="20"/>
                <w:color w:val="auto"/>
              </w:rPr>
            </w:pPr>
            <w:r>
              <w:rPr>
                <w:rFonts w:ascii="Arial" w:cs="Arial" w:eastAsia="Arial" w:hAnsi="Arial"/>
                <w:sz w:val="17"/>
                <w:szCs w:val="17"/>
                <w:color w:val="auto"/>
              </w:rPr>
              <w:t>—</w:t>
            </w:r>
          </w:p>
        </w:tc>
      </w:tr>
      <w:tr>
        <w:trPr>
          <w:trHeight w:val="189"/>
        </w:trPr>
        <w:tc>
          <w:tcPr>
            <w:tcW w:w="10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10060" w:type="dxa"/>
            <w:vAlign w:val="bottom"/>
          </w:tcPr>
          <w:p>
            <w:pPr>
              <w:spacing w:after="0" w:line="189" w:lineRule="exact"/>
              <w:rPr>
                <w:sz w:val="20"/>
                <w:szCs w:val="20"/>
                <w:color w:val="auto"/>
              </w:rPr>
            </w:pPr>
            <w:r>
              <w:rPr>
                <w:rFonts w:ascii="Arial" w:cs="Arial" w:eastAsia="Arial" w:hAnsi="Arial"/>
                <w:sz w:val="17"/>
                <w:szCs w:val="17"/>
                <w:color w:val="auto"/>
              </w:rPr>
              <w:t>Stockholders’ equity:</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10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Common stock, $0.001 par value, 1,000 shares authorized, none issued and outstanding</w:t>
            </w:r>
          </w:p>
        </w:tc>
        <w:tc>
          <w:tcPr>
            <w:tcW w:w="1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ind w:left="580"/>
              <w:spacing w:after="0" w:line="189" w:lineRule="exact"/>
              <w:rPr>
                <w:sz w:val="20"/>
                <w:szCs w:val="20"/>
                <w:color w:val="auto"/>
              </w:rPr>
            </w:pPr>
            <w:r>
              <w:rPr>
                <w:rFonts w:ascii="Arial" w:cs="Arial" w:eastAsia="Arial" w:hAnsi="Arial"/>
                <w:sz w:val="17"/>
                <w:szCs w:val="17"/>
                <w:color w:val="auto"/>
                <w:w w:val="93"/>
              </w:rPr>
              <w:t>—</w:t>
            </w:r>
          </w:p>
        </w:tc>
        <w:tc>
          <w:tcPr>
            <w:tcW w:w="60" w:type="dxa"/>
            <w:vAlign w:val="bottom"/>
            <w:shd w:val="clear" w:color="auto" w:fill="CCEEFF"/>
          </w:tcPr>
          <w:p>
            <w:pPr>
              <w:spacing w:after="0"/>
              <w:rPr>
                <w:sz w:val="16"/>
                <w:szCs w:val="16"/>
                <w:color w:val="auto"/>
              </w:rPr>
            </w:pPr>
          </w:p>
        </w:tc>
      </w:tr>
      <w:tr>
        <w:trPr>
          <w:trHeight w:val="205"/>
        </w:trPr>
        <w:tc>
          <w:tcPr>
            <w:tcW w:w="1006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580"/>
              <w:spacing w:after="0"/>
              <w:rPr>
                <w:sz w:val="20"/>
                <w:szCs w:val="20"/>
                <w:color w:val="auto"/>
              </w:rPr>
            </w:pPr>
            <w:r>
              <w:rPr>
                <w:rFonts w:ascii="Arial" w:cs="Arial" w:eastAsia="Arial" w:hAnsi="Arial"/>
                <w:sz w:val="17"/>
                <w:szCs w:val="17"/>
                <w:color w:val="auto"/>
              </w:rPr>
              <w:t>—</w:t>
            </w:r>
          </w:p>
        </w:tc>
      </w:tr>
      <w:tr>
        <w:trPr>
          <w:trHeight w:val="193"/>
        </w:trPr>
        <w:tc>
          <w:tcPr>
            <w:tcW w:w="10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0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accompanying notes are an integral part of this balance sheet.</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Balance Sheet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w:t>
      </w:r>
    </w:p>
    <w:p>
      <w:pPr>
        <w:spacing w:after="0" w:line="93"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ALX Oncology Holdings Inc., or the Company, was formed as a Delaware corporation on April 1, 2020, or Inception. The Company was formed for the purpose of completing the initial public offering and related transactions in order to carry on the business of ALX Oncology Limited. After Inception, ALX Oncology Limited became a wholly-owned subsidiary of the Corporation as result of the internal reorganization. As part of the transaction, all of the equity, option and warrant holders of ALX Oncology Limited became equity, option and warrant holders of the Company, holding the same number of corresponding shares, options and/or warrants in the Company as they did in ALX Oncology Limited immediately prior to the reorganization.</w:t>
      </w:r>
    </w:p>
    <w:p>
      <w:pPr>
        <w:spacing w:after="0" w:line="185" w:lineRule="exact"/>
        <w:rPr>
          <w:sz w:val="20"/>
          <w:szCs w:val="20"/>
          <w:color w:val="auto"/>
        </w:rPr>
      </w:pPr>
    </w:p>
    <w:p>
      <w:pPr>
        <w:ind w:left="120" w:right="7020" w:hanging="4"/>
        <w:spacing w:after="0" w:line="299" w:lineRule="auto"/>
        <w:tabs>
          <w:tab w:leader="none" w:pos="3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7"/>
          <w:szCs w:val="17"/>
          <w:b w:val="1"/>
          <w:bCs w:val="1"/>
          <w:i w:val="1"/>
          <w:iCs w:val="1"/>
          <w:color w:val="auto"/>
        </w:rPr>
        <w:t>Basis of Preparation</w:t>
      </w:r>
    </w:p>
    <w:p>
      <w:pPr>
        <w:ind w:left="120" w:right="120"/>
        <w:spacing w:after="0" w:line="238" w:lineRule="auto"/>
        <w:rPr>
          <w:sz w:val="20"/>
          <w:szCs w:val="20"/>
          <w:color w:val="auto"/>
        </w:rPr>
      </w:pPr>
      <w:r>
        <w:rPr>
          <w:rFonts w:ascii="Arial" w:cs="Arial" w:eastAsia="Arial" w:hAnsi="Arial"/>
          <w:sz w:val="17"/>
          <w:szCs w:val="17"/>
          <w:color w:val="auto"/>
        </w:rPr>
        <w:t>The balance sheet is presented in accordance with accounting principles generally accepted in the United States of America, or U.S. GAAP. The statements of operations and comprehensive loss, stockholders’ equity, and cash flows have not been presented because there have been no activities at inception of this entity.</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Underwriting Commissions and Offering Costs</w:t>
      </w:r>
    </w:p>
    <w:p>
      <w:pPr>
        <w:spacing w:after="0" w:line="54"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Underwriting commissions and offering costs to be incurred in connection with the Company’s common stock offerings will be reflected as a reduction in additional paid-in capital upon consummation of the equity financing.</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Organizational Costs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Organizational costs for costs incurred to organize the Company will be expensed as incurred.</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Stockholders’ Equity</w:t>
      </w:r>
    </w:p>
    <w:p>
      <w:pPr>
        <w:spacing w:after="0" w:line="8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The Company is authorized to issue 1,000 shares of common stock at $0.001 par value per share none of which are issued and outstanding as of inception on April 1, 2020.</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Subsequent Events</w:t>
      </w:r>
    </w:p>
    <w:p>
      <w:pPr>
        <w:spacing w:after="0" w:line="80"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On April 1, 2020 (subsequent to inception), the Company increased its authorized shares from 1,000 to 10,000,000,000 shares of common stock and 61,180,500 Series A convertible preferred stock 7,295,752 of Series B convertible preferred stock and 72,754,989 of Series C convertible preferred stock.</w:t>
      </w:r>
    </w:p>
    <w:p>
      <w:pPr>
        <w:spacing w:after="0" w:line="147"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On April 1, 2020 (subsequent to inception), the board of directors approved a new equity incentive plan, or the 2020 Equity Incentive Plan or the Plan, that replaced the 2015 Share Award Scheme. The Plan is for employees, non-employee directors and consultants covering 28,817,368 shares of the Company’s common stock and authorizes the award of stock options, restricted stock awards, stock appreciation rights and restricted stock units.</w:t>
      </w:r>
    </w:p>
    <w:p>
      <w:pPr>
        <w:spacing w:after="0" w:line="149"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On April 1, 2020 (subsequent to inception), the Company consummated the internal reorganization whereby the Company issued and sold to the existing shareholders of ALX Oncology Limited an aggregate of 20,840,532 shares of our common stock at purchase prices per share ranging from $0.001 to $0.29, an aggregate of 61,180,500 shares of our Series A convertible preferred stock at a purchase price per share of $1.00, an aggregate of 6,690,729 shares of our Series B convertible preferred stock at a purchase price per share of $1.4432 and an aggregate of 72,754,989 shares of our Series C convertible preferred stock at a purchase price per share of $1.4432, in exchange for promissory notes with an aggregate principal amount of $176.3 million. The Company also acquired 525,000,000 ordinary shares of ALX Oncology Limited in exchange for the promissory notes that were acquired in connection with such issuance and sale of the Company’s capital stock.</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Stockholders and Board of Directors</w:t>
      </w:r>
    </w:p>
    <w:p>
      <w:pPr>
        <w:ind w:left="120"/>
        <w:spacing w:after="0"/>
        <w:rPr>
          <w:sz w:val="20"/>
          <w:szCs w:val="20"/>
          <w:color w:val="auto"/>
        </w:rPr>
      </w:pPr>
      <w:r>
        <w:rPr>
          <w:rFonts w:ascii="Arial" w:cs="Arial" w:eastAsia="Arial" w:hAnsi="Arial"/>
          <w:sz w:val="17"/>
          <w:szCs w:val="17"/>
          <w:color w:val="auto"/>
        </w:rPr>
        <w:t>ALX Oncology Limited: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Opinion on the Consolidated Financial Statements</w:t>
      </w:r>
    </w:p>
    <w:p>
      <w:pPr>
        <w:spacing w:after="0" w:line="95"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audited the accompanying consolidated balance sheets of ALX Oncology Limited and subsidiaries (the Company) as of December 31, 2018 and 2019, the related consolidated statements of operations and comprehensive loss, convertible preferred shares and shareholders’ deficit, and cash flows for each of the years in the two-year period ended December 31, 2019, and the related notes (collectively, the consolidated financial statements). In our opinion, the consolidated financial statements present fairly, in all material respects, the financial position of the Company as of December 31, 2018 and 2019, and the results of its operations and its cash flows for each of the years in the two-year period ended December 31, 2019, in conformity with U.S. generally accepted accounting principles.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81"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KPMG LLP</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served as the Company’s auditor since 2016.</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San Francisco, California</w:t>
      </w:r>
    </w:p>
    <w:p>
      <w:pPr>
        <w:ind w:left="120"/>
        <w:spacing w:after="0"/>
        <w:rPr>
          <w:sz w:val="20"/>
          <w:szCs w:val="20"/>
          <w:color w:val="auto"/>
        </w:rPr>
      </w:pPr>
      <w:r>
        <w:rPr>
          <w:rFonts w:ascii="Arial" w:cs="Arial" w:eastAsia="Arial" w:hAnsi="Arial"/>
          <w:sz w:val="17"/>
          <w:szCs w:val="17"/>
          <w:color w:val="auto"/>
        </w:rPr>
        <w:t>May 5, 2020</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8,262</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Receivables due from related-party</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1,014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10,208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9,809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956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11,164</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10,676</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shares and shareholders’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697</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3,748</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1,176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1,236</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1,873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4,984</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Term loan</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5,421</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Other long-term liabilities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rent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2,009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10,952</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 (Note 8)</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0" w:type="dxa"/>
            <w:vAlign w:val="bottom"/>
          </w:tcPr>
          <w:p>
            <w:pPr>
              <w:spacing w:after="0" w:line="183" w:lineRule="exact"/>
              <w:rPr>
                <w:sz w:val="20"/>
                <w:szCs w:val="20"/>
                <w:color w:val="auto"/>
              </w:rPr>
            </w:pPr>
            <w:r>
              <w:rPr>
                <w:rFonts w:ascii="Arial" w:cs="Arial" w:eastAsia="Arial" w:hAnsi="Arial"/>
                <w:sz w:val="17"/>
                <w:szCs w:val="17"/>
                <w:color w:val="auto"/>
              </w:rPr>
              <w:t>Series A convertible preferred shares, $0.001 par value; 62,000,000 shares authorized; 61,180,500 shares issued and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outstanding at December 31, 2018 and 2019, respectively; aggregate liquidation preference of $69,863 and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00" w:type="dxa"/>
            <w:vAlign w:val="bottom"/>
          </w:tcPr>
          <w:p>
            <w:pPr>
              <w:ind w:left="240"/>
              <w:spacing w:after="0"/>
              <w:rPr>
                <w:sz w:val="20"/>
                <w:szCs w:val="20"/>
                <w:color w:val="auto"/>
              </w:rPr>
            </w:pPr>
            <w:r>
              <w:rPr>
                <w:rFonts w:ascii="Arial" w:cs="Arial" w:eastAsia="Arial" w:hAnsi="Arial"/>
                <w:sz w:val="17"/>
                <w:szCs w:val="17"/>
                <w:color w:val="auto"/>
              </w:rPr>
              <w:t>$73,571 as of December 31, 2018 and 2019, respectively</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60,933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60,933</w:t>
            </w:r>
          </w:p>
        </w:tc>
        <w:tc>
          <w:tcPr>
            <w:tcW w:w="0" w:type="dxa"/>
            <w:vAlign w:val="bottom"/>
          </w:tcPr>
          <w:p>
            <w:pPr>
              <w:spacing w:after="0"/>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B convertible preferred shares, $0.001 par value; 14,117,822 shares authorized; 0 and 6,690,729 shares issued</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and outstanding at December 31, 2018 and 2019, respectively; aggregate liquidation preference of $0 and $10,014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as of December 31, 2018 and 2019, respectively</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9,430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Shareholders’ equity (deficit):</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Ordinary shares, $0.001 par value; 10,000,000,000 shares authorized; 20,806,306 and 20,840,532 shares issued and</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outstanding at December 31, 2018 and 2019, respectively</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1,740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2,122</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7"/>
              </w:rPr>
              <w:t>(53,539)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7"/>
              </w:rPr>
              <w:t>(72,782)</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shareholders’ equity (deficit)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(51,778)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(70,639)</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liabilities, convertible preferred shares and shareholders’ equity (deficit)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11,164</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10,676</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74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Related-party revenue</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2,067</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4,796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11,270</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16,306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720"/>
              <w:spacing w:after="0" w:line="189" w:lineRule="exact"/>
              <w:rPr>
                <w:sz w:val="20"/>
                <w:szCs w:val="20"/>
                <w:color w:val="auto"/>
              </w:rPr>
            </w:pPr>
            <w:r>
              <w:rPr>
                <w:rFonts w:ascii="Arial" w:cs="Arial" w:eastAsia="Arial" w:hAnsi="Arial"/>
                <w:sz w:val="17"/>
                <w:szCs w:val="17"/>
                <w:color w:val="auto"/>
              </w:rPr>
              <w:t>2,601</w:t>
            </w:r>
          </w:p>
        </w:tc>
        <w:tc>
          <w:tcPr>
            <w:tcW w:w="100" w:type="dxa"/>
            <w:vAlign w:val="bottom"/>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3,313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5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1,880</w:t>
            </w:r>
          </w:p>
        </w:tc>
        <w:tc>
          <w:tcPr>
            <w:tcW w:w="7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4,360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500"/>
              <w:spacing w:after="0"/>
              <w:rPr>
                <w:sz w:val="20"/>
                <w:szCs w:val="20"/>
                <w:color w:val="auto"/>
              </w:rPr>
            </w:pPr>
            <w:r>
              <w:rPr>
                <w:rFonts w:ascii="Arial" w:cs="Arial" w:eastAsia="Arial" w:hAnsi="Arial"/>
                <w:sz w:val="17"/>
                <w:szCs w:val="17"/>
                <w:color w:val="auto"/>
              </w:rPr>
              <w:t>Total operating expenses</w:t>
            </w:r>
          </w:p>
        </w:tc>
        <w:tc>
          <w:tcPr>
            <w:tcW w:w="5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7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23,979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(13,684)</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(19,183)</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7"/>
                <w:szCs w:val="17"/>
                <w:color w:val="auto"/>
              </w:rPr>
              <w:t>(13,686)</w:t>
            </w: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(19,209)</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7"/>
                <w:szCs w:val="17"/>
                <w:color w:val="auto"/>
              </w:rPr>
              <w:t>(13,731)</w:t>
            </w: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(19,243)</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(3,671)</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gridSpan w:val="2"/>
          </w:tcPr>
          <w:p>
            <w:pPr>
              <w:jc w:val="right"/>
              <w:ind w:right="660"/>
              <w:spacing w:after="0"/>
              <w:rPr>
                <w:sz w:val="20"/>
                <w:szCs w:val="20"/>
                <w:color w:val="auto"/>
              </w:rPr>
            </w:pPr>
            <w:r>
              <w:rPr>
                <w:rFonts w:ascii="Arial" w:cs="Arial" w:eastAsia="Arial" w:hAnsi="Arial"/>
                <w:sz w:val="17"/>
                <w:szCs w:val="17"/>
                <w:color w:val="auto"/>
              </w:rPr>
              <w:t>(17,402)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(23,271)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6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660"/>
              <w:spacing w:after="0" w:line="183" w:lineRule="exact"/>
              <w:rPr>
                <w:sz w:val="20"/>
                <w:szCs w:val="20"/>
                <w:color w:val="auto"/>
              </w:rPr>
            </w:pPr>
            <w:r>
              <w:rPr>
                <w:rFonts w:ascii="Arial" w:cs="Arial" w:eastAsia="Arial" w:hAnsi="Arial"/>
                <w:sz w:val="17"/>
                <w:szCs w:val="17"/>
                <w:color w:val="auto"/>
              </w:rPr>
              <w:t>(0.96)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net loss per share attributable to ordinary</w:t>
            </w: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Arial" w:cs="Arial" w:eastAsia="Arial" w:hAnsi="Arial"/>
                <w:sz w:val="17"/>
                <w:szCs w:val="17"/>
                <w:color w:val="auto"/>
              </w:rPr>
              <w:t>shareholders, basic and diluted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7"/>
                <w:szCs w:val="17"/>
                <w:color w:val="auto"/>
                <w:w w:val="98"/>
              </w:rPr>
              <w:t>18,102,402</w:t>
            </w:r>
          </w:p>
        </w:tc>
        <w:tc>
          <w:tcPr>
            <w:tcW w:w="1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20,245,115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 forma net loss attributable to ordinary shareholders per share, basic and diluted (unaudited)</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pro forma net loss per share attributable to</w:t>
            </w: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740" w:type="dxa"/>
            <w:vAlign w:val="bottom"/>
          </w:tcPr>
          <w:p>
            <w:pPr>
              <w:ind w:left="240"/>
              <w:spacing w:after="0"/>
              <w:rPr>
                <w:sz w:val="20"/>
                <w:szCs w:val="20"/>
                <w:color w:val="auto"/>
              </w:rPr>
            </w:pPr>
            <w:r>
              <w:rPr>
                <w:rFonts w:ascii="Arial" w:cs="Arial" w:eastAsia="Arial" w:hAnsi="Arial"/>
                <w:sz w:val="17"/>
                <w:szCs w:val="17"/>
                <w:color w:val="auto"/>
              </w:rPr>
              <w:t>ordinary shareholders, basic and diluted (unaudited)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94,274,058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Consolidated Statements of Convertible Preferred Shares and Shareholders’ Deficit</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16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PREFERRED SHARES</w:t>
            </w:r>
          </w:p>
        </w:tc>
        <w:tc>
          <w:tcPr>
            <w:tcW w:w="0" w:type="dxa"/>
            <w:vAlign w:val="bottom"/>
          </w:tcPr>
          <w:p>
            <w:pPr>
              <w:spacing w:after="0"/>
              <w:rPr>
                <w:sz w:val="1"/>
                <w:szCs w:val="1"/>
                <w:color w:val="auto"/>
              </w:rPr>
            </w:pPr>
          </w:p>
        </w:tc>
      </w:tr>
      <w:tr>
        <w:trPr>
          <w:trHeight w:val="155"/>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2017</w:t>
            </w:r>
          </w:p>
        </w:tc>
        <w:tc>
          <w:tcPr>
            <w:tcW w:w="7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7"/>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0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61,180,500</w:t>
            </w:r>
          </w:p>
        </w:tc>
        <w:tc>
          <w:tcPr>
            <w:tcW w:w="3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Exercise of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Repurchase of ordinary shares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Repurchase of unvested early exercised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40"/>
              <w:spacing w:after="0"/>
              <w:rPr>
                <w:sz w:val="20"/>
                <w:szCs w:val="20"/>
                <w:color w:val="auto"/>
              </w:rPr>
            </w:pPr>
            <w:r>
              <w:rPr>
                <w:rFonts w:ascii="Arial" w:cs="Arial" w:eastAsia="Arial" w:hAnsi="Arial"/>
                <w:sz w:val="14"/>
                <w:szCs w:val="14"/>
                <w:color w:val="auto"/>
              </w:rPr>
              <w:t>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10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100" w:type="dxa"/>
            <w:vAlign w:val="bottom"/>
          </w:tcPr>
          <w:p>
            <w:pPr>
              <w:spacing w:after="0"/>
              <w:rPr>
                <w:sz w:val="20"/>
                <w:szCs w:val="20"/>
                <w:color w:val="auto"/>
              </w:rPr>
            </w:pPr>
            <w:r>
              <w:rPr>
                <w:rFonts w:ascii="Arial" w:cs="Arial" w:eastAsia="Arial" w:hAnsi="Arial"/>
                <w:sz w:val="14"/>
                <w:szCs w:val="14"/>
                <w:b w:val="1"/>
                <w:bCs w:val="1"/>
                <w:color w:val="auto"/>
              </w:rPr>
              <w:t>Balance as of December 31, 2018</w:t>
            </w:r>
          </w:p>
        </w:tc>
        <w:tc>
          <w:tcPr>
            <w:tcW w:w="780" w:type="dxa"/>
            <w:vAlign w:val="bottom"/>
          </w:tcPr>
          <w:p>
            <w:pPr>
              <w:jc w:val="right"/>
              <w:spacing w:after="0"/>
              <w:rPr>
                <w:sz w:val="20"/>
                <w:szCs w:val="20"/>
                <w:color w:val="auto"/>
              </w:rPr>
            </w:pPr>
            <w:r>
              <w:rPr>
                <w:rFonts w:ascii="Arial" w:cs="Arial" w:eastAsia="Arial" w:hAnsi="Arial"/>
                <w:sz w:val="14"/>
                <w:szCs w:val="14"/>
                <w:color w:val="auto"/>
              </w:rPr>
              <w:t>61,180,500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Issuance of Series B convertible preferred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40"/>
              <w:spacing w:after="0"/>
              <w:rPr>
                <w:sz w:val="20"/>
                <w:szCs w:val="20"/>
                <w:color w:val="auto"/>
              </w:rPr>
            </w:pPr>
            <w:r>
              <w:rPr>
                <w:rFonts w:ascii="Arial" w:cs="Arial" w:eastAsia="Arial" w:hAnsi="Arial"/>
                <w:sz w:val="14"/>
                <w:szCs w:val="14"/>
                <w:color w:val="auto"/>
              </w:rPr>
              <w:t>shares, net of issuance costs of $226</w:t>
            </w:r>
          </w:p>
        </w:tc>
        <w:tc>
          <w:tcPr>
            <w:tcW w:w="780" w:type="dxa"/>
            <w:vAlign w:val="bottom"/>
          </w:tcPr>
          <w:p>
            <w:pPr>
              <w:jc w:val="right"/>
              <w:spacing w:after="0"/>
              <w:rPr>
                <w:sz w:val="20"/>
                <w:szCs w:val="20"/>
                <w:color w:val="auto"/>
              </w:rPr>
            </w:pPr>
            <w:r>
              <w:rPr>
                <w:rFonts w:ascii="Arial" w:cs="Arial" w:eastAsia="Arial" w:hAnsi="Arial"/>
                <w:sz w:val="14"/>
                <w:szCs w:val="14"/>
                <w:color w:val="auto"/>
              </w:rPr>
              <w:t>6,690,729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9,430</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Exercise of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10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100" w:type="dxa"/>
            <w:vAlign w:val="bottom"/>
          </w:tcPr>
          <w:p>
            <w:pPr>
              <w:spacing w:after="0"/>
              <w:rPr>
                <w:sz w:val="20"/>
                <w:szCs w:val="20"/>
                <w:color w:val="auto"/>
              </w:rPr>
            </w:pPr>
            <w:r>
              <w:rPr>
                <w:rFonts w:ascii="Arial" w:cs="Arial" w:eastAsia="Arial" w:hAnsi="Arial"/>
                <w:sz w:val="14"/>
                <w:szCs w:val="14"/>
                <w:b w:val="1"/>
                <w:bCs w:val="1"/>
                <w:color w:val="auto"/>
              </w:rPr>
              <w:t>Balance as of December 31, 2019</w:t>
            </w:r>
          </w:p>
        </w:tc>
        <w:tc>
          <w:tcPr>
            <w:tcW w:w="780" w:type="dxa"/>
            <w:vAlign w:val="bottom"/>
          </w:tcPr>
          <w:p>
            <w:pPr>
              <w:jc w:val="right"/>
              <w:spacing w:after="0"/>
              <w:rPr>
                <w:sz w:val="20"/>
                <w:szCs w:val="20"/>
                <w:color w:val="auto"/>
              </w:rPr>
            </w:pPr>
            <w:r>
              <w:rPr>
                <w:rFonts w:ascii="Arial" w:cs="Arial" w:eastAsia="Arial" w:hAnsi="Arial"/>
                <w:sz w:val="14"/>
                <w:szCs w:val="14"/>
                <w:color w:val="auto"/>
              </w:rPr>
              <w:t>67,871,229</w:t>
            </w:r>
          </w:p>
        </w:tc>
        <w:tc>
          <w:tcPr>
            <w:tcW w:w="3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2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rPr>
              <w:t>ORDINARY SHARES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9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PAID-IN</w:t>
            </w:r>
          </w:p>
        </w:tc>
        <w:tc>
          <w:tcPr>
            <w:tcW w:w="1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55"/>
        </w:trPr>
        <w:tc>
          <w:tcPr>
            <w:tcW w:w="7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Pr>
          <w:p>
            <w:pPr>
              <w:jc w:val="right"/>
              <w:spacing w:after="0"/>
              <w:rPr>
                <w:sz w:val="20"/>
                <w:szCs w:val="20"/>
                <w:color w:val="auto"/>
              </w:rPr>
            </w:pPr>
            <w:r>
              <w:rPr>
                <w:rFonts w:ascii="Arial" w:cs="Arial" w:eastAsia="Arial" w:hAnsi="Arial"/>
                <w:sz w:val="14"/>
                <w:szCs w:val="14"/>
                <w:color w:val="auto"/>
              </w:rPr>
              <w:t>21,093,705</w:t>
            </w:r>
          </w:p>
        </w:tc>
        <w:tc>
          <w:tcPr>
            <w:tcW w:w="26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1,372</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(39,808)</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(38,415)</w:t>
            </w:r>
          </w:p>
        </w:tc>
        <w:tc>
          <w:tcPr>
            <w:tcW w:w="0" w:type="dxa"/>
            <w:vAlign w:val="bottom"/>
          </w:tcPr>
          <w:p>
            <w:pPr>
              <w:spacing w:after="0"/>
              <w:rPr>
                <w:sz w:val="1"/>
                <w:szCs w:val="1"/>
                <w:color w:val="auto"/>
              </w:rPr>
            </w:pPr>
          </w:p>
        </w:tc>
      </w:tr>
      <w:tr>
        <w:trPr>
          <w:trHeight w:val="162"/>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45,505</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(287,500)</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314"/>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(45,404)</w:t>
            </w:r>
          </w:p>
        </w:tc>
        <w:tc>
          <w:tcPr>
            <w:tcW w:w="280" w:type="dxa"/>
            <w:vAlign w:val="bottom"/>
          </w:tcPr>
          <w:p>
            <w:pPr>
              <w:spacing w:after="0"/>
              <w:rPr>
                <w:sz w:val="24"/>
                <w:szCs w:val="2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57"/>
        </w:trPr>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(13,731)</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(13,731)</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0" w:type="dxa"/>
            <w:vAlign w:val="bottom"/>
          </w:tcPr>
          <w:p>
            <w:pPr>
              <w:jc w:val="right"/>
              <w:spacing w:after="0"/>
              <w:rPr>
                <w:sz w:val="20"/>
                <w:szCs w:val="20"/>
                <w:color w:val="auto"/>
              </w:rPr>
            </w:pPr>
            <w:r>
              <w:rPr>
                <w:rFonts w:ascii="Arial" w:cs="Arial" w:eastAsia="Arial" w:hAnsi="Arial"/>
                <w:sz w:val="14"/>
                <w:szCs w:val="14"/>
                <w:color w:val="auto"/>
              </w:rPr>
              <w:t>20,806,306</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1,740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(53,539)</w:t>
            </w:r>
          </w:p>
        </w:tc>
        <w:tc>
          <w:tcPr>
            <w:tcW w:w="2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(51,778)</w:t>
            </w:r>
          </w:p>
        </w:tc>
        <w:tc>
          <w:tcPr>
            <w:tcW w:w="0" w:type="dxa"/>
            <w:vAlign w:val="bottom"/>
          </w:tcPr>
          <w:p>
            <w:pPr>
              <w:spacing w:after="0"/>
              <w:rPr>
                <w:sz w:val="1"/>
                <w:szCs w:val="1"/>
                <w:color w:val="auto"/>
              </w:rPr>
            </w:pPr>
          </w:p>
        </w:tc>
      </w:tr>
      <w:tr>
        <w:trPr>
          <w:trHeight w:val="314"/>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34,226</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57"/>
        </w:trPr>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(19,243)</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(19,243)</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0" w:type="dxa"/>
            <w:vAlign w:val="bottom"/>
          </w:tcPr>
          <w:p>
            <w:pPr>
              <w:jc w:val="right"/>
              <w:spacing w:after="0"/>
              <w:rPr>
                <w:sz w:val="20"/>
                <w:szCs w:val="20"/>
                <w:color w:val="auto"/>
              </w:rPr>
            </w:pPr>
            <w:r>
              <w:rPr>
                <w:rFonts w:ascii="Arial" w:cs="Arial" w:eastAsia="Arial" w:hAnsi="Arial"/>
                <w:sz w:val="14"/>
                <w:szCs w:val="14"/>
                <w:color w:val="auto"/>
              </w:rPr>
              <w:t>20,840,532</w:t>
            </w:r>
          </w:p>
        </w:tc>
        <w:tc>
          <w:tcPr>
            <w:tcW w:w="2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2,122</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(72,782)</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(70,639)</w:t>
            </w:r>
          </w:p>
        </w:tc>
        <w:tc>
          <w:tcPr>
            <w:tcW w:w="0" w:type="dxa"/>
            <w:vAlign w:val="bottom"/>
          </w:tcPr>
          <w:p>
            <w:pPr>
              <w:spacing w:after="0"/>
              <w:rPr>
                <w:sz w:val="1"/>
                <w:szCs w:val="1"/>
                <w:color w:val="auto"/>
              </w:rPr>
            </w:pPr>
          </w:p>
        </w:tc>
      </w:tr>
      <w:tr>
        <w:trPr>
          <w:trHeight w:val="188"/>
        </w:trPr>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-3329305</wp:posOffset>
            </wp:positionH>
            <wp:positionV relativeFrom="paragraph">
              <wp:posOffset>-1953895</wp:posOffset>
            </wp:positionV>
            <wp:extent cx="6995160" cy="18002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800225"/>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137160</wp:posOffset>
            </wp:positionV>
            <wp:extent cx="69951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500"/>
            <w:col w:w="5720"/>
          </w:cols>
          <w:pgMar w:left="320" w:top="459" w:right="499" w:bottom="1440" w:gutter="0" w:footer="0" w:header="0"/>
          <w:type w:val="continuous"/>
        </w:sectPr>
      </w:pP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080"/>
          </w:cols>
          <w:pgMar w:left="320" w:top="459" w:right="499" w:bottom="1440" w:gutter="0" w:footer="0" w:header="0"/>
          <w:type w:val="continuous"/>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9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Operating activities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w w:val="97"/>
              </w:rPr>
              <w:t>(13,731)</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(19,243)</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Depreciation and amortization expense</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431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Share-based compensation expense</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Amortization of term loan discount and issuance costs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Receivables due from related-party</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(932)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897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(269)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2,976</w:t>
            </w: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Deferred rent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760"/>
              <w:spacing w:after="0"/>
              <w:rPr>
                <w:sz w:val="20"/>
                <w:szCs w:val="20"/>
                <w:color w:val="auto"/>
              </w:rPr>
            </w:pPr>
            <w:r>
              <w:rPr>
                <w:rFonts w:ascii="Arial" w:cs="Arial" w:eastAsia="Arial" w:hAnsi="Arial"/>
                <w:sz w:val="17"/>
                <w:szCs w:val="17"/>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(13,190)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(14,249)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Investing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Purchase of property and equipment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196"/>
        </w:trPr>
        <w:tc>
          <w:tcPr>
            <w:tcW w:w="920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related parties for issuance of Series B convertible preferred shares, net of issuance costs of $164</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6,829</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Proceeds from issuance of Series B convertible preferred shares, net of issuance costs of $62</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2,601</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ordinary shares under equity incentive plan</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Cash paid for repurchase of ordinary shares</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term loan, net of issuance costs of $83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5,917</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15,357</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(decrease) increase in cash</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7"/>
              </w:rPr>
              <w:t>(13,842)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755</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Cash at beginning of year</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22,104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8,262</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at end of year</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8,262</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Fair value of compound derivative liability and warrant liability related to term loan</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Vesting of early exercised share options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83" w:lineRule="exact"/>
              <w:rPr>
                <w:sz w:val="20"/>
                <w:szCs w:val="20"/>
                <w:color w:val="auto"/>
              </w:rPr>
            </w:pPr>
            <w:r>
              <w:rPr>
                <w:rFonts w:ascii="Arial" w:cs="Arial" w:eastAsia="Arial" w:hAnsi="Arial"/>
                <w:sz w:val="17"/>
                <w:szCs w:val="17"/>
                <w:color w:val="auto"/>
              </w:rPr>
              <w:t>92</w:t>
            </w:r>
          </w:p>
        </w:tc>
        <w:tc>
          <w:tcPr>
            <w:tcW w:w="2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Acquisition of property and equipment in accounts payable</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Debt issuance costs in accounts payable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200" w:type="dxa"/>
            <w:vAlign w:val="bottom"/>
            <w:vMerge w:val="continue"/>
          </w:tcPr>
          <w:p>
            <w:pPr>
              <w:spacing w:after="0"/>
              <w:rPr>
                <w:sz w:val="16"/>
                <w:szCs w:val="16"/>
                <w:color w:val="auto"/>
              </w:rPr>
            </w:pPr>
          </w:p>
        </w:tc>
        <w:tc>
          <w:tcPr>
            <w:tcW w:w="10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93" w:lineRule="exact"/>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93"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93"/>
        </w:trPr>
        <w:tc>
          <w:tcPr>
            <w:tcW w:w="9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Organization</w:t>
      </w:r>
    </w:p>
    <w:p>
      <w:pPr>
        <w:spacing w:after="0" w:line="93" w:lineRule="exact"/>
        <w:rPr>
          <w:rFonts w:ascii="Arial" w:cs="Arial" w:eastAsia="Arial" w:hAnsi="Arial"/>
          <w:sz w:val="17"/>
          <w:szCs w:val="17"/>
          <w:b w:val="1"/>
          <w:bCs w:val="1"/>
          <w:color w:val="auto"/>
        </w:rPr>
      </w:pPr>
    </w:p>
    <w:p>
      <w:pPr>
        <w:ind w:left="560" w:right="460"/>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Alexo Therapeutics Limited, or the Company, was initially incorporated in Ireland on March 13, 2015 and changed its name to ALX Oncology Limited on October 11, 2018. The Company is a clinical-stage immuno-oncology company focused on helping patients fight cancer by developing therapies that block the CD47 checkpoint pathway and bridge the innate and adaptive immune system.</w:t>
      </w:r>
    </w:p>
    <w:p>
      <w:pPr>
        <w:spacing w:after="0" w:line="93" w:lineRule="exact"/>
        <w:rPr>
          <w:rFonts w:ascii="Arial" w:cs="Arial" w:eastAsia="Arial" w:hAnsi="Arial"/>
          <w:sz w:val="17"/>
          <w:szCs w:val="17"/>
          <w:b w:val="1"/>
          <w:bCs w:val="1"/>
          <w:color w:val="auto"/>
        </w:rPr>
      </w:pPr>
    </w:p>
    <w:p>
      <w:pPr>
        <w:jc w:val="both"/>
        <w:ind w:left="560" w:right="8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The Company owns a direct subsidiary, ALX Oncology Inc., incorporated in the United States, as well as a direct subsidiary incorporated in Malta, Alexo International Holdings Ltd. The Company also has two indirect subsidiaries, Alexo Therapeutics International, incorporated in the Cayman Islands, which is a wholly-owned subsidiary of Alexo International Holdings Ltd. and Sirpant Therapeutics, incorporated in the Cayman Islands, which is a wholly-owned subsidiary of Alexo Therapeutics International, collectively, the Subsidiaries.</w:t>
      </w:r>
    </w:p>
    <w:p>
      <w:pPr>
        <w:spacing w:after="0" w:line="95" w:lineRule="exact"/>
        <w:rPr>
          <w:rFonts w:ascii="Arial" w:cs="Arial" w:eastAsia="Arial" w:hAnsi="Arial"/>
          <w:sz w:val="17"/>
          <w:szCs w:val="17"/>
          <w:b w:val="1"/>
          <w:bCs w:val="1"/>
          <w:color w:val="auto"/>
        </w:rPr>
      </w:pPr>
    </w:p>
    <w:p>
      <w:pPr>
        <w:ind w:left="560" w:right="8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Company completed an internal reorganization transaction in April 2020, pursuant to which ALX Oncology Limited became a wholly-owned subsidiary of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reorganization (Note 13).</w:t>
      </w:r>
    </w:p>
    <w:p>
      <w:pPr>
        <w:spacing w:after="0" w:line="133"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Basis of Preparation</w:t>
      </w:r>
    </w:p>
    <w:p>
      <w:pPr>
        <w:spacing w:after="0" w:line="79" w:lineRule="exact"/>
        <w:rPr>
          <w:rFonts w:ascii="Arial" w:cs="Arial" w:eastAsia="Arial" w:hAnsi="Arial"/>
          <w:sz w:val="17"/>
          <w:szCs w:val="17"/>
          <w:b w:val="1"/>
          <w:bCs w:val="1"/>
          <w:color w:val="auto"/>
        </w:rPr>
      </w:pPr>
    </w:p>
    <w:p>
      <w:pPr>
        <w:ind w:left="560" w:right="34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These consolidated financial statements have been prepared in accordance with accounting principles generally accepted in the United States of America, or U.S. GAAP.</w:t>
      </w:r>
    </w:p>
    <w:p>
      <w:pPr>
        <w:spacing w:after="0" w:line="12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Principles of Consolidation</w:t>
      </w:r>
    </w:p>
    <w:p>
      <w:pPr>
        <w:spacing w:after="0" w:line="7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color w:val="auto"/>
        </w:rPr>
        <w:t>All intercompany balances and transactions have been eliminated in consolidation.</w:t>
      </w:r>
    </w:p>
    <w:p>
      <w:pPr>
        <w:spacing w:after="0" w:line="13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Unaudited Pro Forma Information</w:t>
      </w:r>
    </w:p>
    <w:p>
      <w:pPr>
        <w:spacing w:after="0" w:line="93" w:lineRule="exact"/>
        <w:rPr>
          <w:rFonts w:ascii="Arial" w:cs="Arial" w:eastAsia="Arial" w:hAnsi="Arial"/>
          <w:sz w:val="17"/>
          <w:szCs w:val="17"/>
          <w:b w:val="1"/>
          <w:bCs w:val="1"/>
          <w:color w:val="auto"/>
        </w:rPr>
      </w:pPr>
    </w:p>
    <w:p>
      <w:pPr>
        <w:ind w:left="560" w:right="24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Immediately prior to the completion of this offering, all outstanding convertible preferred shares will automatically convert into ordinary shares. Unaudited pro forma basic and diluted net loss per share has been computed to give effect to the conversion of all outstanding convertible preferred shares and cumulative dividends on the convertible preferred shares into ordinary shares. The unaudited pro forma net loss per share does not include the shares expected to be sold and related proceeds to be received from the initial public offering.</w:t>
      </w:r>
    </w:p>
    <w:p>
      <w:pPr>
        <w:spacing w:after="0" w:line="132"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Need for Additional Capital</w:t>
      </w:r>
    </w:p>
    <w:p>
      <w:pPr>
        <w:spacing w:after="0" w:line="79" w:lineRule="exact"/>
        <w:rPr>
          <w:rFonts w:ascii="Arial" w:cs="Arial" w:eastAsia="Arial" w:hAnsi="Arial"/>
          <w:sz w:val="17"/>
          <w:szCs w:val="17"/>
          <w:b w:val="1"/>
          <w:bCs w:val="1"/>
          <w:color w:val="auto"/>
        </w:rPr>
      </w:pPr>
    </w:p>
    <w:p>
      <w:pPr>
        <w:ind w:left="560" w:right="4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Since commencing operations, none of the Company’s product candidates have received marketing approval from the U.S. Food and Drug Administration, or FDA, or any other federal, state, local or foreign governmental or regulatory authority and therefore the Company has not generated any revenue from drug product sales. The Company had an accumulated deficit of $72.8 million as of December 31, 2019 and management does not expect to experience positive cash flows in the foreseeable future. Based on management’s current plans, management believes cash of $9.0 million as of December 31, 2019, along with the $105.0 million of gross proceeds from the issuance of Series C convertible preferred shares in February 2020 (Note 13), are sufficient to fund operations through at least one year from the date of the issuance of these consolidated financial statements.</w:t>
      </w:r>
    </w:p>
    <w:p>
      <w:pPr>
        <w:spacing w:after="0" w:line="150" w:lineRule="exact"/>
        <w:rPr>
          <w:rFonts w:ascii="Arial" w:cs="Arial" w:eastAsia="Arial" w:hAnsi="Arial"/>
          <w:sz w:val="17"/>
          <w:szCs w:val="17"/>
          <w:b w:val="1"/>
          <w:bCs w:val="1"/>
          <w:color w:val="auto"/>
        </w:rPr>
      </w:pPr>
    </w:p>
    <w:p>
      <w:pPr>
        <w:ind w:left="5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Management expects to incur additional losses in the future to conduct product candidate research and development and to conduct pre-commercialization activities and recognizes the need to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20"/>
        <w:spacing w:after="0" w:line="238" w:lineRule="auto"/>
        <w:rPr>
          <w:sz w:val="20"/>
          <w:szCs w:val="20"/>
          <w:color w:val="auto"/>
        </w:rPr>
      </w:pPr>
      <w:r>
        <w:rPr>
          <w:rFonts w:ascii="Arial" w:cs="Arial" w:eastAsia="Arial" w:hAnsi="Arial"/>
          <w:sz w:val="17"/>
          <w:szCs w:val="17"/>
          <w:color w:val="auto"/>
        </w:rPr>
        <w:t>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Use of Estimates</w:t>
      </w:r>
    </w:p>
    <w:p>
      <w:pPr>
        <w:spacing w:after="0" w:line="93" w:lineRule="exact"/>
        <w:rPr>
          <w:sz w:val="20"/>
          <w:szCs w:val="20"/>
          <w:color w:val="auto"/>
        </w:rPr>
      </w:pPr>
    </w:p>
    <w:p>
      <w:pPr>
        <w:ind w:left="560" w:right="160"/>
        <w:spacing w:after="0" w:line="234"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Series B convertible preferred shares warrant liability, term loan compound derivative liability, term loan, valuation of ordinary shares, income taxes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Cash</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holds its cash in checking and interest-bearing accounts.</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Concentration of Credit Risk and Other Risks and Uncertainties</w:t>
      </w:r>
    </w:p>
    <w:p>
      <w:pPr>
        <w:spacing w:after="0" w:line="80" w:lineRule="exact"/>
        <w:rPr>
          <w:sz w:val="20"/>
          <w:szCs w:val="20"/>
          <w:color w:val="auto"/>
        </w:rPr>
      </w:pPr>
    </w:p>
    <w:p>
      <w:pPr>
        <w:ind w:left="560" w:right="280"/>
        <w:spacing w:after="0" w:line="238"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The Company maintains deposits in federally insured financial institutions in excess of federally insured limits. The Company is exposed to credit risk in the event of default by the financial institutions holding its cash. The Company has not experienced any losses on its deposits of cash.</w:t>
      </w:r>
    </w:p>
    <w:p>
      <w:pPr>
        <w:spacing w:after="0" w:line="147" w:lineRule="exact"/>
        <w:rPr>
          <w:sz w:val="20"/>
          <w:szCs w:val="20"/>
          <w:color w:val="auto"/>
        </w:rPr>
      </w:pPr>
    </w:p>
    <w:p>
      <w:pPr>
        <w:ind w:left="560" w:right="20"/>
        <w:spacing w:after="0" w:line="235" w:lineRule="auto"/>
        <w:rPr>
          <w:sz w:val="20"/>
          <w:szCs w:val="20"/>
          <w:color w:val="auto"/>
        </w:rPr>
      </w:pPr>
      <w:r>
        <w:rPr>
          <w:rFonts w:ascii="Arial" w:cs="Arial" w:eastAsia="Arial" w:hAnsi="Arial"/>
          <w:sz w:val="17"/>
          <w:szCs w:val="17"/>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50" w:lineRule="exact"/>
        <w:rPr>
          <w:sz w:val="20"/>
          <w:szCs w:val="20"/>
          <w:color w:val="auto"/>
        </w:rPr>
      </w:pPr>
    </w:p>
    <w:p>
      <w:pPr>
        <w:ind w:left="560" w:right="120"/>
        <w:spacing w:after="0" w:line="236" w:lineRule="auto"/>
        <w:rPr>
          <w:sz w:val="20"/>
          <w:szCs w:val="20"/>
          <w:color w:val="auto"/>
        </w:rPr>
      </w:pPr>
      <w:r>
        <w:rPr>
          <w:rFonts w:ascii="Arial" w:cs="Arial" w:eastAsia="Arial" w:hAnsi="Arial"/>
          <w:sz w:val="17"/>
          <w:szCs w:val="17"/>
          <w:color w:val="auto"/>
        </w:rPr>
        <w:t>The Company’s product candidates require approvals from the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Property and Equipment</w:t>
      </w:r>
    </w:p>
    <w:p>
      <w:pPr>
        <w:spacing w:after="0" w:line="93" w:lineRule="exact"/>
        <w:rPr>
          <w:sz w:val="20"/>
          <w:szCs w:val="20"/>
          <w:color w:val="auto"/>
        </w:rPr>
      </w:pPr>
    </w:p>
    <w:p>
      <w:pPr>
        <w:ind w:left="560" w:right="80"/>
        <w:spacing w:after="0" w:line="235"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provided using the straight-line method over the estimated useful lives of the assets (Note 3). Upon sale or retirement of assets, the cost and related accumulated depreciation or amortization are removed from the consolidated balance sheet and the resulting gain or loss is reflected in the consolidated statement of operations and comprehensive loss. Maintenance and repairs are charged to the consolidated statement of operations and comprehensive loss as incurred.</w:t>
      </w:r>
    </w:p>
    <w:p>
      <w:pPr>
        <w:spacing w:after="0" w:line="150"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4780" w:type="dxa"/>
            <w:vAlign w:val="bottom"/>
            <w:gridSpan w:val="2"/>
          </w:tcPr>
          <w:p>
            <w:pPr>
              <w:spacing w:after="0"/>
              <w:rPr>
                <w:sz w:val="20"/>
                <w:szCs w:val="20"/>
                <w:color w:val="auto"/>
              </w:rPr>
            </w:pPr>
            <w:r>
              <w:rPr>
                <w:rFonts w:ascii="Arial" w:cs="Arial" w:eastAsia="Arial" w:hAnsi="Arial"/>
                <w:sz w:val="17"/>
                <w:szCs w:val="17"/>
                <w:color w:val="auto"/>
              </w:rPr>
              <w:t>The useful lives of the property and equipment are as follows:</w:t>
            </w:r>
          </w:p>
        </w:tc>
        <w:tc>
          <w:tcPr>
            <w:tcW w:w="5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476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equipment</w:t>
            </w:r>
          </w:p>
        </w:tc>
        <w:tc>
          <w:tcPr>
            <w:tcW w:w="5800" w:type="dxa"/>
            <w:vAlign w:val="bottom"/>
            <w:shd w:val="clear" w:color="auto" w:fill="CCEEFF"/>
          </w:tcPr>
          <w:p>
            <w:pPr>
              <w:ind w:left="820"/>
              <w:spacing w:after="0" w:line="189" w:lineRule="exact"/>
              <w:rPr>
                <w:sz w:val="20"/>
                <w:szCs w:val="20"/>
                <w:color w:val="auto"/>
              </w:rPr>
            </w:pPr>
            <w:r>
              <w:rPr>
                <w:rFonts w:ascii="Arial" w:cs="Arial" w:eastAsia="Arial" w:hAnsi="Arial"/>
                <w:sz w:val="17"/>
                <w:szCs w:val="17"/>
                <w:color w:val="auto"/>
              </w:rPr>
              <w:t>5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spacing w:after="0" w:line="189" w:lineRule="exact"/>
              <w:rPr>
                <w:sz w:val="20"/>
                <w:szCs w:val="20"/>
                <w:color w:val="auto"/>
              </w:rPr>
            </w:pPr>
            <w:r>
              <w:rPr>
                <w:rFonts w:ascii="Arial" w:cs="Arial" w:eastAsia="Arial" w:hAnsi="Arial"/>
                <w:sz w:val="17"/>
                <w:szCs w:val="17"/>
                <w:color w:val="auto"/>
              </w:rPr>
              <w:t>Furniture and office equipment</w:t>
            </w:r>
          </w:p>
        </w:tc>
        <w:tc>
          <w:tcPr>
            <w:tcW w:w="5800" w:type="dxa"/>
            <w:vAlign w:val="bottom"/>
          </w:tcPr>
          <w:p>
            <w:pPr>
              <w:ind w:left="820"/>
              <w:spacing w:after="0" w:line="189" w:lineRule="exact"/>
              <w:rPr>
                <w:sz w:val="20"/>
                <w:szCs w:val="20"/>
                <w:color w:val="auto"/>
              </w:rPr>
            </w:pPr>
            <w:r>
              <w:rPr>
                <w:rFonts w:ascii="Arial" w:cs="Arial" w:eastAsia="Arial" w:hAnsi="Arial"/>
                <w:sz w:val="17"/>
                <w:szCs w:val="17"/>
                <w:color w:val="auto"/>
              </w:rPr>
              <w:t>5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Computer equipment</w:t>
            </w:r>
          </w:p>
        </w:tc>
        <w:tc>
          <w:tcPr>
            <w:tcW w:w="5800" w:type="dxa"/>
            <w:vAlign w:val="bottom"/>
            <w:shd w:val="clear" w:color="auto" w:fill="CCEEFF"/>
          </w:tcPr>
          <w:p>
            <w:pPr>
              <w:ind w:left="820"/>
              <w:spacing w:after="0" w:line="189" w:lineRule="exact"/>
              <w:rPr>
                <w:sz w:val="20"/>
                <w:szCs w:val="20"/>
                <w:color w:val="auto"/>
              </w:rPr>
            </w:pPr>
            <w:r>
              <w:rPr>
                <w:rFonts w:ascii="Arial" w:cs="Arial" w:eastAsia="Arial" w:hAnsi="Arial"/>
                <w:sz w:val="17"/>
                <w:szCs w:val="17"/>
                <w:color w:val="auto"/>
              </w:rPr>
              <w:t>3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spacing w:after="0" w:line="189" w:lineRule="exact"/>
              <w:rPr>
                <w:sz w:val="20"/>
                <w:szCs w:val="20"/>
                <w:color w:val="auto"/>
              </w:rPr>
            </w:pPr>
            <w:r>
              <w:rPr>
                <w:rFonts w:ascii="Arial" w:cs="Arial" w:eastAsia="Arial" w:hAnsi="Arial"/>
                <w:sz w:val="17"/>
                <w:szCs w:val="17"/>
                <w:color w:val="auto"/>
              </w:rPr>
              <w:t>Software</w:t>
            </w:r>
          </w:p>
        </w:tc>
        <w:tc>
          <w:tcPr>
            <w:tcW w:w="5800" w:type="dxa"/>
            <w:vAlign w:val="bottom"/>
          </w:tcPr>
          <w:p>
            <w:pPr>
              <w:ind w:left="820"/>
              <w:spacing w:after="0" w:line="189" w:lineRule="exact"/>
              <w:rPr>
                <w:sz w:val="20"/>
                <w:szCs w:val="20"/>
                <w:color w:val="auto"/>
              </w:rPr>
            </w:pPr>
            <w:r>
              <w:rPr>
                <w:rFonts w:ascii="Arial" w:cs="Arial" w:eastAsia="Arial" w:hAnsi="Arial"/>
                <w:sz w:val="17"/>
                <w:szCs w:val="17"/>
                <w:color w:val="auto"/>
              </w:rPr>
              <w:t>3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Leasehold improvements</w:t>
            </w:r>
          </w:p>
        </w:tc>
        <w:tc>
          <w:tcPr>
            <w:tcW w:w="5800" w:type="dxa"/>
            <w:vAlign w:val="bottom"/>
            <w:shd w:val="clear" w:color="auto" w:fill="CCEEFF"/>
          </w:tcPr>
          <w:p>
            <w:pPr>
              <w:ind w:left="820"/>
              <w:spacing w:after="0" w:line="189" w:lineRule="exact"/>
              <w:rPr>
                <w:sz w:val="20"/>
                <w:szCs w:val="20"/>
                <w:color w:val="auto"/>
              </w:rPr>
            </w:pPr>
            <w:r>
              <w:rPr>
                <w:rFonts w:ascii="Arial" w:cs="Arial" w:eastAsia="Arial" w:hAnsi="Arial"/>
                <w:sz w:val="17"/>
                <w:szCs w:val="17"/>
                <w:color w:val="auto"/>
              </w:rPr>
              <w:t>Shorter of 7 years or remaining of lease term</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800" w:type="dxa"/>
            <w:vAlign w:val="bottom"/>
          </w:tcPr>
          <w:p>
            <w:pPr>
              <w:ind w:left="120"/>
              <w:spacing w:after="0"/>
              <w:rPr>
                <w:sz w:val="20"/>
                <w:szCs w:val="20"/>
                <w:color w:val="auto"/>
              </w:rPr>
            </w:pPr>
            <w:r>
              <w:rPr>
                <w:rFonts w:ascii="Arial" w:cs="Arial" w:eastAsia="Arial" w:hAnsi="Arial"/>
                <w:sz w:val="16"/>
                <w:szCs w:val="16"/>
                <w:color w:val="auto"/>
              </w:rPr>
              <w:t>F-11</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Impairment of Long-Lived Assets</w:t>
      </w:r>
    </w:p>
    <w:p>
      <w:pPr>
        <w:spacing w:after="0" w:line="93"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The Company reviews property and equipment for impairment whenever events or changes in circumstances indicate that the carrying amount of an asset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There were no impairment charges recognized in the years ended December 31, 2018 and December 31, 2019.</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80" w:lineRule="exact"/>
        <w:rPr>
          <w:sz w:val="20"/>
          <w:szCs w:val="20"/>
          <w:color w:val="auto"/>
        </w:rPr>
      </w:pPr>
    </w:p>
    <w:p>
      <w:pPr>
        <w:ind w:left="560"/>
        <w:spacing w:after="0" w:line="235"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required to be recognized or disclosed at fair value in the consolidated financial statements. The Company defines fair value as the price that would be received from selling an asset or paid to transfer a liability in an orderly transaction between market participants at the measurement date.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48" w:lineRule="exact"/>
        <w:rPr>
          <w:sz w:val="20"/>
          <w:szCs w:val="20"/>
          <w:color w:val="auto"/>
        </w:rPr>
      </w:pPr>
    </w:p>
    <w:p>
      <w:pPr>
        <w:ind w:left="560" w:right="280"/>
        <w:spacing w:after="0" w:line="235" w:lineRule="auto"/>
        <w:rPr>
          <w:sz w:val="20"/>
          <w:szCs w:val="20"/>
          <w:color w:val="auto"/>
        </w:rPr>
      </w:pPr>
      <w:r>
        <w:rPr>
          <w:rFonts w:ascii="Arial" w:cs="Arial" w:eastAsia="Arial" w:hAnsi="Arial"/>
          <w:sz w:val="17"/>
          <w:szCs w:val="17"/>
          <w:color w:val="auto"/>
        </w:rPr>
        <w:t>The Company’s financial instruments consist of cash, accounts receivable, accounts payable, the term loan compound derivative liability and the Series B convertible preferred shares warrant liability. The term loan compound derivative liability and the Series B convertible preferred shares warrant liability are re-measured at the end of every period and carried at fair value (Note 2). The recorded value of the Company’s accounts receivable and accounts payable approximates its current fair value due to the relatively short-term nature of these items.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Loan</w:t>
      </w:r>
    </w:p>
    <w:p>
      <w:pPr>
        <w:spacing w:after="0" w:line="80" w:lineRule="exact"/>
        <w:rPr>
          <w:sz w:val="20"/>
          <w:szCs w:val="20"/>
          <w:color w:val="auto"/>
        </w:rPr>
      </w:pPr>
    </w:p>
    <w:p>
      <w:pPr>
        <w:ind w:left="560" w:right="100"/>
        <w:spacing w:after="0" w:line="235" w:lineRule="auto"/>
        <w:rPr>
          <w:sz w:val="20"/>
          <w:szCs w:val="20"/>
          <w:color w:val="auto"/>
        </w:rPr>
      </w:pPr>
      <w:r>
        <w:rPr>
          <w:rFonts w:ascii="Arial" w:cs="Arial" w:eastAsia="Arial" w:hAnsi="Arial"/>
          <w:sz w:val="17"/>
          <w:szCs w:val="17"/>
          <w:color w:val="auto"/>
        </w:rPr>
        <w:t xml:space="preserve">The Company accounts for the Loan and Security Agreement, dated as of December 20, 2019, with Silicon Valley Bank, and WestRiver Innovation Lending Fund VIII, LP, collectively as lenders, and Silicon Valley Bank, as administrative agent and collateral agent, as a liability measured at net proceeds less debt discount and is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Accounting Standards Codification, or ASC, Topic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Convertible Preferred Shares</w:t>
      </w:r>
    </w:p>
    <w:p>
      <w:pPr>
        <w:spacing w:after="0" w:line="93" w:lineRule="exact"/>
        <w:rPr>
          <w:sz w:val="20"/>
          <w:szCs w:val="20"/>
          <w:color w:val="auto"/>
        </w:rPr>
      </w:pPr>
    </w:p>
    <w:p>
      <w:pPr>
        <w:jc w:val="both"/>
        <w:ind w:left="560" w:right="140"/>
        <w:spacing w:after="0" w:line="232" w:lineRule="auto"/>
        <w:rPr>
          <w:sz w:val="20"/>
          <w:szCs w:val="20"/>
          <w:color w:val="auto"/>
        </w:rPr>
      </w:pPr>
      <w:r>
        <w:rPr>
          <w:rFonts w:ascii="Arial" w:cs="Arial" w:eastAsia="Arial" w:hAnsi="Arial"/>
          <w:sz w:val="17"/>
          <w:szCs w:val="17"/>
          <w:color w:val="auto"/>
        </w:rPr>
        <w:t>The Company records convertible preferred shares net of issuance costs on the dates of issuance, which represents the carrying value. In the event of a change of control of the Company, proceeds will be distributed in accordance with the liquidation preferences set forth in its Constitution unless the holders of convertible preferred shares have converted their convertible preferred shares into ordinary shares.</w:t>
      </w:r>
    </w:p>
    <w:p>
      <w:pPr>
        <w:ind w:left="560" w:right="60"/>
        <w:spacing w:after="0" w:line="236" w:lineRule="auto"/>
        <w:rPr>
          <w:sz w:val="20"/>
          <w:szCs w:val="20"/>
          <w:color w:val="auto"/>
        </w:rPr>
      </w:pPr>
      <w:r>
        <w:rPr>
          <w:rFonts w:ascii="Arial" w:cs="Arial" w:eastAsia="Arial" w:hAnsi="Arial"/>
          <w:sz w:val="17"/>
          <w:szCs w:val="17"/>
          <w:color w:val="auto"/>
        </w:rPr>
        <w:t>Convertible preferred shares are classified outside of shareholders’ deficit on the accompanying consolidated balance sheets as events triggering the liquidation preferences are not solely within the Company’s control. The Company has elected not to adjust the carrying values of the convertible preferred shares to the liquidation preferences of such shares because of the uncertainty of whether or when such an event would occur.</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Series B Convertible Preferred Shares Warrant Liability</w:t>
      </w:r>
    </w:p>
    <w:p>
      <w:pPr>
        <w:spacing w:after="0" w:line="80"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The Company has issued freestanding warrants to purchase its Series B convertible preferred shares. Freestanding warrants for the Company’s convertible preferred shares that are classified outside of permanent equity are recorded at fair value, and are subject to re-measurement at each balance sheet date until the earlier of the exercise of the warrants or the completion of a liquidation event. Upon exercise, the Series B convertible preferred shares warrant liability would be reclassified to additional paid-in capital, with any change in fair value recognized as a component of other income (expense), net.</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Revenue Recognition</w:t>
      </w:r>
    </w:p>
    <w:p>
      <w:pPr>
        <w:spacing w:after="0" w:line="93" w:lineRule="exact"/>
        <w:rPr>
          <w:sz w:val="20"/>
          <w:szCs w:val="20"/>
          <w:color w:val="auto"/>
        </w:rPr>
      </w:pPr>
    </w:p>
    <w:p>
      <w:pPr>
        <w:ind w:left="560" w:right="200"/>
        <w:spacing w:after="0" w:line="238" w:lineRule="auto"/>
        <w:rPr>
          <w:sz w:val="20"/>
          <w:szCs w:val="20"/>
          <w:color w:val="auto"/>
        </w:rPr>
      </w:pPr>
      <w:r>
        <w:rPr>
          <w:rFonts w:ascii="Arial" w:cs="Arial" w:eastAsia="Arial" w:hAnsi="Arial"/>
          <w:sz w:val="17"/>
          <w:szCs w:val="17"/>
          <w:color w:val="auto"/>
        </w:rPr>
        <w:t>To date, the Company has derived revenue from providing research and development services on a time and materials basis to a related-party. The Company recognizes such revenues over time as services are delivered, and invoices the customer as the work is incurred in arrears.</w:t>
      </w:r>
    </w:p>
    <w:p>
      <w:pPr>
        <w:spacing w:after="0" w:line="129" w:lineRule="exact"/>
        <w:rPr>
          <w:sz w:val="20"/>
          <w:szCs w:val="20"/>
          <w:color w:val="auto"/>
        </w:rPr>
      </w:pPr>
    </w:p>
    <w:p>
      <w:pPr>
        <w:ind w:left="560" w:right="120"/>
        <w:spacing w:after="0"/>
        <w:rPr>
          <w:sz w:val="20"/>
          <w:szCs w:val="20"/>
          <w:color w:val="auto"/>
        </w:rPr>
      </w:pPr>
      <w:r>
        <w:rPr>
          <w:rFonts w:ascii="Arial" w:cs="Arial" w:eastAsia="Arial" w:hAnsi="Arial"/>
          <w:sz w:val="17"/>
          <w:szCs w:val="17"/>
          <w:color w:val="auto"/>
        </w:rPr>
        <w:t xml:space="preserve">Effective January 1, 2018, the Company adopted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on a full retrospective basis. This standard applies to all contracts with customers, except for contracts that are within the scope of other standards, such as leases, insurance, collaboration arrangements and financial instruments. In accordance with Topic 606, the Company recognizes revenue when its customer obtains control of promised goods or services, in an amount that reflects the consideration which the Company expects to receive in exchange for those goods or services.</w:t>
      </w:r>
    </w:p>
    <w:p>
      <w:pPr>
        <w:spacing w:after="0" w:line="148" w:lineRule="exact"/>
        <w:rPr>
          <w:sz w:val="20"/>
          <w:szCs w:val="20"/>
          <w:color w:val="auto"/>
        </w:rPr>
      </w:pPr>
    </w:p>
    <w:p>
      <w:pPr>
        <w:ind w:left="560" w:right="20"/>
        <w:spacing w:after="0" w:line="236" w:lineRule="auto"/>
        <w:rPr>
          <w:sz w:val="20"/>
          <w:szCs w:val="20"/>
          <w:color w:val="auto"/>
        </w:rPr>
      </w:pPr>
      <w:r>
        <w:rPr>
          <w:rFonts w:ascii="Arial" w:cs="Arial" w:eastAsia="Arial" w:hAnsi="Arial"/>
          <w:sz w:val="17"/>
          <w:szCs w:val="17"/>
          <w:color w:val="auto"/>
        </w:rPr>
        <w:t>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49"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 within each contract that falls under the scope of Topic 606, determines those that are performance obligations, and assesses whether each promised good or service is distinct. The Company then recognizes as revenue the amount of the transaction price that is allocated based on their standalone selling price to the respective performance obligation when (or as) the performance obligation is satisfied.</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Cost of Services for Related-Party Revenue</w:t>
      </w:r>
    </w:p>
    <w:p>
      <w:pPr>
        <w:spacing w:after="0" w:line="80" w:lineRule="exact"/>
        <w:rPr>
          <w:sz w:val="20"/>
          <w:szCs w:val="20"/>
          <w:color w:val="auto"/>
        </w:rPr>
      </w:pPr>
    </w:p>
    <w:p>
      <w:pPr>
        <w:ind w:left="560" w:right="400"/>
        <w:spacing w:after="0" w:line="238" w:lineRule="auto"/>
        <w:rPr>
          <w:sz w:val="20"/>
          <w:szCs w:val="20"/>
          <w:color w:val="auto"/>
        </w:rPr>
      </w:pPr>
      <w:r>
        <w:rPr>
          <w:rFonts w:ascii="Arial" w:cs="Arial" w:eastAsia="Arial" w:hAnsi="Arial"/>
          <w:sz w:val="17"/>
          <w:szCs w:val="17"/>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consolidated statements of operations and comprehensive loss.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Research and Development Costs</w:t>
      </w:r>
    </w:p>
    <w:p>
      <w:pPr>
        <w:spacing w:after="0" w:line="80" w:lineRule="exact"/>
        <w:rPr>
          <w:sz w:val="20"/>
          <w:szCs w:val="20"/>
          <w:color w:val="auto"/>
        </w:rPr>
      </w:pPr>
    </w:p>
    <w:p>
      <w:pPr>
        <w:ind w:left="560" w:right="160"/>
        <w:spacing w:after="0" w:line="235" w:lineRule="auto"/>
        <w:rPr>
          <w:sz w:val="20"/>
          <w:szCs w:val="20"/>
          <w:color w:val="auto"/>
        </w:rPr>
      </w:pPr>
      <w:r>
        <w:rPr>
          <w:rFonts w:ascii="Arial" w:cs="Arial" w:eastAsia="Arial" w:hAnsi="Arial"/>
          <w:sz w:val="17"/>
          <w:szCs w:val="17"/>
          <w:color w:val="auto"/>
        </w:rPr>
        <w:t>Research and development costs are expensed as incurred and consist primarily of salaries and benefits, share-based compensation expense, lab supplies and facility costs, as well as fees paid to nonemployees and entities that conduct certain research and development activities on behalf of the Company and expenses incurred in connection with license agreements (Note 9).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Clinical and Manufacturing Accruals</w:t>
      </w:r>
    </w:p>
    <w:p>
      <w:pPr>
        <w:spacing w:after="0" w:line="93"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To assist in its estimates the Company relies upon the receipt of timely and accurate reporting from information provided as part of its clinical and non-clinical studies and other third-party vendors. Through December 31, 2019,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Share-Based Compensation Expense</w:t>
      </w:r>
    </w:p>
    <w:p>
      <w:pPr>
        <w:spacing w:after="0" w:line="93" w:lineRule="exact"/>
        <w:rPr>
          <w:sz w:val="20"/>
          <w:szCs w:val="20"/>
          <w:color w:val="auto"/>
        </w:rPr>
      </w:pPr>
    </w:p>
    <w:p>
      <w:pPr>
        <w:ind w:left="560" w:right="20"/>
        <w:spacing w:after="0" w:line="234" w:lineRule="auto"/>
        <w:rPr>
          <w:sz w:val="20"/>
          <w:szCs w:val="20"/>
          <w:color w:val="auto"/>
        </w:rPr>
      </w:pPr>
      <w:r>
        <w:rPr>
          <w:rFonts w:ascii="Arial" w:cs="Arial" w:eastAsia="Arial" w:hAnsi="Arial"/>
          <w:sz w:val="17"/>
          <w:szCs w:val="17"/>
          <w:color w:val="auto"/>
        </w:rPr>
        <w:t>The Company accounts for share-based compensation by measuring and recognizing compensation expense for all share-based payments made to employees, directors and non-employees based on estimated grant-date fair values. The Company uses the straight-line method to allocate compensation expense to reporting periods over each optionee’s requisite service period, which is generally the vesting period, and estimates the fair value of share-based awards to employees and directors using the Black-Scholes option-pricing model. The Black-Scholes model requires the input of subjective assumptions, including expected volatility, expected dividend yield, expected term, risk-free rate of return and the estimated fair value of the underlying ordinary shares on the date of grant. The Company accounts for the effect of forfeitures as they occur.</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Segment Reporting</w:t>
      </w:r>
    </w:p>
    <w:p>
      <w:pPr>
        <w:spacing w:after="0" w:line="80" w:lineRule="exact"/>
        <w:rPr>
          <w:sz w:val="20"/>
          <w:szCs w:val="20"/>
          <w:color w:val="auto"/>
        </w:rPr>
      </w:pPr>
    </w:p>
    <w:p>
      <w:pPr>
        <w:ind w:left="560" w:right="380"/>
        <w:spacing w:after="0" w:line="243" w:lineRule="auto"/>
        <w:rPr>
          <w:sz w:val="20"/>
          <w:szCs w:val="20"/>
          <w:color w:val="auto"/>
        </w:rPr>
      </w:pPr>
      <w:r>
        <w:rPr>
          <w:rFonts w:ascii="Arial" w:cs="Arial" w:eastAsia="Arial" w:hAnsi="Arial"/>
          <w:sz w:val="17"/>
          <w:szCs w:val="17"/>
          <w:color w:val="auto"/>
        </w:rPr>
        <w:t>The Company manages its operations as a single operating segment for the purposes of assessing performance and making operating decisions. All of the Company’s assets are maintained in the United States and Ireland.</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Foreign Currency Transactions</w:t>
      </w:r>
    </w:p>
    <w:p>
      <w:pPr>
        <w:spacing w:after="0" w:line="80" w:lineRule="exact"/>
        <w:rPr>
          <w:sz w:val="20"/>
          <w:szCs w:val="20"/>
          <w:color w:val="auto"/>
        </w:rPr>
      </w:pPr>
    </w:p>
    <w:p>
      <w:pPr>
        <w:ind w:left="560" w:right="180"/>
        <w:spacing w:after="0" w:line="235" w:lineRule="auto"/>
        <w:rPr>
          <w:sz w:val="20"/>
          <w:szCs w:val="20"/>
          <w:color w:val="auto"/>
        </w:rPr>
      </w:pPr>
      <w:r>
        <w:rPr>
          <w:rFonts w:ascii="Arial" w:cs="Arial" w:eastAsia="Arial" w:hAnsi="Arial"/>
          <w:sz w:val="17"/>
          <w:szCs w:val="17"/>
          <w:color w:val="auto"/>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 of operations and comprehensive loss and recorded in other income (expense), net, and was immaterial for the years ended December 31, 2018 and December 31, 2019, respectively.</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Income Taxes</w:t>
      </w:r>
    </w:p>
    <w:p>
      <w:pPr>
        <w:spacing w:after="0" w:line="93" w:lineRule="exact"/>
        <w:rPr>
          <w:sz w:val="20"/>
          <w:szCs w:val="20"/>
          <w:color w:val="auto"/>
        </w:rPr>
      </w:pPr>
    </w:p>
    <w:p>
      <w:pPr>
        <w:ind w:left="560" w:right="220"/>
        <w:spacing w:after="0" w:line="235"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consolidated statements of operations and comprehensive loss in the period that includes the enactment date.</w:t>
      </w:r>
    </w:p>
    <w:p>
      <w:pPr>
        <w:spacing w:after="0" w:line="148" w:lineRule="exact"/>
        <w:rPr>
          <w:sz w:val="20"/>
          <w:szCs w:val="20"/>
          <w:color w:val="auto"/>
        </w:rPr>
      </w:pPr>
    </w:p>
    <w:p>
      <w:pPr>
        <w:ind w:left="560" w:right="40"/>
        <w:spacing w:after="0" w:line="235" w:lineRule="auto"/>
        <w:rPr>
          <w:sz w:val="20"/>
          <w:szCs w:val="20"/>
          <w:color w:val="auto"/>
        </w:rPr>
      </w:pPr>
      <w:r>
        <w:rPr>
          <w:rFonts w:ascii="Arial" w:cs="Arial" w:eastAsia="Arial" w:hAnsi="Arial"/>
          <w:sz w:val="17"/>
          <w:szCs w:val="17"/>
          <w:color w:val="auto"/>
        </w:rPr>
        <w:t>The Company recognizes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w:t>
      </w:r>
    </w:p>
    <w:p>
      <w:pPr>
        <w:spacing w:after="0" w:line="150" w:lineRule="exact"/>
        <w:rPr>
          <w:sz w:val="20"/>
          <w:szCs w:val="20"/>
          <w:color w:val="auto"/>
        </w:rPr>
      </w:pPr>
    </w:p>
    <w:p>
      <w:pPr>
        <w:ind w:left="560" w:right="880"/>
        <w:spacing w:after="0" w:line="243" w:lineRule="auto"/>
        <w:rPr>
          <w:sz w:val="20"/>
          <w:szCs w:val="20"/>
          <w:color w:val="auto"/>
        </w:rPr>
      </w:pPr>
      <w:r>
        <w:rPr>
          <w:rFonts w:ascii="Arial" w:cs="Arial" w:eastAsia="Arial" w:hAnsi="Arial"/>
          <w:sz w:val="17"/>
          <w:szCs w:val="17"/>
          <w:color w:val="auto"/>
        </w:rPr>
        <w:t>The Company recognizes benefits of uncertain tax positions if it is more likely than not that such positions will be sustained upon examination based solely on their technical merits, as the largest amount of benefit that is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180"/>
        <w:spacing w:after="0" w:line="243" w:lineRule="auto"/>
        <w:rPr>
          <w:sz w:val="20"/>
          <w:szCs w:val="20"/>
          <w:color w:val="auto"/>
        </w:rPr>
      </w:pPr>
      <w:r>
        <w:rPr>
          <w:rFonts w:ascii="Arial" w:cs="Arial" w:eastAsia="Arial" w:hAnsi="Arial"/>
          <w:sz w:val="17"/>
          <w:szCs w:val="17"/>
          <w:color w:val="auto"/>
        </w:rPr>
        <w:t>more likely than not to be realized upon the ultimate settlement. The Company’s policy is to recognize interest and penalties related to the underpayment of income taxes as a component of income tax expense or benefit.</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Net Loss Per Share Attributable to Ordinary Shareholders</w:t>
      </w:r>
    </w:p>
    <w:p>
      <w:pPr>
        <w:spacing w:after="0" w:line="93" w:lineRule="exact"/>
        <w:rPr>
          <w:sz w:val="20"/>
          <w:szCs w:val="20"/>
          <w:color w:val="auto"/>
        </w:rPr>
      </w:pPr>
    </w:p>
    <w:p>
      <w:pPr>
        <w:ind w:left="560" w:right="160"/>
        <w:spacing w:after="0" w:line="235" w:lineRule="auto"/>
        <w:rPr>
          <w:sz w:val="20"/>
          <w:szCs w:val="20"/>
          <w:color w:val="auto"/>
        </w:rPr>
      </w:pPr>
      <w:r>
        <w:rPr>
          <w:rFonts w:ascii="Arial" w:cs="Arial" w:eastAsia="Arial" w:hAnsi="Arial"/>
          <w:sz w:val="17"/>
          <w:szCs w:val="17"/>
          <w:color w:val="auto"/>
        </w:rPr>
        <w:t>Basic net loss per share is calculated by dividing the net loss attributable to ordinary shareholders by the weighted-average number of ordinary shares outstanding during the period, without consideration for ordinary share equivalents. Net loss attributable to ordinary shareholders is calculated by adjusting net loss of the Company for cumulative preferred share dividends. Diluted net loss per share is the same as basic net loss per share, since the effects of potentially dilutive securities are antidilutive given the net loss for each period presented.</w:t>
      </w:r>
    </w:p>
    <w:p>
      <w:pPr>
        <w:spacing w:after="0" w:line="150" w:lineRule="exact"/>
        <w:rPr>
          <w:sz w:val="20"/>
          <w:szCs w:val="20"/>
          <w:color w:val="auto"/>
        </w:rPr>
      </w:pPr>
    </w:p>
    <w:p>
      <w:pPr>
        <w:ind w:left="560" w:right="60"/>
        <w:spacing w:after="0" w:line="234" w:lineRule="auto"/>
        <w:rPr>
          <w:sz w:val="20"/>
          <w:szCs w:val="20"/>
          <w:color w:val="auto"/>
        </w:rPr>
      </w:pPr>
      <w:r>
        <w:rPr>
          <w:rFonts w:ascii="Arial" w:cs="Arial" w:eastAsia="Arial" w:hAnsi="Arial"/>
          <w:sz w:val="17"/>
          <w:szCs w:val="17"/>
          <w:color w:val="auto"/>
        </w:rPr>
        <w:t>The Company applies the two-class method to compute basic and diluted net loss per share when it has issued shares that meet the definition of participating securities. The two-class method determines net loss per share for each class of ordinary and participating securities according to dividends declared or accumulated and participation rights in undistributed earnings. The two-class method requires net loss available to ordinary shareholders for the period to be allocated between ordinary and participating securities based upon their respective rights to share in the earnings as if all net loss for the period had been distributed. The Company’s convertible preferred shares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Unaudited Pro Forma Net Loss Per Share Attributable to Ordinary Shareholders</w:t>
      </w:r>
    </w:p>
    <w:p>
      <w:pPr>
        <w:spacing w:after="0" w:line="80" w:lineRule="exact"/>
        <w:rPr>
          <w:sz w:val="20"/>
          <w:szCs w:val="20"/>
          <w:color w:val="auto"/>
        </w:rPr>
      </w:pPr>
    </w:p>
    <w:p>
      <w:pPr>
        <w:ind w:left="560" w:right="200"/>
        <w:spacing w:after="0" w:line="235" w:lineRule="auto"/>
        <w:rPr>
          <w:sz w:val="20"/>
          <w:szCs w:val="20"/>
          <w:color w:val="auto"/>
        </w:rPr>
      </w:pPr>
      <w:r>
        <w:rPr>
          <w:rFonts w:ascii="Arial" w:cs="Arial" w:eastAsia="Arial" w:hAnsi="Arial"/>
          <w:sz w:val="17"/>
          <w:szCs w:val="17"/>
          <w:color w:val="auto"/>
        </w:rPr>
        <w:t>In contemplation of an initial public offering, or IPO, the Company has presented unaudited pro forma basic and diluted net loss per share attributable to ordinary shareholders for the year ended December 31, 2019. Unaudited pro forma basic net loss per share attributable to ordinary shareholders as of December 31, 2019 is computed to give effect to adjustments to the denominator in the pro forma basic and diluted net loss per share calculation to reflect the conversion of all of the Company’s outstanding convertible preferred shares and cumulative dividends into 74,028,943 ordinary shares, as if the conversion had occurred as of the beginning of the period or the original date of issuance, if later.</w:t>
      </w:r>
    </w:p>
    <w:p>
      <w:pPr>
        <w:spacing w:after="0" w:line="148" w:lineRule="exact"/>
        <w:rPr>
          <w:sz w:val="20"/>
          <w:szCs w:val="20"/>
          <w:color w:val="auto"/>
        </w:rPr>
      </w:pPr>
    </w:p>
    <w:p>
      <w:pPr>
        <w:ind w:left="560" w:right="400"/>
        <w:spacing w:after="0" w:line="236" w:lineRule="auto"/>
        <w:rPr>
          <w:sz w:val="20"/>
          <w:szCs w:val="20"/>
          <w:color w:val="auto"/>
        </w:rPr>
      </w:pPr>
      <w:r>
        <w:rPr>
          <w:rFonts w:ascii="Arial" w:cs="Arial" w:eastAsia="Arial" w:hAnsi="Arial"/>
          <w:sz w:val="17"/>
          <w:szCs w:val="17"/>
          <w:color w:val="auto"/>
        </w:rPr>
        <w:t>Unaudited pro forma diluted net loss attributable to ordinary shareholders is the same as unaudited pro forma basic net loss per share attributable to ordinary shareholders for the period as the impact of any potentially dilutive securities was anti-dilutive, which has been computed to give effect to the adjustment noted above. The pro forma net loss per share attributable to ordinary shareholders does not include proceeds to be received from nor does it include shares expected to be sold in the assumed IPO.</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 Accounting Pronouncements</w:t>
      </w:r>
    </w:p>
    <w:p>
      <w:pPr>
        <w:spacing w:after="0" w:line="80" w:lineRule="exact"/>
        <w:rPr>
          <w:sz w:val="20"/>
          <w:szCs w:val="20"/>
          <w:color w:val="auto"/>
        </w:rPr>
      </w:pPr>
    </w:p>
    <w:p>
      <w:pPr>
        <w:ind w:left="560" w:right="200"/>
        <w:spacing w:after="0" w:line="23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31" w:lineRule="exact"/>
        <w:rPr>
          <w:sz w:val="20"/>
          <w:szCs w:val="20"/>
          <w:color w:val="auto"/>
        </w:rPr>
      </w:pPr>
    </w:p>
    <w:p>
      <w:pPr>
        <w:ind w:left="560"/>
        <w:spacing w:after="0" w:line="237" w:lineRule="auto"/>
        <w:rPr>
          <w:sz w:val="20"/>
          <w:szCs w:val="20"/>
          <w:color w:val="auto"/>
        </w:rPr>
      </w:pPr>
      <w:r>
        <w:rPr>
          <w:rFonts w:ascii="Arial" w:cs="Arial" w:eastAsia="Arial" w:hAnsi="Arial"/>
          <w:sz w:val="17"/>
          <w:szCs w:val="17"/>
          <w:color w:val="auto"/>
        </w:rPr>
        <w:t xml:space="preserve">In February 2016, the FASB issued ASU No. 2016-02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November 2019, the FASB issued ASU No. 2019-10, which extends the effective date of ASU No. 2016-02 for non-public business entities, including smaller reporting companies, to fiscal years beginning after December 15, 2020. The new standard is effective for the Company beginning January 1, 2021. Early adoption is permitted. The Company is currently evaluating the effects of the adoption of this guidance on its consolidated financial statements and related disclosures.</w:t>
      </w:r>
    </w:p>
    <w:p>
      <w:pPr>
        <w:spacing w:after="0" w:line="134" w:lineRule="exact"/>
        <w:rPr>
          <w:sz w:val="20"/>
          <w:szCs w:val="20"/>
          <w:color w:val="auto"/>
        </w:rPr>
      </w:pPr>
    </w:p>
    <w:p>
      <w:pPr>
        <w:ind w:left="560" w:right="60"/>
        <w:spacing w:after="0" w:line="248"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(Topic 326), which requires entities to measure all expected credit losses for financial assets held at the reporting date based on historical experience, current conditions, and reasonable and supportable forecasts. This replaces the existing</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00"/>
        <w:spacing w:after="0" w:line="236" w:lineRule="auto"/>
        <w:rPr>
          <w:sz w:val="20"/>
          <w:szCs w:val="20"/>
          <w:color w:val="auto"/>
        </w:rPr>
      </w:pPr>
      <w:r>
        <w:rPr>
          <w:rFonts w:ascii="Arial" w:cs="Arial" w:eastAsia="Arial" w:hAnsi="Arial"/>
          <w:sz w:val="17"/>
          <w:szCs w:val="17"/>
          <w:color w:val="auto"/>
        </w:rPr>
        <w:t>incurred loss model and is applicable to the measurement of credit losses on financial assets measured at amortized cost. In February 2020, the FASB issued ASU No. 2020-02 and delayed the effective date of Topic 326 until fiscal year beginning after December 15, 2022. The new standard is effective for the Company beginning January 1, 2023. Early adoption is permitted. The Company is currently evaluating the effects of the adoption of this guidance on its consolidated financial statements and related disclosures.</w:t>
      </w:r>
    </w:p>
    <w:p>
      <w:pPr>
        <w:spacing w:after="0" w:line="131" w:lineRule="exact"/>
        <w:rPr>
          <w:sz w:val="20"/>
          <w:szCs w:val="20"/>
          <w:color w:val="auto"/>
        </w:rPr>
      </w:pPr>
    </w:p>
    <w:p>
      <w:pPr>
        <w:ind w:left="560" w:right="120"/>
        <w:spacing w:after="0"/>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is currently in the process of evaluating the effects of the adoption of this guidance on the Company’s financial statements and does not expect it to have a material impact on its consolidated financial statements.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New Accounting Pronouncements Recently Adopted</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(Topic 230): Restricted Cash, which requires that restricted cash and cash equivalents be included as components of total cash and cash equivalents as presented on the statement of cash flows. ASU 2016-18 was effective for fiscal years beginning after December 15, 2018, and a retrospective transition method is required. The Company adopted this guidance on January 1, 2019. The adoption of this guidance did not have a material impact on the Company’s consolidated financial statements.</w:t>
      </w:r>
    </w:p>
    <w:p>
      <w:pPr>
        <w:spacing w:after="0" w:line="130" w:lineRule="exact"/>
        <w:rPr>
          <w:sz w:val="20"/>
          <w:szCs w:val="20"/>
          <w:color w:val="auto"/>
        </w:rPr>
      </w:pPr>
    </w:p>
    <w:p>
      <w:pPr>
        <w:ind w:left="560" w:right="80"/>
        <w:spacing w:after="0" w:line="237"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260);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(Topic 480): Accounting for Certain Financial Instruments with Down Round Features. ASU No. 2017-11 provides guidance that eliminates the requirement to consider “down round” features when determining whether certain financial instruments or embedded features are indexed to an entity’s stock and need to be classified as liabilities. ASU 2017-11 provides for entities to recognize the effect of a down round feature only when it is triggered and then as a dividend and a reduction to income available to common stockholders in basic earnings per share. The Company adopted this guidance on January 1, 2019. The adoption of this guidance did not have a material impact on the Company’s consolidated financial statements.</w:t>
      </w:r>
    </w:p>
    <w:p>
      <w:pPr>
        <w:spacing w:after="0" w:line="334"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175" w:lineRule="exact"/>
        <w:rPr>
          <w:rFonts w:ascii="Arial" w:cs="Arial" w:eastAsia="Arial" w:hAnsi="Arial"/>
          <w:sz w:val="17"/>
          <w:szCs w:val="17"/>
          <w:b w:val="1"/>
          <w:bCs w:val="1"/>
          <w:color w:val="auto"/>
        </w:rPr>
      </w:pPr>
    </w:p>
    <w:p>
      <w:pPr>
        <w:ind w:left="560" w:right="8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 xml:space="preserve">The fair value of the Company’s financial assets and liabilities are determined in accordance with the fair value hierarchy established in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131"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 Observable inputs, such as quoted prices in active markets</w:t>
      </w:r>
    </w:p>
    <w:p>
      <w:pPr>
        <w:spacing w:after="0" w:line="155" w:lineRule="exact"/>
        <w:rPr>
          <w:rFonts w:ascii="Arial" w:cs="Arial" w:eastAsia="Arial" w:hAnsi="Arial"/>
          <w:sz w:val="17"/>
          <w:szCs w:val="17"/>
          <w:b w:val="1"/>
          <w:bCs w:val="1"/>
          <w:color w:val="auto"/>
        </w:rPr>
      </w:pPr>
    </w:p>
    <w:p>
      <w:pPr>
        <w:ind w:left="560" w:right="200"/>
        <w:spacing w:after="0" w:line="248" w:lineRule="auto"/>
        <w:rPr>
          <w:rFonts w:ascii="Arial" w:cs="Arial" w:eastAsia="Arial" w:hAnsi="Arial"/>
          <w:sz w:val="17"/>
          <w:szCs w:val="17"/>
          <w:b w:val="1"/>
          <w:bCs w:val="1"/>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 Inputs, other than the quoted prices in active markets, which are observable either directly or indirectly such as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assets or liabilities; quoted prices in markets that are not active; or other inputs that are observable or can be corroborated by observable market data for substantially the full term of the instrument’s anticipated life</w:t>
      </w:r>
    </w:p>
    <w:p>
      <w:pPr>
        <w:spacing w:after="0" w:line="123"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 Unobservable inputs in which there is little or no market data, which require the reporting entity to develop its own assumptions</w:t>
      </w:r>
    </w:p>
    <w:p>
      <w:pPr>
        <w:spacing w:after="0" w:line="173" w:lineRule="exact"/>
        <w:rPr>
          <w:rFonts w:ascii="Arial" w:cs="Arial" w:eastAsia="Arial" w:hAnsi="Arial"/>
          <w:sz w:val="17"/>
          <w:szCs w:val="17"/>
          <w:b w:val="1"/>
          <w:bCs w:val="1"/>
          <w:color w:val="auto"/>
        </w:rPr>
      </w:pPr>
    </w:p>
    <w:p>
      <w:pPr>
        <w:ind w:left="560" w:right="22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Company measures its Series B convertible preferred shares warrant liability and term loan compound derivative liability at fair value on a recurring basis and these are classified as Level 3 liabilities. The fair value of the Series B preferred shares warrant liability was determined using an option-pricing model. The Company calculated the fair value of the term loan compound derivative liability by computing the difference between the fair value of the term loan with the compound derivative using the “with and without” method under the income</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120"/>
        <w:spacing w:after="0" w:line="243" w:lineRule="auto"/>
        <w:rPr>
          <w:sz w:val="20"/>
          <w:szCs w:val="20"/>
          <w:color w:val="auto"/>
        </w:rPr>
      </w:pPr>
      <w:r>
        <w:rPr>
          <w:rFonts w:ascii="Arial" w:cs="Arial" w:eastAsia="Arial" w:hAnsi="Arial"/>
          <w:sz w:val="17"/>
          <w:szCs w:val="17"/>
          <w:color w:val="auto"/>
        </w:rPr>
        <w:t>approach, and the fair value of the term loan without the compound derivative. The valuation methodology and underlying assumptions are discussed further in Note 4.</w:t>
      </w:r>
    </w:p>
    <w:p>
      <w:pPr>
        <w:spacing w:after="0" w:line="144" w:lineRule="exact"/>
        <w:rPr>
          <w:sz w:val="20"/>
          <w:szCs w:val="20"/>
          <w:color w:val="auto"/>
        </w:rPr>
      </w:pPr>
    </w:p>
    <w:p>
      <w:pPr>
        <w:ind w:left="560" w:right="260"/>
        <w:spacing w:after="0" w:line="243" w:lineRule="auto"/>
        <w:rPr>
          <w:sz w:val="20"/>
          <w:szCs w:val="20"/>
          <w:color w:val="auto"/>
        </w:rPr>
      </w:pPr>
      <w:r>
        <w:rPr>
          <w:rFonts w:ascii="Arial" w:cs="Arial" w:eastAsia="Arial" w:hAnsi="Arial"/>
          <w:sz w:val="17"/>
          <w:szCs w:val="17"/>
          <w:color w:val="auto"/>
        </w:rPr>
        <w:t>The following table sets forth the Company’s financial liabilities that are measured at fair value on a recurring basis by level within the fair value hierarchy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AS OF DECEMBER 31, 2019</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6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3"/>
                <w:szCs w:val="13"/>
                <w:color w:val="auto"/>
              </w:rPr>
            </w:pPr>
          </w:p>
        </w:tc>
        <w:tc>
          <w:tcPr>
            <w:tcW w:w="7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7280" w:type="dxa"/>
            <w:vAlign w:val="bottom"/>
            <w:tcBorders>
              <w:top w:val="single" w:sz="8" w:color="CCEEFF"/>
            </w:tcBorders>
            <w:gridSpan w:val="3"/>
            <w:shd w:val="clear" w:color="auto" w:fill="CCEEFF"/>
          </w:tcPr>
          <w:p>
            <w:pPr>
              <w:spacing w:after="0" w:line="169" w:lineRule="exact"/>
              <w:rPr>
                <w:sz w:val="20"/>
                <w:szCs w:val="20"/>
                <w:color w:val="auto"/>
              </w:rPr>
            </w:pPr>
            <w:r>
              <w:rPr>
                <w:rFonts w:ascii="Arial" w:cs="Arial" w:eastAsia="Arial" w:hAnsi="Arial"/>
                <w:sz w:val="17"/>
                <w:szCs w:val="17"/>
                <w:color w:val="auto"/>
              </w:rPr>
              <w:t>Financial liabilities</w:t>
            </w:r>
          </w:p>
        </w:tc>
        <w:tc>
          <w:tcPr>
            <w:tcW w:w="3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62"/>
        </w:trPr>
        <w:tc>
          <w:tcPr>
            <w:tcW w:w="7280" w:type="dxa"/>
            <w:vAlign w:val="bottom"/>
            <w:gridSpan w:val="3"/>
          </w:tcPr>
          <w:p>
            <w:pPr>
              <w:ind w:left="260"/>
              <w:spacing w:after="0" w:line="162" w:lineRule="exact"/>
              <w:rPr>
                <w:sz w:val="20"/>
                <w:szCs w:val="20"/>
                <w:color w:val="auto"/>
              </w:rPr>
            </w:pPr>
            <w:r>
              <w:rPr>
                <w:rFonts w:ascii="Arial" w:cs="Arial" w:eastAsia="Arial" w:hAnsi="Arial"/>
                <w:sz w:val="17"/>
                <w:szCs w:val="17"/>
                <w:color w:val="auto"/>
              </w:rPr>
              <w:t>Long term liabilities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
        </w:trPr>
        <w:tc>
          <w:tcPr>
            <w:tcW w:w="26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28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7"/>
                <w:szCs w:val="17"/>
                <w:color w:val="auto"/>
              </w:rPr>
              <w:t>Compound derivative liability</w:t>
            </w:r>
          </w:p>
        </w:tc>
        <w:tc>
          <w:tcPr>
            <w:tcW w:w="300" w:type="dxa"/>
            <w:vAlign w:val="bottom"/>
            <w:shd w:val="clear" w:color="auto" w:fill="CCEEFF"/>
          </w:tcPr>
          <w:p>
            <w:pPr>
              <w:jc w:val="right"/>
              <w:ind w:right="119"/>
              <w:spacing w:after="0" w:line="189" w:lineRule="exact"/>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51</w:t>
            </w:r>
          </w:p>
        </w:tc>
        <w:tc>
          <w:tcPr>
            <w:tcW w:w="46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r>
      <w:tr>
        <w:trPr>
          <w:trHeight w:val="205"/>
        </w:trPr>
        <w:tc>
          <w:tcPr>
            <w:tcW w:w="7280" w:type="dxa"/>
            <w:vAlign w:val="bottom"/>
            <w:gridSpan w:val="3"/>
          </w:tcPr>
          <w:p>
            <w:pPr>
              <w:ind w:left="260"/>
              <w:spacing w:after="0"/>
              <w:rPr>
                <w:sz w:val="20"/>
                <w:szCs w:val="20"/>
                <w:color w:val="auto"/>
              </w:rPr>
            </w:pPr>
            <w:r>
              <w:rPr>
                <w:rFonts w:ascii="Arial" w:cs="Arial" w:eastAsia="Arial" w:hAnsi="Arial"/>
                <w:sz w:val="17"/>
                <w:szCs w:val="17"/>
                <w:color w:val="auto"/>
              </w:rPr>
              <w:t>Warrant liability</w:t>
            </w:r>
          </w:p>
        </w:tc>
        <w:tc>
          <w:tcPr>
            <w:tcW w:w="300" w:type="dxa"/>
            <w:vAlign w:val="bottom"/>
          </w:tcPr>
          <w:p>
            <w:pPr>
              <w:jc w:val="right"/>
              <w:ind w:right="119"/>
              <w:spacing w:after="0"/>
              <w:rPr>
                <w:sz w:val="20"/>
                <w:szCs w:val="20"/>
                <w:color w:val="auto"/>
              </w:rPr>
            </w:pPr>
            <w:r>
              <w:rPr>
                <w:rFonts w:ascii="Arial" w:cs="Arial" w:eastAsia="Arial" w:hAnsi="Arial"/>
                <w:sz w:val="17"/>
                <w:szCs w:val="17"/>
                <w:color w:val="auto"/>
                <w:w w:val="84"/>
              </w:rPr>
              <w:t>$</w:t>
            </w: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361</w:t>
            </w:r>
          </w:p>
        </w:tc>
        <w:tc>
          <w:tcPr>
            <w:tcW w:w="46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5" w:lineRule="exact"/>
        <w:rPr>
          <w:sz w:val="20"/>
          <w:szCs w:val="20"/>
          <w:color w:val="auto"/>
        </w:rPr>
      </w:pPr>
    </w:p>
    <w:p>
      <w:pPr>
        <w:ind w:left="560" w:right="720"/>
        <w:spacing w:after="0" w:line="246" w:lineRule="auto"/>
        <w:rPr>
          <w:sz w:val="20"/>
          <w:szCs w:val="20"/>
          <w:color w:val="auto"/>
        </w:rPr>
      </w:pPr>
      <w:r>
        <w:rPr>
          <w:rFonts w:ascii="Arial" w:cs="Arial" w:eastAsia="Arial" w:hAnsi="Arial"/>
          <w:sz w:val="18"/>
          <w:szCs w:val="18"/>
          <w:color w:val="auto"/>
        </w:rPr>
        <w:t>The following tables are a reconciliation of all financial liabilities measured at fair value using Level 3 unobservable inputs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COMPOUND</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5"/>
        </w:trPr>
        <w:tc>
          <w:tcPr>
            <w:tcW w:w="5840" w:type="dxa"/>
            <w:vAlign w:val="bottom"/>
            <w:gridSpan w:val="2"/>
            <w:vMerge w:val="restart"/>
          </w:tcPr>
          <w:p>
            <w:pPr>
              <w:ind w:left="440"/>
              <w:spacing w:after="0"/>
              <w:rPr>
                <w:sz w:val="20"/>
                <w:szCs w:val="20"/>
                <w:color w:val="auto"/>
              </w:rPr>
            </w:pPr>
            <w:r>
              <w:rPr>
                <w:rFonts w:ascii="Arial" w:cs="Arial" w:eastAsia="Arial" w:hAnsi="Arial"/>
                <w:sz w:val="17"/>
                <w:szCs w:val="17"/>
                <w:color w:val="auto"/>
              </w:rPr>
              <w:t>Balance as of December 31, 2018</w:t>
            </w:r>
          </w:p>
        </w:tc>
        <w:tc>
          <w:tcPr>
            <w:tcW w:w="2800" w:type="dxa"/>
            <w:vAlign w:val="bottom"/>
          </w:tcPr>
          <w:p>
            <w:pPr>
              <w:spacing w:after="0"/>
              <w:rPr>
                <w:sz w:val="15"/>
                <w:szCs w:val="15"/>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LIABILITY</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83"/>
        </w:trPr>
        <w:tc>
          <w:tcPr>
            <w:tcW w:w="5840" w:type="dxa"/>
            <w:vAlign w:val="bottom"/>
            <w:gridSpan w:val="2"/>
            <w:vMerge w:val="continue"/>
          </w:tcPr>
          <w:p>
            <w:pPr>
              <w:spacing w:after="0"/>
              <w:rPr>
                <w:sz w:val="15"/>
                <w:szCs w:val="15"/>
                <w:color w:val="auto"/>
              </w:rPr>
            </w:pPr>
          </w:p>
        </w:tc>
        <w:tc>
          <w:tcPr>
            <w:tcW w:w="2800" w:type="dxa"/>
            <w:vAlign w:val="bottom"/>
          </w:tcPr>
          <w:p>
            <w:pPr>
              <w:spacing w:after="0"/>
              <w:rPr>
                <w:sz w:val="15"/>
                <w:szCs w:val="15"/>
                <w:color w:val="auto"/>
              </w:rPr>
            </w:pPr>
          </w:p>
        </w:tc>
        <w:tc>
          <w:tcPr>
            <w:tcW w:w="280" w:type="dxa"/>
            <w:vAlign w:val="bottom"/>
            <w:tcBorders>
              <w:top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5"/>
                <w:szCs w:val="15"/>
                <w:color w:val="auto"/>
              </w:rPr>
            </w:pPr>
          </w:p>
        </w:tc>
        <w:tc>
          <w:tcPr>
            <w:tcW w:w="380" w:type="dxa"/>
            <w:vAlign w:val="bottom"/>
            <w:tcBorders>
              <w:top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Additions</w:t>
            </w:r>
          </w:p>
        </w:tc>
        <w:tc>
          <w:tcPr>
            <w:tcW w:w="2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700"/>
              <w:spacing w:after="0" w:line="189" w:lineRule="exact"/>
              <w:rPr>
                <w:sz w:val="20"/>
                <w:szCs w:val="20"/>
                <w:color w:val="auto"/>
              </w:rPr>
            </w:pPr>
            <w:r>
              <w:rPr>
                <w:rFonts w:ascii="Arial" w:cs="Arial" w:eastAsia="Arial" w:hAnsi="Arial"/>
                <w:sz w:val="17"/>
                <w:szCs w:val="17"/>
                <w:color w:val="auto"/>
              </w:rPr>
              <w:t>361</w:t>
            </w:r>
          </w:p>
        </w:tc>
        <w:tc>
          <w:tcPr>
            <w:tcW w:w="3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400" w:type="dxa"/>
            <w:vAlign w:val="bottom"/>
          </w:tcPr>
          <w:p>
            <w:pPr>
              <w:spacing w:after="0" w:line="189" w:lineRule="exact"/>
              <w:rPr>
                <w:sz w:val="20"/>
                <w:szCs w:val="20"/>
                <w:color w:val="auto"/>
              </w:rPr>
            </w:pPr>
            <w:r>
              <w:rPr>
                <w:rFonts w:ascii="Arial" w:cs="Arial" w:eastAsia="Arial" w:hAnsi="Arial"/>
                <w:sz w:val="17"/>
                <w:szCs w:val="17"/>
                <w:color w:val="auto"/>
              </w:rPr>
              <w:t>Change in market value</w:t>
            </w:r>
          </w:p>
        </w:tc>
        <w:tc>
          <w:tcPr>
            <w:tcW w:w="2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as of December 31, 2019</w:t>
            </w:r>
          </w:p>
        </w:tc>
        <w:tc>
          <w:tcPr>
            <w:tcW w:w="3080" w:type="dxa"/>
            <w:vAlign w:val="bottom"/>
            <w:gridSpan w:val="2"/>
            <w:shd w:val="clear" w:color="auto" w:fill="CCEEFF"/>
          </w:tcPr>
          <w:p>
            <w:pPr>
              <w:ind w:left="280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700"/>
              <w:spacing w:after="0" w:line="189" w:lineRule="exact"/>
              <w:rPr>
                <w:sz w:val="20"/>
                <w:szCs w:val="20"/>
                <w:color w:val="auto"/>
              </w:rPr>
            </w:pPr>
            <w:r>
              <w:rPr>
                <w:rFonts w:ascii="Arial" w:cs="Arial" w:eastAsia="Arial" w:hAnsi="Arial"/>
                <w:sz w:val="17"/>
                <w:szCs w:val="17"/>
                <w:color w:val="auto"/>
              </w:rPr>
              <w:t>361</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60" w:right="420"/>
        <w:spacing w:after="0" w:line="238" w:lineRule="auto"/>
        <w:rPr>
          <w:sz w:val="20"/>
          <w:szCs w:val="20"/>
          <w:color w:val="auto"/>
        </w:rPr>
      </w:pPr>
      <w:r>
        <w:rPr>
          <w:rFonts w:ascii="Arial" w:cs="Arial" w:eastAsia="Arial" w:hAnsi="Arial"/>
          <w:sz w:val="17"/>
          <w:szCs w:val="17"/>
          <w:color w:val="auto"/>
        </w:rPr>
        <w:t>The Company did not have any outstanding financial liabilities to be re-measured on a recurring basis as of December 31, 2018. There were no transfers of assets or liabilities between the fair value measurement levels during the years ended December 31, 2018 and December 31, 2019.</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Loan</w:t>
      </w:r>
    </w:p>
    <w:p>
      <w:pPr>
        <w:spacing w:after="0" w:line="80"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The estimated fair value of the Term Loan was $5.7 million as of December 31, 2019 which approximates the carrying value and is classified as Level 3. The Company utilized a market yield analysis and income approach to estimate a value for the Term Loan. The key valuation assumptions used consist of the discount rate of 14.5% and the probability of the occurrence of a change in control event of 10.0%.</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COMPONENTS</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Property and Equipment, Net</w:t>
      </w:r>
    </w:p>
    <w:p>
      <w:pPr>
        <w:spacing w:after="0" w:line="98" w:lineRule="exact"/>
        <w:rPr>
          <w:rFonts w:ascii="Arial" w:cs="Arial" w:eastAsia="Arial" w:hAnsi="Arial"/>
          <w:sz w:val="17"/>
          <w:szCs w:val="17"/>
          <w:b w:val="1"/>
          <w:bCs w:val="1"/>
          <w:color w:val="auto"/>
        </w:rPr>
      </w:pPr>
    </w:p>
    <w:p>
      <w:pPr>
        <w:ind w:left="560" w:right="22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The following table presents the components of property and equipment, net as of December 31, 2018 and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87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Computer hardware and software</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117</w:t>
            </w: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tcPr>
          <w:p>
            <w:pPr>
              <w:spacing w:after="0" w:line="189" w:lineRule="exact"/>
              <w:rPr>
                <w:sz w:val="20"/>
                <w:szCs w:val="20"/>
                <w:color w:val="auto"/>
              </w:rPr>
            </w:pPr>
            <w:r>
              <w:rPr>
                <w:rFonts w:ascii="Arial" w:cs="Arial" w:eastAsia="Arial" w:hAnsi="Arial"/>
                <w:sz w:val="17"/>
                <w:szCs w:val="17"/>
                <w:color w:val="auto"/>
              </w:rPr>
              <w:t>Machinery and equipment</w:t>
            </w:r>
          </w:p>
        </w:tc>
        <w:tc>
          <w:tcPr>
            <w:tcW w:w="100" w:type="dxa"/>
            <w:vAlign w:val="bottom"/>
          </w:tcPr>
          <w:p>
            <w:pPr>
              <w:spacing w:after="0"/>
              <w:rPr>
                <w:sz w:val="16"/>
                <w:szCs w:val="16"/>
                <w:color w:val="auto"/>
              </w:rPr>
            </w:pPr>
          </w:p>
        </w:tc>
        <w:tc>
          <w:tcPr>
            <w:tcW w:w="1000" w:type="dxa"/>
            <w:vAlign w:val="bottom"/>
            <w:gridSpan w:val="3"/>
          </w:tcPr>
          <w:p>
            <w:pPr>
              <w:jc w:val="right"/>
              <w:ind w:right="500"/>
              <w:spacing w:after="0" w:line="189" w:lineRule="exact"/>
              <w:rPr>
                <w:sz w:val="20"/>
                <w:szCs w:val="20"/>
                <w:color w:val="auto"/>
              </w:rPr>
            </w:pPr>
            <w:r>
              <w:rPr>
                <w:rFonts w:ascii="Arial" w:cs="Arial" w:eastAsia="Arial" w:hAnsi="Arial"/>
                <w:sz w:val="17"/>
                <w:szCs w:val="17"/>
                <w:color w:val="auto"/>
              </w:rPr>
              <w:t>1,374</w:t>
            </w:r>
          </w:p>
        </w:tc>
        <w:tc>
          <w:tcPr>
            <w:tcW w:w="120" w:type="dxa"/>
            <w:vAlign w:val="bottom"/>
          </w:tcPr>
          <w:p>
            <w:pPr>
              <w:spacing w:after="0"/>
              <w:rPr>
                <w:sz w:val="16"/>
                <w:szCs w:val="16"/>
                <w:color w:val="auto"/>
              </w:rPr>
            </w:pP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1,698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fixtures</w:t>
            </w: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100" w:type="dxa"/>
            <w:vAlign w:val="bottom"/>
          </w:tcPr>
          <w:p>
            <w:pPr>
              <w:spacing w:after="0"/>
              <w:rPr>
                <w:sz w:val="16"/>
                <w:szCs w:val="16"/>
                <w:color w:val="auto"/>
              </w:rPr>
            </w:pPr>
          </w:p>
        </w:tc>
        <w:tc>
          <w:tcPr>
            <w:tcW w:w="5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429</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Construction in progress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50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1,976</w:t>
            </w:r>
          </w:p>
        </w:tc>
        <w:tc>
          <w:tcPr>
            <w:tcW w:w="5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2,309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accumulated depreciation and amortization</w:t>
            </w: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(1,020)</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6"/>
              </w:rPr>
              <w:t>(1,449)</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property and equipment, net</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956</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8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and amortization expense was approximately $0.4 million for both years ended December 31, 2018 and December 31, 2019.</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components of accrued expenses and other current liabilities as of December 31, 2018 and</w:t>
      </w:r>
    </w:p>
    <w:p>
      <w:pPr>
        <w:ind w:left="560"/>
        <w:spacing w:after="0"/>
        <w:rPr>
          <w:sz w:val="20"/>
          <w:szCs w:val="20"/>
          <w:color w:val="auto"/>
        </w:rPr>
      </w:pPr>
      <w:r>
        <w:rPr>
          <w:rFonts w:ascii="Arial" w:cs="Arial" w:eastAsia="Arial" w:hAnsi="Arial"/>
          <w:sz w:val="18"/>
          <w:szCs w:val="18"/>
          <w:color w:val="auto"/>
        </w:rPr>
        <w:t>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440" w:type="dxa"/>
            <w:vAlign w:val="bottom"/>
          </w:tcPr>
          <w:p>
            <w:pPr>
              <w:spacing w:after="0"/>
              <w:rPr>
                <w:sz w:val="13"/>
                <w:szCs w:val="13"/>
                <w:color w:val="auto"/>
              </w:rPr>
            </w:pPr>
          </w:p>
        </w:tc>
        <w:tc>
          <w:tcPr>
            <w:tcW w:w="90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3"/>
                <w:szCs w:val="13"/>
                <w:color w:val="auto"/>
              </w:rPr>
            </w:pPr>
          </w:p>
        </w:tc>
      </w:tr>
      <w:tr>
        <w:trPr>
          <w:trHeight w:val="183"/>
        </w:trPr>
        <w:tc>
          <w:tcPr>
            <w:tcW w:w="440" w:type="dxa"/>
            <w:vAlign w:val="bottom"/>
          </w:tcPr>
          <w:p>
            <w:pPr>
              <w:spacing w:after="0"/>
              <w:rPr>
                <w:sz w:val="15"/>
                <w:szCs w:val="15"/>
                <w:color w:val="auto"/>
              </w:rPr>
            </w:pPr>
          </w:p>
        </w:tc>
        <w:tc>
          <w:tcPr>
            <w:tcW w:w="9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Payroll and related liabilities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62</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60</w:t>
            </w:r>
          </w:p>
        </w:tc>
        <w:tc>
          <w:tcPr>
            <w:tcW w:w="6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9080" w:type="dxa"/>
            <w:vAlign w:val="bottom"/>
          </w:tcPr>
          <w:p>
            <w:pPr>
              <w:spacing w:after="0" w:line="189" w:lineRule="exact"/>
              <w:rPr>
                <w:sz w:val="20"/>
                <w:szCs w:val="20"/>
                <w:color w:val="auto"/>
              </w:rPr>
            </w:pPr>
            <w:r>
              <w:rPr>
                <w:rFonts w:ascii="Arial" w:cs="Arial" w:eastAsia="Arial" w:hAnsi="Arial"/>
                <w:sz w:val="17"/>
                <w:szCs w:val="17"/>
                <w:color w:val="auto"/>
              </w:rPr>
              <w:t>Accrued bonus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745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864</w:t>
            </w:r>
          </w:p>
        </w:tc>
      </w:tr>
      <w:tr>
        <w:trPr>
          <w:trHeight w:val="189"/>
        </w:trPr>
        <w:tc>
          <w:tcPr>
            <w:tcW w:w="44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legal costs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98</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122</w:t>
            </w:r>
          </w:p>
        </w:tc>
      </w:tr>
      <w:tr>
        <w:trPr>
          <w:trHeight w:val="189"/>
        </w:trPr>
        <w:tc>
          <w:tcPr>
            <w:tcW w:w="440" w:type="dxa"/>
            <w:vAlign w:val="bottom"/>
          </w:tcPr>
          <w:p>
            <w:pPr>
              <w:spacing w:after="0"/>
              <w:rPr>
                <w:sz w:val="16"/>
                <w:szCs w:val="16"/>
                <w:color w:val="auto"/>
              </w:rPr>
            </w:pPr>
          </w:p>
        </w:tc>
        <w:tc>
          <w:tcPr>
            <w:tcW w:w="9080" w:type="dxa"/>
            <w:vAlign w:val="bottom"/>
          </w:tcPr>
          <w:p>
            <w:pPr>
              <w:spacing w:after="0" w:line="189" w:lineRule="exact"/>
              <w:rPr>
                <w:sz w:val="20"/>
                <w:szCs w:val="20"/>
                <w:color w:val="auto"/>
              </w:rPr>
            </w:pPr>
            <w:r>
              <w:rPr>
                <w:rFonts w:ascii="Arial" w:cs="Arial" w:eastAsia="Arial" w:hAnsi="Arial"/>
                <w:sz w:val="17"/>
                <w:szCs w:val="17"/>
                <w:color w:val="auto"/>
              </w:rPr>
              <w:t>Early exercise liability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105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27</w:t>
            </w:r>
          </w:p>
        </w:tc>
      </w:tr>
      <w:tr>
        <w:trPr>
          <w:trHeight w:val="189"/>
        </w:trPr>
        <w:tc>
          <w:tcPr>
            <w:tcW w:w="44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166</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163</w:t>
            </w:r>
          </w:p>
        </w:tc>
        <w:tc>
          <w:tcPr>
            <w:tcW w:w="60" w:type="dxa"/>
            <w:vAlign w:val="bottom"/>
            <w:shd w:val="clear" w:color="auto" w:fill="CCEEFF"/>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9080" w:type="dxa"/>
            <w:vAlign w:val="bottom"/>
          </w:tcPr>
          <w:p>
            <w:pPr>
              <w:ind w:left="260"/>
              <w:spacing w:after="0"/>
              <w:rPr>
                <w:sz w:val="20"/>
                <w:szCs w:val="20"/>
                <w:color w:val="auto"/>
              </w:rPr>
            </w:pPr>
            <w:r>
              <w:rPr>
                <w:rFonts w:ascii="Arial" w:cs="Arial" w:eastAsia="Arial" w:hAnsi="Arial"/>
                <w:sz w:val="17"/>
                <w:szCs w:val="17"/>
                <w:color w:val="auto"/>
              </w:rPr>
              <w:t>Total accrued expenses and other current liabilities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1,176</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1,236</w:t>
            </w:r>
          </w:p>
        </w:tc>
      </w:tr>
      <w:tr>
        <w:trPr>
          <w:trHeight w:val="20"/>
        </w:trPr>
        <w:tc>
          <w:tcPr>
            <w:tcW w:w="4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379"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TERM LOAN</w:t>
      </w:r>
    </w:p>
    <w:p>
      <w:pPr>
        <w:spacing w:after="0" w:line="175" w:lineRule="exact"/>
        <w:rPr>
          <w:rFonts w:ascii="Arial" w:cs="Arial" w:eastAsia="Arial" w:hAnsi="Arial"/>
          <w:sz w:val="17"/>
          <w:szCs w:val="17"/>
          <w:b w:val="1"/>
          <w:bCs w:val="1"/>
          <w:color w:val="auto"/>
        </w:rPr>
      </w:pPr>
    </w:p>
    <w:p>
      <w:pPr>
        <w:ind w:left="560" w:right="2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The Company and its wholly-owned subsidiaries Alexo Therapeutics International and Sirpant Therapeutics, as borrowers, entered into a Loan and Security Agreement, or the Loan Agreement, dated as of December 20, 2019, with Silicon Valley Bank, or SVB, and WestRiver Innovation Lending Fund VIII, LP, or WestRiver, collectively as lenders, and SVB, as administrative agent and collateral agent. The Loan Agreement provides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the Company’s achievement of an equity financing resulting in net cash proceeds in an amount of at least $30.0 million to the Company. The Company elected not to draw down on the second tranche, which is no longer available.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80"/>
        <w:spacing w:after="0" w:line="238" w:lineRule="auto"/>
        <w:rPr>
          <w:sz w:val="20"/>
          <w:szCs w:val="20"/>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4.75% as of December 31, 2019. Therefore, the rate applicable to the Company as of December 31, 2019 was 7.0%.</w:t>
      </w:r>
    </w:p>
    <w:p>
      <w:pPr>
        <w:spacing w:after="0" w:line="147" w:lineRule="exact"/>
        <w:rPr>
          <w:sz w:val="20"/>
          <w:szCs w:val="20"/>
          <w:color w:val="auto"/>
        </w:rPr>
      </w:pPr>
    </w:p>
    <w:p>
      <w:pPr>
        <w:ind w:left="560" w:right="120"/>
        <w:spacing w:after="0" w:line="235" w:lineRule="auto"/>
        <w:rPr>
          <w:sz w:val="20"/>
          <w:szCs w:val="20"/>
          <w:color w:val="auto"/>
        </w:rPr>
      </w:pPr>
      <w:r>
        <w:rPr>
          <w:rFonts w:ascii="Arial" w:cs="Arial" w:eastAsia="Arial" w:hAnsi="Arial"/>
          <w:sz w:val="17"/>
          <w:szCs w:val="17"/>
          <w:color w:val="auto"/>
        </w:rPr>
        <w:t>The Company is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the Company elects to prepay the term loans, there is also a prepayment fee of between 1.0% and 3.0% of the principal amount being prepaid depending on the timing and circumstances of prepayment.</w:t>
      </w:r>
    </w:p>
    <w:p>
      <w:pPr>
        <w:spacing w:after="0" w:line="148" w:lineRule="exact"/>
        <w:rPr>
          <w:sz w:val="20"/>
          <w:szCs w:val="20"/>
          <w:color w:val="auto"/>
        </w:rPr>
      </w:pPr>
    </w:p>
    <w:p>
      <w:pPr>
        <w:ind w:left="560" w:right="140"/>
        <w:spacing w:after="0" w:line="234" w:lineRule="auto"/>
        <w:rPr>
          <w:sz w:val="20"/>
          <w:szCs w:val="20"/>
          <w:color w:val="auto"/>
        </w:rPr>
      </w:pPr>
      <w:r>
        <w:rPr>
          <w:rFonts w:ascii="Arial" w:cs="Arial" w:eastAsia="Arial" w:hAnsi="Arial"/>
          <w:sz w:val="17"/>
          <w:szCs w:val="17"/>
          <w:color w:val="auto"/>
        </w:rPr>
        <w:t>In conjunction with the Loan Agreement, the Company has issued warrants to purchase 403,348 Series B convertible preferred shares to SVB and WestRiver with an exercise price of $1.4432 per share. The estimated fair value of the warrants at the date of issuance was approximately $0.4 million. The fair value of the Series B convertible preferred shares warrant liability was determined using the Black-Scholes option-pricing model. As of December 20, 2019, the various assumptions used in the option-pricing model were time to liquidity of 2.0 to 10.0 years, volatility of 85.5%, risk-free rate of 1.7% and equity value of $345.0 million. It was recorded at its fair value at inception and is being re-measured at each financial reporting period with any changes in fair value being recognized as a component of other income (expense), net in the accompanying consolidated statement of operations and comprehensive loss. As of December 31, 2019, the fair value of the Series B convertible preferred shares warrant liability was approximately $0.4 million and was recorded in other long-term liabilities on the consolidated balance sheet.</w:t>
      </w:r>
    </w:p>
    <w:p>
      <w:pPr>
        <w:spacing w:after="0" w:line="148" w:lineRule="exact"/>
        <w:rPr>
          <w:sz w:val="20"/>
          <w:szCs w:val="20"/>
          <w:color w:val="auto"/>
        </w:rPr>
      </w:pPr>
    </w:p>
    <w:p>
      <w:pPr>
        <w:ind w:left="560" w:right="80"/>
        <w:spacing w:after="0" w:line="243" w:lineRule="auto"/>
        <w:rPr>
          <w:sz w:val="20"/>
          <w:szCs w:val="20"/>
          <w:color w:val="auto"/>
        </w:rPr>
      </w:pPr>
      <w:r>
        <w:rPr>
          <w:rFonts w:ascii="Arial" w:cs="Arial" w:eastAsia="Arial" w:hAnsi="Arial"/>
          <w:sz w:val="17"/>
          <w:szCs w:val="17"/>
          <w:color w:val="auto"/>
        </w:rPr>
        <w:t>The loans under the Loan Agreement are secured by substantially all of the Company’s assets, except the Company’s intellectual property, which is the subject of a negative pledge.</w:t>
      </w:r>
    </w:p>
    <w:p>
      <w:pPr>
        <w:spacing w:after="0" w:line="144"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The Company recorded a term loan compound derivative liability of approximately $51,000 which will be marked-to-market in future periods. The Company calculated the fair value of the compound derivative by computing the difference between the fair value of the term loan with the compound derivative using the “with and without” method under the income approach, and the fair value of the term loan without the compound derivative. The Company calculated the fair values using a probability-weighted discounted cash flow analysis. The key valuation assumptions used consist of the discount rate and the probability of the occurrence of a change in control event. The term loan compound derivative liability is being re-measured at each financial reporting period with any changes in fair value being recognized as a component of other income (expense), net in the consolidated statement of operations and comprehensive loss. As of December 31, 2019, the fair value of the compound derivative liability was approximately $51,000 and was recorded in other long-term liabilities on the consolidated balance sheet.</w:t>
      </w:r>
    </w:p>
    <w:p>
      <w:pPr>
        <w:spacing w:after="0" w:line="154" w:lineRule="exact"/>
        <w:rPr>
          <w:sz w:val="20"/>
          <w:szCs w:val="20"/>
          <w:color w:val="auto"/>
        </w:rPr>
      </w:pPr>
    </w:p>
    <w:p>
      <w:pPr>
        <w:ind w:left="560" w:right="140"/>
        <w:spacing w:after="0" w:line="238" w:lineRule="auto"/>
        <w:rPr>
          <w:sz w:val="20"/>
          <w:szCs w:val="20"/>
          <w:color w:val="auto"/>
        </w:rPr>
      </w:pPr>
      <w:r>
        <w:rPr>
          <w:rFonts w:ascii="Arial" w:cs="Arial" w:eastAsia="Arial" w:hAnsi="Arial"/>
          <w:sz w:val="17"/>
          <w:szCs w:val="17"/>
          <w:color w:val="auto"/>
        </w:rPr>
        <w:t>The fair value of Series B convertible preferred shares warrant liability at issuance, fair value of embedded derivatives which were bifurcated and other debt issuance costs have been treated as debt discounts on the Company’s consolidated balance sheet and together with the final payment are being amortized to interest expense throughout the life of the term loan using the effective interest rate method.</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560" w:right="500"/>
        <w:spacing w:after="0" w:line="238" w:lineRule="auto"/>
        <w:rPr>
          <w:sz w:val="20"/>
          <w:szCs w:val="20"/>
          <w:color w:val="auto"/>
        </w:rPr>
      </w:pPr>
      <w:r>
        <w:rPr>
          <w:rFonts w:ascii="Arial" w:cs="Arial" w:eastAsia="Arial" w:hAnsi="Arial"/>
          <w:sz w:val="17"/>
          <w:szCs w:val="17"/>
          <w:color w:val="auto"/>
        </w:rPr>
        <w:t>As of December 31, 2019, there were unamortized issuance costs and debt discounts of $0.6 million which were recorded as a direct deduction from the term loan on the consolidated balance sheet. Interest expense for the term loan was immaterial for the year ended December 31, 2019. For future payments of principal and interest as of December 31, 2019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36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2020</w:t>
            </w:r>
          </w:p>
        </w:tc>
        <w:tc>
          <w:tcPr>
            <w:tcW w:w="78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401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212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7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w w:val="98"/>
              </w:rPr>
              <w:t>3,743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2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78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3,007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7,151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9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Less: amount representing interest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53"/>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Less: amount representing final payment</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44"/>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40" w:type="dxa"/>
            <w:vAlign w:val="bottom"/>
            <w:vMerge w:val="continue"/>
          </w:tcPr>
          <w:p>
            <w:pPr>
              <w:spacing w:after="0"/>
              <w:rPr>
                <w:sz w:val="17"/>
                <w:szCs w:val="17"/>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 gross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6,000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Less: unamortized issuance costs and debt discounts</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45"/>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9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Less: current portion</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Long-term portion of term loan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5,421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7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ind w:left="540" w:hanging="424"/>
        <w:spacing w:after="0"/>
        <w:tabs>
          <w:tab w:leader="none" w:pos="54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STRUCTURE</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Ordinary Shares</w:t>
      </w:r>
    </w:p>
    <w:p>
      <w:pPr>
        <w:spacing w:after="0" w:line="79" w:lineRule="exact"/>
        <w:rPr>
          <w:rFonts w:ascii="Arial" w:cs="Arial" w:eastAsia="Arial" w:hAnsi="Arial"/>
          <w:sz w:val="17"/>
          <w:szCs w:val="17"/>
          <w:b w:val="1"/>
          <w:bCs w:val="1"/>
          <w:color w:val="auto"/>
        </w:rPr>
      </w:pPr>
    </w:p>
    <w:p>
      <w:pPr>
        <w:ind w:left="560" w:right="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In 2015, in conjunction with the founding of the Company, 14,000,000 ordinary shares were issued to the founders, or Founder Stock, at a price of $0.005 per share. These shares are subject to repurchase at the option of the Company at a price that is the lower of (i) the original issuance price or (ii) the fair market value as of the date of repurchase, in the event that the founders’ employment is terminated either voluntarily or involuntarily. Such repurchase rights generally lapse over a period of four years from the date the Founder Stock was issued. As of December 31, 2018, and December 31, 2019, there were 749,333 and no founder shares subject to repurchase, respectively. See Note 6 for Founder Stock activity for the years ended December 31, 2018 and December 31, 2019.</w:t>
      </w:r>
    </w:p>
    <w:p>
      <w:pPr>
        <w:spacing w:after="0" w:line="147" w:lineRule="exact"/>
        <w:rPr>
          <w:rFonts w:ascii="Arial" w:cs="Arial" w:eastAsia="Arial" w:hAnsi="Arial"/>
          <w:sz w:val="17"/>
          <w:szCs w:val="17"/>
          <w:b w:val="1"/>
          <w:bCs w:val="1"/>
          <w:color w:val="auto"/>
        </w:rPr>
      </w:pPr>
    </w:p>
    <w:p>
      <w:pPr>
        <w:ind w:left="560" w:right="28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Ordinary shares reserved for future issuance, on an as if converted basis, as of December 31, 2018 and December 31, 2019,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4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4460" w:type="dxa"/>
            <w:vAlign w:val="bottom"/>
            <w:tcBorders>
              <w:bottom w:val="single" w:sz="8" w:color="CCEEFF"/>
            </w:tcBorders>
          </w:tcPr>
          <w:p>
            <w:pPr>
              <w:spacing w:after="0"/>
              <w:rPr>
                <w:sz w:val="13"/>
                <w:szCs w:val="13"/>
                <w:color w:val="auto"/>
              </w:rPr>
            </w:pPr>
          </w:p>
        </w:tc>
        <w:tc>
          <w:tcPr>
            <w:tcW w:w="368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Convertible preferred shares, issued and outstanding</w:t>
            </w:r>
          </w:p>
        </w:tc>
        <w:tc>
          <w:tcPr>
            <w:tcW w:w="36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61,180,500</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67,871,229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7"/>
                <w:szCs w:val="17"/>
                <w:color w:val="auto"/>
              </w:rPr>
              <w:t>Share options, issued and outstanding</w:t>
            </w:r>
          </w:p>
        </w:tc>
        <w:tc>
          <w:tcPr>
            <w:tcW w:w="492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5,691,123</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7,789,923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 options, authorized for future issuance</w:t>
            </w:r>
          </w:p>
        </w:tc>
        <w:tc>
          <w:tcPr>
            <w:tcW w:w="492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480,471</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3,730,445</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7"/>
                <w:szCs w:val="17"/>
                <w:color w:val="auto"/>
              </w:rPr>
              <w:t>Warrants, issued and outstanding</w:t>
            </w:r>
          </w:p>
        </w:tc>
        <w:tc>
          <w:tcPr>
            <w:tcW w:w="368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403,348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authorized for future issuance</w:t>
            </w:r>
          </w:p>
        </w:tc>
        <w:tc>
          <w:tcPr>
            <w:tcW w:w="36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201,674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60" w:type="dxa"/>
            <w:vAlign w:val="bottom"/>
            <w:vMerge w:val="restart"/>
          </w:tcPr>
          <w:p>
            <w:pPr>
              <w:ind w:left="500"/>
              <w:spacing w:after="0"/>
              <w:rPr>
                <w:sz w:val="20"/>
                <w:szCs w:val="20"/>
                <w:color w:val="auto"/>
              </w:rPr>
            </w:pPr>
            <w:r>
              <w:rPr>
                <w:rFonts w:ascii="Arial" w:cs="Arial" w:eastAsia="Arial" w:hAnsi="Arial"/>
                <w:sz w:val="17"/>
                <w:szCs w:val="17"/>
                <w:color w:val="auto"/>
              </w:rPr>
              <w:t>Total</w:t>
            </w:r>
          </w:p>
        </w:tc>
        <w:tc>
          <w:tcPr>
            <w:tcW w:w="3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60" w:type="dxa"/>
            <w:vAlign w:val="bottom"/>
            <w:vMerge w:val="continue"/>
          </w:tcPr>
          <w:p>
            <w:pPr>
              <w:spacing w:after="0"/>
              <w:rPr>
                <w:sz w:val="17"/>
                <w:szCs w:val="17"/>
                <w:color w:val="auto"/>
              </w:rPr>
            </w:pPr>
          </w:p>
        </w:tc>
        <w:tc>
          <w:tcPr>
            <w:tcW w:w="36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67,352,094</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79,996,619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920" w:type="dxa"/>
            <w:vAlign w:val="bottom"/>
            <w:gridSpan w:val="3"/>
          </w:tcPr>
          <w:p>
            <w:pPr>
              <w:jc w:val="right"/>
              <w:ind w:right="4140"/>
              <w:spacing w:after="0"/>
              <w:rPr>
                <w:sz w:val="20"/>
                <w:szCs w:val="20"/>
                <w:color w:val="auto"/>
              </w:rPr>
            </w:pPr>
            <w:r>
              <w:rPr>
                <w:rFonts w:ascii="Arial" w:cs="Arial" w:eastAsia="Arial" w:hAnsi="Arial"/>
                <w:sz w:val="16"/>
                <w:szCs w:val="16"/>
                <w:color w:val="auto"/>
              </w:rPr>
              <w:t>F-20</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Convertible Preferred Shares</w:t>
      </w:r>
    </w:p>
    <w:p>
      <w:pPr>
        <w:spacing w:after="0" w:line="93" w:lineRule="exact"/>
        <w:rPr>
          <w:sz w:val="20"/>
          <w:szCs w:val="20"/>
          <w:color w:val="auto"/>
        </w:rPr>
      </w:pPr>
    </w:p>
    <w:p>
      <w:pPr>
        <w:ind w:left="560" w:right="280"/>
        <w:spacing w:after="0" w:line="243" w:lineRule="auto"/>
        <w:rPr>
          <w:sz w:val="20"/>
          <w:szCs w:val="20"/>
          <w:color w:val="auto"/>
        </w:rPr>
      </w:pPr>
      <w:r>
        <w:rPr>
          <w:rFonts w:ascii="Arial" w:cs="Arial" w:eastAsia="Arial" w:hAnsi="Arial"/>
          <w:sz w:val="17"/>
          <w:szCs w:val="17"/>
          <w:color w:val="auto"/>
        </w:rPr>
        <w:t>As of December 31, 2018 and December 31, 2019, the Company’s convertible preferred shares consisted of the following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300" w:type="dxa"/>
            <w:vAlign w:val="bottom"/>
            <w:gridSpan w:val="2"/>
          </w:tcPr>
          <w:p>
            <w:pPr>
              <w:jc w:val="right"/>
              <w:ind w:right="360"/>
              <w:spacing w:after="0" w:line="159" w:lineRule="exact"/>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3"/>
          </w:tcPr>
          <w:p>
            <w:pPr>
              <w:jc w:val="right"/>
              <w:ind w:right="100"/>
              <w:spacing w:after="0" w:line="15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60" w:type="dxa"/>
            <w:vAlign w:val="bottom"/>
            <w:gridSpan w:val="3"/>
          </w:tcPr>
          <w:p>
            <w:pPr>
              <w:ind w:left="20"/>
              <w:spacing w:after="0" w:line="179" w:lineRule="exact"/>
              <w:rPr>
                <w:sz w:val="20"/>
                <w:szCs w:val="20"/>
                <w:color w:val="auto"/>
              </w:rPr>
            </w:pPr>
            <w:r>
              <w:rPr>
                <w:rFonts w:ascii="Arial" w:cs="Arial" w:eastAsia="Arial" w:hAnsi="Arial"/>
                <w:sz w:val="12"/>
                <w:szCs w:val="12"/>
                <w:b w:val="1"/>
                <w:bCs w:val="1"/>
                <w:color w:val="auto"/>
              </w:rPr>
              <w:t>PROCEEDS</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62,000,000</w:t>
            </w:r>
          </w:p>
        </w:tc>
        <w:tc>
          <w:tcPr>
            <w:tcW w:w="36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61,180,500</w:t>
            </w:r>
          </w:p>
        </w:tc>
        <w:tc>
          <w:tcPr>
            <w:tcW w:w="40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69,863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62,000,000</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61,180,500</w:t>
            </w:r>
          </w:p>
        </w:tc>
        <w:tc>
          <w:tcPr>
            <w:tcW w:w="4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69,863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300" w:type="dxa"/>
            <w:vAlign w:val="bottom"/>
            <w:gridSpan w:val="2"/>
          </w:tcPr>
          <w:p>
            <w:pPr>
              <w:jc w:val="right"/>
              <w:ind w:right="360"/>
              <w:spacing w:after="0" w:line="159" w:lineRule="exact"/>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60" w:type="dxa"/>
            <w:vAlign w:val="bottom"/>
            <w:gridSpan w:val="3"/>
          </w:tcPr>
          <w:p>
            <w:pPr>
              <w:ind w:left="20"/>
              <w:spacing w:after="0" w:line="179" w:lineRule="exact"/>
              <w:rPr>
                <w:sz w:val="20"/>
                <w:szCs w:val="20"/>
                <w:color w:val="auto"/>
              </w:rPr>
            </w:pPr>
            <w:r>
              <w:rPr>
                <w:rFonts w:ascii="Arial" w:cs="Arial" w:eastAsia="Arial" w:hAnsi="Arial"/>
                <w:sz w:val="12"/>
                <w:szCs w:val="12"/>
                <w:b w:val="1"/>
                <w:bCs w:val="1"/>
                <w:color w:val="auto"/>
              </w:rPr>
              <w:t>PROCEEDS</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62,000,000</w:t>
            </w:r>
          </w:p>
        </w:tc>
        <w:tc>
          <w:tcPr>
            <w:tcW w:w="36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61,180,500</w:t>
            </w:r>
          </w:p>
        </w:tc>
        <w:tc>
          <w:tcPr>
            <w:tcW w:w="40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73,571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14,117,822</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6,690,729</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9,430</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10,014</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gridSpan w:val="2"/>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76,117,822</w:t>
            </w:r>
          </w:p>
        </w:tc>
        <w:tc>
          <w:tcPr>
            <w:tcW w:w="3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67,871,229</w:t>
            </w:r>
          </w:p>
        </w:tc>
        <w:tc>
          <w:tcPr>
            <w:tcW w:w="4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70,363</w:t>
            </w:r>
          </w:p>
        </w:tc>
        <w:tc>
          <w:tcPr>
            <w:tcW w:w="4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83,585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111125</wp:posOffset>
            </wp:positionV>
            <wp:extent cx="66776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677660" cy="8890"/>
                    </a:xfrm>
                    <a:prstGeom prst="rect">
                      <a:avLst/>
                    </a:prstGeom>
                    <a:noFill/>
                  </pic:spPr>
                </pic:pic>
              </a:graphicData>
            </a:graphic>
          </wp:anchor>
        </w:drawing>
      </w:r>
    </w:p>
    <w:p>
      <w:pPr>
        <w:spacing w:after="0" w:line="176" w:lineRule="exact"/>
        <w:rPr>
          <w:sz w:val="20"/>
          <w:szCs w:val="20"/>
          <w:color w:val="auto"/>
        </w:rPr>
      </w:pPr>
    </w:p>
    <w:p>
      <w:pPr>
        <w:ind w:left="980" w:hanging="432"/>
        <w:spacing w:after="0"/>
        <w:tabs>
          <w:tab w:leader="none" w:pos="9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Net proceeds are gross proceeds from the offerings net of issuance costs.</w:t>
      </w:r>
    </w:p>
    <w:p>
      <w:pPr>
        <w:spacing w:after="0" w:line="156" w:lineRule="exact"/>
        <w:rPr>
          <w:sz w:val="20"/>
          <w:szCs w:val="20"/>
          <w:color w:val="auto"/>
        </w:rPr>
      </w:pPr>
    </w:p>
    <w:p>
      <w:pPr>
        <w:ind w:left="560" w:right="20"/>
        <w:spacing w:after="0" w:line="234" w:lineRule="auto"/>
        <w:rPr>
          <w:sz w:val="20"/>
          <w:szCs w:val="20"/>
          <w:color w:val="auto"/>
        </w:rPr>
      </w:pPr>
      <w:r>
        <w:rPr>
          <w:rFonts w:ascii="Arial" w:cs="Arial" w:eastAsia="Arial" w:hAnsi="Arial"/>
          <w:sz w:val="17"/>
          <w:szCs w:val="17"/>
          <w:color w:val="auto"/>
        </w:rPr>
        <w:t>In May 2015, the Company entered into a Series A Preferred Share Purchase Agreement, or Series A Agreement, with certain existing investors, employees, and new investors, or collectively, the Series A Investors. Under the terms of the Series A Agreement, the Company authorized the sale and issuance of up to 36,000,000 of the Company’s Series A convertible preferred shares. The purchase and sale of the Series A convertible preferred shares could be sold in one or more closings in accordance with the Series A Agreement. In March 2017, the Company entered into a convertible promissory note purchase agreement, or the Note Purchase Agreement, with certain existing investors, employees and new investors, or collectively, the Promissory Note Investors. Under the terms of the Note Purchase Agreement, the Company issued promissory notes in the aggregate principal amount of $25.0 million that are convertible into Series A convertible preferred shares to the Promissory Note Investors.</w:t>
      </w:r>
    </w:p>
    <w:p>
      <w:pPr>
        <w:spacing w:after="0" w:line="149" w:lineRule="exact"/>
        <w:rPr>
          <w:sz w:val="20"/>
          <w:szCs w:val="20"/>
          <w:color w:val="auto"/>
        </w:rPr>
      </w:pPr>
    </w:p>
    <w:p>
      <w:pPr>
        <w:ind w:left="560" w:right="120"/>
        <w:spacing w:after="0" w:line="236" w:lineRule="auto"/>
        <w:rPr>
          <w:sz w:val="20"/>
          <w:szCs w:val="20"/>
          <w:color w:val="auto"/>
        </w:rPr>
      </w:pPr>
      <w:r>
        <w:rPr>
          <w:rFonts w:ascii="Arial" w:cs="Arial" w:eastAsia="Arial" w:hAnsi="Arial"/>
          <w:sz w:val="17"/>
          <w:szCs w:val="17"/>
          <w:color w:val="auto"/>
        </w:rPr>
        <w:t>In 2015 and 2016, the Company issued a total of 36,000,000 Series A convertible preferred shares to investors at $1.00 per share for cash proceeds of $34.8 million. In September 2017, the Company issued a total of 25,180,500 Series A convertible preferred shares for cash proceeds of $1.2 million pursuant to the conversion of outstanding convertible promissory notes. The gross proceeds of $37.2 million were reduced by total issuance costs incurred of $0.2 million.</w:t>
      </w:r>
    </w:p>
    <w:p>
      <w:pPr>
        <w:spacing w:after="0" w:line="149" w:lineRule="exact"/>
        <w:rPr>
          <w:sz w:val="20"/>
          <w:szCs w:val="20"/>
          <w:color w:val="auto"/>
        </w:rPr>
      </w:pPr>
    </w:p>
    <w:p>
      <w:pPr>
        <w:ind w:left="560" w:right="40"/>
        <w:spacing w:after="0" w:line="235" w:lineRule="auto"/>
        <w:rPr>
          <w:sz w:val="20"/>
          <w:szCs w:val="20"/>
          <w:color w:val="auto"/>
        </w:rPr>
      </w:pPr>
      <w:r>
        <w:rPr>
          <w:rFonts w:ascii="Arial" w:cs="Arial" w:eastAsia="Arial" w:hAnsi="Arial"/>
          <w:sz w:val="17"/>
          <w:szCs w:val="17"/>
          <w:color w:val="auto"/>
        </w:rPr>
        <w:t>In May 2019, the Company entered into a Series B Preferred Share Purchase Agreement or the Series B Agreement, with certain existing investors, employees and new investors, or collectively, the Series B Investors. Under the terms of the Series B Agreement, the Company authorized the sale and issuance of up to 14,117,822 of the Company’s Series B convertible preferred shares at a purchase price of $1.4432 per share. The purchase and sale of the Series B convertible preferred shares could be sold in one or more closings in accordance with the Series B Agreement. As of December 31, 2019, a total of 6,690,729 shares had been purchased with gross proceeds of $9.6 million. The gross proceeds of $9.6 million were reduced by total issuance costs incurred of $0.2 million.</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rights, preferences and privileges of the Series A and Series B convertible preferred shares, or Preferred Shares, as of December 31,</w:t>
      </w:r>
    </w:p>
    <w:p>
      <w:pPr>
        <w:ind w:left="560"/>
        <w:spacing w:after="0"/>
        <w:rPr>
          <w:sz w:val="20"/>
          <w:szCs w:val="20"/>
          <w:color w:val="auto"/>
        </w:rPr>
      </w:pPr>
      <w:r>
        <w:rPr>
          <w:rFonts w:ascii="Arial" w:cs="Arial" w:eastAsia="Arial" w:hAnsi="Arial"/>
          <w:sz w:val="17"/>
          <w:szCs w:val="17"/>
          <w:color w:val="auto"/>
        </w:rPr>
        <w:t>2019 are as follows:</w:t>
      </w:r>
    </w:p>
    <w:p>
      <w:pPr>
        <w:spacing w:after="0" w:line="138" w:lineRule="exact"/>
        <w:rPr>
          <w:sz w:val="20"/>
          <w:szCs w:val="20"/>
          <w:color w:val="auto"/>
        </w:rPr>
      </w:pPr>
    </w:p>
    <w:p>
      <w:pPr>
        <w:ind w:left="560" w:right="380"/>
        <w:spacing w:after="0" w:line="265" w:lineRule="auto"/>
        <w:rPr>
          <w:sz w:val="20"/>
          <w:szCs w:val="20"/>
          <w:color w:val="auto"/>
        </w:rPr>
      </w:pPr>
      <w:r>
        <w:rPr>
          <w:rFonts w:ascii="Arial" w:cs="Arial" w:eastAsia="Arial" w:hAnsi="Arial"/>
          <w:sz w:val="17"/>
          <w:szCs w:val="17"/>
          <w:i w:val="1"/>
          <w:iCs w:val="1"/>
          <w:color w:val="auto"/>
        </w:rPr>
        <w:t xml:space="preserve">Dividend Provisions </w:t>
      </w:r>
      <w:r>
        <w:rPr>
          <w:rFonts w:ascii="Arial" w:cs="Arial" w:eastAsia="Arial" w:hAnsi="Arial"/>
          <w:sz w:val="17"/>
          <w:szCs w:val="17"/>
          <w:color w:val="auto"/>
        </w:rPr>
        <w:t>– Cumulative dividends of 6.0% per annum of the original issue price for each Preferred Shares series are payable</w:t>
      </w:r>
      <w:r>
        <w:rPr>
          <w:rFonts w:ascii="Arial" w:cs="Arial" w:eastAsia="Arial" w:hAnsi="Arial"/>
          <w:sz w:val="17"/>
          <w:szCs w:val="17"/>
          <w:i w:val="1"/>
          <w:iCs w:val="1"/>
          <w:color w:val="auto"/>
        </w:rPr>
        <w:t xml:space="preserve"> </w:t>
      </w:r>
      <w:r>
        <w:rPr>
          <w:rFonts w:ascii="Arial" w:cs="Arial" w:eastAsia="Arial" w:hAnsi="Arial"/>
          <w:sz w:val="17"/>
          <w:szCs w:val="17"/>
          <w:color w:val="auto"/>
        </w:rPr>
        <w:t>when and as declared by the Company’s Board of Directors, or Board of Directors,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line="234" w:lineRule="auto"/>
        <w:rPr>
          <w:sz w:val="20"/>
          <w:szCs w:val="20"/>
          <w:color w:val="auto"/>
        </w:rPr>
      </w:pPr>
      <w:r>
        <w:rPr>
          <w:rFonts w:ascii="Arial" w:cs="Arial" w:eastAsia="Arial" w:hAnsi="Arial"/>
          <w:sz w:val="17"/>
          <w:szCs w:val="17"/>
          <w:color w:val="auto"/>
        </w:rPr>
        <w:t>upon the occurrence of a liquidation event or upon a contingent mandatory conversion of the Preferred Shares in connection with a qualified initial public offering as described below. The Series A original issue price is $1.00, and the Series B original issue price is $1.4432. The original issue price is subject to adjustment in the event of any share dividend, share split, combination, consolidation or other recapitalization. The dividends shall accrue from day to day from the issue date of such Preferred Shares whether or not declared and shall be cumulative. In addition, the Preferred Shares participate on an as-converted basis in any dividends payable to ordinary shareholders. Cumulative dividends for the years ended December 31, 2018 and December 31, 2019 was $8.7 million and $12.7 million, respectively. No dividends have been declared or paid since the issuance of convertible preferred shares through December 31, 2019.</w:t>
      </w:r>
    </w:p>
    <w:p>
      <w:pPr>
        <w:spacing w:after="0" w:line="133" w:lineRule="exact"/>
        <w:rPr>
          <w:sz w:val="20"/>
          <w:szCs w:val="20"/>
          <w:color w:val="auto"/>
        </w:rPr>
      </w:pPr>
    </w:p>
    <w:p>
      <w:pPr>
        <w:ind w:left="560" w:right="20"/>
        <w:spacing w:after="0" w:line="237"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liquidation, dissolution or winding up of the Company, merger or a reduction of capital through the sale or lease</w:t>
      </w:r>
      <w:r>
        <w:rPr>
          <w:rFonts w:ascii="Arial" w:cs="Arial" w:eastAsia="Arial" w:hAnsi="Arial"/>
          <w:sz w:val="17"/>
          <w:szCs w:val="17"/>
          <w:i w:val="1"/>
          <w:iCs w:val="1"/>
          <w:color w:val="auto"/>
        </w:rPr>
        <w:t xml:space="preserve"> </w:t>
      </w:r>
      <w:r>
        <w:rPr>
          <w:rFonts w:ascii="Arial" w:cs="Arial" w:eastAsia="Arial" w:hAnsi="Arial"/>
          <w:sz w:val="17"/>
          <w:szCs w:val="17"/>
          <w:color w:val="auto"/>
        </w:rPr>
        <w:t>of all or substantial part of the business of the Company, before any distribution or payment shall be made to the holders of ordinary shares, the holders of Preferred Shares shall be entitled to be paid an amount in cash equal to the original issue price (subject to adjustment in the event of any share dividend, share split, combination, or other recapitalization) plus all dividends accumulated and unpaid thereon. First, the holders of the Preferred Shares are paid in full the amounts specified in the immediately preceding sentence on a pro-rata basis; then, after holders of the Preferred Shares are satisfied, any remaining amounts shall be distributed on a pro-rata basis to the holders of the Preferred Shares (calculated on an as converted basis) and the ordinary shares.</w:t>
      </w:r>
    </w:p>
    <w:p>
      <w:pPr>
        <w:spacing w:after="0" w:line="134" w:lineRule="exact"/>
        <w:rPr>
          <w:sz w:val="20"/>
          <w:szCs w:val="20"/>
          <w:color w:val="auto"/>
        </w:rPr>
      </w:pPr>
    </w:p>
    <w:p>
      <w:pPr>
        <w:ind w:left="560" w:right="20"/>
        <w:spacing w:after="0" w:line="237"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 On any matter presented to the shareholders of the Company, each holder of outstanding Preferred Shares shall be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to cast the number of votes equal to the number of whole ordinary shares into which the Preferred Shares held by such holder are convertible. The holders of Preferred Shares shall vote together with the holders of ordinary shares as a single class. Additionally, as long as at least 9,000,000 Preferred Shares are outstanding (subject to adjustment in the event of any recapitalizations), the Company must receive approval of holders of at least two-third of the voting rights then held in aggregate by the holders of the Preferred Shares in issue on an as-converted basis in order to effect certain corporate actions. Two investors have contractual rights to elect three out of five board members.</w:t>
      </w:r>
    </w:p>
    <w:p>
      <w:pPr>
        <w:spacing w:after="0" w:line="134" w:lineRule="exact"/>
        <w:rPr>
          <w:sz w:val="20"/>
          <w:szCs w:val="20"/>
          <w:color w:val="auto"/>
        </w:rPr>
      </w:pPr>
    </w:p>
    <w:p>
      <w:pPr>
        <w:ind w:left="560"/>
        <w:spacing w:after="0" w:line="238" w:lineRule="auto"/>
        <w:rPr>
          <w:sz w:val="20"/>
          <w:szCs w:val="20"/>
          <w:color w:val="auto"/>
        </w:rPr>
      </w:pPr>
      <w:r>
        <w:rPr>
          <w:rFonts w:ascii="Arial" w:cs="Arial" w:eastAsia="Arial" w:hAnsi="Arial"/>
          <w:sz w:val="17"/>
          <w:szCs w:val="17"/>
          <w:i w:val="1"/>
          <w:iCs w:val="1"/>
          <w:color w:val="auto"/>
        </w:rPr>
        <w:t xml:space="preserve">Optional Conversion at Holders’ Option </w:t>
      </w:r>
      <w:r>
        <w:rPr>
          <w:rFonts w:ascii="Arial" w:cs="Arial" w:eastAsia="Arial" w:hAnsi="Arial"/>
          <w:sz w:val="17"/>
          <w:szCs w:val="17"/>
          <w:color w:val="auto"/>
        </w:rPr>
        <w:t>– Each share of Preferred Shares shall be convertible, at the option of the holder, at any time and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into such number of fully paid and non-assessable ordinary shares as is determined by dividing the original issue price by the Applicable Conversion Price. The Applicable Conversion Price for each series of Preferred Shares is currently equal to the original issue price for such series. Upon conversion, the holders shall also receive only declared but as yet unpaid dividends. Note only holders of Preferred Shares receive declared and unpaid dividends; preferred shareholders who chose to convert prior to the declaration of such dividends are not entitled to receive accumulated dividends.</w:t>
      </w:r>
    </w:p>
    <w:p>
      <w:pPr>
        <w:spacing w:after="0" w:line="133" w:lineRule="exact"/>
        <w:rPr>
          <w:sz w:val="20"/>
          <w:szCs w:val="20"/>
          <w:color w:val="auto"/>
        </w:rPr>
      </w:pPr>
    </w:p>
    <w:p>
      <w:pPr>
        <w:ind w:left="560" w:right="20"/>
        <w:spacing w:after="0" w:line="236" w:lineRule="auto"/>
        <w:rPr>
          <w:sz w:val="20"/>
          <w:szCs w:val="20"/>
          <w:color w:val="auto"/>
        </w:rPr>
      </w:pPr>
      <w:r>
        <w:rPr>
          <w:rFonts w:ascii="Arial" w:cs="Arial" w:eastAsia="Arial" w:hAnsi="Arial"/>
          <w:sz w:val="17"/>
          <w:szCs w:val="17"/>
          <w:i w:val="1"/>
          <w:iCs w:val="1"/>
          <w:color w:val="auto"/>
        </w:rPr>
        <w:t xml:space="preserve">Contingent Mandatory Conversion </w:t>
      </w:r>
      <w:r>
        <w:rPr>
          <w:rFonts w:ascii="Arial" w:cs="Arial" w:eastAsia="Arial" w:hAnsi="Arial"/>
          <w:sz w:val="17"/>
          <w:szCs w:val="17"/>
          <w:color w:val="auto"/>
        </w:rPr>
        <w:t>– Upon the closing of the first underwritten public offering pursuant to an effective registration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Securities Act of 1933, as amended, or pursuant to a corresponding securities issuance application process in any non-U.S. jurisdiction, covering the offer and sale of the Company’s ordinary shares in which (i) the per share price is not less than $2.30912 (as adjusted for any share dividends, combinations, splits, recapitalizations and the like with respect to such shares after the filing date hereof) and (ii) the gross cash proceeds to the Company (before underwriting discounts, commissions and fees) are at least $50.0 million then all outstanding Preferred Shares shall automatically be converted into a number of ordinary shares, at a conversion rate determined by dividing the applicable original price of such Preferred Shares by the applicable conversion price of such Preferred Shares. Upon conversion, the holders shall also receive any cumulative and unpaid dividends, whether or not declared as conversion ordinary shares at the same conversion rate for the applicable Preferred Shares.</w:t>
      </w:r>
    </w:p>
    <w:p>
      <w:pPr>
        <w:spacing w:after="0" w:line="133" w:lineRule="exact"/>
        <w:rPr>
          <w:sz w:val="20"/>
          <w:szCs w:val="20"/>
          <w:color w:val="auto"/>
        </w:rPr>
      </w:pPr>
    </w:p>
    <w:p>
      <w:pPr>
        <w:jc w:val="both"/>
        <w:ind w:left="560" w:right="200"/>
        <w:spacing w:after="0" w:line="248" w:lineRule="auto"/>
        <w:rPr>
          <w:sz w:val="20"/>
          <w:szCs w:val="20"/>
          <w:color w:val="auto"/>
        </w:rPr>
      </w:pPr>
      <w:r>
        <w:rPr>
          <w:rFonts w:ascii="Arial" w:cs="Arial" w:eastAsia="Arial" w:hAnsi="Arial"/>
          <w:sz w:val="17"/>
          <w:szCs w:val="17"/>
          <w:i w:val="1"/>
          <w:iCs w:val="1"/>
          <w:color w:val="auto"/>
        </w:rPr>
        <w:t xml:space="preserve">Down-Round Antidilution Protection </w:t>
      </w:r>
      <w:r>
        <w:rPr>
          <w:rFonts w:ascii="Arial" w:cs="Arial" w:eastAsia="Arial" w:hAnsi="Arial"/>
          <w:sz w:val="17"/>
          <w:szCs w:val="17"/>
          <w:color w:val="auto"/>
        </w:rPr>
        <w:t>– In the event the Company issues its ordinary shares without consideration or for consideration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that is less than the conversion price in effect for each series of the Preferred Shares, then the conversion price for that series shall be reduced in order to increase the number of ordinary shares into which such series of Preferred Shares is convertible to.</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175" w:lineRule="exact"/>
        <w:rPr>
          <w:rFonts w:ascii="Arial" w:cs="Arial" w:eastAsia="Arial" w:hAnsi="Arial"/>
          <w:sz w:val="17"/>
          <w:szCs w:val="17"/>
          <w:b w:val="1"/>
          <w:bCs w:val="1"/>
          <w:color w:val="auto"/>
        </w:rPr>
      </w:pPr>
    </w:p>
    <w:p>
      <w:pPr>
        <w:ind w:left="560" w:right="4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During 2015, the Company adopted an equity compensation plan, the 2015 Share Award Scheme, or the Plan, for eligible employees, officers, directors, advisors, and consultants. The Plan provides for the grant of incentive and non-statutory share options. The Plan permits the Company to grant up to 14,103,000 ordinary share awards, including incentive share options, non-statutory share options, conditional share awards and restricted share awards.</w:t>
      </w:r>
    </w:p>
    <w:p>
      <w:pPr>
        <w:spacing w:after="0" w:line="149" w:lineRule="exact"/>
        <w:rPr>
          <w:rFonts w:ascii="Arial" w:cs="Arial" w:eastAsia="Arial" w:hAnsi="Arial"/>
          <w:sz w:val="17"/>
          <w:szCs w:val="17"/>
          <w:b w:val="1"/>
          <w:bCs w:val="1"/>
          <w:color w:val="auto"/>
        </w:rPr>
      </w:pPr>
    </w:p>
    <w:p>
      <w:pPr>
        <w:ind w:left="560" w:right="8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terms of the share option agreements, including vesting requirements, are determined by the Board of Directors, subject to the provisions of the Plan. The term of the options generally expire, upon the earliest of (i) termination of continuous service for cause (ii) three months after the termination of continuous service for reasons other than cause, death or disability (iii) twelve months after the termination of continuous service due to disability (iv) eighteen months after the employee’s death if the employee died during the period of continuous service (v) expiration date in the grant notice or (vi) the day before the tenth anniversary of the date of grant. The exercise price of the incentive share options must equal at least the fair market value of the share on the date of grant.</w:t>
      </w:r>
    </w:p>
    <w:p>
      <w:pPr>
        <w:spacing w:after="0" w:line="147" w:lineRule="exact"/>
        <w:rPr>
          <w:rFonts w:ascii="Arial" w:cs="Arial" w:eastAsia="Arial" w:hAnsi="Arial"/>
          <w:sz w:val="17"/>
          <w:szCs w:val="17"/>
          <w:b w:val="1"/>
          <w:bCs w:val="1"/>
          <w:color w:val="auto"/>
        </w:rPr>
      </w:pPr>
    </w:p>
    <w:p>
      <w:pPr>
        <w:ind w:left="560"/>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All awards that are canceled, forfeited or expired are returned to the Plan and are available for grant in conjunction with the issuance of new awards. Share options granted are exercisable over a maximum term of 10 years from the date of grant and generally vest over an agreed service period, usually four years.</w:t>
      </w:r>
    </w:p>
    <w:p>
      <w:pPr>
        <w:spacing w:after="0" w:line="147" w:lineRule="exact"/>
        <w:rPr>
          <w:rFonts w:ascii="Arial" w:cs="Arial" w:eastAsia="Arial" w:hAnsi="Arial"/>
          <w:sz w:val="17"/>
          <w:szCs w:val="17"/>
          <w:b w:val="1"/>
          <w:bCs w:val="1"/>
          <w:color w:val="auto"/>
        </w:rPr>
      </w:pPr>
    </w:p>
    <w:p>
      <w:pPr>
        <w:ind w:left="56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Certain share options granted under the Plan provide option holders the right to elect to exercise unvested options in exchange for ordinary shares. Such unvested ordinary shares are subject to a repurchase right held by the Company at the original issuance price in the event the optionee’s service to the Company is terminated either voluntarily or involuntarily. The right lapses as the underlying repurchase right expires. These repurchase terms are considered to be a forfeiture provision. The cash received from employees for exercise of unvested options is treated as a refundable deposit and is classified as a liability on the consolidated balance sheets. At December 31, 2018 and December 31, 2019, there were 763,708 and 223,923 unvested early exercised options and the liability related to these unvested options was $0.1 million and approximately $27,000, respectively.</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Option Activity</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a summary of share option activity under the Plan and related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OUTSTANDING OPTIONS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REMAINING</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AVAILABLE</w:t>
            </w: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5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4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TO GRANT</w:t>
            </w: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5"/>
                <w:szCs w:val="15"/>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PRICE</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LIFE (YEARS)</w:t>
            </w: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VALUE</w:t>
            </w:r>
          </w:p>
        </w:tc>
      </w:tr>
      <w:tr>
        <w:trPr>
          <w:trHeight w:val="156"/>
        </w:trPr>
        <w:tc>
          <w:tcPr>
            <w:tcW w:w="4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189"/>
        </w:trPr>
        <w:tc>
          <w:tcPr>
            <w:tcW w:w="44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Balance outstanding at December 31, 2017</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1,436,695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4,735,000</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0.15</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9.18</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89"/>
        </w:trPr>
        <w:tc>
          <w:tcPr>
            <w:tcW w:w="440" w:type="dxa"/>
            <w:vAlign w:val="bottom"/>
          </w:tcPr>
          <w:p>
            <w:pPr>
              <w:spacing w:after="0"/>
              <w:rPr>
                <w:sz w:val="16"/>
                <w:szCs w:val="16"/>
                <w:color w:val="auto"/>
              </w:rPr>
            </w:pPr>
          </w:p>
        </w:tc>
        <w:tc>
          <w:tcPr>
            <w:tcW w:w="4040" w:type="dxa"/>
            <w:vAlign w:val="bottom"/>
          </w:tcPr>
          <w:p>
            <w:pPr>
              <w:ind w:left="160"/>
              <w:spacing w:after="0"/>
              <w:rPr>
                <w:sz w:val="20"/>
                <w:szCs w:val="20"/>
                <w:color w:val="auto"/>
              </w:rPr>
            </w:pPr>
            <w:r>
              <w:rPr>
                <w:rFonts w:ascii="Arial" w:cs="Arial" w:eastAsia="Arial" w:hAnsi="Arial"/>
                <w:sz w:val="16"/>
                <w:szCs w:val="16"/>
                <w:color w:val="auto"/>
              </w:rPr>
              <w:t>Granted</w:t>
            </w: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(1,231,823)</w:t>
            </w:r>
          </w:p>
        </w:tc>
        <w:tc>
          <w:tcPr>
            <w:tcW w:w="880" w:type="dxa"/>
            <w:vAlign w:val="bottom"/>
          </w:tcPr>
          <w:p>
            <w:pPr>
              <w:jc w:val="right"/>
              <w:spacing w:after="0"/>
              <w:rPr>
                <w:sz w:val="20"/>
                <w:szCs w:val="20"/>
                <w:color w:val="auto"/>
              </w:rPr>
            </w:pPr>
            <w:r>
              <w:rPr>
                <w:rFonts w:ascii="Arial" w:cs="Arial" w:eastAsia="Arial" w:hAnsi="Arial"/>
                <w:sz w:val="16"/>
                <w:szCs w:val="16"/>
                <w:color w:val="auto"/>
              </w:rPr>
              <w:t>1,231,823</w:t>
            </w:r>
          </w:p>
        </w:tc>
        <w:tc>
          <w:tcPr>
            <w:tcW w:w="5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0.28</w:t>
            </w: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(45,505)</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0.15</w:t>
            </w: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40" w:type="dxa"/>
            <w:vAlign w:val="bottom"/>
          </w:tcPr>
          <w:p>
            <w:pPr>
              <w:ind w:left="160"/>
              <w:spacing w:after="0"/>
              <w:rPr>
                <w:sz w:val="20"/>
                <w:szCs w:val="20"/>
                <w:color w:val="auto"/>
              </w:rPr>
            </w:pPr>
            <w:r>
              <w:rPr>
                <w:rFonts w:ascii="Arial" w:cs="Arial" w:eastAsia="Arial" w:hAnsi="Arial"/>
                <w:sz w:val="16"/>
                <w:szCs w:val="16"/>
                <w:color w:val="auto"/>
              </w:rPr>
              <w:t>Canceled/forfeited</w:t>
            </w:r>
          </w:p>
        </w:tc>
        <w:tc>
          <w:tcPr>
            <w:tcW w:w="1320" w:type="dxa"/>
            <w:vAlign w:val="bottom"/>
            <w:gridSpan w:val="2"/>
          </w:tcPr>
          <w:p>
            <w:pPr>
              <w:jc w:val="right"/>
              <w:ind w:right="480"/>
              <w:spacing w:after="0"/>
              <w:rPr>
                <w:sz w:val="20"/>
                <w:szCs w:val="20"/>
                <w:color w:val="auto"/>
              </w:rPr>
            </w:pPr>
            <w:r>
              <w:rPr>
                <w:rFonts w:ascii="Arial" w:cs="Arial" w:eastAsia="Arial" w:hAnsi="Arial"/>
                <w:sz w:val="16"/>
                <w:szCs w:val="16"/>
                <w:color w:val="auto"/>
              </w:rPr>
              <w:t>230,195</w:t>
            </w:r>
          </w:p>
        </w:tc>
        <w:tc>
          <w:tcPr>
            <w:tcW w:w="1380" w:type="dxa"/>
            <w:vAlign w:val="bottom"/>
            <w:gridSpan w:val="2"/>
          </w:tcPr>
          <w:p>
            <w:pPr>
              <w:jc w:val="right"/>
              <w:ind w:right="440"/>
              <w:spacing w:after="0"/>
              <w:rPr>
                <w:sz w:val="20"/>
                <w:szCs w:val="20"/>
                <w:color w:val="auto"/>
              </w:rPr>
            </w:pPr>
            <w:r>
              <w:rPr>
                <w:rFonts w:ascii="Arial" w:cs="Arial" w:eastAsia="Arial" w:hAnsi="Arial"/>
                <w:sz w:val="16"/>
                <w:szCs w:val="16"/>
                <w:color w:val="auto"/>
              </w:rPr>
              <w:t>(230,195)</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0.15</w:t>
            </w: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 repurchased</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45,404</w:t>
            </w: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448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480" w:type="dxa"/>
            <w:vAlign w:val="bottom"/>
            <w:gridSpan w:val="2"/>
          </w:tcPr>
          <w:p>
            <w:pPr>
              <w:ind w:left="440"/>
              <w:spacing w:after="0"/>
              <w:rPr>
                <w:sz w:val="20"/>
                <w:szCs w:val="20"/>
                <w:color w:val="auto"/>
              </w:rPr>
            </w:pPr>
            <w:r>
              <w:rPr>
                <w:rFonts w:ascii="Arial" w:cs="Arial" w:eastAsia="Arial" w:hAnsi="Arial"/>
                <w:sz w:val="16"/>
                <w:szCs w:val="16"/>
                <w:color w:val="auto"/>
              </w:rPr>
              <w:t>Balance outstanding at December 31, 2018</w:t>
            </w:r>
          </w:p>
        </w:tc>
        <w:tc>
          <w:tcPr>
            <w:tcW w:w="840" w:type="dxa"/>
            <w:vAlign w:val="bottom"/>
          </w:tcPr>
          <w:p>
            <w:pPr>
              <w:jc w:val="right"/>
              <w:spacing w:after="0"/>
              <w:rPr>
                <w:sz w:val="20"/>
                <w:szCs w:val="20"/>
                <w:color w:val="auto"/>
              </w:rPr>
            </w:pPr>
            <w:r>
              <w:rPr>
                <w:rFonts w:ascii="Arial" w:cs="Arial" w:eastAsia="Arial" w:hAnsi="Arial"/>
                <w:sz w:val="16"/>
                <w:szCs w:val="16"/>
                <w:color w:val="auto"/>
              </w:rPr>
              <w:t>480,471</w:t>
            </w: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5,691,123</w:t>
            </w:r>
          </w:p>
        </w:tc>
        <w:tc>
          <w:tcPr>
            <w:tcW w:w="5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0.18</w:t>
            </w: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8.54</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582</w:t>
            </w:r>
          </w:p>
        </w:tc>
      </w:tr>
      <w:tr>
        <w:trPr>
          <w:trHeight w:val="189"/>
        </w:trPr>
        <w:tc>
          <w:tcPr>
            <w:tcW w:w="440" w:type="dxa"/>
            <w:vAlign w:val="bottom"/>
          </w:tcPr>
          <w:p>
            <w:pPr>
              <w:spacing w:after="0"/>
              <w:rPr>
                <w:sz w:val="16"/>
                <w:szCs w:val="16"/>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Authorized</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5,383,000</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40" w:type="dxa"/>
            <w:vAlign w:val="bottom"/>
          </w:tcPr>
          <w:p>
            <w:pPr>
              <w:ind w:left="160"/>
              <w:spacing w:after="0"/>
              <w:rPr>
                <w:sz w:val="20"/>
                <w:szCs w:val="20"/>
                <w:color w:val="auto"/>
              </w:rPr>
            </w:pPr>
            <w:r>
              <w:rPr>
                <w:rFonts w:ascii="Arial" w:cs="Arial" w:eastAsia="Arial" w:hAnsi="Arial"/>
                <w:sz w:val="16"/>
                <w:szCs w:val="16"/>
                <w:color w:val="auto"/>
              </w:rPr>
              <w:t>Granted</w:t>
            </w: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(2,249,800)</w:t>
            </w:r>
          </w:p>
        </w:tc>
        <w:tc>
          <w:tcPr>
            <w:tcW w:w="880" w:type="dxa"/>
            <w:vAlign w:val="bottom"/>
          </w:tcPr>
          <w:p>
            <w:pPr>
              <w:jc w:val="right"/>
              <w:spacing w:after="0"/>
              <w:rPr>
                <w:sz w:val="20"/>
                <w:szCs w:val="20"/>
                <w:color w:val="auto"/>
              </w:rPr>
            </w:pPr>
            <w:r>
              <w:rPr>
                <w:rFonts w:ascii="Arial" w:cs="Arial" w:eastAsia="Arial" w:hAnsi="Arial"/>
                <w:sz w:val="16"/>
                <w:szCs w:val="16"/>
                <w:color w:val="auto"/>
              </w:rPr>
              <w:t>2,249,800</w:t>
            </w:r>
          </w:p>
        </w:tc>
        <w:tc>
          <w:tcPr>
            <w:tcW w:w="5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0.29</w:t>
            </w: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(34,226)</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0.28</w:t>
            </w: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4040" w:type="dxa"/>
            <w:vAlign w:val="bottom"/>
          </w:tcPr>
          <w:p>
            <w:pPr>
              <w:ind w:left="160"/>
              <w:spacing w:after="0"/>
              <w:rPr>
                <w:sz w:val="20"/>
                <w:szCs w:val="20"/>
                <w:color w:val="auto"/>
              </w:rPr>
            </w:pPr>
            <w:r>
              <w:rPr>
                <w:rFonts w:ascii="Arial" w:cs="Arial" w:eastAsia="Arial" w:hAnsi="Arial"/>
                <w:sz w:val="16"/>
                <w:szCs w:val="16"/>
                <w:color w:val="auto"/>
              </w:rPr>
              <w:t>Canceled/forfeited</w:t>
            </w:r>
          </w:p>
        </w:tc>
        <w:tc>
          <w:tcPr>
            <w:tcW w:w="840" w:type="dxa"/>
            <w:vAlign w:val="bottom"/>
          </w:tcPr>
          <w:p>
            <w:pPr>
              <w:jc w:val="right"/>
              <w:spacing w:after="0"/>
              <w:rPr>
                <w:sz w:val="20"/>
                <w:szCs w:val="20"/>
                <w:color w:val="auto"/>
              </w:rPr>
            </w:pPr>
            <w:r>
              <w:rPr>
                <w:rFonts w:ascii="Arial" w:cs="Arial" w:eastAsia="Arial" w:hAnsi="Arial"/>
                <w:sz w:val="16"/>
                <w:szCs w:val="16"/>
                <w:color w:val="auto"/>
              </w:rPr>
              <w:t>116,774</w:t>
            </w:r>
          </w:p>
        </w:tc>
        <w:tc>
          <w:tcPr>
            <w:tcW w:w="480" w:type="dxa"/>
            <w:vAlign w:val="bottom"/>
          </w:tcPr>
          <w:p>
            <w:pPr>
              <w:spacing w:after="0"/>
              <w:rPr>
                <w:sz w:val="17"/>
                <w:szCs w:val="17"/>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6"/>
                <w:szCs w:val="16"/>
                <w:color w:val="auto"/>
              </w:rPr>
              <w:t>(116,774)</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0.28</w:t>
            </w: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44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Balance outstanding at December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3,730,445</w:t>
            </w:r>
          </w:p>
        </w:tc>
        <w:tc>
          <w:tcPr>
            <w:tcW w:w="480" w:type="dxa"/>
            <w:vAlign w:val="bottom"/>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7,789,923</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0.21</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8.06</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638</w:t>
            </w:r>
          </w:p>
        </w:tc>
      </w:tr>
      <w:tr>
        <w:trPr>
          <w:trHeight w:val="20"/>
        </w:trPr>
        <w:tc>
          <w:tcPr>
            <w:tcW w:w="4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91"/>
        </w:trPr>
        <w:tc>
          <w:tcPr>
            <w:tcW w:w="4480" w:type="dxa"/>
            <w:vAlign w:val="bottom"/>
            <w:gridSpan w:val="2"/>
          </w:tcPr>
          <w:p>
            <w:pPr>
              <w:ind w:left="440"/>
              <w:spacing w:after="0"/>
              <w:rPr>
                <w:sz w:val="20"/>
                <w:szCs w:val="20"/>
                <w:color w:val="auto"/>
              </w:rPr>
            </w:pPr>
            <w:r>
              <w:rPr>
                <w:rFonts w:ascii="Arial" w:cs="Arial" w:eastAsia="Arial" w:hAnsi="Arial"/>
                <w:sz w:val="16"/>
                <w:szCs w:val="16"/>
                <w:color w:val="auto"/>
              </w:rPr>
              <w:t>Exercisable at December 31, 2019</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3,724,615</w:t>
            </w:r>
          </w:p>
        </w:tc>
        <w:tc>
          <w:tcPr>
            <w:tcW w:w="5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0.18</w:t>
            </w: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424</w:t>
            </w:r>
          </w:p>
        </w:tc>
      </w:tr>
      <w:tr>
        <w:trPr>
          <w:trHeight w:val="20"/>
        </w:trPr>
        <w:tc>
          <w:tcPr>
            <w:tcW w:w="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As of December 31, 2019, there was unrecognized share-based compensation expense of $0.6 million, related to unvested share options which the Company expects to recognize over a weighted-average period of 2.7 years.</w:t>
      </w:r>
    </w:p>
    <w:p>
      <w:pPr>
        <w:spacing w:after="0" w:line="144" w:lineRule="exact"/>
        <w:rPr>
          <w:sz w:val="20"/>
          <w:szCs w:val="20"/>
          <w:color w:val="auto"/>
        </w:rPr>
      </w:pPr>
    </w:p>
    <w:p>
      <w:pPr>
        <w:ind w:left="560" w:right="240"/>
        <w:spacing w:after="0" w:line="236" w:lineRule="auto"/>
        <w:rPr>
          <w:sz w:val="20"/>
          <w:szCs w:val="20"/>
          <w:color w:val="auto"/>
        </w:rPr>
      </w:pPr>
      <w:r>
        <w:rPr>
          <w:rFonts w:ascii="Arial" w:cs="Arial" w:eastAsia="Arial" w:hAnsi="Arial"/>
          <w:sz w:val="17"/>
          <w:szCs w:val="17"/>
          <w:color w:val="auto"/>
        </w:rPr>
        <w:t>The aggregate intrinsic values of options outstanding and exercisable were calculated as the difference between the exercise price of the options and the estimated fair value of the Company’s ordinary shares as determined by the Board of Directors as of December 31, 2018 and December 31, 2019. The total intrinsic value of options exercised during the years ended December 31, 2018 and 2019 were immaterial.</w:t>
      </w:r>
    </w:p>
    <w:p>
      <w:pPr>
        <w:spacing w:after="0" w:line="149"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Compensation cost for share options granted is based on the grant-date fair value estimated and is recognized over the vesting period of the applicable option on a straight-line basis. The weighted-average grant-date fair value per share for share options granted during the years ended December 31, 2018 and December 31, 2019 was $0.17 and $0.19, respectively. The total fair value of options that vested during the years ended December 31, 2018 and December 31, 2019 was approximately $0.1 million and $0.3 million, respectively.</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Share-based compensation expense includes share options granted to employees and nonemployees and has been reported in the</w:t>
      </w:r>
    </w:p>
    <w:p>
      <w:pPr>
        <w:ind w:left="560"/>
        <w:spacing w:after="0"/>
        <w:rPr>
          <w:sz w:val="20"/>
          <w:szCs w:val="20"/>
          <w:color w:val="auto"/>
        </w:rPr>
      </w:pPr>
      <w:r>
        <w:rPr>
          <w:rFonts w:ascii="Arial" w:cs="Arial" w:eastAsia="Arial" w:hAnsi="Arial"/>
          <w:sz w:val="17"/>
          <w:szCs w:val="17"/>
          <w:color w:val="auto"/>
        </w:rPr>
        <w:t>Company’s consolidated statements of operations and comprehensive loss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4020" w:type="dxa"/>
            <w:vAlign w:val="bottom"/>
            <w:tcBorders>
              <w:bottom w:val="single" w:sz="8" w:color="CCEEFF"/>
            </w:tcBorders>
          </w:tcPr>
          <w:p>
            <w:pPr>
              <w:spacing w:after="0"/>
              <w:rPr>
                <w:sz w:val="13"/>
                <w:szCs w:val="13"/>
                <w:color w:val="auto"/>
              </w:rPr>
            </w:pPr>
          </w:p>
        </w:tc>
        <w:tc>
          <w:tcPr>
            <w:tcW w:w="36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w:t>
            </w:r>
          </w:p>
        </w:tc>
        <w:tc>
          <w:tcPr>
            <w:tcW w:w="36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1"/>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195</w:t>
            </w:r>
          </w:p>
        </w:tc>
        <w:tc>
          <w:tcPr>
            <w:tcW w:w="8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99"/>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105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Arial" w:cs="Arial" w:eastAsia="Arial" w:hAnsi="Arial"/>
                <w:sz w:val="17"/>
                <w:szCs w:val="17"/>
                <w:color w:val="auto"/>
              </w:rPr>
              <w:t>General and administrative</w:t>
            </w:r>
          </w:p>
        </w:tc>
        <w:tc>
          <w:tcPr>
            <w:tcW w:w="3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gridSpan w:val="2"/>
          </w:tcPr>
          <w:p>
            <w:pPr>
              <w:jc w:val="right"/>
              <w:ind w:right="860"/>
              <w:spacing w:after="0" w:line="189" w:lineRule="exact"/>
              <w:rPr>
                <w:sz w:val="20"/>
                <w:szCs w:val="20"/>
                <w:color w:val="auto"/>
              </w:rPr>
            </w:pPr>
            <w:r>
              <w:rPr>
                <w:rFonts w:ascii="Arial" w:cs="Arial" w:eastAsia="Arial" w:hAnsi="Arial"/>
                <w:sz w:val="17"/>
                <w:szCs w:val="17"/>
                <w:color w:val="auto"/>
              </w:rPr>
              <w:t>16</w:t>
            </w:r>
          </w:p>
        </w:tc>
        <w:tc>
          <w:tcPr>
            <w:tcW w:w="680" w:type="dxa"/>
            <w:vAlign w:val="bottom"/>
          </w:tcPr>
          <w:p>
            <w:pPr>
              <w:spacing w:after="0"/>
              <w:rPr>
                <w:sz w:val="16"/>
                <w:szCs w:val="16"/>
                <w:color w:val="auto"/>
              </w:rPr>
            </w:pPr>
          </w:p>
        </w:tc>
        <w:tc>
          <w:tcPr>
            <w:tcW w:w="3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services for related-party revenue</w:t>
            </w:r>
          </w:p>
        </w:tc>
        <w:tc>
          <w:tcPr>
            <w:tcW w:w="3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60"/>
              <w:spacing w:after="0" w:line="189" w:lineRule="exact"/>
              <w:rPr>
                <w:sz w:val="20"/>
                <w:szCs w:val="20"/>
                <w:color w:val="auto"/>
              </w:rPr>
            </w:pPr>
            <w:r>
              <w:rPr>
                <w:rFonts w:ascii="Arial" w:cs="Arial" w:eastAsia="Arial" w:hAnsi="Arial"/>
                <w:sz w:val="17"/>
                <w:szCs w:val="17"/>
                <w:color w:val="auto"/>
              </w:rPr>
              <w:t>58</w:t>
            </w:r>
          </w:p>
        </w:tc>
        <w:tc>
          <w:tcPr>
            <w:tcW w:w="6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8"/>
              </w:rPr>
              <w:t>159</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w:t>
            </w:r>
          </w:p>
        </w:tc>
        <w:tc>
          <w:tcPr>
            <w:tcW w:w="3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2"/>
            <w:vMerge w:val="continue"/>
          </w:tcPr>
          <w:p>
            <w:pPr>
              <w:spacing w:after="0"/>
              <w:rPr>
                <w:sz w:val="17"/>
                <w:szCs w:val="17"/>
                <w:color w:val="auto"/>
              </w:rPr>
            </w:pPr>
          </w:p>
        </w:tc>
        <w:tc>
          <w:tcPr>
            <w:tcW w:w="3680" w:type="dxa"/>
            <w:vAlign w:val="bottom"/>
          </w:tcPr>
          <w:p>
            <w:pPr>
              <w:spacing w:after="0"/>
              <w:rPr>
                <w:sz w:val="17"/>
                <w:szCs w:val="17"/>
                <w:color w:val="auto"/>
              </w:rPr>
            </w:pPr>
          </w:p>
        </w:tc>
        <w:tc>
          <w:tcPr>
            <w:tcW w:w="680" w:type="dxa"/>
            <w:vAlign w:val="bottom"/>
          </w:tcPr>
          <w:p>
            <w:pPr>
              <w:jc w:val="right"/>
              <w:ind w:right="501"/>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860"/>
              <w:spacing w:after="0"/>
              <w:rPr>
                <w:sz w:val="20"/>
                <w:szCs w:val="20"/>
                <w:color w:val="auto"/>
              </w:rPr>
            </w:pPr>
            <w:r>
              <w:rPr>
                <w:rFonts w:ascii="Arial" w:cs="Arial" w:eastAsia="Arial" w:hAnsi="Arial"/>
                <w:sz w:val="17"/>
                <w:szCs w:val="17"/>
                <w:color w:val="auto"/>
                <w:w w:val="98"/>
              </w:rPr>
              <w:t>269</w:t>
            </w:r>
          </w:p>
        </w:tc>
        <w:tc>
          <w:tcPr>
            <w:tcW w:w="680" w:type="dxa"/>
            <w:vAlign w:val="bottom"/>
          </w:tcPr>
          <w:p>
            <w:pPr>
              <w:jc w:val="right"/>
              <w:ind w:right="499"/>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297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360" w:type="dxa"/>
            <w:vAlign w:val="bottom"/>
            <w:gridSpan w:val="2"/>
          </w:tcPr>
          <w:p>
            <w:pPr>
              <w:jc w:val="right"/>
              <w:ind w:right="3061"/>
              <w:spacing w:after="0"/>
              <w:rPr>
                <w:sz w:val="20"/>
                <w:szCs w:val="20"/>
                <w:color w:val="auto"/>
              </w:rPr>
            </w:pPr>
            <w:r>
              <w:rPr>
                <w:rFonts w:ascii="Arial" w:cs="Arial" w:eastAsia="Arial" w:hAnsi="Arial"/>
                <w:sz w:val="16"/>
                <w:szCs w:val="16"/>
                <w:color w:val="auto"/>
              </w:rPr>
              <w:t>F-24</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The Company’s computation of share-based compensation expense for the years ended December 31, 2018 and December 31, 2019 is based on the fair value of ordinary shares of $0.28 and $0.29, respectively, and is adjusted for actual forfeitures as they occur. The fair value of each option grant during the years ended December 31, 2018 and December 31, 2019 was estimated on the date of grant using the Black-Scholes option-pricing model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7400" w:type="dxa"/>
            <w:vAlign w:val="bottom"/>
          </w:tcPr>
          <w:p>
            <w:pPr>
              <w:spacing w:after="0"/>
              <w:rPr>
                <w:sz w:val="15"/>
                <w:szCs w:val="15"/>
                <w:color w:val="auto"/>
              </w:rPr>
            </w:pPr>
          </w:p>
        </w:tc>
        <w:tc>
          <w:tcPr>
            <w:tcW w:w="318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40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gridSpan w:val="2"/>
          </w:tcPr>
          <w:p>
            <w:pPr>
              <w:jc w:val="right"/>
              <w:ind w:right="51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2019</w:t>
            </w:r>
          </w:p>
        </w:tc>
      </w:tr>
      <w:tr>
        <w:trPr>
          <w:trHeight w:val="183"/>
        </w:trPr>
        <w:tc>
          <w:tcPr>
            <w:tcW w:w="7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Expected term (in years)</w:t>
            </w:r>
          </w:p>
        </w:tc>
        <w:tc>
          <w:tcPr>
            <w:tcW w:w="1520" w:type="dxa"/>
            <w:vAlign w:val="bottom"/>
            <w:gridSpan w:val="2"/>
            <w:shd w:val="clear" w:color="auto" w:fill="CCEEFF"/>
          </w:tcPr>
          <w:p>
            <w:pPr>
              <w:jc w:val="right"/>
              <w:ind w:right="395"/>
              <w:spacing w:after="0" w:line="183" w:lineRule="exact"/>
              <w:rPr>
                <w:sz w:val="20"/>
                <w:szCs w:val="20"/>
                <w:color w:val="auto"/>
              </w:rPr>
            </w:pPr>
            <w:r>
              <w:rPr>
                <w:rFonts w:ascii="Arial" w:cs="Arial" w:eastAsia="Arial" w:hAnsi="Arial"/>
                <w:sz w:val="17"/>
                <w:szCs w:val="17"/>
                <w:color w:val="auto"/>
              </w:rPr>
              <w:t>5.2 – 6.0</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4.4</w:t>
            </w:r>
          </w:p>
        </w:tc>
        <w:tc>
          <w:tcPr>
            <w:tcW w:w="14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6.0</w:t>
            </w:r>
          </w:p>
        </w:tc>
      </w:tr>
      <w:tr>
        <w:trPr>
          <w:trHeight w:val="189"/>
        </w:trPr>
        <w:tc>
          <w:tcPr>
            <w:tcW w:w="740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2.6%</w:t>
            </w:r>
          </w:p>
        </w:tc>
        <w:tc>
          <w:tcPr>
            <w:tcW w:w="94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 3.0%</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1.7%</w:t>
            </w:r>
          </w:p>
        </w:tc>
        <w:tc>
          <w:tcPr>
            <w:tcW w:w="140" w:type="dxa"/>
            <w:vAlign w:val="bottom"/>
          </w:tcPr>
          <w:p>
            <w:pPr>
              <w:jc w:val="center"/>
              <w:spacing w:after="0" w:line="189" w:lineRule="exact"/>
              <w:rPr>
                <w:sz w:val="20"/>
                <w:szCs w:val="20"/>
                <w:color w:val="auto"/>
              </w:rPr>
            </w:pPr>
            <w:r>
              <w:rPr>
                <w:rFonts w:ascii="Arial" w:cs="Arial" w:eastAsia="Arial" w:hAnsi="Arial"/>
                <w:sz w:val="17"/>
                <w:szCs w:val="17"/>
                <w:color w:val="auto"/>
              </w:rPr>
              <w:t>–</w:t>
            </w:r>
          </w:p>
        </w:tc>
        <w:tc>
          <w:tcPr>
            <w:tcW w:w="700" w:type="dxa"/>
            <w:vAlign w:val="bottom"/>
          </w:tcPr>
          <w:p>
            <w:pPr>
              <w:ind w:left="20"/>
              <w:spacing w:after="0" w:line="189" w:lineRule="exact"/>
              <w:rPr>
                <w:sz w:val="20"/>
                <w:szCs w:val="20"/>
                <w:color w:val="auto"/>
              </w:rPr>
            </w:pPr>
            <w:r>
              <w:rPr>
                <w:rFonts w:ascii="Arial" w:cs="Arial" w:eastAsia="Arial" w:hAnsi="Arial"/>
                <w:sz w:val="17"/>
                <w:szCs w:val="17"/>
                <w:color w:val="auto"/>
              </w:rPr>
              <w:t>2.1%</w:t>
            </w:r>
          </w:p>
        </w:tc>
      </w:tr>
      <w:tr>
        <w:trPr>
          <w:trHeight w:val="189"/>
        </w:trPr>
        <w:tc>
          <w:tcPr>
            <w:tcW w:w="7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dividend rate</w:t>
            </w:r>
          </w:p>
        </w:tc>
        <w:tc>
          <w:tcPr>
            <w:tcW w:w="7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6"/>
                <w:szCs w:val="16"/>
                <w:color w:val="auto"/>
              </w:rPr>
            </w:pPr>
          </w:p>
        </w:tc>
      </w:tr>
      <w:tr>
        <w:trPr>
          <w:trHeight w:val="205"/>
        </w:trPr>
        <w:tc>
          <w:tcPr>
            <w:tcW w:w="7400" w:type="dxa"/>
            <w:vAlign w:val="bottom"/>
          </w:tcPr>
          <w:p>
            <w:pPr>
              <w:spacing w:after="0"/>
              <w:rPr>
                <w:sz w:val="20"/>
                <w:szCs w:val="20"/>
                <w:color w:val="auto"/>
              </w:rPr>
            </w:pPr>
            <w:r>
              <w:rPr>
                <w:rFonts w:ascii="Arial" w:cs="Arial" w:eastAsia="Arial" w:hAnsi="Arial"/>
                <w:sz w:val="17"/>
                <w:szCs w:val="17"/>
                <w:color w:val="auto"/>
              </w:rPr>
              <w:t>Expected share price volatility</w:t>
            </w:r>
          </w:p>
        </w:tc>
        <w:tc>
          <w:tcPr>
            <w:tcW w:w="700" w:type="dxa"/>
            <w:vAlign w:val="bottom"/>
          </w:tcPr>
          <w:p>
            <w:pPr>
              <w:jc w:val="right"/>
              <w:spacing w:after="0"/>
              <w:rPr>
                <w:sz w:val="20"/>
                <w:szCs w:val="20"/>
                <w:color w:val="auto"/>
              </w:rPr>
            </w:pPr>
            <w:r>
              <w:rPr>
                <w:rFonts w:ascii="Arial" w:cs="Arial" w:eastAsia="Arial" w:hAnsi="Arial"/>
                <w:sz w:val="17"/>
                <w:szCs w:val="17"/>
                <w:color w:val="auto"/>
              </w:rPr>
              <w:t>66.5%</w:t>
            </w:r>
          </w:p>
        </w:tc>
        <w:tc>
          <w:tcPr>
            <w:tcW w:w="940" w:type="dxa"/>
            <w:vAlign w:val="bottom"/>
            <w:gridSpan w:val="2"/>
          </w:tcPr>
          <w:p>
            <w:pPr>
              <w:ind w:left="20"/>
              <w:spacing w:after="0"/>
              <w:rPr>
                <w:sz w:val="20"/>
                <w:szCs w:val="20"/>
                <w:color w:val="auto"/>
              </w:rPr>
            </w:pPr>
            <w:r>
              <w:rPr>
                <w:rFonts w:ascii="Arial" w:cs="Arial" w:eastAsia="Arial" w:hAnsi="Arial"/>
                <w:sz w:val="17"/>
                <w:szCs w:val="17"/>
                <w:color w:val="auto"/>
              </w:rPr>
              <w:t>– 68.7%</w:t>
            </w:r>
          </w:p>
        </w:tc>
        <w:tc>
          <w:tcPr>
            <w:tcW w:w="700" w:type="dxa"/>
            <w:vAlign w:val="bottom"/>
          </w:tcPr>
          <w:p>
            <w:pPr>
              <w:jc w:val="right"/>
              <w:spacing w:after="0"/>
              <w:rPr>
                <w:sz w:val="20"/>
                <w:szCs w:val="20"/>
                <w:color w:val="auto"/>
              </w:rPr>
            </w:pPr>
            <w:r>
              <w:rPr>
                <w:rFonts w:ascii="Arial" w:cs="Arial" w:eastAsia="Arial" w:hAnsi="Arial"/>
                <w:sz w:val="17"/>
                <w:szCs w:val="17"/>
                <w:color w:val="auto"/>
              </w:rPr>
              <w:t>75.2%</w:t>
            </w:r>
          </w:p>
        </w:tc>
        <w:tc>
          <w:tcPr>
            <w:tcW w:w="140" w:type="dxa"/>
            <w:vAlign w:val="bottom"/>
          </w:tcPr>
          <w:p>
            <w:pPr>
              <w:jc w:val="center"/>
              <w:spacing w:after="0"/>
              <w:rPr>
                <w:sz w:val="20"/>
                <w:szCs w:val="20"/>
                <w:color w:val="auto"/>
              </w:rPr>
            </w:pPr>
            <w:r>
              <w:rPr>
                <w:rFonts w:ascii="Arial" w:cs="Arial" w:eastAsia="Arial" w:hAnsi="Arial"/>
                <w:sz w:val="17"/>
                <w:szCs w:val="17"/>
                <w:color w:val="auto"/>
              </w:rPr>
              <w:t>–</w:t>
            </w:r>
          </w:p>
        </w:tc>
        <w:tc>
          <w:tcPr>
            <w:tcW w:w="700" w:type="dxa"/>
            <w:vAlign w:val="bottom"/>
          </w:tcPr>
          <w:p>
            <w:pPr>
              <w:ind w:left="20"/>
              <w:spacing w:after="0"/>
              <w:rPr>
                <w:sz w:val="20"/>
                <w:szCs w:val="20"/>
                <w:color w:val="auto"/>
              </w:rPr>
            </w:pPr>
            <w:r>
              <w:rPr>
                <w:rFonts w:ascii="Arial" w:cs="Arial" w:eastAsia="Arial" w:hAnsi="Arial"/>
                <w:sz w:val="17"/>
                <w:szCs w:val="17"/>
                <w:color w:val="auto"/>
              </w:rPr>
              <w:t>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2" w:lineRule="exact"/>
        <w:rPr>
          <w:sz w:val="20"/>
          <w:szCs w:val="20"/>
          <w:color w:val="auto"/>
        </w:rPr>
      </w:pPr>
    </w:p>
    <w:p>
      <w:pPr>
        <w:ind w:left="560" w:right="80"/>
        <w:spacing w:after="0" w:line="243"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the options represents the average period the share options are expected to remain outstanding. As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does not have sufficient historical information to develop reasonable expectations about future exercise patterns and post-vesting employment termination behavior, the expected term of options granted is derived from the average midpoint between the weighted average vesting and the contractual term, also known as the simplified method.</w:t>
      </w:r>
    </w:p>
    <w:p>
      <w:pPr>
        <w:spacing w:after="0" w:line="126" w:lineRule="exact"/>
        <w:rPr>
          <w:sz w:val="20"/>
          <w:szCs w:val="20"/>
          <w:color w:val="auto"/>
        </w:rPr>
      </w:pPr>
    </w:p>
    <w:p>
      <w:pPr>
        <w:ind w:left="560" w:right="1120"/>
        <w:spacing w:after="0" w:line="265" w:lineRule="auto"/>
        <w:rPr>
          <w:sz w:val="20"/>
          <w:szCs w:val="20"/>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yield of U.S. Treasury notes as of the grant date with terms</w:t>
      </w:r>
      <w:r>
        <w:rPr>
          <w:rFonts w:ascii="Arial" w:cs="Arial" w:eastAsia="Arial" w:hAnsi="Arial"/>
          <w:sz w:val="17"/>
          <w:szCs w:val="17"/>
          <w:i w:val="1"/>
          <w:iCs w:val="1"/>
          <w:color w:val="auto"/>
        </w:rPr>
        <w:t xml:space="preserve"> </w:t>
      </w:r>
      <w:r>
        <w:rPr>
          <w:rFonts w:ascii="Arial" w:cs="Arial" w:eastAsia="Arial" w:hAnsi="Arial"/>
          <w:sz w:val="17"/>
          <w:szCs w:val="17"/>
          <w:color w:val="auto"/>
        </w:rPr>
        <w:t>commensurate with the expected term of the option.</w:t>
      </w:r>
    </w:p>
    <w:p>
      <w:pPr>
        <w:spacing w:after="0" w:line="108" w:lineRule="exact"/>
        <w:rPr>
          <w:sz w:val="20"/>
          <w:szCs w:val="20"/>
          <w:color w:val="auto"/>
        </w:rPr>
      </w:pPr>
    </w:p>
    <w:p>
      <w:pPr>
        <w:ind w:left="560" w:right="440"/>
        <w:spacing w:after="0" w:line="265" w:lineRule="auto"/>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The expected dividends assumption is based on the Company’s expectation of not paying dividends in the foreseeable</w:t>
      </w:r>
      <w:r>
        <w:rPr>
          <w:rFonts w:ascii="Arial" w:cs="Arial" w:eastAsia="Arial" w:hAnsi="Arial"/>
          <w:sz w:val="17"/>
          <w:szCs w:val="17"/>
          <w:i w:val="1"/>
          <w:iCs w:val="1"/>
          <w:color w:val="auto"/>
        </w:rPr>
        <w:t xml:space="preserve"> </w:t>
      </w:r>
      <w:r>
        <w:rPr>
          <w:rFonts w:ascii="Arial" w:cs="Arial" w:eastAsia="Arial" w:hAnsi="Arial"/>
          <w:sz w:val="17"/>
          <w:szCs w:val="17"/>
          <w:color w:val="auto"/>
        </w:rPr>
        <w:t>future.</w:t>
      </w:r>
    </w:p>
    <w:p>
      <w:pPr>
        <w:spacing w:after="0" w:line="108" w:lineRule="exact"/>
        <w:rPr>
          <w:sz w:val="20"/>
          <w:szCs w:val="20"/>
          <w:color w:val="auto"/>
        </w:rPr>
      </w:pPr>
    </w:p>
    <w:p>
      <w:pPr>
        <w:ind w:left="560" w:right="120"/>
        <w:spacing w:after="0" w:line="243" w:lineRule="auto"/>
        <w:rPr>
          <w:sz w:val="20"/>
          <w:szCs w:val="20"/>
          <w:color w:val="auto"/>
        </w:rPr>
      </w:pPr>
      <w:r>
        <w:rPr>
          <w:rFonts w:ascii="Arial" w:cs="Arial" w:eastAsia="Arial" w:hAnsi="Arial"/>
          <w:sz w:val="17"/>
          <w:szCs w:val="17"/>
          <w:i w:val="1"/>
          <w:iCs w:val="1"/>
          <w:color w:val="auto"/>
        </w:rPr>
        <w:t xml:space="preserve">Volatility. </w:t>
      </w:r>
      <w:r>
        <w:rPr>
          <w:rFonts w:ascii="Arial" w:cs="Arial" w:eastAsia="Arial" w:hAnsi="Arial"/>
          <w:sz w:val="17"/>
          <w:szCs w:val="17"/>
          <w:color w:val="auto"/>
        </w:rPr>
        <w:t>Since the Company is private and does not have any trading history for its ordinary shares, the expected volatility is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volatilities of the common shares of comparable publicly traded companies. The Company selected companies with comparable characteristics, including enterprise value, risk profiles, position within the industry, and with historical share price information sufficient to meet the expected life of the Company’s share-based awards.</w:t>
      </w:r>
    </w:p>
    <w:p>
      <w:pPr>
        <w:spacing w:after="0" w:line="126" w:lineRule="exact"/>
        <w:rPr>
          <w:sz w:val="20"/>
          <w:szCs w:val="20"/>
          <w:color w:val="auto"/>
        </w:rPr>
      </w:pPr>
    </w:p>
    <w:p>
      <w:pPr>
        <w:ind w:left="560" w:right="80"/>
        <w:spacing w:after="0" w:line="238" w:lineRule="auto"/>
        <w:rPr>
          <w:sz w:val="20"/>
          <w:szCs w:val="20"/>
          <w:color w:val="auto"/>
        </w:rPr>
      </w:pPr>
      <w:r>
        <w:rPr>
          <w:rFonts w:ascii="Arial" w:cs="Arial" w:eastAsia="Arial" w:hAnsi="Arial"/>
          <w:sz w:val="17"/>
          <w:szCs w:val="17"/>
          <w:i w:val="1"/>
          <w:iCs w:val="1"/>
          <w:color w:val="auto"/>
        </w:rPr>
        <w:t>Estimated Fair Value</w:t>
      </w:r>
      <w:r>
        <w:rPr>
          <w:rFonts w:ascii="Arial" w:cs="Arial" w:eastAsia="Arial" w:hAnsi="Arial"/>
          <w:sz w:val="17"/>
          <w:szCs w:val="17"/>
          <w:color w:val="auto"/>
        </w:rPr>
        <w:t>. The estimated fair value of the shares of common stock underlying stock options was determined by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Because there was no public market for the Company’s common stock, the board of directors determined fair value of the common stock at the time of grant of the options by considering a number of objective and subjective factors including important developments in the Company’s operations, valuations performed by an independent third party, sales of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(b) Founder Stock Activity</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a summary of Founder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9"/>
              </w:rPr>
              <w:t>NUMBER OF</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GRANT DATE</w:t>
            </w:r>
          </w:p>
        </w:tc>
      </w:tr>
      <w:tr>
        <w:trPr>
          <w:trHeight w:val="175"/>
        </w:trPr>
        <w:tc>
          <w:tcPr>
            <w:tcW w:w="4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SHARES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40" w:type="dxa"/>
            <w:vAlign w:val="bottom"/>
          </w:tcPr>
          <w:p>
            <w:pPr>
              <w:spacing w:after="0"/>
              <w:rPr>
                <w:sz w:val="15"/>
                <w:szCs w:val="15"/>
                <w:color w:val="auto"/>
              </w:rPr>
            </w:pPr>
          </w:p>
        </w:tc>
        <w:tc>
          <w:tcPr>
            <w:tcW w:w="3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Unvested at December 31, 2017</w:t>
            </w:r>
          </w:p>
        </w:tc>
        <w:tc>
          <w:tcPr>
            <w:tcW w:w="38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2,997,333</w:t>
            </w:r>
          </w:p>
        </w:tc>
        <w:tc>
          <w:tcPr>
            <w:tcW w:w="6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ind w:right="480"/>
              <w:spacing w:after="0" w:line="183" w:lineRule="exact"/>
              <w:rPr>
                <w:sz w:val="20"/>
                <w:szCs w:val="20"/>
                <w:color w:val="auto"/>
              </w:rPr>
            </w:pPr>
            <w:r>
              <w:rPr>
                <w:rFonts w:ascii="Arial" w:cs="Arial" w:eastAsia="Arial" w:hAnsi="Arial"/>
                <w:sz w:val="17"/>
                <w:szCs w:val="17"/>
                <w:color w:val="auto"/>
              </w:rPr>
              <w:t>$0.05</w:t>
            </w:r>
          </w:p>
        </w:tc>
      </w:tr>
      <w:tr>
        <w:trPr>
          <w:trHeight w:val="189"/>
        </w:trPr>
        <w:tc>
          <w:tcPr>
            <w:tcW w:w="440" w:type="dxa"/>
            <w:vAlign w:val="bottom"/>
          </w:tcPr>
          <w:p>
            <w:pPr>
              <w:spacing w:after="0"/>
              <w:rPr>
                <w:sz w:val="16"/>
                <w:szCs w:val="16"/>
                <w:color w:val="auto"/>
              </w:rPr>
            </w:pPr>
          </w:p>
        </w:tc>
        <w:tc>
          <w:tcPr>
            <w:tcW w:w="3680" w:type="dxa"/>
            <w:vAlign w:val="bottom"/>
          </w:tcPr>
          <w:p>
            <w:pPr>
              <w:spacing w:after="0" w:line="189" w:lineRule="exact"/>
              <w:rPr>
                <w:sz w:val="20"/>
                <w:szCs w:val="20"/>
                <w:color w:val="auto"/>
              </w:rPr>
            </w:pPr>
            <w:r>
              <w:rPr>
                <w:rFonts w:ascii="Arial" w:cs="Arial" w:eastAsia="Arial" w:hAnsi="Arial"/>
                <w:sz w:val="17"/>
                <w:szCs w:val="17"/>
                <w:color w:val="auto"/>
              </w:rPr>
              <w:t>Vested</w:t>
            </w:r>
          </w:p>
        </w:tc>
        <w:tc>
          <w:tcPr>
            <w:tcW w:w="5360" w:type="dxa"/>
            <w:vAlign w:val="bottom"/>
            <w:gridSpan w:val="3"/>
          </w:tcPr>
          <w:p>
            <w:pPr>
              <w:jc w:val="right"/>
              <w:ind w:right="620"/>
              <w:spacing w:after="0" w:line="189" w:lineRule="exact"/>
              <w:rPr>
                <w:sz w:val="20"/>
                <w:szCs w:val="20"/>
                <w:color w:val="auto"/>
              </w:rPr>
            </w:pPr>
            <w:r>
              <w:rPr>
                <w:rFonts w:ascii="Arial" w:cs="Arial" w:eastAsia="Arial" w:hAnsi="Arial"/>
                <w:sz w:val="17"/>
                <w:szCs w:val="17"/>
                <w:color w:val="auto"/>
              </w:rPr>
              <w:t>(2,248,000)</w:t>
            </w:r>
          </w:p>
        </w:tc>
        <w:tc>
          <w:tcPr>
            <w:tcW w:w="1540" w:type="dxa"/>
            <w:vAlign w:val="bottom"/>
          </w:tcPr>
          <w:p>
            <w:pPr>
              <w:jc w:val="right"/>
              <w:ind w:right="460"/>
              <w:spacing w:after="0" w:line="189" w:lineRule="exact"/>
              <w:rPr>
                <w:sz w:val="20"/>
                <w:szCs w:val="20"/>
                <w:color w:val="auto"/>
              </w:rPr>
            </w:pPr>
            <w:r>
              <w:rPr>
                <w:rFonts w:ascii="Arial" w:cs="Arial" w:eastAsia="Arial" w:hAnsi="Arial"/>
                <w:sz w:val="17"/>
                <w:szCs w:val="17"/>
                <w:color w:val="auto"/>
              </w:rPr>
              <w:t>0.05</w:t>
            </w:r>
          </w:p>
        </w:tc>
      </w:tr>
      <w:tr>
        <w:trPr>
          <w:trHeight w:val="189"/>
        </w:trPr>
        <w:tc>
          <w:tcPr>
            <w:tcW w:w="440" w:type="dxa"/>
            <w:vAlign w:val="bottom"/>
          </w:tcPr>
          <w:p>
            <w:pPr>
              <w:spacing w:after="0"/>
              <w:rPr>
                <w:sz w:val="16"/>
                <w:szCs w:val="16"/>
                <w:color w:val="auto"/>
              </w:rPr>
            </w:pPr>
          </w:p>
        </w:tc>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2018</w:t>
            </w:r>
          </w:p>
        </w:tc>
        <w:tc>
          <w:tcPr>
            <w:tcW w:w="5360" w:type="dxa"/>
            <w:vAlign w:val="bottom"/>
            <w:gridSpan w:val="3"/>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749,333</w:t>
            </w:r>
          </w:p>
        </w:tc>
        <w:tc>
          <w:tcPr>
            <w:tcW w:w="1540" w:type="dxa"/>
            <w:vAlign w:val="bottom"/>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0.05</w:t>
            </w:r>
          </w:p>
        </w:tc>
      </w:tr>
      <w:tr>
        <w:trPr>
          <w:trHeight w:val="196"/>
        </w:trPr>
        <w:tc>
          <w:tcPr>
            <w:tcW w:w="440" w:type="dxa"/>
            <w:vAlign w:val="bottom"/>
          </w:tcPr>
          <w:p>
            <w:pPr>
              <w:spacing w:after="0"/>
              <w:rPr>
                <w:sz w:val="17"/>
                <w:szCs w:val="17"/>
                <w:color w:val="auto"/>
              </w:rPr>
            </w:pPr>
          </w:p>
        </w:tc>
        <w:tc>
          <w:tcPr>
            <w:tcW w:w="3680" w:type="dxa"/>
            <w:vAlign w:val="bottom"/>
          </w:tcPr>
          <w:p>
            <w:pPr>
              <w:spacing w:after="0" w:line="189" w:lineRule="exact"/>
              <w:rPr>
                <w:sz w:val="20"/>
                <w:szCs w:val="20"/>
                <w:color w:val="auto"/>
              </w:rPr>
            </w:pPr>
            <w:r>
              <w:rPr>
                <w:rFonts w:ascii="Arial" w:cs="Arial" w:eastAsia="Arial" w:hAnsi="Arial"/>
                <w:sz w:val="17"/>
                <w:szCs w:val="17"/>
                <w:color w:val="auto"/>
              </w:rPr>
              <w:t>Vested</w:t>
            </w:r>
          </w:p>
        </w:tc>
        <w:tc>
          <w:tcPr>
            <w:tcW w:w="3820" w:type="dxa"/>
            <w:vAlign w:val="bottom"/>
          </w:tcPr>
          <w:p>
            <w:pPr>
              <w:spacing w:after="0"/>
              <w:rPr>
                <w:sz w:val="17"/>
                <w:szCs w:val="17"/>
                <w:color w:val="auto"/>
              </w:rPr>
            </w:pPr>
          </w:p>
        </w:tc>
        <w:tc>
          <w:tcPr>
            <w:tcW w:w="1540" w:type="dxa"/>
            <w:vAlign w:val="bottom"/>
            <w:gridSpan w:val="2"/>
          </w:tcPr>
          <w:p>
            <w:pPr>
              <w:jc w:val="right"/>
              <w:ind w:right="620"/>
              <w:spacing w:after="0" w:line="189" w:lineRule="exact"/>
              <w:rPr>
                <w:sz w:val="20"/>
                <w:szCs w:val="20"/>
                <w:color w:val="auto"/>
              </w:rPr>
            </w:pPr>
            <w:r>
              <w:rPr>
                <w:rFonts w:ascii="Arial" w:cs="Arial" w:eastAsia="Arial" w:hAnsi="Arial"/>
                <w:sz w:val="17"/>
                <w:szCs w:val="17"/>
                <w:color w:val="auto"/>
              </w:rPr>
              <w:t>(749,333)</w:t>
            </w:r>
          </w:p>
        </w:tc>
        <w:tc>
          <w:tcPr>
            <w:tcW w:w="1540" w:type="dxa"/>
            <w:vAlign w:val="bottom"/>
          </w:tcPr>
          <w:p>
            <w:pPr>
              <w:jc w:val="right"/>
              <w:ind w:right="460"/>
              <w:spacing w:after="0" w:line="189" w:lineRule="exact"/>
              <w:rPr>
                <w:sz w:val="20"/>
                <w:szCs w:val="20"/>
                <w:color w:val="auto"/>
              </w:rPr>
            </w:pPr>
            <w:r>
              <w:rPr>
                <w:rFonts w:ascii="Arial" w:cs="Arial" w:eastAsia="Arial" w:hAnsi="Arial"/>
                <w:sz w:val="17"/>
                <w:szCs w:val="17"/>
                <w:color w:val="auto"/>
              </w:rPr>
              <w:t>0.05</w:t>
            </w:r>
          </w:p>
        </w:tc>
      </w:tr>
      <w:tr>
        <w:trPr>
          <w:trHeight w:val="189"/>
        </w:trPr>
        <w:tc>
          <w:tcPr>
            <w:tcW w:w="440" w:type="dxa"/>
            <w:vAlign w:val="bottom"/>
          </w:tcPr>
          <w:p>
            <w:pPr>
              <w:spacing w:after="0"/>
              <w:rPr>
                <w:sz w:val="16"/>
                <w:szCs w:val="16"/>
                <w:color w:val="auto"/>
              </w:rPr>
            </w:pPr>
          </w:p>
        </w:tc>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2019</w:t>
            </w:r>
          </w:p>
        </w:tc>
        <w:tc>
          <w:tcPr>
            <w:tcW w:w="3820" w:type="dxa"/>
            <w:vAlign w:val="bottom"/>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   —</w:t>
            </w:r>
          </w:p>
        </w:tc>
      </w:tr>
      <w:tr>
        <w:trPr>
          <w:trHeight w:val="20"/>
        </w:trPr>
        <w:tc>
          <w:tcPr>
            <w:tcW w:w="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5360" w:type="dxa"/>
            <w:vAlign w:val="bottom"/>
            <w:tcBorders>
              <w:bottom w:val="single" w:sz="8" w:color="auto"/>
            </w:tcBorders>
            <w:gridSpan w:val="3"/>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379"/>
        </w:trPr>
        <w:tc>
          <w:tcPr>
            <w:tcW w:w="4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360" w:type="dxa"/>
            <w:vAlign w:val="bottom"/>
            <w:gridSpan w:val="3"/>
          </w:tcPr>
          <w:p>
            <w:pPr>
              <w:jc w:val="right"/>
              <w:ind w:right="3800"/>
              <w:spacing w:after="0"/>
              <w:rPr>
                <w:sz w:val="20"/>
                <w:szCs w:val="20"/>
                <w:color w:val="auto"/>
              </w:rPr>
            </w:pPr>
            <w:r>
              <w:rPr>
                <w:rFonts w:ascii="Arial" w:cs="Arial" w:eastAsia="Arial" w:hAnsi="Arial"/>
                <w:sz w:val="16"/>
                <w:szCs w:val="16"/>
                <w:color w:val="auto"/>
              </w:rPr>
              <w:t>F-25</w:t>
            </w:r>
          </w:p>
        </w:tc>
        <w:tc>
          <w:tcPr>
            <w:tcW w:w="15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100"/>
        <w:spacing w:after="0" w:line="243" w:lineRule="auto"/>
        <w:rPr>
          <w:sz w:val="20"/>
          <w:szCs w:val="20"/>
          <w:color w:val="auto"/>
        </w:rPr>
      </w:pPr>
      <w:r>
        <w:rPr>
          <w:rFonts w:ascii="Arial" w:cs="Arial" w:eastAsia="Arial" w:hAnsi="Arial"/>
          <w:sz w:val="17"/>
          <w:szCs w:val="17"/>
          <w:color w:val="auto"/>
        </w:rPr>
        <w:t>There were no Founder Stock granted during the years ended December 31, 2018 and December 31, 2019. The total fair value of Founder Stock that vested during the years ended December 31, 2018 and December 31, 2019 were $0.1 million and $40,000, respectively.</w:t>
      </w:r>
    </w:p>
    <w:p>
      <w:pPr>
        <w:spacing w:after="0" w:line="327" w:lineRule="exact"/>
        <w:rPr>
          <w:sz w:val="20"/>
          <w:szCs w:val="20"/>
          <w:color w:val="auto"/>
        </w:rPr>
      </w:pPr>
    </w:p>
    <w:p>
      <w:pPr>
        <w:ind w:left="540" w:hanging="424"/>
        <w:spacing w:after="0"/>
        <w:tabs>
          <w:tab w:leader="none" w:pos="54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80" w:lineRule="exact"/>
        <w:rPr>
          <w:rFonts w:ascii="Arial" w:cs="Arial" w:eastAsia="Arial" w:hAnsi="Arial"/>
          <w:sz w:val="17"/>
          <w:szCs w:val="17"/>
          <w:b w:val="1"/>
          <w:bCs w:val="1"/>
          <w:color w:val="auto"/>
        </w:rPr>
      </w:pPr>
    </w:p>
    <w:p>
      <w:pPr>
        <w:ind w:left="560" w:right="6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The domestic (Ireland) and foreign components of pre-tax loss for the years ending December 31, 2018 and 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720" w:type="dxa"/>
            <w:vAlign w:val="bottom"/>
            <w:gridSpan w:val="3"/>
          </w:tcPr>
          <w:p>
            <w:pPr>
              <w:jc w:val="right"/>
              <w:ind w:right="118"/>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Foreign</w:t>
            </w:r>
          </w:p>
        </w:tc>
        <w:tc>
          <w:tcPr>
            <w:tcW w:w="72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w w:val="90"/>
              </w:rPr>
              <w:t>$ (12,576)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w w:val="95"/>
              </w:rPr>
              <w:t>$ (16,803)</w:t>
            </w: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Domestic (Ireland)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(1,110)</w:t>
            </w:r>
          </w:p>
        </w:tc>
        <w:tc>
          <w:tcPr>
            <w:tcW w:w="120" w:type="dxa"/>
            <w:vAlign w:val="bottom"/>
          </w:tcPr>
          <w:p>
            <w:pPr>
              <w:spacing w:after="0"/>
              <w:rPr>
                <w:sz w:val="16"/>
                <w:szCs w:val="16"/>
                <w:color w:val="auto"/>
              </w:rPr>
            </w:pPr>
          </w:p>
        </w:tc>
        <w:tc>
          <w:tcPr>
            <w:tcW w:w="880" w:type="dxa"/>
            <w:vAlign w:val="bottom"/>
            <w:gridSpan w:val="4"/>
          </w:tcPr>
          <w:p>
            <w:pPr>
              <w:jc w:val="right"/>
              <w:spacing w:after="0" w:line="189" w:lineRule="exact"/>
              <w:rPr>
                <w:sz w:val="20"/>
                <w:szCs w:val="20"/>
                <w:color w:val="auto"/>
              </w:rPr>
            </w:pPr>
            <w:r>
              <w:rPr>
                <w:rFonts w:ascii="Arial" w:cs="Arial" w:eastAsia="Arial" w:hAnsi="Arial"/>
                <w:sz w:val="17"/>
                <w:szCs w:val="17"/>
                <w:color w:val="auto"/>
              </w:rPr>
              <w:t>(2,406)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income taxes</w:t>
            </w:r>
          </w:p>
        </w:tc>
        <w:tc>
          <w:tcPr>
            <w:tcW w:w="8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w w:val="98"/>
              </w:rPr>
              <w:t>$ (13,686)</w:t>
            </w:r>
          </w:p>
        </w:tc>
        <w:tc>
          <w:tcPr>
            <w:tcW w:w="120" w:type="dxa"/>
            <w:vAlign w:val="bottom"/>
            <w:shd w:val="clear" w:color="auto" w:fill="CCEEFF"/>
          </w:tcPr>
          <w:p>
            <w:pPr>
              <w:spacing w:after="0"/>
              <w:rPr>
                <w:sz w:val="16"/>
                <w:szCs w:val="16"/>
                <w:color w:val="auto"/>
              </w:rPr>
            </w:pPr>
          </w:p>
        </w:tc>
        <w:tc>
          <w:tcPr>
            <w:tcW w:w="88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 (19,209)</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1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9100" w:type="dxa"/>
            <w:vAlign w:val="bottom"/>
            <w:gridSpan w:val="2"/>
          </w:tcPr>
          <w:p>
            <w:pPr>
              <w:ind w:left="440"/>
              <w:spacing w:after="0"/>
              <w:rPr>
                <w:sz w:val="20"/>
                <w:szCs w:val="20"/>
                <w:color w:val="auto"/>
              </w:rPr>
            </w:pPr>
            <w:r>
              <w:rPr>
                <w:rFonts w:ascii="Arial" w:cs="Arial" w:eastAsia="Arial" w:hAnsi="Arial"/>
                <w:sz w:val="17"/>
                <w:szCs w:val="17"/>
                <w:color w:val="auto"/>
              </w:rPr>
              <w:t>The provision for income taxes consist of the following (in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40" w:type="dxa"/>
            <w:vAlign w:val="bottom"/>
            <w:tcBorders>
              <w:bottom w:val="single" w:sz="8" w:color="auto"/>
            </w:tcBorders>
          </w:tcPr>
          <w:p>
            <w:pPr>
              <w:spacing w:after="0"/>
              <w:rPr>
                <w:sz w:val="17"/>
                <w:szCs w:val="17"/>
                <w:color w:val="auto"/>
              </w:rPr>
            </w:pPr>
          </w:p>
        </w:tc>
        <w:tc>
          <w:tcPr>
            <w:tcW w:w="8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spacing w:after="0"/>
              <w:rPr>
                <w:sz w:val="17"/>
                <w:szCs w:val="17"/>
                <w:color w:val="auto"/>
              </w:rPr>
            </w:pPr>
          </w:p>
        </w:tc>
        <w:tc>
          <w:tcPr>
            <w:tcW w:w="360" w:type="dxa"/>
            <w:vAlign w:val="bottom"/>
            <w:tcBorders>
              <w:bottom w:val="single" w:sz="8" w:color="auto"/>
            </w:tcBorders>
            <w:gridSpan w:val="3"/>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4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8"/>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right"/>
              <w:ind w:right="3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86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Current</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Domestic (Ireland)</w:t>
            </w:r>
          </w:p>
        </w:tc>
        <w:tc>
          <w:tcPr>
            <w:tcW w:w="2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State (U.S.)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Foreign/federal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current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b w:val="1"/>
                <w:bCs w:val="1"/>
                <w:color w:val="auto"/>
              </w:rPr>
              <w:t>Deferred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Domestic (Ireland)</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State (U.S.)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Foreign/federal</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deferred</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Provision for income taxes</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45</w:t>
            </w:r>
          </w:p>
        </w:tc>
        <w:tc>
          <w:tcPr>
            <w:tcW w:w="70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reconciliation of the Irish statutory income tax rate of 12.5% to the actual tax rate for the years ended December 31, 2018 and</w:t>
      </w:r>
    </w:p>
    <w:p>
      <w:pPr>
        <w:ind w:left="560"/>
        <w:spacing w:after="0"/>
        <w:rPr>
          <w:sz w:val="20"/>
          <w:szCs w:val="20"/>
          <w:color w:val="auto"/>
        </w:rPr>
      </w:pPr>
      <w:r>
        <w:rPr>
          <w:rFonts w:ascii="Arial" w:cs="Arial" w:eastAsia="Arial" w:hAnsi="Arial"/>
          <w:sz w:val="17"/>
          <w:szCs w:val="17"/>
          <w:color w:val="auto"/>
        </w:rPr>
        <w:t>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3820" w:type="dxa"/>
            <w:vAlign w:val="bottom"/>
            <w:tcBorders>
              <w:bottom w:val="single" w:sz="8" w:color="CCEEFF"/>
            </w:tcBorders>
          </w:tcPr>
          <w:p>
            <w:pPr>
              <w:spacing w:after="0"/>
              <w:rPr>
                <w:sz w:val="13"/>
                <w:szCs w:val="13"/>
                <w:color w:val="auto"/>
              </w:rPr>
            </w:pPr>
          </w:p>
        </w:tc>
        <w:tc>
          <w:tcPr>
            <w:tcW w:w="50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38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At statutory rate</w:t>
            </w:r>
          </w:p>
        </w:tc>
        <w:tc>
          <w:tcPr>
            <w:tcW w:w="50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2"/>
              </w:rPr>
              <w:t>(1,711)</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2"/>
              </w:rPr>
              <w:t>(2,401)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Arial" w:cs="Arial" w:eastAsia="Arial" w:hAnsi="Arial"/>
                <w:sz w:val="17"/>
                <w:szCs w:val="17"/>
                <w:color w:val="auto"/>
              </w:rPr>
              <w:t>Foreign income tax at different rates</w:t>
            </w: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1,404</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U.S. R&amp;D credits</w:t>
            </w:r>
          </w:p>
        </w:tc>
        <w:tc>
          <w:tcPr>
            <w:tcW w:w="5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(499)</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Arial" w:cs="Arial" w:eastAsia="Arial" w:hAnsi="Arial"/>
                <w:sz w:val="17"/>
                <w:szCs w:val="17"/>
                <w:color w:val="auto"/>
              </w:rPr>
              <w:t>Change in valuation allowance</w:t>
            </w: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732</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3,733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Share-based compensation</w:t>
            </w:r>
          </w:p>
        </w:tc>
        <w:tc>
          <w:tcPr>
            <w:tcW w:w="5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Arial" w:cs="Arial" w:eastAsia="Arial" w:hAnsi="Arial"/>
                <w:sz w:val="17"/>
                <w:szCs w:val="17"/>
                <w:color w:val="auto"/>
              </w:rPr>
              <w:t>Prior period true ups</w:t>
            </w: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(38)</w:t>
            </w:r>
          </w:p>
        </w:tc>
        <w:tc>
          <w:tcPr>
            <w:tcW w:w="12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5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440"/>
              <w:spacing w:after="0"/>
              <w:rPr>
                <w:sz w:val="20"/>
                <w:szCs w:val="20"/>
                <w:color w:val="auto"/>
              </w:rPr>
            </w:pPr>
            <w:r>
              <w:rPr>
                <w:rFonts w:ascii="Arial" w:cs="Arial" w:eastAsia="Arial" w:hAnsi="Arial"/>
                <w:sz w:val="17"/>
                <w:szCs w:val="17"/>
                <w:color w:val="auto"/>
              </w:rPr>
              <w:t>Provision for income taxes</w:t>
            </w:r>
          </w:p>
        </w:tc>
        <w:tc>
          <w:tcPr>
            <w:tcW w:w="5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2"/>
            <w:vMerge w:val="continue"/>
          </w:tcPr>
          <w:p>
            <w:pPr>
              <w:spacing w:after="0"/>
              <w:rPr>
                <w:sz w:val="17"/>
                <w:szCs w:val="17"/>
                <w:color w:val="auto"/>
              </w:rPr>
            </w:pPr>
          </w:p>
        </w:tc>
        <w:tc>
          <w:tcPr>
            <w:tcW w:w="5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45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4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160" w:type="dxa"/>
            <w:vAlign w:val="bottom"/>
            <w:gridSpan w:val="2"/>
          </w:tcPr>
          <w:p>
            <w:pPr>
              <w:jc w:val="right"/>
              <w:ind w:right="3655"/>
              <w:spacing w:after="0"/>
              <w:rPr>
                <w:sz w:val="20"/>
                <w:szCs w:val="20"/>
                <w:color w:val="auto"/>
              </w:rPr>
            </w:pPr>
            <w:r>
              <w:rPr>
                <w:rFonts w:ascii="Arial" w:cs="Arial" w:eastAsia="Arial" w:hAnsi="Arial"/>
                <w:sz w:val="16"/>
                <w:szCs w:val="16"/>
                <w:color w:val="auto"/>
              </w:rPr>
              <w:t>F-26</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760"/>
        <w:spacing w:after="0" w:line="243" w:lineRule="auto"/>
        <w:rPr>
          <w:sz w:val="20"/>
          <w:szCs w:val="20"/>
          <w:color w:val="auto"/>
        </w:rPr>
      </w:pPr>
      <w:r>
        <w:rPr>
          <w:rFonts w:ascii="Arial" w:cs="Arial" w:eastAsia="Arial" w:hAnsi="Arial"/>
          <w:sz w:val="17"/>
          <w:szCs w:val="17"/>
          <w:color w:val="auto"/>
        </w:rPr>
        <w:t>Significant components of the Company’s deferred tax assets as of December 31, 2018 and 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5780" w:type="dxa"/>
            <w:vAlign w:val="bottom"/>
            <w:tcBorders>
              <w:bottom w:val="single" w:sz="8" w:color="CCEEFF"/>
            </w:tcBorders>
          </w:tcPr>
          <w:p>
            <w:pPr>
              <w:spacing w:after="0"/>
              <w:rPr>
                <w:sz w:val="13"/>
                <w:szCs w:val="13"/>
                <w:color w:val="auto"/>
              </w:rPr>
            </w:pPr>
          </w:p>
        </w:tc>
        <w:tc>
          <w:tcPr>
            <w:tcW w:w="30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578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Deferred tax assets:</w:t>
            </w: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tcPr>
          <w:p>
            <w:pPr>
              <w:ind w:left="260"/>
              <w:spacing w:after="0" w:line="189" w:lineRule="exact"/>
              <w:rPr>
                <w:sz w:val="20"/>
                <w:szCs w:val="20"/>
                <w:color w:val="auto"/>
              </w:rPr>
            </w:pPr>
            <w:r>
              <w:rPr>
                <w:rFonts w:ascii="Arial" w:cs="Arial" w:eastAsia="Arial" w:hAnsi="Arial"/>
                <w:sz w:val="17"/>
                <w:szCs w:val="17"/>
                <w:color w:val="auto"/>
              </w:rPr>
              <w:t>Net operating loss carryforwards</w:t>
            </w:r>
          </w:p>
        </w:tc>
        <w:tc>
          <w:tcPr>
            <w:tcW w:w="32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363</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3,259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Research &amp; other credits</w:t>
            </w:r>
          </w:p>
        </w:tc>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1,701</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3,260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tcPr>
          <w:p>
            <w:pPr>
              <w:ind w:left="260"/>
              <w:spacing w:after="0" w:line="189" w:lineRule="exact"/>
              <w:rPr>
                <w:sz w:val="20"/>
                <w:szCs w:val="20"/>
                <w:color w:val="auto"/>
              </w:rPr>
            </w:pPr>
            <w:r>
              <w:rPr>
                <w:rFonts w:ascii="Arial" w:cs="Arial" w:eastAsia="Arial" w:hAnsi="Arial"/>
                <w:sz w:val="17"/>
                <w:szCs w:val="17"/>
                <w:color w:val="auto"/>
              </w:rPr>
              <w:t>Other</w:t>
            </w: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208</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Total gross DTA</w:t>
            </w:r>
          </w:p>
        </w:tc>
        <w:tc>
          <w:tcPr>
            <w:tcW w:w="32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2,272</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6,852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80" w:type="dxa"/>
            <w:vAlign w:val="bottom"/>
            <w:vMerge w:val="restart"/>
          </w:tcPr>
          <w:p>
            <w:pPr>
              <w:ind w:left="260"/>
              <w:spacing w:after="0"/>
              <w:rPr>
                <w:sz w:val="20"/>
                <w:szCs w:val="20"/>
                <w:color w:val="auto"/>
              </w:rPr>
            </w:pPr>
            <w:r>
              <w:rPr>
                <w:rFonts w:ascii="Arial" w:cs="Arial" w:eastAsia="Arial" w:hAnsi="Arial"/>
                <w:sz w:val="17"/>
                <w:szCs w:val="17"/>
                <w:color w:val="auto"/>
              </w:rPr>
              <w:t>Less: Val. Allowance</w:t>
            </w:r>
          </w:p>
        </w:tc>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78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(2,181)</w:t>
            </w:r>
          </w:p>
        </w:tc>
        <w:tc>
          <w:tcPr>
            <w:tcW w:w="1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(6,686)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deferred tax assets</w:t>
            </w:r>
          </w:p>
        </w:tc>
        <w:tc>
          <w:tcPr>
            <w:tcW w:w="32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196"/>
        </w:trPr>
        <w:tc>
          <w:tcPr>
            <w:tcW w:w="6220" w:type="dxa"/>
            <w:vAlign w:val="bottom"/>
            <w:gridSpan w:val="2"/>
          </w:tcPr>
          <w:p>
            <w:pPr>
              <w:ind w:left="440"/>
              <w:spacing w:after="0"/>
              <w:rPr>
                <w:sz w:val="20"/>
                <w:szCs w:val="20"/>
                <w:color w:val="auto"/>
              </w:rPr>
            </w:pPr>
            <w:r>
              <w:rPr>
                <w:rFonts w:ascii="Arial" w:cs="Arial" w:eastAsia="Arial" w:hAnsi="Arial"/>
                <w:sz w:val="17"/>
                <w:szCs w:val="17"/>
                <w:b w:val="1"/>
                <w:bCs w:val="1"/>
                <w:color w:val="auto"/>
              </w:rPr>
              <w:t>Deferred tax liabilities:</w:t>
            </w:r>
          </w:p>
        </w:tc>
        <w:tc>
          <w:tcPr>
            <w:tcW w:w="3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Fixed assets</w:t>
            </w:r>
          </w:p>
        </w:tc>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 (91)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80" w:type="dxa"/>
            <w:vAlign w:val="bottom"/>
            <w:vMerge w:val="restart"/>
          </w:tcPr>
          <w:p>
            <w:pPr>
              <w:ind w:left="260"/>
              <w:spacing w:after="0"/>
              <w:rPr>
                <w:sz w:val="20"/>
                <w:szCs w:val="20"/>
                <w:color w:val="auto"/>
              </w:rPr>
            </w:pPr>
            <w:r>
              <w:rPr>
                <w:rFonts w:ascii="Arial" w:cs="Arial" w:eastAsia="Arial" w:hAnsi="Arial"/>
                <w:sz w:val="17"/>
                <w:szCs w:val="17"/>
                <w:color w:val="auto"/>
              </w:rPr>
              <w:t>Total gross DTL</w:t>
            </w:r>
          </w:p>
        </w:tc>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78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 (91)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deferred tax assets</w:t>
            </w:r>
          </w:p>
        </w:tc>
        <w:tc>
          <w:tcPr>
            <w:tcW w:w="32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7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right="240"/>
        <w:spacing w:after="0" w:line="238" w:lineRule="auto"/>
        <w:rPr>
          <w:sz w:val="20"/>
          <w:szCs w:val="20"/>
          <w:color w:val="auto"/>
        </w:rPr>
      </w:pPr>
      <w:r>
        <w:rPr>
          <w:rFonts w:ascii="Arial" w:cs="Arial" w:eastAsia="Arial" w:hAnsi="Arial"/>
          <w:sz w:val="17"/>
          <w:szCs w:val="17"/>
          <w:color w:val="auto"/>
        </w:rPr>
        <w:t>Realization of deferred tax assets is dependent upon the Company generating future taxable income, the timing and amount of which are uncertain. Accordingly, the deferred tax assets have been largely offset by a valuation allowance. The valuation allowance increased by approximately $0.8 million and $4.5 million for the years ended December 31, 2018 and December 31, 2019, respectively.</w:t>
      </w:r>
    </w:p>
    <w:p>
      <w:pPr>
        <w:spacing w:after="0" w:line="147" w:lineRule="exact"/>
        <w:rPr>
          <w:sz w:val="20"/>
          <w:szCs w:val="20"/>
          <w:color w:val="auto"/>
        </w:rPr>
      </w:pPr>
    </w:p>
    <w:p>
      <w:pPr>
        <w:ind w:left="560" w:right="380"/>
        <w:spacing w:after="0" w:line="236" w:lineRule="auto"/>
        <w:rPr>
          <w:sz w:val="20"/>
          <w:szCs w:val="20"/>
          <w:color w:val="auto"/>
        </w:rPr>
      </w:pPr>
      <w:r>
        <w:rPr>
          <w:rFonts w:ascii="Arial" w:cs="Arial" w:eastAsia="Arial" w:hAnsi="Arial"/>
          <w:sz w:val="17"/>
          <w:szCs w:val="17"/>
          <w:color w:val="auto"/>
        </w:rPr>
        <w:t>As of December 31, 2019, the Company had a net operating loss carryforwards for U.S. state income tax purposes of approximately $30.9 million, that expire in the year 2038, and for Ireland income tax purposes of approximately $4.0 million that never expire. As of December 31, 2019, the Company had U.S. federal research and development credit carryforwards of approximately $1.5 million, that expire in the year 2038, and U.S. state research and development credit carryforwards of approximately $2.4 million, that do not expire.</w:t>
      </w:r>
    </w:p>
    <w:p>
      <w:pPr>
        <w:spacing w:after="0" w:line="149" w:lineRule="exact"/>
        <w:rPr>
          <w:sz w:val="20"/>
          <w:szCs w:val="20"/>
          <w:color w:val="auto"/>
        </w:rPr>
      </w:pPr>
    </w:p>
    <w:p>
      <w:pPr>
        <w:ind w:left="560" w:right="100"/>
        <w:spacing w:after="0" w:line="236" w:lineRule="auto"/>
        <w:rPr>
          <w:sz w:val="20"/>
          <w:szCs w:val="20"/>
          <w:color w:val="auto"/>
        </w:rPr>
      </w:pPr>
      <w:r>
        <w:rPr>
          <w:rFonts w:ascii="Arial" w:cs="Arial" w:eastAsia="Arial" w:hAnsi="Arial"/>
          <w:sz w:val="17"/>
          <w:szCs w:val="17"/>
          <w:color w:val="auto"/>
        </w:rPr>
        <w:t>Utilization of the Company’s U.S. net operating loss and credit carryforwards may be subject to substantial annual limitation due to the ownership change limitations provided by the Internal Revenue Code and similar state provisions. Such annual limitation could result in the expiration of the U.S. net operating loss and credit carryforwards before utilization. To date, the Company has not performed an analysis to determine whether there would be a substantial annual limitation due to a change in ownership.</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Unrecognized Tax Benefits</w:t>
      </w:r>
    </w:p>
    <w:p>
      <w:pPr>
        <w:spacing w:after="0" w:line="81" w:lineRule="exact"/>
        <w:rPr>
          <w:sz w:val="20"/>
          <w:szCs w:val="20"/>
          <w:color w:val="auto"/>
        </w:rPr>
      </w:pPr>
    </w:p>
    <w:p>
      <w:pPr>
        <w:ind w:left="560" w:right="100"/>
        <w:spacing w:after="0" w:line="236" w:lineRule="auto"/>
        <w:rPr>
          <w:sz w:val="20"/>
          <w:szCs w:val="20"/>
          <w:color w:val="auto"/>
        </w:rPr>
      </w:pPr>
      <w:r>
        <w:rPr>
          <w:rFonts w:ascii="Arial" w:cs="Arial" w:eastAsia="Arial" w:hAnsi="Arial"/>
          <w:sz w:val="17"/>
          <w:szCs w:val="17"/>
          <w:color w:val="auto"/>
        </w:rPr>
        <w:t>The Company’s policy is to include interest and penalties related to unrecognized tax benefits, if any, within the provision for taxes in the consolidated statements of operations and comprehensive loss. If the Company is eventually able to recognize its uncertain tax positions, the Company’s effective tax rate would be reduced. The Company currently has a full valuation allowance against its net deferred tax asset which would impact the timing of the effective tax rate benefit should any of these uncertain tax positions be favorably settled in the future.</w:t>
      </w:r>
    </w:p>
    <w:p>
      <w:pPr>
        <w:spacing w:after="0" w:line="149" w:lineRule="exact"/>
        <w:rPr>
          <w:sz w:val="20"/>
          <w:szCs w:val="20"/>
          <w:color w:val="auto"/>
        </w:rPr>
      </w:pPr>
    </w:p>
    <w:p>
      <w:pPr>
        <w:ind w:left="560" w:right="940"/>
        <w:spacing w:after="0" w:line="243" w:lineRule="auto"/>
        <w:rPr>
          <w:sz w:val="20"/>
          <w:szCs w:val="20"/>
          <w:color w:val="auto"/>
        </w:rPr>
      </w:pPr>
      <w:r>
        <w:rPr>
          <w:rFonts w:ascii="Arial" w:cs="Arial" w:eastAsia="Arial" w:hAnsi="Arial"/>
          <w:sz w:val="17"/>
          <w:szCs w:val="17"/>
          <w:color w:val="auto"/>
        </w:rPr>
        <w:t>The Company files income tax returns in Ireland, the U.S., and Malta. All of the Company’s tax years since 2015 remain open to examination.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has the following activity relating to unrecognized tax benefits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6260" w:type="dxa"/>
            <w:vAlign w:val="bottom"/>
            <w:tcBorders>
              <w:bottom w:val="single" w:sz="8" w:color="CCEEFF"/>
            </w:tcBorders>
          </w:tcPr>
          <w:p>
            <w:pPr>
              <w:spacing w:after="0"/>
              <w:rPr>
                <w:sz w:val="13"/>
                <w:szCs w:val="13"/>
                <w:color w:val="auto"/>
              </w:rPr>
            </w:pPr>
          </w:p>
        </w:tc>
        <w:tc>
          <w:tcPr>
            <w:tcW w:w="26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62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Beginning balance</w:t>
            </w:r>
          </w:p>
        </w:tc>
        <w:tc>
          <w:tcPr>
            <w:tcW w:w="26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247</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418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7"/>
                <w:szCs w:val="17"/>
                <w:color w:val="auto"/>
              </w:rPr>
              <w:t>Gross increase—tax positions in prior periods</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11</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Gross decreases—tax positions in prior periods</w:t>
            </w:r>
          </w:p>
        </w:tc>
        <w:tc>
          <w:tcPr>
            <w:tcW w:w="2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7"/>
                <w:szCs w:val="17"/>
                <w:color w:val="auto"/>
              </w:rPr>
              <w:t>Gross increases—tax positions in prior periods</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160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Ending balance</w:t>
            </w:r>
          </w:p>
        </w:tc>
        <w:tc>
          <w:tcPr>
            <w:tcW w:w="2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418</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692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6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right="280"/>
        <w:spacing w:after="0" w:line="235" w:lineRule="auto"/>
        <w:rPr>
          <w:sz w:val="20"/>
          <w:szCs w:val="20"/>
          <w:color w:val="auto"/>
        </w:rPr>
      </w:pPr>
      <w:r>
        <w:rPr>
          <w:rFonts w:ascii="Arial" w:cs="Arial" w:eastAsia="Arial" w:hAnsi="Arial"/>
          <w:sz w:val="17"/>
          <w:szCs w:val="17"/>
          <w:color w:val="auto"/>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2018 and December 31, 2019, no interest or penalties were required to be recognized relating to unrecognized tax benefits.</w:t>
      </w:r>
    </w:p>
    <w:p>
      <w:pPr>
        <w:spacing w:after="0" w:line="332" w:lineRule="exact"/>
        <w:rPr>
          <w:sz w:val="20"/>
          <w:szCs w:val="20"/>
          <w:color w:val="auto"/>
        </w:rPr>
      </w:pPr>
    </w:p>
    <w:p>
      <w:pPr>
        <w:ind w:left="540" w:hanging="424"/>
        <w:spacing w:after="0"/>
        <w:tabs>
          <w:tab w:leader="none" w:pos="54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&amp; CONTINGENCIES</w:t>
      </w:r>
    </w:p>
    <w:p>
      <w:pPr>
        <w:spacing w:after="0" w:line="175" w:lineRule="exact"/>
        <w:rPr>
          <w:rFonts w:ascii="Arial" w:cs="Arial" w:eastAsia="Arial" w:hAnsi="Arial"/>
          <w:sz w:val="17"/>
          <w:szCs w:val="17"/>
          <w:b w:val="1"/>
          <w:bCs w:val="1"/>
          <w:color w:val="auto"/>
        </w:rPr>
      </w:pPr>
    </w:p>
    <w:p>
      <w:pPr>
        <w:ind w:left="560" w:right="100"/>
        <w:spacing w:after="0" w:line="232" w:lineRule="auto"/>
        <w:rPr>
          <w:rFonts w:ascii="Arial" w:cs="Arial" w:eastAsia="Arial" w:hAnsi="Arial"/>
          <w:sz w:val="17"/>
          <w:szCs w:val="17"/>
          <w:b w:val="1"/>
          <w:bCs w:val="1"/>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w:t>
      </w:r>
    </w:p>
    <w:p>
      <w:pPr>
        <w:ind w:left="560" w:right="10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December 31, 2018 and December 31, 2019.</w:t>
      </w:r>
    </w:p>
    <w:p>
      <w:pPr>
        <w:spacing w:after="0" w:line="131"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Legal Proceedings</w:t>
      </w:r>
    </w:p>
    <w:p>
      <w:pPr>
        <w:spacing w:after="0" w:line="79" w:lineRule="exact"/>
        <w:rPr>
          <w:rFonts w:ascii="Arial" w:cs="Arial" w:eastAsia="Arial" w:hAnsi="Arial"/>
          <w:sz w:val="17"/>
          <w:szCs w:val="17"/>
          <w:b w:val="1"/>
          <w:bCs w:val="1"/>
          <w:color w:val="auto"/>
        </w:rPr>
      </w:pPr>
    </w:p>
    <w:p>
      <w:pPr>
        <w:ind w:left="560" w:right="10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years ended December 31, 2018 and December 31, 2019, the Company had no pending or threatened litigation.</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Contractual Obligations and Other Commitments</w:t>
      </w:r>
    </w:p>
    <w:p>
      <w:pPr>
        <w:spacing w:after="0" w:line="9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Company’s commitments and contractual obligations as of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OPERATING</w:t>
            </w:r>
          </w:p>
        </w:tc>
        <w:tc>
          <w:tcPr>
            <w:tcW w:w="19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MANUFACTURING</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LEASE</w:t>
            </w:r>
          </w:p>
        </w:tc>
        <w:tc>
          <w:tcPr>
            <w:tcW w:w="140" w:type="dxa"/>
            <w:vAlign w:val="bottom"/>
          </w:tcPr>
          <w:p>
            <w:pPr>
              <w:spacing w:after="0"/>
              <w:rPr>
                <w:sz w:val="14"/>
                <w:szCs w:val="14"/>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AND SERVICE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4000" w:type="dxa"/>
            <w:vAlign w:val="bottom"/>
          </w:tcPr>
          <w:p>
            <w:pPr>
              <w:spacing w:after="0"/>
              <w:rPr>
                <w:sz w:val="14"/>
                <w:szCs w:val="14"/>
                <w:color w:val="auto"/>
              </w:rPr>
            </w:pPr>
          </w:p>
        </w:tc>
        <w:tc>
          <w:tcPr>
            <w:tcW w:w="16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OBLIGATIONS</w:t>
            </w:r>
          </w:p>
        </w:tc>
        <w:tc>
          <w:tcPr>
            <w:tcW w:w="140" w:type="dxa"/>
            <w:vAlign w:val="bottom"/>
          </w:tcPr>
          <w:p>
            <w:pPr>
              <w:spacing w:after="0"/>
              <w:rPr>
                <w:sz w:val="14"/>
                <w:szCs w:val="14"/>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CONTRACTS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TERM LOAN</w:t>
            </w:r>
          </w:p>
        </w:tc>
        <w:tc>
          <w:tcPr>
            <w:tcW w:w="0" w:type="dxa"/>
            <w:vAlign w:val="bottom"/>
          </w:tcPr>
          <w:p>
            <w:pPr>
              <w:spacing w:after="0"/>
              <w:rPr>
                <w:sz w:val="1"/>
                <w:szCs w:val="1"/>
                <w:color w:val="auto"/>
              </w:rPr>
            </w:pPr>
          </w:p>
        </w:tc>
      </w:tr>
      <w:tr>
        <w:trPr>
          <w:trHeight w:val="182"/>
        </w:trPr>
        <w:tc>
          <w:tcPr>
            <w:tcW w:w="2060" w:type="dxa"/>
            <w:vAlign w:val="bottom"/>
            <w:gridSpan w:val="2"/>
            <w:vMerge w:val="continue"/>
          </w:tcPr>
          <w:p>
            <w:pPr>
              <w:spacing w:after="0"/>
              <w:rPr>
                <w:sz w:val="15"/>
                <w:szCs w:val="15"/>
                <w:color w:val="auto"/>
              </w:rPr>
            </w:pPr>
          </w:p>
        </w:tc>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78"/>
              <w:spacing w:after="0"/>
              <w:rPr>
                <w:sz w:val="20"/>
                <w:szCs w:val="20"/>
                <w:color w:val="auto"/>
              </w:rPr>
            </w:pPr>
            <w:r>
              <w:rPr>
                <w:rFonts w:ascii="Arial" w:cs="Arial" w:eastAsia="Arial" w:hAnsi="Arial"/>
                <w:sz w:val="14"/>
                <w:szCs w:val="14"/>
                <w:b w:val="1"/>
                <w:bCs w:val="1"/>
                <w:color w:val="auto"/>
              </w:rPr>
              <w:t>(1)</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60"/>
              <w:spacing w:after="0"/>
              <w:rPr>
                <w:sz w:val="20"/>
                <w:szCs w:val="20"/>
                <w:color w:val="auto"/>
              </w:rPr>
            </w:pPr>
            <w:r>
              <w:rPr>
                <w:rFonts w:ascii="Arial" w:cs="Arial" w:eastAsia="Arial" w:hAnsi="Arial"/>
                <w:sz w:val="14"/>
                <w:szCs w:val="14"/>
                <w:b w:val="1"/>
                <w:bCs w:val="1"/>
                <w:color w:val="auto"/>
              </w:rPr>
              <w:t>(2)</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257"/>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2020</w:t>
            </w:r>
          </w:p>
        </w:tc>
        <w:tc>
          <w:tcPr>
            <w:tcW w:w="40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
              <w:spacing w:after="0" w:line="176"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544</w:t>
            </w:r>
          </w:p>
        </w:tc>
        <w:tc>
          <w:tcPr>
            <w:tcW w:w="6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926</w:t>
            </w:r>
          </w:p>
        </w:tc>
        <w:tc>
          <w:tcPr>
            <w:tcW w:w="6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401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560</w:t>
            </w:r>
          </w:p>
        </w:tc>
        <w:tc>
          <w:tcPr>
            <w:tcW w:w="140" w:type="dxa"/>
            <w:vAlign w:val="bottom"/>
          </w:tcPr>
          <w:p>
            <w:pPr>
              <w:spacing w:after="0"/>
              <w:rPr>
                <w:sz w:val="16"/>
                <w:szCs w:val="16"/>
                <w:color w:val="auto"/>
              </w:rPr>
            </w:pPr>
          </w:p>
        </w:tc>
        <w:tc>
          <w:tcPr>
            <w:tcW w:w="1820" w:type="dxa"/>
            <w:vAlign w:val="bottom"/>
            <w:gridSpan w:val="2"/>
          </w:tcPr>
          <w:p>
            <w:pPr>
              <w:jc w:val="right"/>
              <w:ind w:right="660"/>
              <w:spacing w:after="0" w:line="189" w:lineRule="exact"/>
              <w:rPr>
                <w:sz w:val="20"/>
                <w:szCs w:val="20"/>
                <w:color w:val="auto"/>
              </w:rPr>
            </w:pPr>
            <w:r>
              <w:rPr>
                <w:rFonts w:ascii="Arial" w:cs="Arial" w:eastAsia="Arial" w:hAnsi="Arial"/>
                <w:sz w:val="17"/>
                <w:szCs w:val="17"/>
                <w:color w:val="auto"/>
              </w:rPr>
              <w:t>5,805</w:t>
            </w:r>
          </w:p>
        </w:tc>
        <w:tc>
          <w:tcPr>
            <w:tcW w:w="2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3,743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4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577</w:t>
            </w:r>
          </w:p>
        </w:tc>
        <w:tc>
          <w:tcPr>
            <w:tcW w:w="1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2023</w:t>
            </w: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247</w:t>
            </w:r>
          </w:p>
        </w:tc>
        <w:tc>
          <w:tcPr>
            <w:tcW w:w="140" w:type="dxa"/>
            <w:vAlign w:val="bottom"/>
          </w:tcPr>
          <w:p>
            <w:pPr>
              <w:spacing w:after="0"/>
              <w:rPr>
                <w:sz w:val="16"/>
                <w:szCs w:val="16"/>
                <w:color w:val="auto"/>
              </w:rPr>
            </w:pPr>
          </w:p>
        </w:tc>
        <w:tc>
          <w:tcPr>
            <w:tcW w:w="1820" w:type="dxa"/>
            <w:vAlign w:val="bottom"/>
            <w:gridSpan w:val="2"/>
          </w:tcPr>
          <w:p>
            <w:pPr>
              <w:jc w:val="right"/>
              <w:ind w:right="66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40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
              <w:spacing w:after="0" w:line="189" w:lineRule="exact"/>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1,928</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82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6,731</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4" w:lineRule="exact"/>
        <w:rPr>
          <w:sz w:val="20"/>
          <w:szCs w:val="20"/>
          <w:color w:val="auto"/>
        </w:rPr>
      </w:pPr>
    </w:p>
    <w:p>
      <w:pPr>
        <w:ind w:left="880" w:hanging="292"/>
        <w:spacing w:after="0"/>
        <w:tabs>
          <w:tab w:leader="none" w:pos="880" w:val="left"/>
        </w:tabs>
        <w:numPr>
          <w:ilvl w:val="0"/>
          <w:numId w:val="134"/>
        </w:numPr>
        <w:rPr>
          <w:rFonts w:ascii="Arial" w:cs="Arial" w:eastAsia="Arial" w:hAnsi="Arial"/>
          <w:sz w:val="14"/>
          <w:szCs w:val="14"/>
          <w:i w:val="1"/>
          <w:iCs w:val="1"/>
          <w:color w:val="auto"/>
        </w:rPr>
      </w:pPr>
      <w:r>
        <w:rPr>
          <w:rFonts w:ascii="Arial" w:cs="Arial" w:eastAsia="Arial" w:hAnsi="Arial"/>
          <w:sz w:val="14"/>
          <w:szCs w:val="14"/>
          <w:i w:val="1"/>
          <w:iCs w:val="1"/>
          <w:color w:val="auto"/>
        </w:rPr>
        <w:t>Payments due for the office and laboratory space in Burlingame, California under a single operating lease agreement that expires in 2023.</w:t>
      </w:r>
    </w:p>
    <w:p>
      <w:pPr>
        <w:spacing w:after="0" w:line="15" w:lineRule="exact"/>
        <w:rPr>
          <w:rFonts w:ascii="Arial" w:cs="Arial" w:eastAsia="Arial" w:hAnsi="Arial"/>
          <w:sz w:val="14"/>
          <w:szCs w:val="14"/>
          <w:i w:val="1"/>
          <w:iCs w:val="1"/>
          <w:color w:val="auto"/>
        </w:rPr>
      </w:pPr>
    </w:p>
    <w:p>
      <w:pPr>
        <w:ind w:left="880" w:right="40" w:hanging="292"/>
        <w:spacing w:after="0" w:line="241" w:lineRule="auto"/>
        <w:tabs>
          <w:tab w:leader="none" w:pos="880" w:val="left"/>
        </w:tabs>
        <w:numPr>
          <w:ilvl w:val="0"/>
          <w:numId w:val="134"/>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are based on non-cancellable commitments and forecasts that include estimates of future market demand, quantity discounts and manufacturing efficiencies that may impact timing of purchases.</w:t>
      </w:r>
    </w:p>
    <w:p>
      <w:pPr>
        <w:ind w:left="880" w:hanging="292"/>
        <w:spacing w:after="0"/>
        <w:tabs>
          <w:tab w:leader="none" w:pos="880" w:val="left"/>
        </w:tabs>
        <w:numPr>
          <w:ilvl w:val="0"/>
          <w:numId w:val="134"/>
        </w:numPr>
        <w:rPr>
          <w:rFonts w:ascii="Arial" w:cs="Arial" w:eastAsia="Arial" w:hAnsi="Arial"/>
          <w:sz w:val="14"/>
          <w:szCs w:val="14"/>
          <w:i w:val="1"/>
          <w:iCs w:val="1"/>
          <w:color w:val="auto"/>
        </w:rPr>
      </w:pPr>
      <w:r>
        <w:rPr>
          <w:rFonts w:ascii="Arial" w:cs="Arial" w:eastAsia="Arial" w:hAnsi="Arial"/>
          <w:sz w:val="14"/>
          <w:szCs w:val="14"/>
          <w:i w:val="1"/>
          <w:iCs w:val="1"/>
          <w:color w:val="auto"/>
        </w:rPr>
        <w:t>In December 2019, the Company entered into a term loan pursuant to the Loan Agreement as described above in Note 4.</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Facilities</w:t>
      </w:r>
    </w:p>
    <w:p>
      <w:pPr>
        <w:spacing w:after="0" w:line="79" w:lineRule="exact"/>
        <w:rPr>
          <w:sz w:val="20"/>
          <w:szCs w:val="20"/>
          <w:color w:val="auto"/>
        </w:rPr>
      </w:pPr>
    </w:p>
    <w:p>
      <w:pPr>
        <w:ind w:left="560" w:right="680"/>
        <w:spacing w:after="0" w:line="243" w:lineRule="auto"/>
        <w:rPr>
          <w:sz w:val="20"/>
          <w:szCs w:val="20"/>
          <w:color w:val="auto"/>
        </w:rPr>
      </w:pPr>
      <w:r>
        <w:rPr>
          <w:rFonts w:ascii="Arial" w:cs="Arial" w:eastAsia="Arial" w:hAnsi="Arial"/>
          <w:sz w:val="17"/>
          <w:szCs w:val="17"/>
          <w:color w:val="auto"/>
        </w:rPr>
        <w:t>In 2015, the Company entered into a noncancelable lease for office space for a period of three years and two months, commencing March 2015 and ending May 31, 2018.</w:t>
      </w:r>
    </w:p>
    <w:p>
      <w:pPr>
        <w:spacing w:after="0" w:line="144" w:lineRule="exact"/>
        <w:rPr>
          <w:sz w:val="20"/>
          <w:szCs w:val="20"/>
          <w:color w:val="auto"/>
        </w:rPr>
      </w:pPr>
    </w:p>
    <w:p>
      <w:pPr>
        <w:ind w:left="560" w:right="300"/>
        <w:spacing w:after="0" w:line="243" w:lineRule="auto"/>
        <w:rPr>
          <w:sz w:val="20"/>
          <w:szCs w:val="20"/>
          <w:color w:val="auto"/>
        </w:rPr>
      </w:pPr>
      <w:r>
        <w:rPr>
          <w:rFonts w:ascii="Arial" w:cs="Arial" w:eastAsia="Arial" w:hAnsi="Arial"/>
          <w:sz w:val="17"/>
          <w:szCs w:val="17"/>
          <w:color w:val="auto"/>
        </w:rPr>
        <w:t>In 2016, the Company entered into a sublease agreement for office space for a period of four years, commencing June 2016 and ending May 31, 2020. This sublease was terminated early in May 2018 without any fees and penalties.</w:t>
      </w:r>
    </w:p>
    <w:p>
      <w:pPr>
        <w:spacing w:after="0" w:line="144" w:lineRule="exact"/>
        <w:rPr>
          <w:sz w:val="20"/>
          <w:szCs w:val="20"/>
          <w:color w:val="auto"/>
        </w:rPr>
      </w:pPr>
    </w:p>
    <w:p>
      <w:pPr>
        <w:ind w:left="560" w:right="140"/>
        <w:spacing w:after="0" w:line="243" w:lineRule="auto"/>
        <w:rPr>
          <w:sz w:val="20"/>
          <w:szCs w:val="20"/>
          <w:color w:val="auto"/>
        </w:rPr>
      </w:pPr>
      <w:r>
        <w:rPr>
          <w:rFonts w:ascii="Arial" w:cs="Arial" w:eastAsia="Arial" w:hAnsi="Arial"/>
          <w:sz w:val="17"/>
          <w:szCs w:val="17"/>
          <w:color w:val="auto"/>
        </w:rPr>
        <w:t>In 2017, the Company entered into a lease agreement for office space for a period of five years and four months, commencing February 1, 2018 and ending May 31, 2023.</w:t>
      </w:r>
    </w:p>
    <w:p>
      <w:pPr>
        <w:spacing w:after="0" w:line="144"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Minimum rent payments under operating leases are recognized on a straight-line basis over the term of the lease including any periods of free rent. Rent expense for years ended December 31, 2018 and December 31, 2019 were $1.0 million and $0.8 million, respectively.</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Manufacturing and Service Contracts</w:t>
      </w:r>
    </w:p>
    <w:p>
      <w:pPr>
        <w:spacing w:after="0" w:line="93" w:lineRule="exact"/>
        <w:rPr>
          <w:sz w:val="20"/>
          <w:szCs w:val="20"/>
          <w:color w:val="auto"/>
        </w:rPr>
      </w:pPr>
    </w:p>
    <w:p>
      <w:pPr>
        <w:ind w:left="560" w:right="20"/>
        <w:spacing w:after="0" w:line="238" w:lineRule="auto"/>
        <w:rPr>
          <w:sz w:val="20"/>
          <w:szCs w:val="20"/>
          <w:color w:val="auto"/>
        </w:rPr>
      </w:pPr>
      <w:r>
        <w:rPr>
          <w:rFonts w:ascii="Arial" w:cs="Arial" w:eastAsia="Arial" w:hAnsi="Arial"/>
          <w:sz w:val="17"/>
          <w:szCs w:val="17"/>
          <w:color w:val="auto"/>
        </w:rPr>
        <w:t>In November 2015, the Company entered into a Master Service Agreement, or MSA, with KBI Biopharma, Inc, or KBI, relating to formulation development, process development and cGMP manufacturing of ALX148 for use in clinical trials on a project basis. The MSA had an initial term of three years which the Company subsequently extended. See table above for future committed purchases with KBI.</w:t>
      </w:r>
    </w:p>
    <w:p>
      <w:pPr>
        <w:spacing w:after="0" w:line="147" w:lineRule="exact"/>
        <w:rPr>
          <w:sz w:val="20"/>
          <w:szCs w:val="20"/>
          <w:color w:val="auto"/>
        </w:rPr>
      </w:pPr>
    </w:p>
    <w:p>
      <w:pPr>
        <w:ind w:left="560" w:right="20"/>
        <w:spacing w:after="0" w:line="238" w:lineRule="auto"/>
        <w:rPr>
          <w:sz w:val="20"/>
          <w:szCs w:val="20"/>
          <w:color w:val="auto"/>
        </w:rPr>
      </w:pPr>
      <w:r>
        <w:rPr>
          <w:rFonts w:ascii="Arial" w:cs="Arial" w:eastAsia="Arial" w:hAnsi="Arial"/>
          <w:sz w:val="17"/>
          <w:szCs w:val="17"/>
          <w:color w:val="auto"/>
        </w:rPr>
        <w:t>The Company also enters into other contracts in the normal course of business with CROs, contract development and manufacturing organizations and other service providers and vendors. These contracts generally provide for termination on short notice and are cancelable contracts and, accordingly, are not included in the contractual obligations and disclosures summarized above.</w:t>
      </w:r>
    </w:p>
    <w:p>
      <w:pPr>
        <w:spacing w:after="0" w:line="330" w:lineRule="exact"/>
        <w:rPr>
          <w:sz w:val="20"/>
          <w:szCs w:val="20"/>
          <w:color w:val="auto"/>
        </w:rPr>
      </w:pPr>
    </w:p>
    <w:p>
      <w:pPr>
        <w:ind w:left="540" w:hanging="424"/>
        <w:spacing w:after="0"/>
        <w:tabs>
          <w:tab w:leader="none" w:pos="540"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LICENSE AGREEMENT</w:t>
      </w:r>
    </w:p>
    <w:p>
      <w:pPr>
        <w:spacing w:after="0" w:line="15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79" w:lineRule="exact"/>
        <w:rPr>
          <w:rFonts w:ascii="Arial" w:cs="Arial" w:eastAsia="Arial" w:hAnsi="Arial"/>
          <w:sz w:val="17"/>
          <w:szCs w:val="17"/>
          <w:b w:val="1"/>
          <w:bCs w:val="1"/>
          <w:color w:val="auto"/>
        </w:rPr>
      </w:pPr>
    </w:p>
    <w:p>
      <w:pPr>
        <w:ind w:left="560" w:right="54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line="235" w:lineRule="auto"/>
        <w:rPr>
          <w:sz w:val="20"/>
          <w:szCs w:val="20"/>
          <w:color w:val="auto"/>
        </w:rPr>
      </w:pPr>
      <w:r>
        <w:rPr>
          <w:rFonts w:ascii="Arial" w:cs="Arial" w:eastAsia="Arial" w:hAnsi="Arial"/>
          <w:sz w:val="17"/>
          <w:szCs w:val="17"/>
          <w:color w:val="auto"/>
        </w:rPr>
        <w:t>which would include the application of the licensed intellectual property in oncology. The license granted to the Company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the Company in the Stanford Agreement also includes non-exclusive grants to certain Stanford patents.</w:t>
      </w:r>
    </w:p>
    <w:p>
      <w:pPr>
        <w:spacing w:after="0" w:line="150"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In consideration for the rights granted to the Company under the Stanford Agreement, the Company paid Stanford a nonrefundable license royalty and reimbursed Stanford for past patent expenses, together totaling less than $0.1 million, and granted Stanford a specified number of ordinary shares of the Company. In addition, the Company is obligated to pay Stanford ongoing patent expenses and an annual license maintenance fee, which are nominal and will be creditable against any royalties payable to Stanford in the applicable year. The Company is required to make milestone payments up to an aggregate of $5.0 million in respect of a specified number of licensed products that successfully satisfy certain clinical and regulatory milestones. No milestone payments have been made through December 31, 2019. The Company also agreed to pay Stanford tiered royalties on a specified percentage of net sales made by the Company, its affiliates and its sublicensees of licensed products at rates ranging within low single-digit percentages, subject to certain reductions and offsets. The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4" w:lineRule="exact"/>
        <w:rPr>
          <w:sz w:val="20"/>
          <w:szCs w:val="20"/>
          <w:color w:val="auto"/>
        </w:rPr>
      </w:pPr>
    </w:p>
    <w:p>
      <w:pPr>
        <w:ind w:left="560"/>
        <w:spacing w:after="0" w:line="235" w:lineRule="auto"/>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93" w:lineRule="exact"/>
        <w:rPr>
          <w:sz w:val="20"/>
          <w:szCs w:val="20"/>
          <w:color w:val="auto"/>
        </w:rPr>
      </w:pPr>
    </w:p>
    <w:p>
      <w:pPr>
        <w:ind w:left="560" w:right="40"/>
        <w:spacing w:after="0" w:line="235" w:lineRule="auto"/>
        <w:rPr>
          <w:sz w:val="20"/>
          <w:szCs w:val="20"/>
          <w:color w:val="auto"/>
        </w:rPr>
      </w:pPr>
      <w:r>
        <w:rPr>
          <w:rFonts w:ascii="Arial" w:cs="Arial" w:eastAsia="Arial" w:hAnsi="Arial"/>
          <w:sz w:val="17"/>
          <w:szCs w:val="17"/>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ALX148 and to make, use and sell licensed products containing such compound in all fields of use. The rights granted under this agreement include the rights to grant sublicenses to contractors or other collaboration partners, in each case to develop production processes or manufacture licensed products containing ALX148.</w:t>
      </w:r>
    </w:p>
    <w:p>
      <w:pPr>
        <w:spacing w:after="0" w:line="150" w:lineRule="exact"/>
        <w:rPr>
          <w:sz w:val="20"/>
          <w:szCs w:val="20"/>
          <w:color w:val="auto"/>
        </w:rPr>
      </w:pPr>
    </w:p>
    <w:p>
      <w:pPr>
        <w:ind w:left="560"/>
        <w:spacing w:after="0" w:line="234" w:lineRule="auto"/>
        <w:rPr>
          <w:sz w:val="20"/>
          <w:szCs w:val="20"/>
          <w:color w:val="auto"/>
        </w:rPr>
      </w:pPr>
      <w:r>
        <w:rPr>
          <w:rFonts w:ascii="Arial" w:cs="Arial" w:eastAsia="Arial" w:hAnsi="Arial"/>
          <w:sz w:val="17"/>
          <w:szCs w:val="17"/>
          <w:color w:val="auto"/>
        </w:rPr>
        <w:t>In consideration for the rights granted to the Company under the agreement,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also agreed to pay Selexis a flat royalty of a very low single-digit percentage on net sales made by the Company, its affiliates and sublicensees of products. This royalty obligation, on a product-by-product and country-by-country basis, shall terminate and become fully paid-up upon the passing of ten years after the first commercial sale of the product in such country, or the Company’s exercise of the royalty buyout option exercisable at any time prior to the first commercial sale of a licensed product.</w:t>
      </w:r>
    </w:p>
    <w:p>
      <w:pPr>
        <w:spacing w:after="0" w:line="151" w:lineRule="exact"/>
        <w:rPr>
          <w:sz w:val="20"/>
          <w:szCs w:val="20"/>
          <w:color w:val="auto"/>
        </w:rPr>
      </w:pPr>
    </w:p>
    <w:p>
      <w:pPr>
        <w:jc w:val="both"/>
        <w:ind w:left="560" w:right="80"/>
        <w:spacing w:after="0" w:line="236" w:lineRule="auto"/>
        <w:rPr>
          <w:sz w:val="20"/>
          <w:szCs w:val="20"/>
          <w:color w:val="auto"/>
        </w:rPr>
      </w:pPr>
      <w:r>
        <w:rPr>
          <w:rFonts w:ascii="Arial" w:cs="Arial" w:eastAsia="Arial" w:hAnsi="Arial"/>
          <w:sz w:val="17"/>
          <w:szCs w:val="17"/>
          <w:color w:val="auto"/>
        </w:rPr>
        <w:t>The Company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The Company’s obligations to pay royalties that are accrued or accruable will survive any termination of the agreement, and in</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100"/>
          </w:cols>
          <w:pgMar w:left="32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40"/>
        <w:spacing w:after="0" w:line="243" w:lineRule="auto"/>
        <w:rPr>
          <w:sz w:val="20"/>
          <w:szCs w:val="20"/>
          <w:color w:val="auto"/>
        </w:rPr>
      </w:pPr>
      <w:r>
        <w:rPr>
          <w:rFonts w:ascii="Arial" w:cs="Arial" w:eastAsia="Arial" w:hAnsi="Arial"/>
          <w:sz w:val="17"/>
          <w:szCs w:val="17"/>
          <w:color w:val="auto"/>
        </w:rPr>
        <w:t>certain circumstances the licenses granted under the agreement will terminate unless they have become fully paid up as described in the previous paragraph.</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93" w:lineRule="exact"/>
        <w:rPr>
          <w:sz w:val="20"/>
          <w:szCs w:val="20"/>
          <w:color w:val="auto"/>
        </w:rPr>
      </w:pPr>
    </w:p>
    <w:p>
      <w:pPr>
        <w:ind w:left="560" w:right="120"/>
        <w:spacing w:after="0" w:line="239" w:lineRule="auto"/>
        <w:rPr>
          <w:sz w:val="20"/>
          <w:szCs w:val="20"/>
          <w:color w:val="auto"/>
        </w:rPr>
      </w:pPr>
      <w:r>
        <w:rPr>
          <w:rFonts w:ascii="Arial" w:cs="Arial" w:eastAsia="Arial" w:hAnsi="Arial"/>
          <w:sz w:val="17"/>
          <w:szCs w:val="17"/>
          <w:color w:val="auto"/>
        </w:rPr>
        <w:t>In March 2017, the Company entered into an agreement with Crystal Bioscience, Inc. (now a subsidiary of Ligand Pharmaceuticals Incorporated), or Crystal, under which the Company obtained an assignment of certain patents, covering certain SIRPa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7" w:lineRule="exact"/>
        <w:rPr>
          <w:sz w:val="20"/>
          <w:szCs w:val="20"/>
          <w:color w:val="auto"/>
        </w:rPr>
      </w:pPr>
    </w:p>
    <w:p>
      <w:pPr>
        <w:ind w:left="560"/>
        <w:spacing w:after="0" w:line="234" w:lineRule="auto"/>
        <w:rPr>
          <w:sz w:val="20"/>
          <w:szCs w:val="20"/>
          <w:color w:val="auto"/>
        </w:rPr>
      </w:pPr>
      <w:r>
        <w:rPr>
          <w:rFonts w:ascii="Arial" w:cs="Arial" w:eastAsia="Arial" w:hAnsi="Arial"/>
          <w:sz w:val="17"/>
          <w:szCs w:val="17"/>
          <w:color w:val="auto"/>
        </w:rPr>
        <w:t>In consideration for the rights granted to the Company under the agreement, it agreed to pay Crystal milestone payments up to $11.1 million in respect of all licensed products developed under the assigned patents, that successfully satisfy certain clinical and regulatory milestones, each milestone being paid only once for all products. The Company also agreed to pay Crystal tiered royalties on net sales made by the Company, its affiliates and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205"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The Company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560" w:right="160"/>
        <w:spacing w:after="0" w:line="236" w:lineRule="auto"/>
        <w:rPr>
          <w:sz w:val="20"/>
          <w:szCs w:val="20"/>
          <w:color w:val="auto"/>
        </w:rPr>
      </w:pPr>
      <w:r>
        <w:rPr>
          <w:rFonts w:ascii="Arial" w:cs="Arial" w:eastAsia="Arial" w:hAnsi="Arial"/>
          <w:sz w:val="17"/>
          <w:szCs w:val="17"/>
          <w:color w:val="auto"/>
        </w:rPr>
        <w:t>The Company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The Company’s obligations to pay royalties and milestone payments which accrued pre-termination or accrue post-termination will survive any termination.</w:t>
      </w:r>
    </w:p>
    <w:p>
      <w:pPr>
        <w:spacing w:after="0" w:line="332" w:lineRule="exact"/>
        <w:rPr>
          <w:sz w:val="20"/>
          <w:szCs w:val="20"/>
          <w:color w:val="auto"/>
        </w:rPr>
      </w:pPr>
    </w:p>
    <w:p>
      <w:pPr>
        <w:ind w:left="540" w:hanging="424"/>
        <w:spacing w:after="0"/>
        <w:tabs>
          <w:tab w:leader="none" w:pos="54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DEFINED CONTRIBUTION PLAN</w:t>
      </w:r>
    </w:p>
    <w:p>
      <w:pPr>
        <w:spacing w:after="0" w:line="175" w:lineRule="exact"/>
        <w:rPr>
          <w:rFonts w:ascii="Arial" w:cs="Arial" w:eastAsia="Arial" w:hAnsi="Arial"/>
          <w:sz w:val="17"/>
          <w:szCs w:val="17"/>
          <w:b w:val="1"/>
          <w:bCs w:val="1"/>
          <w:color w:val="auto"/>
        </w:rPr>
      </w:pPr>
    </w:p>
    <w:p>
      <w:pPr>
        <w:ind w:left="560" w:right="50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 Company has a qualified 401(k) Savings and Investment Plan, or the Plan, whereby employees may contribute up to the Federal annual limits. The Company does not match employee contributions.</w:t>
      </w:r>
    </w:p>
    <w:p>
      <w:pPr>
        <w:spacing w:after="0" w:line="326" w:lineRule="exact"/>
        <w:rPr>
          <w:rFonts w:ascii="Arial" w:cs="Arial" w:eastAsia="Arial" w:hAnsi="Arial"/>
          <w:sz w:val="17"/>
          <w:szCs w:val="17"/>
          <w:b w:val="1"/>
          <w:bCs w:val="1"/>
          <w:color w:val="auto"/>
        </w:rPr>
      </w:pPr>
    </w:p>
    <w:p>
      <w:pPr>
        <w:ind w:left="540" w:hanging="424"/>
        <w:spacing w:after="0"/>
        <w:tabs>
          <w:tab w:leader="none" w:pos="54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RELATED-PARTY TRANSACTIONS</w:t>
      </w:r>
    </w:p>
    <w:p>
      <w:pPr>
        <w:spacing w:after="0" w:line="15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Related-Party Revenue</w:t>
      </w:r>
    </w:p>
    <w:p>
      <w:pPr>
        <w:spacing w:after="0" w:line="79" w:lineRule="exact"/>
        <w:rPr>
          <w:rFonts w:ascii="Arial" w:cs="Arial" w:eastAsia="Arial" w:hAnsi="Arial"/>
          <w:sz w:val="17"/>
          <w:szCs w:val="17"/>
          <w:b w:val="1"/>
          <w:bCs w:val="1"/>
          <w:color w:val="auto"/>
        </w:rPr>
      </w:pPr>
    </w:p>
    <w:p>
      <w:pPr>
        <w:ind w:left="560" w:right="6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In June 2018, the Company entered into a Research and Development Services Agreement, or Tollnine Agreement, with Tollnine, Inc., or Tollnine, a related-party of the Company, to provide research and development services to Tollnine. The Company’s Chief Executive Officer is also the Chief Executive Officer of Tollnine and two of the Company’s investors are also investors in Tollnine. As such, Tollnine was deemed to be a related-party. The Tollnine Agreement has an initial term of 3 years, to be automatically renewed for additional one-year terms unless terminated by either party. The services are to be provided at a price based on the costs incurred by the Company plus a mark-up equal to 10% of such costs. The Company recognizes revenue when Tollnine, as our customer, obtains control of promised goods or services, in an amount that reflects the consideration which the Company expects to receive in exchange for those goods or services. For the years ended December 31, 2018 and December 31, 2019, the Company recognized related-party revenues of $2.1 million and $4.8 million, respectively, under the Tollnine Agreement.</w:t>
      </w:r>
    </w:p>
    <w:p>
      <w:pPr>
        <w:spacing w:after="0" w:line="12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Receivables due from Related-Party</w:t>
      </w:r>
    </w:p>
    <w:p>
      <w:pPr>
        <w:spacing w:after="0" w:line="79" w:lineRule="exact"/>
        <w:rPr>
          <w:rFonts w:ascii="Arial" w:cs="Arial" w:eastAsia="Arial" w:hAnsi="Arial"/>
          <w:sz w:val="17"/>
          <w:szCs w:val="17"/>
          <w:b w:val="1"/>
          <w:bCs w:val="1"/>
          <w:color w:val="auto"/>
        </w:rPr>
      </w:pPr>
    </w:p>
    <w:p>
      <w:pPr>
        <w:ind w:left="560" w:right="12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As of December 31, 2018, and 2019, the Company had outstanding related-party receivables from Tollnine of $0.9 million and $0.5 million, respectively.</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 ATTRIBUTABLE TO ORDINARY SHAREHOLDERS AND UNAUDITED PRO FORMA NET LOSS PER SHARE</w:t>
      </w:r>
    </w:p>
    <w:p>
      <w:pPr>
        <w:spacing w:after="0" w:line="99" w:lineRule="exact"/>
        <w:rPr>
          <w:rFonts w:ascii="Arial" w:cs="Arial" w:eastAsia="Arial" w:hAnsi="Arial"/>
          <w:sz w:val="17"/>
          <w:szCs w:val="17"/>
          <w:b w:val="1"/>
          <w:bCs w:val="1"/>
          <w:color w:val="auto"/>
        </w:rPr>
      </w:pPr>
    </w:p>
    <w:p>
      <w:pPr>
        <w:ind w:left="560" w:right="40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The following table sets forth the computation of the basic and diluted net loss per share attributable to ordinary shareholders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440" w:type="dxa"/>
            <w:vAlign w:val="bottom"/>
          </w:tcPr>
          <w:p>
            <w:pPr>
              <w:spacing w:after="0"/>
              <w:rPr>
                <w:sz w:val="13"/>
                <w:szCs w:val="13"/>
                <w:color w:val="auto"/>
              </w:rPr>
            </w:pPr>
          </w:p>
        </w:tc>
        <w:tc>
          <w:tcPr>
            <w:tcW w:w="79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69"/>
        </w:trPr>
        <w:tc>
          <w:tcPr>
            <w:tcW w:w="440" w:type="dxa"/>
            <w:vAlign w:val="bottom"/>
          </w:tcPr>
          <w:p>
            <w:pPr>
              <w:spacing w:after="0"/>
              <w:rPr>
                <w:sz w:val="14"/>
                <w:szCs w:val="14"/>
                <w:color w:val="auto"/>
              </w:rPr>
            </w:pPr>
          </w:p>
        </w:tc>
        <w:tc>
          <w:tcPr>
            <w:tcW w:w="792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9"/>
        </w:trPr>
        <w:tc>
          <w:tcPr>
            <w:tcW w:w="440" w:type="dxa"/>
            <w:vAlign w:val="bottom"/>
          </w:tcPr>
          <w:p>
            <w:pPr>
              <w:spacing w:after="0"/>
              <w:rPr>
                <w:sz w:val="16"/>
                <w:szCs w:val="16"/>
                <w:color w:val="auto"/>
              </w:rPr>
            </w:pPr>
          </w:p>
        </w:tc>
        <w:tc>
          <w:tcPr>
            <w:tcW w:w="7920" w:type="dxa"/>
            <w:vAlign w:val="bottom"/>
          </w:tcPr>
          <w:p>
            <w:pPr>
              <w:ind w:left="260"/>
              <w:spacing w:after="0" w:line="189" w:lineRule="exact"/>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(13,731)</w:t>
            </w: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$(19,243)</w:t>
            </w: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79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Less: cumulative dividends allocated to preferred shareholders</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(3,671)</w:t>
            </w:r>
          </w:p>
        </w:tc>
        <w:tc>
          <w:tcPr>
            <w:tcW w:w="6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(4,028)</w:t>
            </w:r>
          </w:p>
        </w:tc>
        <w:tc>
          <w:tcPr>
            <w:tcW w:w="60" w:type="dxa"/>
            <w:vAlign w:val="bottom"/>
            <w:shd w:val="clear" w:color="auto" w:fill="CCEEFF"/>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7920" w:type="dxa"/>
            <w:vAlign w:val="bottom"/>
          </w:tcPr>
          <w:p>
            <w:pPr>
              <w:ind w:left="260"/>
              <w:spacing w:after="0"/>
              <w:rPr>
                <w:sz w:val="20"/>
                <w:szCs w:val="20"/>
                <w:color w:val="auto"/>
              </w:rPr>
            </w:pPr>
            <w:r>
              <w:rPr>
                <w:rFonts w:ascii="Arial" w:cs="Arial" w:eastAsia="Arial" w:hAnsi="Arial"/>
                <w:sz w:val="17"/>
                <w:szCs w:val="17"/>
                <w:color w:val="auto"/>
              </w:rPr>
              <w:t>Net loss attributable to ordinary shareholders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640"/>
              <w:spacing w:after="0"/>
              <w:rPr>
                <w:sz w:val="20"/>
                <w:szCs w:val="20"/>
                <w:color w:val="auto"/>
              </w:rPr>
            </w:pPr>
            <w:r>
              <w:rPr>
                <w:rFonts w:ascii="Arial" w:cs="Arial" w:eastAsia="Arial" w:hAnsi="Arial"/>
                <w:sz w:val="17"/>
                <w:szCs w:val="17"/>
                <w:color w:val="auto"/>
              </w:rPr>
              <w:t>(17,402)</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$(23,271)</w:t>
            </w:r>
          </w:p>
        </w:tc>
        <w:tc>
          <w:tcPr>
            <w:tcW w:w="6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7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Denominator:</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7920" w:type="dxa"/>
            <w:vAlign w:val="bottom"/>
          </w:tcPr>
          <w:p>
            <w:pPr>
              <w:ind w:left="260"/>
              <w:spacing w:after="0" w:line="189" w:lineRule="exact"/>
              <w:rPr>
                <w:sz w:val="20"/>
                <w:szCs w:val="20"/>
                <w:color w:val="auto"/>
              </w:rPr>
            </w:pPr>
            <w:r>
              <w:rPr>
                <w:rFonts w:ascii="Arial" w:cs="Arial" w:eastAsia="Arial" w:hAnsi="Arial"/>
                <w:sz w:val="17"/>
                <w:szCs w:val="17"/>
                <w:color w:val="auto"/>
              </w:rPr>
              <w:t>Weighted-average ordinary shares outstanding</w:t>
            </w:r>
          </w:p>
        </w:tc>
        <w:tc>
          <w:tcPr>
            <w:tcW w:w="120" w:type="dxa"/>
            <w:vAlign w:val="bottom"/>
          </w:tcPr>
          <w:p>
            <w:pPr>
              <w:spacing w:after="0"/>
              <w:rPr>
                <w:sz w:val="16"/>
                <w:szCs w:val="16"/>
                <w:color w:val="auto"/>
              </w:rPr>
            </w:pPr>
          </w:p>
        </w:tc>
        <w:tc>
          <w:tcPr>
            <w:tcW w:w="150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w w:val="98"/>
              </w:rPr>
              <w:t>18,102,402</w:t>
            </w:r>
          </w:p>
        </w:tc>
        <w:tc>
          <w:tcPr>
            <w:tcW w:w="12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8"/>
              </w:rPr>
              <w:t>20,245,115</w:t>
            </w:r>
          </w:p>
        </w:tc>
      </w:tr>
      <w:tr>
        <w:trPr>
          <w:trHeight w:val="20"/>
        </w:trPr>
        <w:tc>
          <w:tcPr>
            <w:tcW w:w="4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7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640"/>
              <w:spacing w:after="0" w:line="183" w:lineRule="exact"/>
              <w:rPr>
                <w:sz w:val="20"/>
                <w:szCs w:val="20"/>
                <w:color w:val="auto"/>
              </w:rPr>
            </w:pPr>
            <w:r>
              <w:rPr>
                <w:rFonts w:ascii="Arial" w:cs="Arial" w:eastAsia="Arial" w:hAnsi="Arial"/>
                <w:sz w:val="17"/>
                <w:szCs w:val="17"/>
                <w:color w:val="auto"/>
              </w:rPr>
              <w:t>(0.96)</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(1.15)</w:t>
            </w:r>
          </w:p>
        </w:tc>
      </w:tr>
      <w:tr>
        <w:trPr>
          <w:trHeight w:val="20"/>
        </w:trPr>
        <w:tc>
          <w:tcPr>
            <w:tcW w:w="4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7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61" w:lineRule="exact"/>
        <w:rPr>
          <w:sz w:val="20"/>
          <w:szCs w:val="20"/>
          <w:color w:val="auto"/>
        </w:rPr>
      </w:pPr>
    </w:p>
    <w:p>
      <w:pPr>
        <w:jc w:val="both"/>
        <w:ind w:left="560" w:right="20"/>
        <w:spacing w:after="0" w:line="238" w:lineRule="auto"/>
        <w:rPr>
          <w:sz w:val="20"/>
          <w:szCs w:val="20"/>
          <w:color w:val="auto"/>
        </w:rPr>
      </w:pPr>
      <w:r>
        <w:rPr>
          <w:rFonts w:ascii="Arial" w:cs="Arial" w:eastAsia="Arial" w:hAnsi="Arial"/>
          <w:sz w:val="18"/>
          <w:szCs w:val="18"/>
          <w:color w:val="auto"/>
        </w:rPr>
        <w:t>Since the Company was in a loss position for all periods presented, basic net loss per share is the same as diluted net loss per share for all periods as the inclusion of all potential ordinary shares outstanding would have been anti-dilutive. Potentially dilutive securities that were not included in the diluted per share calculations as of December 31, 2018 and December 31, 2019 because they would be anti-dilutive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6995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24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814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A convertible preferred shares</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61,180,500</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61,180,500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124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6,690,729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to purchase convertible preferred shares</w:t>
            </w:r>
          </w:p>
        </w:tc>
        <w:tc>
          <w:tcPr>
            <w:tcW w:w="12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403,348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tcPr>
          <w:p>
            <w:pPr>
              <w:spacing w:after="0" w:line="189" w:lineRule="exact"/>
              <w:rPr>
                <w:sz w:val="20"/>
                <w:szCs w:val="20"/>
                <w:color w:val="auto"/>
              </w:rPr>
            </w:pPr>
            <w:r>
              <w:rPr>
                <w:rFonts w:ascii="Arial" w:cs="Arial" w:eastAsia="Arial" w:hAnsi="Arial"/>
                <w:sz w:val="17"/>
                <w:szCs w:val="17"/>
                <w:color w:val="auto"/>
              </w:rPr>
              <w:t>Ordinary shares subject to repurchase</w:t>
            </w:r>
          </w:p>
        </w:tc>
        <w:tc>
          <w:tcPr>
            <w:tcW w:w="11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1,513,041</w:t>
            </w:r>
          </w:p>
        </w:tc>
        <w:tc>
          <w:tcPr>
            <w:tcW w:w="140" w:type="dxa"/>
            <w:vAlign w:val="bottom"/>
          </w:tcPr>
          <w:p>
            <w:pPr>
              <w:spacing w:after="0"/>
              <w:rPr>
                <w:sz w:val="16"/>
                <w:szCs w:val="16"/>
                <w:color w:val="auto"/>
              </w:rPr>
            </w:pP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223,923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issued and outstanding</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5,691,123</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7,789,923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140" w:type="dxa"/>
            <w:vAlign w:val="bottom"/>
            <w:vMerge w:val="restart"/>
          </w:tcPr>
          <w:p>
            <w:pPr>
              <w:ind w:left="260"/>
              <w:spacing w:after="0"/>
              <w:rPr>
                <w:sz w:val="20"/>
                <w:szCs w:val="20"/>
                <w:color w:val="auto"/>
              </w:rPr>
            </w:pPr>
            <w:r>
              <w:rPr>
                <w:rFonts w:ascii="Arial" w:cs="Arial" w:eastAsia="Arial" w:hAnsi="Arial"/>
                <w:sz w:val="17"/>
                <w:szCs w:val="17"/>
                <w:color w:val="auto"/>
              </w:rPr>
              <w:t>Total</w:t>
            </w: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140" w:type="dxa"/>
            <w:vAlign w:val="bottom"/>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68,384,664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76,288,423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60" w:right="720"/>
        <w:spacing w:after="0" w:line="246" w:lineRule="auto"/>
        <w:rPr>
          <w:sz w:val="20"/>
          <w:szCs w:val="20"/>
          <w:color w:val="auto"/>
        </w:rPr>
      </w:pPr>
      <w:r>
        <w:rPr>
          <w:rFonts w:ascii="Arial" w:cs="Arial" w:eastAsia="Arial" w:hAnsi="Arial"/>
          <w:sz w:val="18"/>
          <w:szCs w:val="18"/>
          <w:color w:val="auto"/>
        </w:rPr>
        <w:t>The following table sets forth the computation of the Company’s unaudited pro forma basic and diluted net loss per share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-119380</wp:posOffset>
            </wp:positionV>
            <wp:extent cx="6711950" cy="1289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711950" cy="128905"/>
                    </a:xfrm>
                    <a:prstGeom prst="rect">
                      <a:avLst/>
                    </a:prstGeom>
                    <a:noFill/>
                  </pic:spPr>
                </pic:pic>
              </a:graphicData>
            </a:graphic>
          </wp:anchor>
        </w:drawing>
      </w:r>
    </w:p>
    <w:p>
      <w:pPr>
        <w:spacing w:after="0" w:line="41" w:lineRule="exact"/>
        <w:rPr>
          <w:sz w:val="20"/>
          <w:szCs w:val="20"/>
          <w:color w:val="auto"/>
        </w:rPr>
      </w:pPr>
    </w:p>
    <w:p>
      <w:pPr>
        <w:ind w:left="1060" w:right="137" w:hanging="250"/>
        <w:spacing w:after="0" w:line="232" w:lineRule="auto"/>
        <w:rPr>
          <w:sz w:val="20"/>
          <w:szCs w:val="20"/>
          <w:color w:val="auto"/>
        </w:rPr>
      </w:pPr>
      <w:r>
        <w:rPr>
          <w:rFonts w:ascii="Arial" w:cs="Arial" w:eastAsia="Arial" w:hAnsi="Arial"/>
          <w:sz w:val="17"/>
          <w:szCs w:val="17"/>
          <w:color w:val="auto"/>
        </w:rPr>
        <w:t>Weighted-average ordinary shares used in computing net loss per share attributable to ordinary shareholders, basic and diluted</w:t>
      </w:r>
    </w:p>
    <w:p>
      <w:pPr>
        <w:ind w:left="1060" w:right="317" w:hanging="250"/>
        <w:spacing w:after="0" w:line="243" w:lineRule="auto"/>
        <w:rPr>
          <w:sz w:val="20"/>
          <w:szCs w:val="20"/>
          <w:color w:val="auto"/>
        </w:rPr>
      </w:pPr>
      <w:r>
        <w:rPr>
          <w:rFonts w:ascii="Arial" w:cs="Arial" w:eastAsia="Arial" w:hAnsi="Arial"/>
          <w:sz w:val="17"/>
          <w:szCs w:val="17"/>
          <w:color w:val="auto"/>
        </w:rPr>
        <w:t>Pro forma adjustment to reflect assumed conversion of preferred shares and accrued dividends allocable to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-247015</wp:posOffset>
            </wp:positionV>
            <wp:extent cx="6711950" cy="2400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11950" cy="240030"/>
                    </a:xfrm>
                    <a:prstGeom prst="rect">
                      <a:avLst/>
                    </a:prstGeom>
                    <a:noFill/>
                  </pic:spPr>
                </pic:pic>
              </a:graphicData>
            </a:graphic>
          </wp:anchor>
        </w:drawing>
      </w:r>
    </w:p>
    <w:p>
      <w:pPr>
        <w:ind w:left="560" w:right="1177"/>
        <w:spacing w:after="0" w:line="309" w:lineRule="auto"/>
        <w:rPr>
          <w:sz w:val="20"/>
          <w:szCs w:val="20"/>
          <w:color w:val="auto"/>
        </w:rPr>
      </w:pPr>
      <w:r>
        <w:rPr>
          <w:rFonts w:ascii="Arial" w:cs="Arial" w:eastAsia="Arial" w:hAnsi="Arial"/>
          <w:sz w:val="17"/>
          <w:szCs w:val="17"/>
          <w:color w:val="auto"/>
        </w:rPr>
        <w:t>Weighted-average ordinary shares used to compute pro forma net loss per share, basic and diluted Pro forma 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-160655</wp:posOffset>
            </wp:positionV>
            <wp:extent cx="6711950" cy="1200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71195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left="3" w:right="117"/>
        <w:spacing w:after="0" w:line="251" w:lineRule="auto"/>
        <w:rPr>
          <w:sz w:val="20"/>
          <w:szCs w:val="20"/>
          <w:color w:val="auto"/>
        </w:rPr>
      </w:pPr>
      <w:r>
        <w:rPr>
          <w:rFonts w:ascii="Arial" w:cs="Arial" w:eastAsia="Arial" w:hAnsi="Arial"/>
          <w:sz w:val="14"/>
          <w:szCs w:val="14"/>
          <w:b w:val="1"/>
          <w:bCs w:val="1"/>
          <w:color w:val="auto"/>
        </w:rPr>
        <w:t>YEAR ENDED DECEMBER 31, 2019</w:t>
      </w:r>
    </w:p>
    <w:p>
      <w:pPr>
        <w:spacing w:after="0" w:line="1" w:lineRule="exact"/>
        <w:rPr>
          <w:sz w:val="20"/>
          <w:szCs w:val="20"/>
          <w:color w:val="auto"/>
        </w:rPr>
      </w:pPr>
    </w:p>
    <w:p>
      <w:pPr>
        <w:ind w:left="483" w:hanging="483"/>
        <w:spacing w:after="0"/>
        <w:tabs>
          <w:tab w:leader="none" w:pos="48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(19,243)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67754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17" w:lineRule="exact"/>
        <w:rPr>
          <w:sz w:val="20"/>
          <w:szCs w:val="20"/>
          <w:color w:val="auto"/>
        </w:rPr>
      </w:pPr>
    </w:p>
    <w:p>
      <w:pPr>
        <w:ind w:left="203"/>
        <w:spacing w:after="0"/>
        <w:rPr>
          <w:sz w:val="20"/>
          <w:szCs w:val="20"/>
          <w:color w:val="auto"/>
        </w:rPr>
      </w:pPr>
      <w:r>
        <w:rPr>
          <w:rFonts w:ascii="Arial" w:cs="Arial" w:eastAsia="Arial" w:hAnsi="Arial"/>
          <w:sz w:val="17"/>
          <w:szCs w:val="17"/>
          <w:color w:val="auto"/>
        </w:rPr>
        <w:t>20,245,115</w:t>
      </w:r>
    </w:p>
    <w:p>
      <w:pPr>
        <w:spacing w:after="0" w:line="183" w:lineRule="exact"/>
        <w:rPr>
          <w:sz w:val="20"/>
          <w:szCs w:val="20"/>
          <w:color w:val="auto"/>
        </w:rPr>
      </w:pPr>
    </w:p>
    <w:p>
      <w:pPr>
        <w:ind w:left="203"/>
        <w:spacing w:after="0"/>
        <w:rPr>
          <w:sz w:val="20"/>
          <w:szCs w:val="20"/>
          <w:color w:val="auto"/>
        </w:rPr>
      </w:pPr>
      <w:r>
        <w:rPr>
          <w:rFonts w:ascii="Arial" w:cs="Arial" w:eastAsia="Arial" w:hAnsi="Arial"/>
          <w:sz w:val="17"/>
          <w:szCs w:val="17"/>
          <w:color w:val="auto"/>
        </w:rPr>
        <w:t>74,028,943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 w:lineRule="exact"/>
        <w:rPr>
          <w:sz w:val="20"/>
          <w:szCs w:val="20"/>
          <w:color w:val="auto"/>
        </w:rPr>
      </w:pPr>
    </w:p>
    <w:p>
      <w:pPr>
        <w:ind w:left="203"/>
        <w:spacing w:after="0"/>
        <w:rPr>
          <w:sz w:val="20"/>
          <w:szCs w:val="20"/>
          <w:color w:val="auto"/>
        </w:rPr>
      </w:pPr>
      <w:r>
        <w:rPr>
          <w:rFonts w:ascii="Arial" w:cs="Arial" w:eastAsia="Arial" w:hAnsi="Arial"/>
          <w:sz w:val="17"/>
          <w:szCs w:val="17"/>
          <w:color w:val="auto"/>
        </w:rPr>
        <w:t>94,274,058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6775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8" w:lineRule="exact"/>
        <w:rPr>
          <w:sz w:val="20"/>
          <w:szCs w:val="20"/>
          <w:color w:val="auto"/>
        </w:rPr>
      </w:pPr>
    </w:p>
    <w:p>
      <w:pPr>
        <w:ind w:left="683" w:hanging="683"/>
        <w:spacing w:after="0"/>
        <w:tabs>
          <w:tab w:leader="none" w:pos="68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7754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wp:posOffset>
            </wp:positionV>
            <wp:extent cx="67754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9237" w:space="720"/>
            <w:col w:w="1183"/>
          </w:cols>
          <w:pgMar w:left="320" w:top="459" w:right="439" w:bottom="1440" w:gutter="0" w:footer="0" w:header="0"/>
          <w:type w:val="continuous"/>
        </w:sectPr>
      </w:pP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140"/>
          </w:cols>
          <w:pgMar w:left="320" w:top="459" w:right="439" w:bottom="1440" w:gutter="0" w:footer="0" w:header="0"/>
          <w:type w:val="continuous"/>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75" w:lineRule="exact"/>
        <w:rPr>
          <w:rFonts w:ascii="Arial" w:cs="Arial" w:eastAsia="Arial" w:hAnsi="Arial"/>
          <w:sz w:val="17"/>
          <w:szCs w:val="17"/>
          <w:b w:val="1"/>
          <w:bCs w:val="1"/>
          <w:color w:val="auto"/>
        </w:rPr>
      </w:pPr>
    </w:p>
    <w:p>
      <w:pPr>
        <w:ind w:left="560" w:right="22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In February 2020, the Company entered into a Series C Preferred Share Purchase Agreement, or the Series C Agreement, with certain existing investors, employees and new investors, or collectively, the Series C Investors. Under the terms of the Series C Agreement, the Company authorized the sale and issuance of up to 72,754,989 Series C convertible preferred shares at a purchase price of $1.4432 per share. To date, all authorized Series C convertible preferred shares have been purchased with gross proceeds of $105.0 million.</w:t>
      </w:r>
    </w:p>
    <w:p>
      <w:pPr>
        <w:spacing w:after="0" w:line="149" w:lineRule="exact"/>
        <w:rPr>
          <w:rFonts w:ascii="Arial" w:cs="Arial" w:eastAsia="Arial" w:hAnsi="Arial"/>
          <w:sz w:val="17"/>
          <w:szCs w:val="17"/>
          <w:b w:val="1"/>
          <w:bCs w:val="1"/>
          <w:color w:val="auto"/>
        </w:rPr>
      </w:pPr>
    </w:p>
    <w:p>
      <w:pPr>
        <w:ind w:left="5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On April 1, 2020, the Company completed an internal reorganization transaction pursuant to which ALX Oncology Limited became a wholly-owned subsidiary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reorganization.</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100"/>
          </w:cols>
          <w:pgMar w:left="320" w:top="459" w:right="4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62"/>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EQUITY AS OF</w:t>
            </w:r>
          </w:p>
        </w:tc>
        <w:tc>
          <w:tcPr>
            <w:tcW w:w="0" w:type="dxa"/>
            <w:vAlign w:val="bottom"/>
          </w:tcPr>
          <w:p>
            <w:pPr>
              <w:spacing w:after="0"/>
              <w:rPr>
                <w:sz w:val="1"/>
                <w:szCs w:val="1"/>
                <w:color w:val="auto"/>
              </w:rPr>
            </w:pPr>
          </w:p>
        </w:tc>
      </w:tr>
      <w:tr>
        <w:trPr>
          <w:trHeight w:val="162"/>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6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1520" w:type="dxa"/>
            <w:vAlign w:val="bottom"/>
            <w:gridSpan w:val="2"/>
          </w:tcPr>
          <w:p>
            <w:pPr>
              <w:jc w:val="center"/>
              <w:ind w:left="19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(Note 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 and cash equivalents</w:t>
            </w:r>
          </w:p>
        </w:tc>
        <w:tc>
          <w:tcPr>
            <w:tcW w:w="48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9,017</w:t>
            </w:r>
          </w:p>
        </w:tc>
        <w:tc>
          <w:tcPr>
            <w:tcW w:w="40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105,035</w:t>
            </w:r>
          </w:p>
        </w:tc>
        <w:tc>
          <w:tcPr>
            <w:tcW w:w="1520" w:type="dxa"/>
            <w:vAlign w:val="bottom"/>
            <w:gridSpan w:val="2"/>
            <w:shd w:val="clear" w:color="auto" w:fill="CCEEFF"/>
          </w:tcPr>
          <w:p>
            <w:pPr>
              <w:jc w:val="right"/>
              <w:ind w:right="1083"/>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Receivables due from related-party</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536</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1,191</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3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256</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1,187</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ind w:left="500"/>
              <w:spacing w:after="0"/>
              <w:rPr>
                <w:sz w:val="20"/>
                <w:szCs w:val="20"/>
                <w:color w:val="auto"/>
              </w:rPr>
            </w:pPr>
            <w:r>
              <w:rPr>
                <w:rFonts w:ascii="Arial" w:cs="Arial" w:eastAsia="Arial" w:hAnsi="Arial"/>
                <w:sz w:val="17"/>
                <w:szCs w:val="17"/>
                <w:color w:val="auto"/>
              </w:rPr>
              <w:t>Total current assets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9,809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107,413</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860</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757</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line="189" w:lineRule="exact"/>
              <w:rPr>
                <w:sz w:val="20"/>
                <w:szCs w:val="20"/>
                <w:color w:val="auto"/>
              </w:rPr>
            </w:pPr>
            <w:r>
              <w:rPr>
                <w:rFonts w:ascii="Arial" w:cs="Arial" w:eastAsia="Arial" w:hAnsi="Arial"/>
                <w:sz w:val="17"/>
                <w:szCs w:val="17"/>
                <w:color w:val="auto"/>
              </w:rPr>
              <w:t>Other assets</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assets</w:t>
            </w:r>
          </w:p>
        </w:tc>
        <w:tc>
          <w:tcPr>
            <w:tcW w:w="48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10,676</w:t>
            </w:r>
          </w:p>
        </w:tc>
        <w:tc>
          <w:tcPr>
            <w:tcW w:w="40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108,399</w:t>
            </w:r>
          </w:p>
        </w:tc>
        <w:tc>
          <w:tcPr>
            <w:tcW w:w="1520" w:type="dxa"/>
            <w:vAlign w:val="bottom"/>
            <w:gridSpan w:val="2"/>
            <w:shd w:val="clear" w:color="auto" w:fill="CCEEFF"/>
          </w:tcPr>
          <w:p>
            <w:pPr>
              <w:jc w:val="right"/>
              <w:ind w:right="1083"/>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shares and shareholders’ equity (deficit)</w:t>
            </w: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Accounts payable</w:t>
            </w:r>
          </w:p>
        </w:tc>
        <w:tc>
          <w:tcPr>
            <w:tcW w:w="48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3,748</w:t>
            </w:r>
          </w:p>
        </w:tc>
        <w:tc>
          <w:tcPr>
            <w:tcW w:w="4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1,987</w:t>
            </w:r>
          </w:p>
        </w:tc>
        <w:tc>
          <w:tcPr>
            <w:tcW w:w="1520" w:type="dxa"/>
            <w:vAlign w:val="bottom"/>
            <w:gridSpan w:val="2"/>
          </w:tcPr>
          <w:p>
            <w:pPr>
              <w:jc w:val="right"/>
              <w:ind w:right="1083"/>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1,236</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1,146</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Term loan—current</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857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current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4,984</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3,990</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7"/>
                <w:szCs w:val="17"/>
                <w:color w:val="auto"/>
              </w:rPr>
              <w:t>Term loan—non-current</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5,421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4,672</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long-term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412</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512</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line="189" w:lineRule="exact"/>
              <w:rPr>
                <w:sz w:val="20"/>
                <w:szCs w:val="20"/>
                <w:color w:val="auto"/>
              </w:rPr>
            </w:pPr>
            <w:r>
              <w:rPr>
                <w:rFonts w:ascii="Arial" w:cs="Arial" w:eastAsia="Arial" w:hAnsi="Arial"/>
                <w:sz w:val="17"/>
                <w:szCs w:val="17"/>
                <w:color w:val="auto"/>
              </w:rPr>
              <w:t>Deferred rent</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10,952</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9,282</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4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A convertible preferred shares: $0.001 par value; 61,180,500 shares</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authorized; 61,180,500 shares issued and outstanding at December 31, 2019</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and March 31, 2020, respectively; aggregate liquidation preference of $73,571</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and $74,476 as of December 31, 2019 and March 31, 2020, respectively; 0</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shares authorized, issued and outstanding, pro forma (unaudited)</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60,933</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60,933</w:t>
            </w: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6480" w:type="dxa"/>
            <w:vAlign w:val="bottom"/>
          </w:tcPr>
          <w:p>
            <w:pPr>
              <w:spacing w:after="0" w:line="183" w:lineRule="exact"/>
              <w:rPr>
                <w:sz w:val="20"/>
                <w:szCs w:val="20"/>
                <w:color w:val="auto"/>
              </w:rPr>
            </w:pPr>
            <w:r>
              <w:rPr>
                <w:rFonts w:ascii="Arial" w:cs="Arial" w:eastAsia="Arial" w:hAnsi="Arial"/>
                <w:sz w:val="17"/>
                <w:szCs w:val="17"/>
                <w:color w:val="auto"/>
              </w:rPr>
              <w:t>Series B convertible preferred shares: $0.001 par value; 7,295,752 shares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authorized; 6,690,729 shares issued and outstanding at December 31, 2019</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and March 31, 2020; aggregate liquidation preference of $10,014 and $10,158</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as of December 31, 2019 and March 31, 2020, respectively; 0 shares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80" w:type="dxa"/>
            <w:vAlign w:val="bottom"/>
          </w:tcPr>
          <w:p>
            <w:pPr>
              <w:ind w:left="240"/>
              <w:spacing w:after="0"/>
              <w:rPr>
                <w:sz w:val="20"/>
                <w:szCs w:val="20"/>
                <w:color w:val="auto"/>
              </w:rPr>
            </w:pPr>
            <w:r>
              <w:rPr>
                <w:rFonts w:ascii="Arial" w:cs="Arial" w:eastAsia="Arial" w:hAnsi="Arial"/>
                <w:sz w:val="17"/>
                <w:szCs w:val="17"/>
                <w:color w:val="auto"/>
              </w:rPr>
              <w:t>authorized, issued and outstanding, pro forma (unaudited)</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9,430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9,430</w:t>
            </w:r>
          </w:p>
        </w:tc>
        <w:tc>
          <w:tcPr>
            <w:tcW w:w="260" w:type="dxa"/>
            <w:vAlign w:val="bottom"/>
          </w:tcPr>
          <w:p>
            <w:pPr>
              <w:spacing w:after="0"/>
              <w:rPr>
                <w:sz w:val="16"/>
                <w:szCs w:val="16"/>
                <w:color w:val="auto"/>
              </w:rPr>
            </w:pPr>
          </w:p>
        </w:tc>
        <w:tc>
          <w:tcPr>
            <w:tcW w:w="132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64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C convertible preferred shares: $0.001 par value; 72,754,989 shares</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authorized; 0 and 72,754,989 shares issued and outstanding at December 31,</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2019 and March 31, 2020, respectively; aggregate liquidation preference of $0</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and $105,934 as of December 31, 2019 and March 31, 2020, respectively; 0</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shares authorized, issued and outstanding, pro forma (unaudited)</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104,680</w:t>
            </w: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45"/>
        </w:trPr>
        <w:tc>
          <w:tcPr>
            <w:tcW w:w="6480" w:type="dxa"/>
            <w:vAlign w:val="bottom"/>
          </w:tcPr>
          <w:p>
            <w:pPr>
              <w:ind w:left="5340"/>
              <w:spacing w:after="0"/>
              <w:rPr>
                <w:sz w:val="20"/>
                <w:szCs w:val="20"/>
                <w:color w:val="auto"/>
              </w:rPr>
            </w:pPr>
            <w:r>
              <w:rPr>
                <w:rFonts w:ascii="Arial" w:cs="Arial" w:eastAsia="Arial" w:hAnsi="Arial"/>
                <w:sz w:val="16"/>
                <w:szCs w:val="16"/>
                <w:color w:val="auto"/>
              </w:rPr>
              <w:t>F-34</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 FORMA</w:t>
            </w:r>
          </w:p>
        </w:tc>
      </w:tr>
      <w:tr>
        <w:trPr>
          <w:trHeight w:val="162"/>
        </w:trPr>
        <w:tc>
          <w:tcPr>
            <w:tcW w:w="6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SHAREHOLDERS’</w:t>
            </w:r>
          </w:p>
        </w:tc>
      </w:tr>
      <w:tr>
        <w:trPr>
          <w:trHeight w:val="162"/>
        </w:trPr>
        <w:tc>
          <w:tcPr>
            <w:tcW w:w="6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 AS OF</w:t>
            </w:r>
          </w:p>
        </w:tc>
      </w:tr>
      <w:tr>
        <w:trPr>
          <w:trHeight w:val="162"/>
        </w:trPr>
        <w:tc>
          <w:tcPr>
            <w:tcW w:w="6660" w:type="dxa"/>
            <w:vAlign w:val="bottom"/>
          </w:tcPr>
          <w:p>
            <w:pPr>
              <w:spacing w:after="0"/>
              <w:rPr>
                <w:sz w:val="14"/>
                <w:szCs w:val="14"/>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6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r>
      <w:tr>
        <w:trPr>
          <w:trHeight w:val="156"/>
        </w:trPr>
        <w:tc>
          <w:tcPr>
            <w:tcW w:w="6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78"/>
              <w:spacing w:after="0" w:line="155" w:lineRule="exact"/>
              <w:rPr>
                <w:sz w:val="20"/>
                <w:szCs w:val="20"/>
                <w:color w:val="auto"/>
              </w:rPr>
            </w:pPr>
            <w:r>
              <w:rPr>
                <w:rFonts w:ascii="Arial" w:cs="Arial" w:eastAsia="Arial" w:hAnsi="Arial"/>
                <w:sz w:val="14"/>
                <w:szCs w:val="14"/>
                <w:b w:val="1"/>
                <w:bCs w:val="1"/>
                <w:color w:val="auto"/>
              </w:rPr>
              <w:t>(Note 1)</w:t>
            </w:r>
          </w:p>
        </w:tc>
        <w:tc>
          <w:tcPr>
            <w:tcW w:w="560" w:type="dxa"/>
            <w:vAlign w:val="bottom"/>
            <w:gridSpan w:val="2"/>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9"/>
              </w:rPr>
              <w:t>(unaudited)</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42"/>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189"/>
        </w:trPr>
        <w:tc>
          <w:tcPr>
            <w:tcW w:w="6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Shareholders’ equity (deficit):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3"/>
        </w:trPr>
        <w:tc>
          <w:tcPr>
            <w:tcW w:w="6660" w:type="dxa"/>
            <w:vAlign w:val="bottom"/>
          </w:tcPr>
          <w:p>
            <w:pPr>
              <w:spacing w:after="0" w:line="183" w:lineRule="exact"/>
              <w:rPr>
                <w:sz w:val="20"/>
                <w:szCs w:val="20"/>
                <w:color w:val="auto"/>
              </w:rPr>
            </w:pPr>
            <w:r>
              <w:rPr>
                <w:rFonts w:ascii="Arial" w:cs="Arial" w:eastAsia="Arial" w:hAnsi="Arial"/>
                <w:sz w:val="17"/>
                <w:szCs w:val="17"/>
                <w:color w:val="auto"/>
              </w:rPr>
              <w:t>Ordinary shares, $0.001 par value; 10,000,000,000 shares authorized;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6660" w:type="dxa"/>
            <w:vAlign w:val="bottom"/>
          </w:tcPr>
          <w:p>
            <w:pPr>
              <w:ind w:left="240"/>
              <w:spacing w:after="0" w:line="189" w:lineRule="exact"/>
              <w:rPr>
                <w:sz w:val="20"/>
                <w:szCs w:val="20"/>
                <w:color w:val="auto"/>
              </w:rPr>
            </w:pPr>
            <w:r>
              <w:rPr>
                <w:rFonts w:ascii="Arial" w:cs="Arial" w:eastAsia="Arial" w:hAnsi="Arial"/>
                <w:sz w:val="17"/>
                <w:szCs w:val="17"/>
                <w:color w:val="auto"/>
              </w:rPr>
              <w:t>20,840,532 shares issued and outstanding at December 31, 2019 and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660" w:type="dxa"/>
            <w:vAlign w:val="bottom"/>
          </w:tcPr>
          <w:p>
            <w:pPr>
              <w:ind w:left="240"/>
              <w:spacing w:after="0" w:line="189" w:lineRule="exact"/>
              <w:rPr>
                <w:sz w:val="20"/>
                <w:szCs w:val="20"/>
                <w:color w:val="auto"/>
              </w:rPr>
            </w:pPr>
            <w:r>
              <w:rPr>
                <w:rFonts w:ascii="Arial" w:cs="Arial" w:eastAsia="Arial" w:hAnsi="Arial"/>
                <w:sz w:val="17"/>
                <w:szCs w:val="17"/>
                <w:color w:val="auto"/>
              </w:rPr>
              <w:t>March 31, 2020; 10,000,000,000 shares authorized, 175,757,582 shares</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6660" w:type="dxa"/>
            <w:vAlign w:val="bottom"/>
          </w:tcPr>
          <w:p>
            <w:pPr>
              <w:ind w:left="240"/>
              <w:spacing w:after="0"/>
              <w:rPr>
                <w:sz w:val="20"/>
                <w:szCs w:val="20"/>
                <w:color w:val="auto"/>
              </w:rPr>
            </w:pPr>
            <w:r>
              <w:rPr>
                <w:rFonts w:ascii="Arial" w:cs="Arial" w:eastAsia="Arial" w:hAnsi="Arial"/>
                <w:sz w:val="17"/>
                <w:szCs w:val="17"/>
                <w:color w:val="auto"/>
              </w:rPr>
              <w:t>issued and outstanding, pro forma (unaudited)</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440" w:type="dxa"/>
            <w:vAlign w:val="bottom"/>
            <w:gridSpan w:val="3"/>
          </w:tcPr>
          <w:p>
            <w:pPr>
              <w:jc w:val="right"/>
              <w:ind w:right="560"/>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21</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176</w:t>
            </w:r>
          </w:p>
        </w:tc>
      </w:tr>
      <w:tr>
        <w:trPr>
          <w:trHeight w:val="189"/>
        </w:trPr>
        <w:tc>
          <w:tcPr>
            <w:tcW w:w="66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18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2,122</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2,289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192,356</w:t>
            </w:r>
          </w:p>
        </w:tc>
      </w:tr>
      <w:tr>
        <w:trPr>
          <w:trHeight w:val="189"/>
        </w:trPr>
        <w:tc>
          <w:tcPr>
            <w:tcW w:w="6660" w:type="dxa"/>
            <w:vAlign w:val="bottom"/>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180" w:type="dxa"/>
            <w:vAlign w:val="bottom"/>
          </w:tcPr>
          <w:p>
            <w:pPr>
              <w:spacing w:after="0"/>
              <w:rPr>
                <w:sz w:val="16"/>
                <w:szCs w:val="16"/>
                <w:color w:val="auto"/>
              </w:rPr>
            </w:pPr>
          </w:p>
        </w:tc>
        <w:tc>
          <w:tcPr>
            <w:tcW w:w="1440" w:type="dxa"/>
            <w:vAlign w:val="bottom"/>
            <w:gridSpan w:val="3"/>
          </w:tcPr>
          <w:p>
            <w:pPr>
              <w:jc w:val="right"/>
              <w:ind w:right="500"/>
              <w:spacing w:after="0" w:line="189" w:lineRule="exact"/>
              <w:rPr>
                <w:sz w:val="20"/>
                <w:szCs w:val="20"/>
                <w:color w:val="auto"/>
              </w:rPr>
            </w:pPr>
            <w:r>
              <w:rPr>
                <w:rFonts w:ascii="Arial" w:cs="Arial" w:eastAsia="Arial" w:hAnsi="Arial"/>
                <w:sz w:val="17"/>
                <w:szCs w:val="17"/>
                <w:color w:val="auto"/>
              </w:rPr>
              <w:t>(72,782)</w:t>
            </w:r>
          </w:p>
        </w:tc>
        <w:tc>
          <w:tcPr>
            <w:tcW w:w="140" w:type="dxa"/>
            <w:vAlign w:val="bottom"/>
          </w:tcPr>
          <w:p>
            <w:pPr>
              <w:spacing w:after="0"/>
              <w:rPr>
                <w:sz w:val="16"/>
                <w:szCs w:val="16"/>
                <w:color w:val="auto"/>
              </w:rPr>
            </w:pPr>
          </w:p>
        </w:tc>
        <w:tc>
          <w:tcPr>
            <w:tcW w:w="9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(78,236)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(92,968)</w:t>
            </w:r>
          </w:p>
        </w:tc>
      </w:tr>
      <w:tr>
        <w:trPr>
          <w:trHeight w:val="27"/>
        </w:trPr>
        <w:tc>
          <w:tcPr>
            <w:tcW w:w="6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66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shareholders’ equity (deficit)</w:t>
            </w:r>
          </w:p>
        </w:tc>
        <w:tc>
          <w:tcPr>
            <w:tcW w:w="18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(70,639)</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(75,926)</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99,564</w:t>
            </w:r>
          </w:p>
        </w:tc>
      </w:tr>
      <w:tr>
        <w:trPr>
          <w:trHeight w:val="190"/>
        </w:trPr>
        <w:tc>
          <w:tcPr>
            <w:tcW w:w="6660" w:type="dxa"/>
            <w:vAlign w:val="bottom"/>
          </w:tcPr>
          <w:p>
            <w:pPr>
              <w:ind w:left="500"/>
              <w:spacing w:after="0" w:line="190" w:lineRule="exact"/>
              <w:rPr>
                <w:sz w:val="20"/>
                <w:szCs w:val="20"/>
                <w:color w:val="auto"/>
              </w:rPr>
            </w:pPr>
            <w:r>
              <w:rPr>
                <w:rFonts w:ascii="Arial" w:cs="Arial" w:eastAsia="Arial" w:hAnsi="Arial"/>
                <w:sz w:val="17"/>
                <w:szCs w:val="17"/>
                <w:color w:val="auto"/>
              </w:rPr>
              <w:t>Total liabilities, convertible preferred shares and shareholders’ equity</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6660" w:type="dxa"/>
            <w:vAlign w:val="bottom"/>
          </w:tcPr>
          <w:p>
            <w:pPr>
              <w:ind w:left="760"/>
              <w:spacing w:after="0"/>
              <w:rPr>
                <w:sz w:val="20"/>
                <w:szCs w:val="20"/>
                <w:color w:val="auto"/>
              </w:rPr>
            </w:pPr>
            <w:r>
              <w:rPr>
                <w:rFonts w:ascii="Arial" w:cs="Arial" w:eastAsia="Arial" w:hAnsi="Arial"/>
                <w:sz w:val="17"/>
                <w:szCs w:val="17"/>
                <w:color w:val="auto"/>
              </w:rPr>
              <w:t>(deficit)</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10,676</w:t>
            </w:r>
          </w:p>
        </w:tc>
        <w:tc>
          <w:tcPr>
            <w:tcW w:w="54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108,399</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(unaudited)</w:t>
      </w:r>
    </w:p>
    <w:p>
      <w:pPr>
        <w:jc w:val="center"/>
        <w:ind w:right="-99"/>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44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Related-party revenue</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1,032</w:t>
            </w: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655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3,733</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3,828</w:t>
            </w:r>
          </w:p>
        </w:tc>
        <w:tc>
          <w:tcPr>
            <w:tcW w:w="0" w:type="dxa"/>
            <w:vAlign w:val="bottom"/>
          </w:tcPr>
          <w:p>
            <w:pPr>
              <w:spacing w:after="0"/>
              <w:rPr>
                <w:sz w:val="1"/>
                <w:szCs w:val="1"/>
                <w:color w:val="auto"/>
              </w:rPr>
            </w:pPr>
          </w:p>
        </w:tc>
      </w:tr>
      <w:tr>
        <w:trPr>
          <w:trHeight w:val="189"/>
        </w:trPr>
        <w:tc>
          <w:tcPr>
            <w:tcW w:w="744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588</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1,473</w:t>
            </w:r>
          </w:p>
        </w:tc>
        <w:tc>
          <w:tcPr>
            <w:tcW w:w="0" w:type="dxa"/>
            <w:vAlign w:val="bottom"/>
          </w:tcPr>
          <w:p>
            <w:pPr>
              <w:spacing w:after="0"/>
              <w:rPr>
                <w:sz w:val="1"/>
                <w:szCs w:val="1"/>
                <w:color w:val="auto"/>
              </w:rPr>
            </w:pPr>
          </w:p>
        </w:tc>
      </w:tr>
      <w:tr>
        <w:trPr>
          <w:trHeight w:val="189"/>
        </w:trPr>
        <w:tc>
          <w:tcPr>
            <w:tcW w:w="74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3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938</w:t>
            </w: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596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40" w:type="dxa"/>
            <w:vAlign w:val="bottom"/>
          </w:tcPr>
          <w:p>
            <w:pPr>
              <w:ind w:left="500"/>
              <w:spacing w:after="0"/>
              <w:rPr>
                <w:sz w:val="20"/>
                <w:szCs w:val="20"/>
                <w:color w:val="auto"/>
              </w:rPr>
            </w:pPr>
            <w:r>
              <w:rPr>
                <w:rFonts w:ascii="Arial" w:cs="Arial" w:eastAsia="Arial" w:hAnsi="Arial"/>
                <w:sz w:val="17"/>
                <w:szCs w:val="17"/>
                <w:color w:val="auto"/>
              </w:rPr>
              <w:t>Total operating expenses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5,259</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7"/>
                <w:szCs w:val="17"/>
                <w:color w:val="auto"/>
              </w:rPr>
              <w:t>5,897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(4,227)</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(5,242)</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89"/>
        </w:trPr>
        <w:tc>
          <w:tcPr>
            <w:tcW w:w="7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(2)</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7"/>
                <w:szCs w:val="17"/>
                <w:color w:val="auto"/>
              </w:rPr>
              <w:t>(4,229)</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7"/>
                <w:szCs w:val="17"/>
                <w:color w:val="auto"/>
              </w:rPr>
              <w:t>(5,450)</w:t>
            </w:r>
          </w:p>
        </w:tc>
        <w:tc>
          <w:tcPr>
            <w:tcW w:w="0" w:type="dxa"/>
            <w:vAlign w:val="bottom"/>
          </w:tcPr>
          <w:p>
            <w:pPr>
              <w:spacing w:after="0"/>
              <w:rPr>
                <w:sz w:val="1"/>
                <w:szCs w:val="1"/>
                <w:color w:val="auto"/>
              </w:rPr>
            </w:pPr>
          </w:p>
        </w:tc>
      </w:tr>
      <w:tr>
        <w:trPr>
          <w:trHeight w:val="189"/>
        </w:trPr>
        <w:tc>
          <w:tcPr>
            <w:tcW w:w="7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(9)</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7"/>
                <w:szCs w:val="17"/>
                <w:color w:val="auto"/>
              </w:rPr>
              <w:t>(4,238)</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7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(905)</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380"/>
              <w:spacing w:after="0"/>
              <w:rPr>
                <w:sz w:val="20"/>
                <w:szCs w:val="20"/>
                <w:color w:val="auto"/>
              </w:rPr>
            </w:pPr>
            <w:r>
              <w:rPr>
                <w:rFonts w:ascii="Arial" w:cs="Arial" w:eastAsia="Arial" w:hAnsi="Arial"/>
                <w:sz w:val="17"/>
                <w:szCs w:val="17"/>
                <w:color w:val="auto"/>
              </w:rPr>
              <w:t>(5,143)</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7"/>
                <w:szCs w:val="17"/>
                <w:color w:val="auto"/>
              </w:rPr>
              <w:t>(7,437)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5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380"/>
              <w:spacing w:after="0" w:line="183" w:lineRule="exact"/>
              <w:rPr>
                <w:sz w:val="20"/>
                <w:szCs w:val="20"/>
                <w:color w:val="auto"/>
              </w:rPr>
            </w:pPr>
            <w:r>
              <w:rPr>
                <w:rFonts w:ascii="Arial" w:cs="Arial" w:eastAsia="Arial" w:hAnsi="Arial"/>
                <w:sz w:val="17"/>
                <w:szCs w:val="17"/>
                <w:color w:val="auto"/>
              </w:rPr>
              <w:t>(0.26)</w:t>
            </w:r>
          </w:p>
        </w:tc>
        <w:tc>
          <w:tcPr>
            <w:tcW w:w="5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net loss per share attributable to ordinary</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440" w:type="dxa"/>
            <w:vAlign w:val="bottom"/>
          </w:tcPr>
          <w:p>
            <w:pPr>
              <w:ind w:left="240"/>
              <w:spacing w:after="0"/>
              <w:rPr>
                <w:sz w:val="20"/>
                <w:szCs w:val="20"/>
                <w:color w:val="auto"/>
              </w:rPr>
            </w:pPr>
            <w:r>
              <w:rPr>
                <w:rFonts w:ascii="Arial" w:cs="Arial" w:eastAsia="Arial" w:hAnsi="Arial"/>
                <w:sz w:val="17"/>
                <w:szCs w:val="17"/>
                <w:color w:val="auto"/>
              </w:rPr>
              <w:t>shareholders, basic and diluted</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19,749,549</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7"/>
                <w:szCs w:val="17"/>
                <w:color w:val="auto"/>
              </w:rPr>
              <w:t>20,684,025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 forma net loss attributable to ordinary shareholders per share, basic and diluted</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pro forma net loss per share attributable</w:t>
            </w: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440" w:type="dxa"/>
            <w:vAlign w:val="bottom"/>
          </w:tcPr>
          <w:p>
            <w:pPr>
              <w:ind w:left="240"/>
              <w:spacing w:after="0"/>
              <w:rPr>
                <w:sz w:val="20"/>
                <w:szCs w:val="20"/>
                <w:color w:val="auto"/>
              </w:rPr>
            </w:pPr>
            <w:r>
              <w:rPr>
                <w:rFonts w:ascii="Arial" w:cs="Arial" w:eastAsia="Arial" w:hAnsi="Arial"/>
                <w:sz w:val="17"/>
                <w:szCs w:val="17"/>
                <w:color w:val="auto"/>
              </w:rPr>
              <w:t>to ordinary shareholders, basic and diluted</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144,442,583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Condensed Consolidated Statements of Convertible Preferred Shares and Shareholders’ Deficit</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(unaudited)</w:t>
      </w:r>
    </w:p>
    <w:p>
      <w:pPr>
        <w:jc w:val="center"/>
        <w:ind w:right="-159"/>
        <w:spacing w:after="0"/>
        <w:rPr>
          <w:sz w:val="20"/>
          <w:szCs w:val="20"/>
          <w:color w:val="auto"/>
        </w:rPr>
      </w:pPr>
      <w:r>
        <w:rPr>
          <w:rFonts w:ascii="Arial" w:cs="Arial" w:eastAsia="Arial" w:hAnsi="Arial"/>
          <w:sz w:val="17"/>
          <w:szCs w:val="17"/>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7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PREFERRED SHARES</w:t>
            </w:r>
          </w:p>
        </w:tc>
        <w:tc>
          <w:tcPr>
            <w:tcW w:w="0" w:type="dxa"/>
            <w:vAlign w:val="bottom"/>
          </w:tcPr>
          <w:p>
            <w:pPr>
              <w:spacing w:after="0"/>
              <w:rPr>
                <w:sz w:val="1"/>
                <w:szCs w:val="1"/>
                <w:color w:val="auto"/>
              </w:rPr>
            </w:pPr>
          </w:p>
        </w:tc>
      </w:tr>
      <w:tr>
        <w:trPr>
          <w:trHeight w:val="155"/>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2018</w:t>
            </w:r>
          </w:p>
        </w:tc>
        <w:tc>
          <w:tcPr>
            <w:tcW w:w="8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7"/>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40" w:type="dxa"/>
            <w:vAlign w:val="bottom"/>
            <w:vMerge w:val="continue"/>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61,180,500</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04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March 31, 2019</w:t>
            </w:r>
          </w:p>
        </w:tc>
        <w:tc>
          <w:tcPr>
            <w:tcW w:w="840" w:type="dxa"/>
            <w:vAlign w:val="bottom"/>
          </w:tcPr>
          <w:p>
            <w:pPr>
              <w:jc w:val="right"/>
              <w:spacing w:after="0"/>
              <w:rPr>
                <w:sz w:val="20"/>
                <w:szCs w:val="20"/>
                <w:color w:val="auto"/>
              </w:rPr>
            </w:pPr>
            <w:r>
              <w:rPr>
                <w:rFonts w:ascii="Arial" w:cs="Arial" w:eastAsia="Arial" w:hAnsi="Arial"/>
                <w:sz w:val="14"/>
                <w:szCs w:val="14"/>
                <w:color w:val="auto"/>
              </w:rPr>
              <w:t>61,180,500</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2019</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040" w:type="dxa"/>
            <w:vAlign w:val="bottom"/>
            <w:vMerge w:val="continue"/>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67,871,229</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Issuance of Series C convertible preferred</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140"/>
              <w:spacing w:after="0"/>
              <w:rPr>
                <w:sz w:val="20"/>
                <w:szCs w:val="20"/>
                <w:color w:val="auto"/>
              </w:rPr>
            </w:pPr>
            <w:r>
              <w:rPr>
                <w:rFonts w:ascii="Arial" w:cs="Arial" w:eastAsia="Arial" w:hAnsi="Arial"/>
                <w:sz w:val="14"/>
                <w:szCs w:val="14"/>
                <w:color w:val="auto"/>
              </w:rPr>
              <w:t>shares, net of issuance costs of $320</w:t>
            </w:r>
          </w:p>
        </w:tc>
        <w:tc>
          <w:tcPr>
            <w:tcW w:w="840" w:type="dxa"/>
            <w:vAlign w:val="bottom"/>
          </w:tcPr>
          <w:p>
            <w:pPr>
              <w:jc w:val="right"/>
              <w:spacing w:after="0"/>
              <w:rPr>
                <w:sz w:val="20"/>
                <w:szCs w:val="20"/>
                <w:color w:val="auto"/>
              </w:rPr>
            </w:pPr>
            <w:r>
              <w:rPr>
                <w:rFonts w:ascii="Arial" w:cs="Arial" w:eastAsia="Arial" w:hAnsi="Arial"/>
                <w:sz w:val="14"/>
                <w:szCs w:val="14"/>
                <w:color w:val="auto"/>
              </w:rPr>
              <w:t>72,754,989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104,680</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04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March 31, 2020</w:t>
            </w:r>
          </w:p>
        </w:tc>
        <w:tc>
          <w:tcPr>
            <w:tcW w:w="840" w:type="dxa"/>
            <w:vAlign w:val="bottom"/>
          </w:tcPr>
          <w:p>
            <w:pPr>
              <w:jc w:val="right"/>
              <w:spacing w:after="0"/>
              <w:rPr>
                <w:sz w:val="20"/>
                <w:szCs w:val="20"/>
                <w:color w:val="auto"/>
              </w:rPr>
            </w:pPr>
            <w:r>
              <w:rPr>
                <w:rFonts w:ascii="Arial" w:cs="Arial" w:eastAsia="Arial" w:hAnsi="Arial"/>
                <w:sz w:val="14"/>
                <w:szCs w:val="14"/>
                <w:color w:val="auto"/>
              </w:rPr>
              <w:t>140,626,218</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175,043</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6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ORDINARY SHARES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8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55"/>
        </w:trPr>
        <w:tc>
          <w:tcPr>
            <w:tcW w:w="7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DEFICIT</w:t>
            </w: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Pr>
          <w:p>
            <w:pPr>
              <w:jc w:val="right"/>
              <w:spacing w:after="0"/>
              <w:rPr>
                <w:sz w:val="20"/>
                <w:szCs w:val="20"/>
                <w:color w:val="auto"/>
              </w:rPr>
            </w:pPr>
            <w:r>
              <w:rPr>
                <w:rFonts w:ascii="Arial" w:cs="Arial" w:eastAsia="Arial" w:hAnsi="Arial"/>
                <w:sz w:val="14"/>
                <w:szCs w:val="14"/>
                <w:color w:val="auto"/>
              </w:rPr>
              <w:t>20,806,306</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1,740</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(53,539)</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(51,778)</w:t>
            </w:r>
          </w:p>
        </w:tc>
        <w:tc>
          <w:tcPr>
            <w:tcW w:w="0" w:type="dxa"/>
            <w:vAlign w:val="bottom"/>
          </w:tcPr>
          <w:p>
            <w:pPr>
              <w:spacing w:after="0"/>
              <w:rPr>
                <w:sz w:val="1"/>
                <w:szCs w:val="1"/>
                <w:color w:val="auto"/>
              </w:rPr>
            </w:pPr>
          </w:p>
        </w:tc>
      </w:tr>
      <w:tr>
        <w:trPr>
          <w:trHeight w:val="162"/>
        </w:trPr>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57"/>
        </w:trPr>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(4,238)</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(4,238)</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jc w:val="right"/>
              <w:spacing w:after="0"/>
              <w:rPr>
                <w:sz w:val="20"/>
                <w:szCs w:val="20"/>
                <w:color w:val="auto"/>
              </w:rPr>
            </w:pPr>
            <w:r>
              <w:rPr>
                <w:rFonts w:ascii="Arial" w:cs="Arial" w:eastAsia="Arial" w:hAnsi="Arial"/>
                <w:sz w:val="14"/>
                <w:szCs w:val="14"/>
                <w:color w:val="auto"/>
              </w:rPr>
              <w:t>20,806,306</w:t>
            </w:r>
          </w:p>
        </w:tc>
        <w:tc>
          <w:tcPr>
            <w:tcW w:w="2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(57,777)</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(55,919)</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80" w:type="dxa"/>
            <w:vAlign w:val="bottom"/>
          </w:tcPr>
          <w:p>
            <w:pPr>
              <w:jc w:val="right"/>
              <w:spacing w:after="0"/>
              <w:rPr>
                <w:sz w:val="20"/>
                <w:szCs w:val="20"/>
                <w:color w:val="auto"/>
              </w:rPr>
            </w:pPr>
            <w:r>
              <w:rPr>
                <w:rFonts w:ascii="Arial" w:cs="Arial" w:eastAsia="Arial" w:hAnsi="Arial"/>
                <w:sz w:val="14"/>
                <w:szCs w:val="14"/>
                <w:color w:val="auto"/>
              </w:rPr>
              <w:t>20,840,532</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2,122</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(72,782)</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(70,639)</w:t>
            </w:r>
          </w:p>
        </w:tc>
        <w:tc>
          <w:tcPr>
            <w:tcW w:w="0" w:type="dxa"/>
            <w:vAlign w:val="bottom"/>
          </w:tcPr>
          <w:p>
            <w:pPr>
              <w:spacing w:after="0"/>
              <w:rPr>
                <w:sz w:val="1"/>
                <w:szCs w:val="1"/>
                <w:color w:val="auto"/>
              </w:rPr>
            </w:pPr>
          </w:p>
        </w:tc>
      </w:tr>
      <w:tr>
        <w:trPr>
          <w:trHeight w:val="172"/>
        </w:trPr>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314"/>
        </w:trPr>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57"/>
        </w:trPr>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(5,454)</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(5,454)</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jc w:val="right"/>
              <w:spacing w:after="0"/>
              <w:rPr>
                <w:sz w:val="20"/>
                <w:szCs w:val="20"/>
                <w:color w:val="auto"/>
              </w:rPr>
            </w:pPr>
            <w:r>
              <w:rPr>
                <w:rFonts w:ascii="Arial" w:cs="Arial" w:eastAsia="Arial" w:hAnsi="Arial"/>
                <w:sz w:val="14"/>
                <w:szCs w:val="14"/>
                <w:color w:val="auto"/>
              </w:rPr>
              <w:t>20,840,532</w:t>
            </w:r>
          </w:p>
        </w:tc>
        <w:tc>
          <w:tcPr>
            <w:tcW w:w="2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(78,236)</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(75,926)</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-3342005</wp:posOffset>
            </wp:positionH>
            <wp:positionV relativeFrom="paragraph">
              <wp:posOffset>-1336675</wp:posOffset>
            </wp:positionV>
            <wp:extent cx="6995160" cy="13119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1311910"/>
                    </a:xfrm>
                    <a:prstGeom prst="rect">
                      <a:avLst/>
                    </a:prstGeom>
                    <a:noFill/>
                  </pic:spPr>
                </pic:pic>
              </a:graphicData>
            </a:graphic>
          </wp:anchor>
        </w:drawing>
        <w:drawing>
          <wp:anchor simplePos="0" relativeHeight="251657728" behindDoc="1" locked="0" layoutInCell="0" allowOverlap="1">
            <wp:simplePos x="0" y="0"/>
            <wp:positionH relativeFrom="column">
              <wp:posOffset>-3342005</wp:posOffset>
            </wp:positionH>
            <wp:positionV relativeFrom="paragraph">
              <wp:posOffset>146050</wp:posOffset>
            </wp:positionV>
            <wp:extent cx="69951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520"/>
            <w:col w:w="5700"/>
          </w:cols>
          <w:pgMar w:left="320" w:top="459" w:right="499" w:bottom="1440" w:gutter="0" w:footer="0" w:header="0"/>
          <w:type w:val="continuous"/>
        </w:sectPr>
      </w:pPr>
    </w:p>
    <w:p>
      <w:pPr>
        <w:spacing w:after="0" w:line="19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See accompanying notes to these condensed consolidated financial statements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080"/>
          </w:cols>
          <w:pgMar w:left="320" w:top="459" w:right="499" w:bottom="1440" w:gutter="0" w:footer="0" w:header="0"/>
          <w:type w:val="continuous"/>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(unaudited)</w:t>
      </w:r>
    </w:p>
    <w:p>
      <w:pPr>
        <w:jc w:val="center"/>
        <w:ind w:right="-99"/>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8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Operating activities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(4,238)</w:t>
            </w:r>
          </w:p>
        </w:tc>
        <w:tc>
          <w:tcPr>
            <w:tcW w:w="260" w:type="dxa"/>
            <w:vAlign w:val="bottom"/>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40"/>
              <w:spacing w:after="0" w:line="189" w:lineRule="exact"/>
              <w:rPr>
                <w:sz w:val="20"/>
                <w:szCs w:val="20"/>
                <w:color w:val="auto"/>
              </w:rPr>
            </w:pPr>
            <w:r>
              <w:rPr>
                <w:rFonts w:ascii="Arial" w:cs="Arial" w:eastAsia="Arial" w:hAnsi="Arial"/>
                <w:sz w:val="17"/>
                <w:szCs w:val="17"/>
                <w:color w:val="auto"/>
              </w:rPr>
              <w:t>Depreciation and amortization expense</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97</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Share-based compensation expense</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76</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189"/>
        </w:trPr>
        <w:tc>
          <w:tcPr>
            <w:tcW w:w="7800" w:type="dxa"/>
            <w:vAlign w:val="bottom"/>
          </w:tcPr>
          <w:p>
            <w:pPr>
              <w:ind w:left="240"/>
              <w:spacing w:after="0" w:line="189" w:lineRule="exact"/>
              <w:rPr>
                <w:sz w:val="20"/>
                <w:szCs w:val="20"/>
                <w:color w:val="auto"/>
              </w:rPr>
            </w:pPr>
            <w:r>
              <w:rPr>
                <w:rFonts w:ascii="Arial" w:cs="Arial" w:eastAsia="Arial" w:hAnsi="Arial"/>
                <w:sz w:val="17"/>
                <w:szCs w:val="17"/>
                <w:color w:val="auto"/>
              </w:rPr>
              <w:t>Amortization of term loan discount and issuance costs</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fair value of compound derivative liability</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89"/>
        </w:trPr>
        <w:tc>
          <w:tcPr>
            <w:tcW w:w="7800" w:type="dxa"/>
            <w:vAlign w:val="bottom"/>
          </w:tcPr>
          <w:p>
            <w:pPr>
              <w:ind w:left="240"/>
              <w:spacing w:after="0" w:line="189" w:lineRule="exact"/>
              <w:rPr>
                <w:sz w:val="20"/>
                <w:szCs w:val="20"/>
                <w:color w:val="auto"/>
              </w:rPr>
            </w:pPr>
            <w:r>
              <w:rPr>
                <w:rFonts w:ascii="Arial" w:cs="Arial" w:eastAsia="Arial" w:hAnsi="Arial"/>
                <w:sz w:val="17"/>
                <w:szCs w:val="17"/>
                <w:color w:val="auto"/>
              </w:rPr>
              <w:t>Changes in fair value of Series B convertible preferred shares warrant liability</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500"/>
              <w:spacing w:after="0" w:line="189" w:lineRule="exact"/>
              <w:rPr>
                <w:sz w:val="20"/>
                <w:szCs w:val="20"/>
                <w:color w:val="auto"/>
              </w:rPr>
            </w:pPr>
            <w:r>
              <w:rPr>
                <w:rFonts w:ascii="Arial" w:cs="Arial" w:eastAsia="Arial" w:hAnsi="Arial"/>
                <w:sz w:val="17"/>
                <w:szCs w:val="17"/>
                <w:color w:val="auto"/>
              </w:rPr>
              <w:t>Receivables due from related-party</w:t>
            </w:r>
          </w:p>
        </w:tc>
        <w:tc>
          <w:tcPr>
            <w:tcW w:w="200" w:type="dxa"/>
            <w:vAlign w:val="bottom"/>
          </w:tcPr>
          <w:p>
            <w:pPr>
              <w:spacing w:after="0"/>
              <w:rPr>
                <w:sz w:val="16"/>
                <w:szCs w:val="16"/>
                <w:color w:val="auto"/>
              </w:rPr>
            </w:pPr>
          </w:p>
        </w:tc>
        <w:tc>
          <w:tcPr>
            <w:tcW w:w="174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(1,031)</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365</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(931)</w:t>
            </w:r>
          </w:p>
        </w:tc>
        <w:tc>
          <w:tcPr>
            <w:tcW w:w="0" w:type="dxa"/>
            <w:vAlign w:val="bottom"/>
          </w:tcPr>
          <w:p>
            <w:pPr>
              <w:spacing w:after="0"/>
              <w:rPr>
                <w:sz w:val="1"/>
                <w:szCs w:val="1"/>
                <w:color w:val="auto"/>
              </w:rPr>
            </w:pPr>
          </w:p>
        </w:tc>
      </w:tr>
      <w:tr>
        <w:trPr>
          <w:trHeight w:val="189"/>
        </w:trPr>
        <w:tc>
          <w:tcPr>
            <w:tcW w:w="7800" w:type="dxa"/>
            <w:vAlign w:val="bottom"/>
          </w:tcPr>
          <w:p>
            <w:pPr>
              <w:ind w:left="500"/>
              <w:spacing w:after="0" w:line="189" w:lineRule="exact"/>
              <w:rPr>
                <w:sz w:val="20"/>
                <w:szCs w:val="20"/>
                <w:color w:val="auto"/>
              </w:rPr>
            </w:pPr>
            <w:r>
              <w:rPr>
                <w:rFonts w:ascii="Arial" w:cs="Arial" w:eastAsia="Arial" w:hAnsi="Arial"/>
                <w:sz w:val="17"/>
                <w:szCs w:val="17"/>
                <w:color w:val="auto"/>
              </w:rPr>
              <w:t>Other assets</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721</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(1,761)</w:t>
            </w:r>
          </w:p>
        </w:tc>
        <w:tc>
          <w:tcPr>
            <w:tcW w:w="0" w:type="dxa"/>
            <w:vAlign w:val="bottom"/>
          </w:tcPr>
          <w:p>
            <w:pPr>
              <w:spacing w:after="0"/>
              <w:rPr>
                <w:sz w:val="1"/>
                <w:szCs w:val="1"/>
                <w:color w:val="auto"/>
              </w:rPr>
            </w:pPr>
          </w:p>
        </w:tc>
      </w:tr>
      <w:tr>
        <w:trPr>
          <w:trHeight w:val="189"/>
        </w:trPr>
        <w:tc>
          <w:tcPr>
            <w:tcW w:w="7800" w:type="dxa"/>
            <w:vAlign w:val="bottom"/>
          </w:tcPr>
          <w:p>
            <w:pPr>
              <w:ind w:left="50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145</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(614)</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Deferred rent</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760"/>
              <w:spacing w:after="0"/>
              <w:rPr>
                <w:sz w:val="20"/>
                <w:szCs w:val="20"/>
                <w:color w:val="auto"/>
              </w:rPr>
            </w:pPr>
            <w:r>
              <w:rPr>
                <w:rFonts w:ascii="Arial" w:cs="Arial" w:eastAsia="Arial" w:hAnsi="Arial"/>
                <w:sz w:val="17"/>
                <w:szCs w:val="17"/>
                <w:color w:val="auto"/>
              </w:rPr>
              <w:t>Net cash used in operating activities</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jc w:val="right"/>
              <w:ind w:right="740"/>
              <w:spacing w:after="0"/>
              <w:rPr>
                <w:sz w:val="20"/>
                <w:szCs w:val="20"/>
                <w:color w:val="auto"/>
              </w:rPr>
            </w:pPr>
            <w:r>
              <w:rPr>
                <w:rFonts w:ascii="Arial" w:cs="Arial" w:eastAsia="Arial" w:hAnsi="Arial"/>
                <w:sz w:val="17"/>
                <w:szCs w:val="17"/>
                <w:color w:val="auto"/>
              </w:rPr>
              <w:t>(3,861)</w:t>
            </w:r>
          </w:p>
        </w:tc>
        <w:tc>
          <w:tcPr>
            <w:tcW w:w="2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(8,963)</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Investing activities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Purchase of property and equipment</w:t>
            </w:r>
          </w:p>
        </w:tc>
        <w:tc>
          <w:tcPr>
            <w:tcW w:w="200" w:type="dxa"/>
            <w:vAlign w:val="bottom"/>
          </w:tcPr>
          <w:p>
            <w:pPr>
              <w:spacing w:after="0"/>
              <w:rPr>
                <w:sz w:val="16"/>
                <w:szCs w:val="16"/>
                <w:color w:val="auto"/>
              </w:rPr>
            </w:pPr>
          </w:p>
        </w:tc>
        <w:tc>
          <w:tcPr>
            <w:tcW w:w="174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(118)</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(118)</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96"/>
        </w:trPr>
        <w:tc>
          <w:tcPr>
            <w:tcW w:w="780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Proceeds from related parties for issuance of Series C convertible preferred shares, net of</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issuance costs of $6</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68,655</w:t>
            </w: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Proceeds from issuance of Series C convertible preferred shares, net of issuance costs of $3</w:t>
            </w:r>
          </w:p>
        </w:tc>
        <w:tc>
          <w:tcPr>
            <w:tcW w:w="2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36,336</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financing activities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104,991</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7"/>
                <w:szCs w:val="17"/>
                <w:color w:val="auto"/>
              </w:rPr>
              <w:t>Net (decrease) increase in cash</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jc w:val="right"/>
              <w:ind w:right="740"/>
              <w:spacing w:after="0"/>
              <w:rPr>
                <w:sz w:val="20"/>
                <w:szCs w:val="20"/>
                <w:color w:val="auto"/>
              </w:rPr>
            </w:pPr>
            <w:r>
              <w:rPr>
                <w:rFonts w:ascii="Arial" w:cs="Arial" w:eastAsia="Arial" w:hAnsi="Arial"/>
                <w:sz w:val="17"/>
                <w:szCs w:val="17"/>
                <w:color w:val="auto"/>
              </w:rPr>
              <w:t>(3,979)</w:t>
            </w: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96,018</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at beginning of period</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8,262</w:t>
            </w: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7"/>
                <w:szCs w:val="17"/>
                <w:color w:val="auto"/>
              </w:rPr>
              <w:t>Cash at end of period</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vMerge w:val="continue"/>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4,283</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105,035</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Supplemental disclosures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Cash paid for interest</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Vesting of early exercised share options</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21</w:t>
            </w:r>
          </w:p>
        </w:tc>
        <w:tc>
          <w:tcPr>
            <w:tcW w:w="260" w:type="dxa"/>
            <w:vAlign w:val="bottom"/>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Acquisition of property and equipment in accounts payable</w:t>
            </w:r>
          </w:p>
        </w:tc>
        <w:tc>
          <w:tcPr>
            <w:tcW w:w="2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277</w:t>
            </w: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7"/>
                <w:szCs w:val="17"/>
                <w:color w:val="auto"/>
              </w:rPr>
              <w:t>Unpaid Series C convertible preferred shares issuance costs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vMerge w:val="continue"/>
          </w:tcPr>
          <w:p>
            <w:pPr>
              <w:spacing w:after="0"/>
              <w:rPr>
                <w:sz w:val="15"/>
                <w:szCs w:val="15"/>
                <w:color w:val="auto"/>
              </w:rPr>
            </w:pPr>
          </w:p>
        </w:tc>
        <w:tc>
          <w:tcPr>
            <w:tcW w:w="200" w:type="dxa"/>
            <w:vAlign w:val="bottom"/>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800"/>
              <w:spacing w:after="0" w:line="183" w:lineRule="exact"/>
              <w:rPr>
                <w:sz w:val="20"/>
                <w:szCs w:val="20"/>
                <w:color w:val="auto"/>
              </w:rPr>
            </w:pPr>
            <w:r>
              <w:rPr>
                <w:rFonts w:ascii="Arial" w:cs="Arial" w:eastAsia="Arial" w:hAnsi="Arial"/>
                <w:sz w:val="17"/>
                <w:szCs w:val="17"/>
                <w:color w:val="auto"/>
              </w:rPr>
              <w:t>—</w:t>
            </w:r>
          </w:p>
        </w:tc>
        <w:tc>
          <w:tcPr>
            <w:tcW w:w="260" w:type="dxa"/>
            <w:vAlign w:val="bottom"/>
          </w:tcPr>
          <w:p>
            <w:pPr>
              <w:jc w:val="right"/>
              <w:ind w:right="75"/>
              <w:spacing w:after="0" w:line="183"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Unpaid deferred offering costs</w:t>
            </w:r>
          </w:p>
        </w:tc>
        <w:tc>
          <w:tcPr>
            <w:tcW w:w="2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jc w:val="right"/>
              <w:ind w:right="800"/>
              <w:spacing w:after="0" w:line="183"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(unaudited)</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Organization</w:t>
      </w:r>
    </w:p>
    <w:p>
      <w:pPr>
        <w:spacing w:after="0" w:line="41"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Alexo Therapeutics Limited, or the Company, was initially incorporated in Ireland on March 13, 2015 and changed its name to ALX Oncology Limited on October 11, 2018. The Company is a clinical-stage immuno-oncology company focused on helping patients fight cancer by developing therapies that block the CD47 checkpoint pathway and bridge the innate and adaptive immune system.</w:t>
      </w:r>
    </w:p>
    <w:p>
      <w:pPr>
        <w:spacing w:after="0" w:line="147"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Company owns a direct subsidiary, ALX Oncology Inc., incorporated in the United States, as well as a direct subsidiary incorporated in Malta, Alexo International Holdings Ltd. The Company also has two indirect subsidiaries, Alexo Therapeutics International, incorporated in the Cayman Islands, which is a wholly-owned subsidiary of Alexo International Holdings Ltd. and Sirpant Therapeutics, incorporated in the Cayman Islands, which is a wholly-owned subsidiary of Alexo Therapeutics International, collectively, the Subsidiaries.</w:t>
      </w:r>
    </w:p>
    <w:p>
      <w:pPr>
        <w:spacing w:after="0" w:line="149"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Subsequent to the balance sheet date as of March 31, 2020, the Company completed an internal reorganization transaction in April 2020, pursuant to which ALX Oncology Limited became a wholly-owned subsidiary of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internal reorganization (Note 9).</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of Preparation</w:t>
      </w:r>
    </w:p>
    <w:p>
      <w:pPr>
        <w:spacing w:after="0" w:line="41"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These condensed consolidated financial statements have been prepared in accordance with accounting principles generally accepted in the United States of America, or U.S. GAAP.</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All intercompany balances and transactions have been eliminated in consolidation.</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Unaudited Interim Condensed Consolidated Financial Statements</w:t>
      </w:r>
    </w:p>
    <w:p>
      <w:pPr>
        <w:spacing w:after="0" w:line="4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The condensed consolidated balance sheet as of March 31, 2020 and the condensed consolidated statements of operations and comprehensive loss, condensed consolidated statements of convertible preferred shares and shareholders’ deficit and the condensed consolidated statements of cash flows for the three months ended March 31, 2019 and March 31, 2020 are unaudited. These unaudited interim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March 31, 2020 and its results of operations for the periods presented. The results of operations for the three months ended March 31, 2020, are not necessarily indicative of the results to be expected for any subsequent periods, including the year ended December 31, 2020, and therefore should not be relied upon as an indicator of future results. The condensed consolidated balance sheet as of December 31, 2019 included herein was derived from the audited consolidated financial statements as of that date. The accompanying condensed consolidated financial statements and related notes should be read in conjunction with the audited consolidated financial statements for the year ended December 31, 2019 and included elsewhere in this prospectus.</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Pro Forma Net Loss Per Share Attributable to Ordinary Shareholders</w:t>
      </w:r>
    </w:p>
    <w:p>
      <w:pPr>
        <w:spacing w:after="0" w:line="41"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In contemplation of an initial public offering, or IPO, the Company has presented pro forma basic and diluted net loss per share attributable to ordinary shareholders for the three months ended March 31, 2020.</w:t>
      </w:r>
    </w:p>
    <w:p>
      <w:pPr>
        <w:spacing w:after="0" w:line="144"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Pro forma basic net loss per share attributable to ordinary shareholders as of March 31, 2020 is computed to give effect to adjustments to the denominator in the pro forma basic and diluted net loss per share calculation to reflect the conversion of all of the Company’s outstanding convertible preferred shares and cumulative dividends into 123,758,558 ordinary shares as if the conversion had occurred as of the beginning of the period or the original date of issuance, if later.</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00"/>
        <w:spacing w:after="0" w:line="236" w:lineRule="auto"/>
        <w:rPr>
          <w:sz w:val="20"/>
          <w:szCs w:val="20"/>
          <w:color w:val="auto"/>
        </w:rPr>
      </w:pPr>
      <w:r>
        <w:rPr>
          <w:rFonts w:ascii="Arial" w:cs="Arial" w:eastAsia="Arial" w:hAnsi="Arial"/>
          <w:sz w:val="17"/>
          <w:szCs w:val="17"/>
          <w:color w:val="auto"/>
        </w:rPr>
        <w:t>Pro forma diluted net loss attributable to ordinary shareholders is the same as pro forma basic net loss per share attributable to ordinary shareholders for the period as the impact of any potentially dilutive securities was anti-dilutive, which has been computed to give effect to the adjustment noted above. The pro forma net loss per share attributable to ordinary shareholders does not include proceeds to be received from nor does it include related shares expected to be sold in the assumed IPO.</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Need for Additional Capital</w:t>
      </w:r>
    </w:p>
    <w:p>
      <w:pPr>
        <w:spacing w:after="0" w:line="41"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Since commencing operations, none of the Company’s product candidates have received marketing approval from the U.S. Food and Drug Administration, or FDA, or any other federal, state, local or foreign governmental or regulatory authority and therefore the Company has not generated any revenue from drug product sales. The Company had an accumulated deficit of $78.2 million as of March 31, 2020 and management does not expect to experience positive cash flows in the foreseeable future. Based on management’s current plans, management believes cash and cash equivalents of $105.0 million as of March 31, 2020 are sufficient to fund operations through at least one year from the date of the issuance of these condensed consolidated financial statements.</w:t>
      </w:r>
    </w:p>
    <w:p>
      <w:pPr>
        <w:spacing w:after="0" w:line="148"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Management expects to incur additional losses in the future to conduct product candidate research and development and to conduct pre-commercialization activities and recognizes the need to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4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Series B convertible preferred shares warrant liability, term loan compound derivative liability, term loan, valuation of ordinary shares, income taxes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41"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The Company holds its cash and cash equivalents in checking and money market accounts. The Company considers all highly liquid investments with original maturities of three months or less from the date of purchase to be cash equivalents. Cash equivalents consist primarily of amounts invested in money market accounts and are stated at fair value.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Concentration of Credit Risk and Other Risks and Uncertainties</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and cash equivalents. The Company maintains deposits in federally insured financial institutions in excess of federally insured limits, and invests in money market funds. The Company is exposed to credit risk in the event of default by the financial institutions holding its cash and cash equivalents. The Company has not experienced any losses on its deposits of cash and cash equivalents.</w:t>
      </w:r>
    </w:p>
    <w:p>
      <w:pPr>
        <w:spacing w:after="0" w:line="14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Company’s product candidates require approvals from the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4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provided using the straight-line method over the estimated useful lives of the assets (Note 3). Upon sale or retirement of assets, the cost and related accumulated depreciation or amortization are removed from the condensed consolidated balance sheet and the resulting gain or loss is reflected in the condensed consolidated statement of operations and comprehensive loss. Maintenance and repairs are charged to the condensed consolidated statement of operations and comprehensive loss as incurred.</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useful lives of the property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Research and development equipment</w:t>
      </w:r>
    </w:p>
    <w:p>
      <w:pPr>
        <w:ind w:left="120"/>
        <w:spacing w:after="0" w:line="232" w:lineRule="auto"/>
        <w:rPr>
          <w:sz w:val="20"/>
          <w:szCs w:val="20"/>
          <w:color w:val="auto"/>
        </w:rPr>
      </w:pPr>
      <w:r>
        <w:rPr>
          <w:rFonts w:ascii="Arial" w:cs="Arial" w:eastAsia="Arial" w:hAnsi="Arial"/>
          <w:sz w:val="17"/>
          <w:szCs w:val="17"/>
          <w:color w:val="auto"/>
        </w:rPr>
        <w:t>Furniture and office equipment</w:t>
      </w:r>
    </w:p>
    <w:p>
      <w:pPr>
        <w:ind w:left="120"/>
        <w:spacing w:after="0" w:line="232" w:lineRule="auto"/>
        <w:rPr>
          <w:sz w:val="20"/>
          <w:szCs w:val="20"/>
          <w:color w:val="auto"/>
        </w:rPr>
      </w:pPr>
      <w:r>
        <w:rPr>
          <w:rFonts w:ascii="Arial" w:cs="Arial" w:eastAsia="Arial" w:hAnsi="Arial"/>
          <w:sz w:val="17"/>
          <w:szCs w:val="17"/>
          <w:color w:val="auto"/>
        </w:rPr>
        <w:t>Computer equipment</w:t>
      </w:r>
    </w:p>
    <w:p>
      <w:pPr>
        <w:ind w:left="120"/>
        <w:spacing w:after="0" w:line="232" w:lineRule="auto"/>
        <w:rPr>
          <w:sz w:val="20"/>
          <w:szCs w:val="20"/>
          <w:color w:val="auto"/>
        </w:rPr>
      </w:pPr>
      <w:r>
        <w:rPr>
          <w:rFonts w:ascii="Arial" w:cs="Arial" w:eastAsia="Arial" w:hAnsi="Arial"/>
          <w:sz w:val="17"/>
          <w:szCs w:val="17"/>
          <w:color w:val="auto"/>
        </w:rPr>
        <w:t>Software</w:t>
      </w:r>
    </w:p>
    <w:p>
      <w:pPr>
        <w:ind w:left="12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232" w:lineRule="auto"/>
        <w:rPr>
          <w:sz w:val="20"/>
          <w:szCs w:val="20"/>
          <w:color w:val="auto"/>
        </w:rPr>
      </w:pPr>
      <w:r>
        <w:rPr>
          <w:rFonts w:ascii="Arial" w:cs="Arial" w:eastAsia="Arial" w:hAnsi="Arial"/>
          <w:sz w:val="17"/>
          <w:szCs w:val="17"/>
          <w:color w:val="auto"/>
        </w:rPr>
        <w:t>5 years</w:t>
      </w:r>
    </w:p>
    <w:p>
      <w:pPr>
        <w:spacing w:after="0" w:line="232" w:lineRule="auto"/>
        <w:rPr>
          <w:sz w:val="20"/>
          <w:szCs w:val="20"/>
          <w:color w:val="auto"/>
        </w:rPr>
      </w:pPr>
      <w:r>
        <w:rPr>
          <w:rFonts w:ascii="Arial" w:cs="Arial" w:eastAsia="Arial" w:hAnsi="Arial"/>
          <w:sz w:val="17"/>
          <w:szCs w:val="17"/>
          <w:color w:val="auto"/>
        </w:rPr>
        <w:t>3 years</w:t>
      </w:r>
    </w:p>
    <w:p>
      <w:pPr>
        <w:spacing w:after="0" w:line="232" w:lineRule="auto"/>
        <w:rPr>
          <w:sz w:val="20"/>
          <w:szCs w:val="20"/>
          <w:color w:val="auto"/>
        </w:rPr>
      </w:pPr>
      <w:r>
        <w:rPr>
          <w:rFonts w:ascii="Arial" w:cs="Arial" w:eastAsia="Arial" w:hAnsi="Arial"/>
          <w:sz w:val="17"/>
          <w:szCs w:val="17"/>
          <w:color w:val="auto"/>
        </w:rPr>
        <w:t>3 years</w:t>
      </w:r>
    </w:p>
    <w:p>
      <w:pPr>
        <w:spacing w:after="0"/>
        <w:rPr>
          <w:sz w:val="20"/>
          <w:szCs w:val="20"/>
          <w:color w:val="auto"/>
        </w:rPr>
      </w:pPr>
      <w:r>
        <w:rPr>
          <w:rFonts w:ascii="Arial" w:cs="Arial" w:eastAsia="Arial" w:hAnsi="Arial"/>
          <w:sz w:val="17"/>
          <w:szCs w:val="17"/>
          <w:color w:val="auto"/>
        </w:rPr>
        <w:t>Shorter of 7 years or remaining of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137160</wp:posOffset>
            </wp:positionV>
            <wp:extent cx="69951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260"/>
          </w:cols>
          <w:pgMar w:left="320" w:top="459" w:right="459" w:bottom="1440" w:gutter="0" w:footer="0" w:header="0"/>
          <w:type w:val="continuous"/>
        </w:sect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5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shareholders’ deficit as a reduction of additional paid-in capital generated as a result of the offering. Should the in-process equity financing be abandoned, the deferred offering costs will be expensed immediately as a charge to operating expenses in the consolidated statements of operations and comprehensive loss. As of March 31, 2020, $0.2 million of deferred offering costs were capitalized and recorded as other assets on the condensed consolidated balance sheet.</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Company reviews property and equipment for impairment whenever events or changes in circumstances indicate that the carrying amount of an asset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There were no impairment charges recognized in the three months ended March 31, 2019 and March 31, 2020.</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required to be recognized or disclosed at fair value in the condensed consolidated financial statements. The Company defines fair value as the price that would be received from selling an asset or paid to transfer a liability in an orderly transaction between market participants at the measurement date.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4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Company’s financial instruments consist of cash and cash equivalents, receivables due from related-party, accounts payable, the term loan compound derivative liability and the Series B convertible preferred shares warrant liability. The term loan compound derivative liability and the Series B convertible preferred shares warrant liability are re-measured at the end of every period and carried at fair value (Note 2). The recorded value of the Company’s receivables due from related-party and accounts payable approximates its current fair value due to the relatively short-term nature of these items.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120"/>
          </w:cols>
          <w:pgMar w:left="320" w:top="459" w:right="459" w:bottom="1440" w:gutter="0" w:footer="0" w:header="0"/>
          <w:type w:val="continuous"/>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 Loan</w:t>
      </w:r>
    </w:p>
    <w:p>
      <w:pPr>
        <w:spacing w:after="0" w:line="5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 xml:space="preserve">The Company accounts for the Loan and Security Agreement, dated as of December 20, 2019, with Silicon Valley Bank, and WestRiver Innovation Lending Fund VIII, LP, collectively as lenders, and Silicon Valley Bank, as administrative agent and collateral agent, as a liability measured at net proceeds less debt discount and is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Accounting Standards Codification, or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Preferred Shares</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Company records convertible preferred shares net of issuance costs on the dates of issuance, which represents the carrying value. In the event of a change of control of the Company, proceeds will be distributed in accordance with the liquidation preferences set forth in its Constitution unless the holders of convertible preferred shares have converted their convertible preferred shares into ordinary shares. Convertible preferred shares are classified outside of shareholders’ deficit on the accompanying condensed consolidated balance sheets as events triggering the liquidation preferences are not solely within the Company’s control. The Company has elected not to adjust the carrying values of the convertible preferred shares to the liquidation preferences of such shares because of the uncertainty of whether or when such an event would occur.</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B Convertible Preferred Shares Warrant Liability</w:t>
      </w:r>
    </w:p>
    <w:p>
      <w:pPr>
        <w:spacing w:after="0" w:line="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Company has issued freestanding warrants to purchase its Series B convertible preferred shares. Freestanding warrants for the Company’s convertible preferred shares that are classified outside of permanent equity are recorded at fair value, and are subject to re-measurement at each balance sheet date until the earlier of the exercise of the warrants or the completion of a liquidation event, including the completion of an initial public offering. Upon exercise, the Series B convertible preferred shares warrant liability would be reclassified to additional paid-in capital, with any change in fair value recognized as a component of other income (expense), net.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date, the Company has derived revenue from providing research and development services on a time and materials basis to a related-party.</w:t>
      </w:r>
    </w:p>
    <w:p>
      <w:pPr>
        <w:ind w:left="120"/>
        <w:spacing w:after="0"/>
        <w:rPr>
          <w:sz w:val="20"/>
          <w:szCs w:val="20"/>
          <w:color w:val="auto"/>
        </w:rPr>
      </w:pPr>
      <w:r>
        <w:rPr>
          <w:rFonts w:ascii="Arial" w:cs="Arial" w:eastAsia="Arial" w:hAnsi="Arial"/>
          <w:sz w:val="17"/>
          <w:szCs w:val="17"/>
          <w:color w:val="auto"/>
        </w:rPr>
        <w:t>The Company recognizes such revenues over time as services are delivered, and invoices the customer as the work is incurred in arrears.</w:t>
      </w:r>
    </w:p>
    <w:p>
      <w:pPr>
        <w:spacing w:after="0" w:line="138" w:lineRule="exact"/>
        <w:rPr>
          <w:sz w:val="20"/>
          <w:szCs w:val="20"/>
          <w:color w:val="auto"/>
        </w:rPr>
      </w:pPr>
    </w:p>
    <w:p>
      <w:pPr>
        <w:ind w:left="120" w:right="280"/>
        <w:spacing w:after="0"/>
        <w:rPr>
          <w:sz w:val="20"/>
          <w:szCs w:val="20"/>
          <w:color w:val="auto"/>
        </w:rPr>
      </w:pPr>
      <w:r>
        <w:rPr>
          <w:rFonts w:ascii="Arial" w:cs="Arial" w:eastAsia="Arial" w:hAnsi="Arial"/>
          <w:sz w:val="17"/>
          <w:szCs w:val="17"/>
          <w:color w:val="auto"/>
        </w:rPr>
        <w:t xml:space="preserve">Effective January 1, 2018, the Company adopted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on a full retrospective basis. This standard applies to all contracts with customers, except for contracts that are within the scope of other standards, such as leases, insurance, collaboration arrangements and financial instruments. In accordance with Topic 606, the Company recognizes revenue when its customer obtains control of promised goods or services, in an amount that reflects the consideration which the Company expects to receive in exchange for those goods or services.</w:t>
      </w:r>
    </w:p>
    <w:p>
      <w:pPr>
        <w:spacing w:after="0" w:line="148"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 within each contract that falls under the scope of Topic 606,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Cost of Services for Related-Party Revenue</w:t>
      </w:r>
    </w:p>
    <w:p>
      <w:pPr>
        <w:spacing w:after="0" w:line="54" w:lineRule="exact"/>
        <w:rPr>
          <w:sz w:val="20"/>
          <w:szCs w:val="20"/>
          <w:color w:val="auto"/>
        </w:rPr>
      </w:pPr>
    </w:p>
    <w:p>
      <w:pPr>
        <w:jc w:val="both"/>
        <w:ind w:left="120" w:right="240"/>
        <w:spacing w:after="0" w:line="238" w:lineRule="auto"/>
        <w:rPr>
          <w:sz w:val="20"/>
          <w:szCs w:val="20"/>
          <w:color w:val="auto"/>
        </w:rPr>
      </w:pPr>
      <w:r>
        <w:rPr>
          <w:rFonts w:ascii="Arial" w:cs="Arial" w:eastAsia="Arial" w:hAnsi="Arial"/>
          <w:sz w:val="17"/>
          <w:szCs w:val="17"/>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condensed consolidated statements of operations and comprehensive loss.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100"/>
          </w:cols>
          <w:pgMar w:left="320" w:top="459" w:right="4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and Manufacturing Accruals</w:t>
      </w:r>
    </w:p>
    <w:p>
      <w:pPr>
        <w:spacing w:after="0" w:line="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w:t>
      </w:r>
    </w:p>
    <w:p>
      <w:pPr>
        <w:spacing w:after="0" w:line="154"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To assist in its estimates the Company relies upon the receipt of timely and accurate reporting from information provided as part of its clinical and non-clinical studies and other third-party vendors. Through March 31, 2020,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Net Loss Per Share Attributable to Ordinary Shareholders</w:t>
      </w:r>
    </w:p>
    <w:p>
      <w:pPr>
        <w:spacing w:after="0" w:line="54"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Basic net loss per share is calculated by dividing the net loss attributable to ordinary shareholders by the weighted-average number of ordinary shares outstanding during the period, without consideration for ordinary share equivalents. Net preferred share dividends. Diluted net loss per share is the same as basic net loss per share, since the effects of potentially dilutive securities are antidilutive given the net loss for each period presented.</w:t>
      </w:r>
    </w:p>
    <w:p>
      <w:pPr>
        <w:spacing w:after="0" w:line="14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Company applies the two-class method to compute basic and diluted net loss per share when it has issued shares that meet the definition of participating securities. The two-class method determines net loss per share for each class of ordinary and participating securities according to dividends declared or accumulated and participation rights in undistributed earnings. The two-class method requires net loss available to ordinary shareholders for the period to be allocated between ordinary and participating securities based upon their respective rights to share in the earnings as if all net loss for the period had been distributed. The Company’s convertible preferred shares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54"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29"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 xml:space="preserve">In February 2016, the FASB issued ASU No. 2016-02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extends the effective date of ASU No. 2016-02 for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non-public business entities, including smaller reporting companies, to fiscal years beginning after December 15, 2021. The new standard is effective for the Company beginning January 1, 2022. Early adoption is permitted. The Company is currently evaluating the effects of the adoption of this guidance on its condensed consolidated financial statements and related disclosures.</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is currently in the process of evaluating the effects of the adoption of this guidance on the Company’s financial statements and does not expect it to have a material impact on its condensed consolidated financial statements.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New Accounting Pronouncements Recently Adopted</w:t>
      </w:r>
    </w:p>
    <w:p>
      <w:pPr>
        <w:spacing w:after="0" w:line="41"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In June 2016, the FASB issued ASU No.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The Company adopted this guidance on January 1, 2020. The adoption of this guidance did not have a material impact on the Company’s condensed consolidated financial statements.</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September 2018, the FASB issued ASU No. 2018-13, Fair Value Measurement (Topic 820): Disclosure Framework—Changes to the Disclosure Requirements for Fair Value Measurement. The FASB issued final guidance that eliminates, adds and modifies certain disclosure requirements for fair value measurements as part of its disclosure framework project. Under the ASU, entities will no longer be required to disclose the amount of transfers between Level 1 and Level 2 of the fair value hierarchy. Public companies will be required to disclose changes in unrealized gains and losses for the period included in other comprehensive income for recurring Level 3 fair value measurements held at the end of the reporting period and the range and weighted average used to develop significant unobservable inputs for Level 3 fair value measurements. ASU 2018-13 is effective for public business entities for annual reporting periods, and interim periods within those annual periods, beginning after December 15, 2019, with early adoption permitted. The Company adopted this guidance on January 1, 2020. The adoption of ASU 2018-13 did not have a material impact on its condensed consolidated financial statements.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FAIR VALUE OF FINANCIAL INSTRUMENTS</w:t>
      </w:r>
    </w:p>
    <w:p>
      <w:pPr>
        <w:spacing w:after="0" w:line="9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fair value of the Company’s financial assets and liabilities are determined in accordance with the fair value hierarchy established in ASC Topic 820, Fair Value Measurements and Disclosures.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1—Observable inputs, such as quoted prices in active markets</w:t>
      </w:r>
    </w:p>
    <w:p>
      <w:pPr>
        <w:spacing w:after="0" w:line="156" w:lineRule="exact"/>
        <w:rPr>
          <w:sz w:val="20"/>
          <w:szCs w:val="20"/>
          <w:color w:val="auto"/>
        </w:rPr>
      </w:pPr>
    </w:p>
    <w:p>
      <w:pPr>
        <w:ind w:left="560" w:right="200"/>
        <w:spacing w:after="0" w:line="238" w:lineRule="auto"/>
        <w:rPr>
          <w:sz w:val="20"/>
          <w:szCs w:val="20"/>
          <w:color w:val="auto"/>
        </w:rPr>
      </w:pPr>
      <w:r>
        <w:rPr>
          <w:rFonts w:ascii="Arial" w:cs="Arial" w:eastAsia="Arial" w:hAnsi="Arial"/>
          <w:sz w:val="17"/>
          <w:szCs w:val="17"/>
          <w:color w:val="auto"/>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3—Unobservable inputs in which there is little or no market data, which require the reporting entity to develop its own assumptions</w:t>
      </w:r>
    </w:p>
    <w:p>
      <w:pPr>
        <w:spacing w:after="0" w:line="156"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The Company’s financial instruments consist primarily of cash, cash equivalents, Series B convertible preferred shares warrant liability, and a term loan compound derivative liability.</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Cash and cash equivalents are reported at their respective fair values on the Company’s condensed consolidated balance sheets. Where quoted prices are available in an active market, securities are classified as Level 1. The Company classifies money market funds as Level 1. When quoted market prices are not available for the specific security, then the Company estimates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spacing w:after="0" w:line="14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Company measures its Series B convertible preferred shares warrant liability and term loan compound derivative liability at fair value on a recurring basis and these are classified as Level 3 liabilities. The fair value of the Series B preferred shares warrant liability was determined using an option-pricing model. The Company calculated the fair value of the term loan compound derivative liability by computing the difference between the fair value of the term loan with the compound derivative using the “with and without” method under the income approach, and the fair value of the term loan without the compound derivative. The valuation methodology and underlying assumptions are discussed further in Note 4.</w:t>
      </w:r>
    </w:p>
    <w:p>
      <w:pPr>
        <w:spacing w:after="0" w:line="150"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The following table sets forth the Company’s financial liabilities that are measured at fair value on a recurring basis by level within the fair value hierarchy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AS OF MARCH 31, 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6900" w:type="dxa"/>
            <w:vAlign w:val="bottom"/>
          </w:tcPr>
          <w:p>
            <w:pPr>
              <w:spacing w:after="0"/>
              <w:rPr>
                <w:sz w:val="13"/>
                <w:szCs w:val="13"/>
                <w:color w:val="auto"/>
              </w:rPr>
            </w:pPr>
          </w:p>
        </w:tc>
        <w:tc>
          <w:tcPr>
            <w:tcW w:w="8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06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w w:val="98"/>
              </w:rPr>
              <w:t>LEVEL 2</w:t>
            </w: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8"/>
              </w:rPr>
              <w:t>LEVEL 3</w:t>
            </w:r>
          </w:p>
        </w:tc>
        <w:tc>
          <w:tcPr>
            <w:tcW w:w="10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69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Financial assets</w:t>
            </w:r>
          </w:p>
        </w:tc>
        <w:tc>
          <w:tcPr>
            <w:tcW w:w="2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6900" w:type="dxa"/>
            <w:vAlign w:val="bottom"/>
          </w:tcPr>
          <w:p>
            <w:pPr>
              <w:ind w:left="240"/>
              <w:spacing w:after="0" w:line="189" w:lineRule="exact"/>
              <w:rPr>
                <w:sz w:val="20"/>
                <w:szCs w:val="20"/>
                <w:color w:val="auto"/>
              </w:rPr>
            </w:pPr>
            <w:r>
              <w:rPr>
                <w:rFonts w:ascii="Arial" w:cs="Arial" w:eastAsia="Arial" w:hAnsi="Arial"/>
                <w:sz w:val="17"/>
                <w:szCs w:val="17"/>
                <w:color w:val="auto"/>
              </w:rPr>
              <w:t>Cash equivalents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Money market funds</w:t>
            </w:r>
          </w:p>
        </w:tc>
        <w:tc>
          <w:tcPr>
            <w:tcW w:w="86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$90,067</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90,067</w:t>
            </w:r>
          </w:p>
        </w:tc>
      </w:tr>
      <w:tr>
        <w:trPr>
          <w:trHeight w:val="189"/>
        </w:trPr>
        <w:tc>
          <w:tcPr>
            <w:tcW w:w="6900" w:type="dxa"/>
            <w:vAlign w:val="bottom"/>
          </w:tcPr>
          <w:p>
            <w:pPr>
              <w:spacing w:after="0" w:line="189" w:lineRule="exact"/>
              <w:rPr>
                <w:sz w:val="20"/>
                <w:szCs w:val="20"/>
                <w:color w:val="auto"/>
              </w:rPr>
            </w:pPr>
            <w:r>
              <w:rPr>
                <w:rFonts w:ascii="Arial" w:cs="Arial" w:eastAsia="Arial" w:hAnsi="Arial"/>
                <w:sz w:val="17"/>
                <w:szCs w:val="17"/>
                <w:b w:val="1"/>
                <w:bCs w:val="1"/>
                <w:color w:val="auto"/>
              </w:rPr>
              <w:t>Financial liabilities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Long term liabilities</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6900" w:type="dxa"/>
            <w:vAlign w:val="bottom"/>
          </w:tcPr>
          <w:p>
            <w:pPr>
              <w:ind w:left="240"/>
              <w:spacing w:after="0" w:line="189" w:lineRule="exact"/>
              <w:rPr>
                <w:sz w:val="20"/>
                <w:szCs w:val="20"/>
                <w:color w:val="auto"/>
              </w:rPr>
            </w:pPr>
            <w:r>
              <w:rPr>
                <w:rFonts w:ascii="Arial" w:cs="Arial" w:eastAsia="Arial" w:hAnsi="Arial"/>
                <w:sz w:val="17"/>
                <w:szCs w:val="17"/>
                <w:color w:val="auto"/>
              </w:rPr>
              <w:t>Compound derivative liability</w:t>
            </w:r>
          </w:p>
        </w:tc>
        <w:tc>
          <w:tcPr>
            <w:tcW w:w="28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6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65</w:t>
            </w:r>
          </w:p>
        </w:tc>
        <w:tc>
          <w:tcPr>
            <w:tcW w:w="320" w:type="dxa"/>
            <w:vAlign w:val="bottom"/>
            <w:gridSpan w:val="2"/>
          </w:tcPr>
          <w:p>
            <w:pPr>
              <w:ind w:left="10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65</w:t>
            </w:r>
          </w:p>
        </w:tc>
      </w:tr>
      <w:tr>
        <w:trPr>
          <w:trHeight w:val="189"/>
        </w:trPr>
        <w:tc>
          <w:tcPr>
            <w:tcW w:w="6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Warrant liability</w:t>
            </w: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447</w:t>
            </w:r>
          </w:p>
        </w:tc>
        <w:tc>
          <w:tcPr>
            <w:tcW w:w="32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447</w:t>
            </w:r>
          </w:p>
        </w:tc>
      </w:tr>
      <w:tr>
        <w:trPr>
          <w:trHeight w:val="324"/>
        </w:trPr>
        <w:tc>
          <w:tcPr>
            <w:tcW w:w="6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5"/>
        </w:trPr>
        <w:tc>
          <w:tcPr>
            <w:tcW w:w="6900" w:type="dxa"/>
            <w:vAlign w:val="bottom"/>
          </w:tcPr>
          <w:p>
            <w:pPr>
              <w:spacing w:after="0"/>
              <w:rPr>
                <w:sz w:val="13"/>
                <w:szCs w:val="13"/>
                <w:color w:val="auto"/>
              </w:rPr>
            </w:pPr>
          </w:p>
        </w:tc>
        <w:tc>
          <w:tcPr>
            <w:tcW w:w="8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06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LEVEL 2</w:t>
            </w: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8"/>
              </w:rPr>
              <w:t>LEVEL 3</w:t>
            </w:r>
          </w:p>
        </w:tc>
        <w:tc>
          <w:tcPr>
            <w:tcW w:w="10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69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Financial liabilities</w:t>
            </w:r>
          </w:p>
        </w:tc>
        <w:tc>
          <w:tcPr>
            <w:tcW w:w="2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6900" w:type="dxa"/>
            <w:vAlign w:val="bottom"/>
          </w:tcPr>
          <w:p>
            <w:pPr>
              <w:ind w:left="240"/>
              <w:spacing w:after="0" w:line="189" w:lineRule="exact"/>
              <w:rPr>
                <w:sz w:val="20"/>
                <w:szCs w:val="20"/>
                <w:color w:val="auto"/>
              </w:rPr>
            </w:pPr>
            <w:r>
              <w:rPr>
                <w:rFonts w:ascii="Arial" w:cs="Arial" w:eastAsia="Arial" w:hAnsi="Arial"/>
                <w:sz w:val="17"/>
                <w:szCs w:val="17"/>
                <w:color w:val="auto"/>
              </w:rPr>
              <w:t>Long term liabilities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Compound derivative liability</w:t>
            </w: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51</w:t>
            </w:r>
          </w:p>
        </w:tc>
        <w:tc>
          <w:tcPr>
            <w:tcW w:w="32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r>
      <w:tr>
        <w:trPr>
          <w:trHeight w:val="205"/>
        </w:trPr>
        <w:tc>
          <w:tcPr>
            <w:tcW w:w="6900" w:type="dxa"/>
            <w:vAlign w:val="bottom"/>
          </w:tcPr>
          <w:p>
            <w:pPr>
              <w:ind w:left="240"/>
              <w:spacing w:after="0"/>
              <w:rPr>
                <w:sz w:val="20"/>
                <w:szCs w:val="20"/>
                <w:color w:val="auto"/>
              </w:rPr>
            </w:pPr>
            <w:r>
              <w:rPr>
                <w:rFonts w:ascii="Arial" w:cs="Arial" w:eastAsia="Arial" w:hAnsi="Arial"/>
                <w:sz w:val="17"/>
                <w:szCs w:val="17"/>
                <w:color w:val="auto"/>
              </w:rPr>
              <w:t>Warrant liability</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rPr>
              <w:t>361</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361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tables are a reconciliation of all financial liabilities measured at fair value using Level 3 unobservable inputs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WARRANT</w:t>
            </w:r>
          </w:p>
        </w:tc>
        <w:tc>
          <w:tcPr>
            <w:tcW w:w="360" w:type="dxa"/>
            <w:vAlign w:val="bottom"/>
          </w:tcPr>
          <w:p>
            <w:pPr>
              <w:spacing w:after="0"/>
              <w:rPr>
                <w:sz w:val="14"/>
                <w:szCs w:val="1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9"/>
              </w:rPr>
              <w:t>DERIVATIVE</w:t>
            </w:r>
          </w:p>
        </w:tc>
      </w:tr>
      <w:tr>
        <w:trPr>
          <w:trHeight w:val="175"/>
        </w:trPr>
        <w:tc>
          <w:tcPr>
            <w:tcW w:w="56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LIABILITY</w:t>
            </w:r>
          </w:p>
        </w:tc>
        <w:tc>
          <w:tcPr>
            <w:tcW w:w="360" w:type="dxa"/>
            <w:vAlign w:val="bottom"/>
          </w:tcPr>
          <w:p>
            <w:pPr>
              <w:spacing w:after="0"/>
              <w:rPr>
                <w:sz w:val="15"/>
                <w:szCs w:val="15"/>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r>
      <w:tr>
        <w:trPr>
          <w:trHeight w:val="183"/>
        </w:trPr>
        <w:tc>
          <w:tcPr>
            <w:tcW w:w="56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December 31, 2019</w:t>
            </w:r>
          </w:p>
        </w:tc>
        <w:tc>
          <w:tcPr>
            <w:tcW w:w="30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361</w:t>
            </w:r>
          </w:p>
        </w:tc>
        <w:tc>
          <w:tcPr>
            <w:tcW w:w="3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4"/>
              <w:spacing w:after="0" w:line="183"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51</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5600" w:type="dxa"/>
            <w:vAlign w:val="bottom"/>
          </w:tcPr>
          <w:p>
            <w:pPr>
              <w:spacing w:after="0" w:line="189" w:lineRule="exact"/>
              <w:rPr>
                <w:sz w:val="20"/>
                <w:szCs w:val="20"/>
                <w:color w:val="auto"/>
              </w:rPr>
            </w:pPr>
            <w:r>
              <w:rPr>
                <w:rFonts w:ascii="Arial" w:cs="Arial" w:eastAsia="Arial" w:hAnsi="Arial"/>
                <w:sz w:val="17"/>
                <w:szCs w:val="17"/>
                <w:color w:val="auto"/>
              </w:rPr>
              <w:t>Change in market value</w:t>
            </w:r>
          </w:p>
        </w:tc>
        <w:tc>
          <w:tcPr>
            <w:tcW w:w="3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86</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14</w:t>
            </w:r>
          </w:p>
        </w:tc>
      </w:tr>
      <w:tr>
        <w:trPr>
          <w:trHeight w:val="27"/>
        </w:trPr>
        <w:tc>
          <w:tcPr>
            <w:tcW w:w="56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as of March 31, 2020</w:t>
            </w:r>
          </w:p>
        </w:tc>
        <w:tc>
          <w:tcPr>
            <w:tcW w:w="3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447</w:t>
            </w:r>
          </w:p>
        </w:tc>
        <w:tc>
          <w:tcPr>
            <w:tcW w:w="740" w:type="dxa"/>
            <w:vAlign w:val="bottom"/>
            <w:gridSpan w:val="2"/>
            <w:shd w:val="clear" w:color="auto" w:fill="CCEEFF"/>
          </w:tcPr>
          <w:p>
            <w:pPr>
              <w:jc w:val="right"/>
              <w:ind w:right="204"/>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65</w:t>
            </w:r>
          </w:p>
        </w:tc>
      </w:tr>
      <w:tr>
        <w:trPr>
          <w:trHeight w:val="20"/>
        </w:trPr>
        <w:tc>
          <w:tcPr>
            <w:tcW w:w="56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jc w:val="both"/>
        <w:ind w:left="120" w:right="420"/>
        <w:spacing w:after="0" w:line="238" w:lineRule="auto"/>
        <w:rPr>
          <w:sz w:val="20"/>
          <w:szCs w:val="20"/>
          <w:color w:val="auto"/>
        </w:rPr>
      </w:pPr>
      <w:r>
        <w:rPr>
          <w:rFonts w:ascii="Arial" w:cs="Arial" w:eastAsia="Arial" w:hAnsi="Arial"/>
          <w:sz w:val="17"/>
          <w:szCs w:val="17"/>
          <w:color w:val="auto"/>
        </w:rPr>
        <w:t>The Company did not have any outstanding financial assets or liabilities to be re-measured on a recurring basis as of March 31, 2019. There were no transfers of assets or liabilities between the fair value measurement levels during the year ended December 31, 2019 and the three months ended March 31, 2020.</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 Loan</w:t>
      </w:r>
    </w:p>
    <w:p>
      <w:pPr>
        <w:spacing w:after="0" w:line="54" w:lineRule="exact"/>
        <w:rPr>
          <w:sz w:val="20"/>
          <w:szCs w:val="20"/>
          <w:color w:val="auto"/>
        </w:rPr>
      </w:pPr>
    </w:p>
    <w:p>
      <w:pPr>
        <w:ind w:left="120" w:right="520"/>
        <w:spacing w:after="0" w:line="238" w:lineRule="auto"/>
        <w:rPr>
          <w:sz w:val="20"/>
          <w:szCs w:val="20"/>
          <w:color w:val="auto"/>
        </w:rPr>
      </w:pPr>
      <w:r>
        <w:rPr>
          <w:rFonts w:ascii="Arial" w:cs="Arial" w:eastAsia="Arial" w:hAnsi="Arial"/>
          <w:sz w:val="17"/>
          <w:szCs w:val="17"/>
          <w:color w:val="auto"/>
        </w:rPr>
        <w:t>The estimated fair value of the Term Loan was $5.6 million as of March 31, 2020 which approximates the carrying value and is classified as Level 3. The Company utilized a market yield analysis and income approach to estimate a value for the Term Loan. The key valuation assumptions used consist of the discount rate of 17.5% and the probability of the occurrence of a change in control event of 10.0%</w:t>
      </w:r>
    </w:p>
    <w:p>
      <w:pPr>
        <w:spacing w:after="0" w:line="185" w:lineRule="exact"/>
        <w:rPr>
          <w:sz w:val="20"/>
          <w:szCs w:val="20"/>
          <w:color w:val="auto"/>
        </w:rPr>
      </w:pPr>
    </w:p>
    <w:p>
      <w:pPr>
        <w:ind w:left="120" w:right="7880" w:hanging="4"/>
        <w:spacing w:after="0" w:line="316" w:lineRule="auto"/>
        <w:tabs>
          <w:tab w:leader="none" w:pos="390"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6"/>
          <w:szCs w:val="16"/>
          <w:b w:val="1"/>
          <w:bCs w:val="1"/>
          <w:i w:val="1"/>
          <w:iCs w:val="1"/>
          <w:color w:val="auto"/>
        </w:rPr>
        <w:t>Property and Equipment, Net</w:t>
      </w:r>
    </w:p>
    <w:p>
      <w:pPr>
        <w:spacing w:after="0" w:line="1" w:lineRule="exact"/>
        <w:rPr>
          <w:rFonts w:ascii="Arial" w:cs="Arial" w:eastAsia="Arial" w:hAnsi="Arial"/>
          <w:sz w:val="17"/>
          <w:szCs w:val="17"/>
          <w:b w:val="1"/>
          <w:bCs w:val="1"/>
          <w:color w:val="auto"/>
        </w:rPr>
      </w:pPr>
    </w:p>
    <w:p>
      <w:pPr>
        <w:ind w:left="12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presents the components of property and equipment, net as of December 31, 2019 and March 31,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183"/>
        </w:trPr>
        <w:tc>
          <w:tcPr>
            <w:tcW w:w="8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Computer hardware and software</w:t>
            </w:r>
          </w:p>
        </w:tc>
        <w:tc>
          <w:tcPr>
            <w:tcW w:w="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146</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157</w:t>
            </w:r>
          </w:p>
        </w:tc>
        <w:tc>
          <w:tcPr>
            <w:tcW w:w="60" w:type="dxa"/>
            <w:vAlign w:val="bottom"/>
            <w:shd w:val="clear" w:color="auto" w:fill="CCEEFF"/>
          </w:tcPr>
          <w:p>
            <w:pPr>
              <w:spacing w:after="0"/>
              <w:rPr>
                <w:sz w:val="15"/>
                <w:szCs w:val="15"/>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7"/>
                <w:szCs w:val="17"/>
                <w:color w:val="auto"/>
              </w:rPr>
              <w:t>Machinery and equipment</w:t>
            </w:r>
          </w:p>
        </w:tc>
        <w:tc>
          <w:tcPr>
            <w:tcW w:w="140" w:type="dxa"/>
            <w:vAlign w:val="bottom"/>
          </w:tcPr>
          <w:p>
            <w:pPr>
              <w:spacing w:after="0"/>
              <w:rPr>
                <w:sz w:val="16"/>
                <w:szCs w:val="16"/>
                <w:color w:val="auto"/>
              </w:rPr>
            </w:pPr>
          </w:p>
        </w:tc>
        <w:tc>
          <w:tcPr>
            <w:tcW w:w="168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1,698</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1,698</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fixtures</w:t>
            </w:r>
          </w:p>
        </w:tc>
        <w:tc>
          <w:tcPr>
            <w:tcW w:w="1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36</w:t>
            </w: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140" w:type="dxa"/>
            <w:vAlign w:val="bottom"/>
          </w:tcPr>
          <w:p>
            <w:pPr>
              <w:spacing w:after="0"/>
              <w:rPr>
                <w:sz w:val="16"/>
                <w:szCs w:val="16"/>
                <w:color w:val="auto"/>
              </w:rPr>
            </w:pPr>
          </w:p>
        </w:tc>
        <w:tc>
          <w:tcPr>
            <w:tcW w:w="168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429</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429</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Construction in progress</w:t>
            </w:r>
          </w:p>
        </w:tc>
        <w:tc>
          <w:tcPr>
            <w:tcW w:w="1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209"/>
        </w:trPr>
        <w:tc>
          <w:tcPr>
            <w:tcW w:w="836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6"/>
              <w:spacing w:after="0" w:line="202" w:lineRule="exact"/>
              <w:rPr>
                <w:sz w:val="20"/>
                <w:szCs w:val="20"/>
                <w:color w:val="auto"/>
              </w:rPr>
            </w:pPr>
            <w:r>
              <w:rPr>
                <w:rFonts w:ascii="Arial" w:cs="Arial" w:eastAsia="Arial" w:hAnsi="Arial"/>
                <w:sz w:val="18"/>
                <w:szCs w:val="18"/>
                <w:color w:val="auto"/>
              </w:rPr>
              <w:t>(1,449)</w:t>
            </w: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w w:val="98"/>
              </w:rPr>
              <w:t>(1,563)</w:t>
            </w:r>
          </w:p>
        </w:tc>
        <w:tc>
          <w:tcPr>
            <w:tcW w:w="60" w:type="dxa"/>
            <w:vAlign w:val="bottom"/>
          </w:tcPr>
          <w:p>
            <w:pPr>
              <w:spacing w:after="0"/>
              <w:rPr>
                <w:sz w:val="18"/>
                <w:szCs w:val="18"/>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property and equipment, net</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860</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757</w:t>
            </w:r>
          </w:p>
        </w:tc>
      </w:tr>
      <w:tr>
        <w:trPr>
          <w:trHeight w:val="20"/>
        </w:trPr>
        <w:tc>
          <w:tcPr>
            <w:tcW w:w="8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860"/>
        <w:spacing w:after="0" w:line="298" w:lineRule="auto"/>
        <w:rPr>
          <w:sz w:val="20"/>
          <w:szCs w:val="20"/>
          <w:color w:val="auto"/>
        </w:rPr>
      </w:pPr>
      <w:r>
        <w:rPr>
          <w:rFonts w:ascii="Arial" w:cs="Arial" w:eastAsia="Arial" w:hAnsi="Arial"/>
          <w:sz w:val="17"/>
          <w:szCs w:val="17"/>
          <w:color w:val="auto"/>
        </w:rPr>
        <w:t xml:space="preserve">Depreciation and amortization expense was $0.1 million for the three months ended March 31, 2019 and March 31, 2020, respectively. </w:t>
      </w:r>
      <w:r>
        <w:rPr>
          <w:rFonts w:ascii="Arial" w:cs="Arial" w:eastAsia="Arial" w:hAnsi="Arial"/>
          <w:sz w:val="17"/>
          <w:szCs w:val="17"/>
          <w:b w:val="1"/>
          <w:bCs w:val="1"/>
          <w:i w:val="1"/>
          <w:iCs w:val="1"/>
          <w:color w:val="auto"/>
        </w:rPr>
        <w:t>Accrued Expenses and Other Current Liabilities</w:t>
      </w:r>
    </w:p>
    <w:p>
      <w:pPr>
        <w:spacing w:after="0" w:line="1"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The following table presents the components of accrued expenses and other current liabilities as of December 31, 2019 and March 31,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4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183"/>
        </w:trPr>
        <w:tc>
          <w:tcPr>
            <w:tcW w:w="8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Payroll and related liabilities</w:t>
            </w: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60</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114</w:t>
            </w:r>
          </w:p>
        </w:tc>
        <w:tc>
          <w:tcPr>
            <w:tcW w:w="60" w:type="dxa"/>
            <w:vAlign w:val="bottom"/>
            <w:shd w:val="clear" w:color="auto" w:fill="CCEEFF"/>
          </w:tcPr>
          <w:p>
            <w:pPr>
              <w:spacing w:after="0"/>
              <w:rPr>
                <w:sz w:val="15"/>
                <w:szCs w:val="15"/>
                <w:color w:val="auto"/>
              </w:rPr>
            </w:pPr>
          </w:p>
        </w:tc>
      </w:tr>
      <w:tr>
        <w:trPr>
          <w:trHeight w:val="189"/>
        </w:trPr>
        <w:tc>
          <w:tcPr>
            <w:tcW w:w="8440" w:type="dxa"/>
            <w:vAlign w:val="bottom"/>
          </w:tcPr>
          <w:p>
            <w:pPr>
              <w:spacing w:after="0" w:line="189" w:lineRule="exact"/>
              <w:rPr>
                <w:sz w:val="20"/>
                <w:szCs w:val="20"/>
                <w:color w:val="auto"/>
              </w:rPr>
            </w:pPr>
            <w:r>
              <w:rPr>
                <w:rFonts w:ascii="Arial" w:cs="Arial" w:eastAsia="Arial" w:hAnsi="Arial"/>
                <w:sz w:val="17"/>
                <w:szCs w:val="17"/>
                <w:color w:val="auto"/>
              </w:rPr>
              <w:t>Accrued bonus</w:t>
            </w:r>
          </w:p>
        </w:tc>
        <w:tc>
          <w:tcPr>
            <w:tcW w:w="24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864</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301</w:t>
            </w:r>
          </w:p>
        </w:tc>
      </w:tr>
      <w:tr>
        <w:trPr>
          <w:trHeight w:val="189"/>
        </w:trPr>
        <w:tc>
          <w:tcPr>
            <w:tcW w:w="8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legal costs</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122</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496</w:t>
            </w:r>
          </w:p>
        </w:tc>
      </w:tr>
      <w:tr>
        <w:trPr>
          <w:trHeight w:val="189"/>
        </w:trPr>
        <w:tc>
          <w:tcPr>
            <w:tcW w:w="8440" w:type="dxa"/>
            <w:vAlign w:val="bottom"/>
          </w:tcPr>
          <w:p>
            <w:pPr>
              <w:spacing w:after="0" w:line="189" w:lineRule="exact"/>
              <w:rPr>
                <w:sz w:val="20"/>
                <w:szCs w:val="20"/>
                <w:color w:val="auto"/>
              </w:rPr>
            </w:pPr>
            <w:r>
              <w:rPr>
                <w:rFonts w:ascii="Arial" w:cs="Arial" w:eastAsia="Arial" w:hAnsi="Arial"/>
                <w:sz w:val="17"/>
                <w:szCs w:val="17"/>
                <w:color w:val="auto"/>
              </w:rPr>
              <w:t>Early exercise liability</w:t>
            </w:r>
          </w:p>
        </w:tc>
        <w:tc>
          <w:tcPr>
            <w:tcW w:w="24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27</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11</w:t>
            </w:r>
          </w:p>
        </w:tc>
      </w:tr>
      <w:tr>
        <w:trPr>
          <w:trHeight w:val="189"/>
        </w:trPr>
        <w:tc>
          <w:tcPr>
            <w:tcW w:w="8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163</w:t>
            </w: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224</w:t>
            </w:r>
          </w:p>
        </w:tc>
        <w:tc>
          <w:tcPr>
            <w:tcW w:w="60" w:type="dxa"/>
            <w:vAlign w:val="bottom"/>
            <w:shd w:val="clear" w:color="auto" w:fill="CCEEFF"/>
          </w:tcPr>
          <w:p>
            <w:pPr>
              <w:spacing w:after="0"/>
              <w:rPr>
                <w:sz w:val="16"/>
                <w:szCs w:val="16"/>
                <w:color w:val="auto"/>
              </w:rPr>
            </w:pPr>
          </w:p>
        </w:tc>
      </w:tr>
      <w:tr>
        <w:trPr>
          <w:trHeight w:val="196"/>
        </w:trPr>
        <w:tc>
          <w:tcPr>
            <w:tcW w:w="8440" w:type="dxa"/>
            <w:vAlign w:val="bottom"/>
          </w:tcPr>
          <w:p>
            <w:pPr>
              <w:ind w:left="240"/>
              <w:spacing w:after="0"/>
              <w:rPr>
                <w:sz w:val="20"/>
                <w:szCs w:val="20"/>
                <w:color w:val="auto"/>
              </w:rPr>
            </w:pPr>
            <w:r>
              <w:rPr>
                <w:rFonts w:ascii="Arial" w:cs="Arial" w:eastAsia="Arial" w:hAnsi="Arial"/>
                <w:sz w:val="17"/>
                <w:szCs w:val="17"/>
                <w:color w:val="auto"/>
              </w:rPr>
              <w:t>Total accrued liabilities</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1,236</w:t>
            </w:r>
          </w:p>
        </w:tc>
        <w:tc>
          <w:tcPr>
            <w:tcW w:w="6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1,146</w:t>
            </w:r>
          </w:p>
        </w:tc>
      </w:tr>
      <w:tr>
        <w:trPr>
          <w:trHeight w:val="20"/>
        </w:trPr>
        <w:tc>
          <w:tcPr>
            <w:tcW w:w="8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TERM LOAN</w:t>
      </w:r>
    </w:p>
    <w:p>
      <w:pPr>
        <w:spacing w:after="0" w:line="9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Company and its wholly-owned subsidiaries Alexo Therapeutics International and Sirpant Therapeutics, as borrowers, entered into a Loan and Security Agreement, or the Loan Agreement, dated as of December 20, 2019, with Silicon Valley Bank, or SVB, and WestRiver Innovation Lending Fund VIII, LP, or WestRiver, collectively as lenders, and SVB, as administrative agent and collateral agent. The Loan Agreement provides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the Company’s achievement of an equity financing resulting in net cash proceeds in an amount of at least $30.0 million to the Company. The Company elected not to draw down on the second tranche, which is no longer available.</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3.25% as of March 31, 2020. Therefore, the rate applicable to the Company as of March 31, 2020 was 7.0%.</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Company is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the Company elects to prepay the term loans, there is also a prepayment fee of between 1.0% and 3.0% of the principal amount being prepaid depending on the timing and circumstances of prepayment.</w:t>
      </w:r>
    </w:p>
    <w:p>
      <w:pPr>
        <w:spacing w:after="0" w:line="148" w:lineRule="exact"/>
        <w:rPr>
          <w:sz w:val="20"/>
          <w:szCs w:val="20"/>
          <w:color w:val="auto"/>
        </w:rPr>
      </w:pPr>
    </w:p>
    <w:p>
      <w:pPr>
        <w:jc w:val="both"/>
        <w:ind w:left="120" w:right="240"/>
        <w:spacing w:after="0" w:line="232" w:lineRule="auto"/>
        <w:rPr>
          <w:sz w:val="20"/>
          <w:szCs w:val="20"/>
          <w:color w:val="auto"/>
        </w:rPr>
      </w:pPr>
      <w:r>
        <w:rPr>
          <w:rFonts w:ascii="Arial" w:cs="Arial" w:eastAsia="Arial" w:hAnsi="Arial"/>
          <w:sz w:val="17"/>
          <w:szCs w:val="17"/>
          <w:color w:val="auto"/>
        </w:rPr>
        <w:t>In conjunction with the Loan Agreement, the Company has issued warrants to purchase 403,348 Series B convertible preferred shares to SVB and WestRiver with an exercise price of $1.4432 per share. The estimated fair value of the warrants at the date of issuance was approximately $0.4 million. The fair value of the Series B convertible preferred shares warrant liability was determined using the Black-Scholes option-pricing model. As of March 31, 2020, the various assumptions used in the option-pricing model were time to liquidity of 2.0 to 9.7 years, volatility of</w:t>
      </w:r>
    </w:p>
    <w:p>
      <w:pPr>
        <w:ind w:left="120" w:right="40"/>
        <w:spacing w:after="0" w:line="236" w:lineRule="auto"/>
        <w:rPr>
          <w:sz w:val="20"/>
          <w:szCs w:val="20"/>
          <w:color w:val="auto"/>
        </w:rPr>
      </w:pPr>
      <w:r>
        <w:rPr>
          <w:rFonts w:ascii="Arial" w:cs="Arial" w:eastAsia="Arial" w:hAnsi="Arial"/>
          <w:sz w:val="17"/>
          <w:szCs w:val="17"/>
          <w:color w:val="auto"/>
        </w:rPr>
        <w:t>97.4% and risk-free rate of 0.4%. It was recorded at its fair value at inception and is being re-measured at each financial reporting period with any changes in fair value being recognized as a component of other income (expense), net in the accompanying condensed consolidated statement of operations and comprehensive loss. As of March 31, 2020, the fair value of the Series B convertible preferred shares warrant liability was approximately $0.4 million and was recorded in other long-term liabilities on the condensed consolidated balance sheets.</w:t>
      </w:r>
    </w:p>
    <w:p>
      <w:pPr>
        <w:spacing w:after="0" w:line="149"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The loans under the Loan Agreement are secured by substantially all of the Company’s assets, except the Company’s intellectual property, which is the subject of a negative pledge.</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The Company recorded a term loan compound derivative liability of approximately $51,000 which will be marked-to-market in future periods. The Company calculated the fair value of the compound derivative by computing the difference between the fair value of the term loan with the compound derivative using the “with and without” method under the income approach, and the fair value of the term loan without the compound derivative. The Company calculated the fair values using a probability-weighted discounted cash flow analysis. The key valuation assumptions used consist of the discount rate and the probability of the occurrence of a change in control event. The term loan compound derivative liability is being re-measured at each financial reporting period with any changes in fair value being recognized as a component of other income (expense), net in the condensed consolidated statement of operations and comprehensive loss. As of March 31, 2020, the fair value of the compound derivative liability was approximately $65,000 and was recorded in other long-term liabilities on the condensed consolidated balance sheets.</w:t>
      </w:r>
    </w:p>
    <w:p>
      <w:pPr>
        <w:spacing w:after="0" w:line="154"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The fair value of Series B convertible preferred shares warrant liability at issuance, fair value of embedded derivatives which were bifurcated and other debt issuance costs have been treated as debt discounts on the Company’s condensed consolidated balance sheet and together with the final payment are being amortized to interest expense throughout the life of the term loan using the effective interest rate method.</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As of March 31, 2020, there were unamortized issuance costs and debt discounts of $0.5 million, which were recorded as a direct deduction from the term loan on the condensed consolidated balance sheet. Interest expense for the term loan was $0.2 million for the three months ended March 31, 2020. Future payments of principal and interest as of March 31, 2020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Years ending December 31: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340" w:type="dxa"/>
            <w:vAlign w:val="bottom"/>
          </w:tcPr>
          <w:p>
            <w:pPr>
              <w:spacing w:after="0" w:line="189" w:lineRule="exact"/>
              <w:rPr>
                <w:sz w:val="20"/>
                <w:szCs w:val="20"/>
                <w:color w:val="auto"/>
              </w:rPr>
            </w:pPr>
            <w:r>
              <w:rPr>
                <w:rFonts w:ascii="Arial" w:cs="Arial" w:eastAsia="Arial" w:hAnsi="Arial"/>
                <w:sz w:val="17"/>
                <w:szCs w:val="17"/>
                <w:color w:val="auto"/>
              </w:rPr>
              <w:t>2020 (remaining 9 months)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3,743</w:t>
            </w:r>
          </w:p>
        </w:tc>
        <w:tc>
          <w:tcPr>
            <w:tcW w:w="0" w:type="dxa"/>
            <w:vAlign w:val="bottom"/>
          </w:tcPr>
          <w:p>
            <w:pPr>
              <w:spacing w:after="0"/>
              <w:rPr>
                <w:sz w:val="1"/>
                <w:szCs w:val="1"/>
                <w:color w:val="auto"/>
              </w:rPr>
            </w:pPr>
          </w:p>
        </w:tc>
      </w:tr>
      <w:tr>
        <w:trPr>
          <w:trHeight w:val="196"/>
        </w:trPr>
        <w:tc>
          <w:tcPr>
            <w:tcW w:w="10340" w:type="dxa"/>
            <w:vAlign w:val="bottom"/>
          </w:tcPr>
          <w:p>
            <w:pPr>
              <w:spacing w:after="0" w:line="189" w:lineRule="exact"/>
              <w:rPr>
                <w:sz w:val="20"/>
                <w:szCs w:val="20"/>
                <w:color w:val="auto"/>
              </w:rPr>
            </w:pPr>
            <w:r>
              <w:rPr>
                <w:rFonts w:ascii="Arial" w:cs="Arial" w:eastAsia="Arial" w:hAnsi="Arial"/>
                <w:sz w:val="17"/>
                <w:szCs w:val="17"/>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3,007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7,071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340" w:type="dxa"/>
            <w:vAlign w:val="bottom"/>
            <w:vMerge w:val="restart"/>
          </w:tcPr>
          <w:p>
            <w:pPr>
              <w:spacing w:after="0"/>
              <w:rPr>
                <w:sz w:val="20"/>
                <w:szCs w:val="20"/>
                <w:color w:val="auto"/>
              </w:rPr>
            </w:pPr>
            <w:r>
              <w:rPr>
                <w:rFonts w:ascii="Arial" w:cs="Arial" w:eastAsia="Arial" w:hAnsi="Arial"/>
                <w:sz w:val="17"/>
                <w:szCs w:val="17"/>
                <w:color w:val="auto"/>
              </w:rPr>
              <w:t>Less: amount representing interest</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340" w:type="dxa"/>
            <w:vAlign w:val="bottom"/>
            <w:vMerge w:val="continue"/>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80"/>
              <w:spacing w:after="0" w:line="183" w:lineRule="exact"/>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amount representing final payment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189"/>
        </w:trPr>
        <w:tc>
          <w:tcPr>
            <w:tcW w:w="10340" w:type="dxa"/>
            <w:vAlign w:val="bottom"/>
          </w:tcPr>
          <w:p>
            <w:pPr>
              <w:spacing w:after="0" w:line="189" w:lineRule="exact"/>
              <w:rPr>
                <w:sz w:val="20"/>
                <w:szCs w:val="20"/>
                <w:color w:val="auto"/>
              </w:rPr>
            </w:pPr>
            <w:r>
              <w:rPr>
                <w:rFonts w:ascii="Arial" w:cs="Arial" w:eastAsia="Arial" w:hAnsi="Arial"/>
                <w:sz w:val="17"/>
                <w:szCs w:val="17"/>
                <w:color w:val="auto"/>
              </w:rPr>
              <w:t>Long-term debt, gross</w:t>
            </w:r>
          </w:p>
        </w:tc>
        <w:tc>
          <w:tcPr>
            <w:tcW w:w="100" w:type="dxa"/>
            <w:vAlign w:val="bottom"/>
          </w:tcPr>
          <w:p>
            <w:pPr>
              <w:spacing w:after="0"/>
              <w:rPr>
                <w:sz w:val="16"/>
                <w:szCs w:val="16"/>
                <w:color w:val="auto"/>
              </w:rPr>
            </w:pPr>
          </w:p>
        </w:tc>
        <w:tc>
          <w:tcPr>
            <w:tcW w:w="5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unamortized issuance costs and debt discounts</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196"/>
        </w:trPr>
        <w:tc>
          <w:tcPr>
            <w:tcW w:w="10340" w:type="dxa"/>
            <w:vAlign w:val="bottom"/>
          </w:tcPr>
          <w:p>
            <w:pPr>
              <w:spacing w:after="0" w:line="189" w:lineRule="exact"/>
              <w:rPr>
                <w:sz w:val="20"/>
                <w:szCs w:val="20"/>
                <w:color w:val="auto"/>
              </w:rPr>
            </w:pPr>
            <w:r>
              <w:rPr>
                <w:rFonts w:ascii="Arial" w:cs="Arial" w:eastAsia="Arial" w:hAnsi="Arial"/>
                <w:sz w:val="17"/>
                <w:szCs w:val="17"/>
                <w:color w:val="auto"/>
              </w:rPr>
              <w:t>Less: current portion</w:t>
            </w:r>
          </w:p>
        </w:tc>
        <w:tc>
          <w:tcPr>
            <w:tcW w:w="100" w:type="dxa"/>
            <w:vAlign w:val="bottom"/>
          </w:tcPr>
          <w:p>
            <w:pPr>
              <w:spacing w:after="0"/>
              <w:rPr>
                <w:sz w:val="17"/>
                <w:szCs w:val="17"/>
                <w:color w:val="auto"/>
              </w:rPr>
            </w:pPr>
          </w:p>
        </w:tc>
        <w:tc>
          <w:tcPr>
            <w:tcW w:w="5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(857)</w:t>
            </w: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Long-term portion of term loan</w:t>
            </w:r>
          </w:p>
        </w:tc>
        <w:tc>
          <w:tcPr>
            <w:tcW w:w="1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4,672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right="8820" w:hanging="4"/>
        <w:spacing w:after="0" w:line="316" w:lineRule="auto"/>
        <w:tabs>
          <w:tab w:leader="none" w:pos="390"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CAPITAL STRUCTURE </w:t>
      </w:r>
      <w:r>
        <w:rPr>
          <w:rFonts w:ascii="Arial" w:cs="Arial" w:eastAsia="Arial" w:hAnsi="Arial"/>
          <w:sz w:val="16"/>
          <w:szCs w:val="16"/>
          <w:b w:val="1"/>
          <w:bCs w:val="1"/>
          <w:i w:val="1"/>
          <w:iCs w:val="1"/>
          <w:color w:val="auto"/>
        </w:rPr>
        <w:t>Ordinary Shares</w:t>
      </w:r>
    </w:p>
    <w:p>
      <w:pPr>
        <w:spacing w:after="0" w:line="1" w:lineRule="exact"/>
        <w:rPr>
          <w:sz w:val="20"/>
          <w:szCs w:val="20"/>
          <w:color w:val="auto"/>
        </w:rPr>
      </w:pPr>
    </w:p>
    <w:p>
      <w:pPr>
        <w:ind w:left="120" w:right="740"/>
        <w:spacing w:after="0" w:line="243" w:lineRule="auto"/>
        <w:rPr>
          <w:sz w:val="20"/>
          <w:szCs w:val="20"/>
          <w:color w:val="auto"/>
        </w:rPr>
      </w:pPr>
      <w:r>
        <w:rPr>
          <w:rFonts w:ascii="Arial" w:cs="Arial" w:eastAsia="Arial" w:hAnsi="Arial"/>
          <w:sz w:val="17"/>
          <w:szCs w:val="17"/>
          <w:color w:val="auto"/>
        </w:rPr>
        <w:t>Ordinary shares reserved for future issuance, on an as if converted basis, as of December 31, 2019 and March 31, 2020,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83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Convertible preferred shares, issued and outstanding</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67,871,229</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140,626,218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7"/>
                <w:szCs w:val="17"/>
                <w:color w:val="auto"/>
              </w:rPr>
              <w:t>Stock options issued and outstanding</w:t>
            </w:r>
          </w:p>
        </w:tc>
        <w:tc>
          <w:tcPr>
            <w:tcW w:w="12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7,789,923</w:t>
            </w:r>
          </w:p>
        </w:tc>
        <w:tc>
          <w:tcPr>
            <w:tcW w:w="140" w:type="dxa"/>
            <w:vAlign w:val="bottom"/>
          </w:tcPr>
          <w:p>
            <w:pPr>
              <w:spacing w:after="0"/>
              <w:rPr>
                <w:sz w:val="16"/>
                <w:szCs w:val="16"/>
                <w:color w:val="auto"/>
              </w:rPr>
            </w:pPr>
          </w:p>
        </w:tc>
        <w:tc>
          <w:tcPr>
            <w:tcW w:w="12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21,063,923</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 options authorized for future issuance</w:t>
            </w:r>
          </w:p>
        </w:tc>
        <w:tc>
          <w:tcPr>
            <w:tcW w:w="12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3,730,445</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1,277,036</w:t>
            </w:r>
          </w:p>
        </w:tc>
        <w:tc>
          <w:tcPr>
            <w:tcW w:w="0" w:type="dxa"/>
            <w:vAlign w:val="bottom"/>
          </w:tcPr>
          <w:p>
            <w:pPr>
              <w:spacing w:after="0"/>
              <w:rPr>
                <w:sz w:val="1"/>
                <w:szCs w:val="1"/>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7"/>
                <w:szCs w:val="17"/>
                <w:color w:val="auto"/>
              </w:rPr>
              <w:t>Warrants issued and outstanding</w:t>
            </w:r>
          </w:p>
        </w:tc>
        <w:tc>
          <w:tcPr>
            <w:tcW w:w="12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403,348</w:t>
            </w:r>
          </w:p>
        </w:tc>
        <w:tc>
          <w:tcPr>
            <w:tcW w:w="140" w:type="dxa"/>
            <w:vAlign w:val="bottom"/>
          </w:tcPr>
          <w:p>
            <w:pPr>
              <w:spacing w:after="0"/>
              <w:rPr>
                <w:sz w:val="16"/>
                <w:szCs w:val="16"/>
                <w:color w:val="auto"/>
              </w:rPr>
            </w:pPr>
          </w:p>
        </w:tc>
        <w:tc>
          <w:tcPr>
            <w:tcW w:w="12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403,348</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authorized for future issuance</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201,674</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201,674</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vMerge w:val="continue"/>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79,996,619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163,572,199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Preferred Shares</w:t>
      </w:r>
    </w:p>
    <w:p>
      <w:pPr>
        <w:spacing w:after="0" w:line="41" w:lineRule="exact"/>
        <w:rPr>
          <w:sz w:val="20"/>
          <w:szCs w:val="20"/>
          <w:color w:val="auto"/>
        </w:rPr>
      </w:pPr>
    </w:p>
    <w:p>
      <w:pPr>
        <w:jc w:val="both"/>
        <w:ind w:left="120"/>
        <w:spacing w:after="0" w:line="243" w:lineRule="auto"/>
        <w:rPr>
          <w:sz w:val="20"/>
          <w:szCs w:val="20"/>
          <w:color w:val="auto"/>
        </w:rPr>
      </w:pPr>
      <w:r>
        <w:rPr>
          <w:rFonts w:ascii="Arial" w:cs="Arial" w:eastAsia="Arial" w:hAnsi="Arial"/>
          <w:sz w:val="17"/>
          <w:szCs w:val="17"/>
          <w:color w:val="auto"/>
        </w:rPr>
        <w:t>As of December 31, 2019 and March 31, 2020, the Company’s convertible preferred shares consisted of the following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AUTHORIZED</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4"/>
                <w:szCs w:val="14"/>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PROCEEDS(1)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40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18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3120" w:type="dxa"/>
            <w:vAlign w:val="bottom"/>
            <w:gridSpan w:val="3"/>
          </w:tcPr>
          <w:p>
            <w:pPr>
              <w:jc w:val="right"/>
              <w:ind w:right="360"/>
              <w:spacing w:after="0" w:line="189" w:lineRule="exact"/>
              <w:rPr>
                <w:sz w:val="20"/>
                <w:szCs w:val="20"/>
                <w:color w:val="auto"/>
              </w:rPr>
            </w:pPr>
            <w:r>
              <w:rPr>
                <w:rFonts w:ascii="Arial" w:cs="Arial" w:eastAsia="Arial" w:hAnsi="Arial"/>
                <w:sz w:val="17"/>
                <w:szCs w:val="17"/>
                <w:color w:val="auto"/>
              </w:rPr>
              <w:t>62,000,000</w:t>
            </w:r>
          </w:p>
        </w:tc>
        <w:tc>
          <w:tcPr>
            <w:tcW w:w="12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61,180,500</w:t>
            </w:r>
          </w:p>
        </w:tc>
        <w:tc>
          <w:tcPr>
            <w:tcW w:w="400" w:type="dxa"/>
            <w:vAlign w:val="bottom"/>
            <w:gridSpan w:val="2"/>
          </w:tcPr>
          <w:p>
            <w:pPr>
              <w:jc w:val="right"/>
              <w:ind w:right="48"/>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73,571</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18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14,117,822</w:t>
            </w:r>
          </w:p>
        </w:tc>
        <w:tc>
          <w:tcPr>
            <w:tcW w:w="12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6,690,729</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9,430</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10,014</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8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7"/>
                <w:szCs w:val="17"/>
                <w:color w:val="auto"/>
              </w:rPr>
              <w:t>76,117,822</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67,871,229</w:t>
            </w:r>
          </w:p>
        </w:tc>
        <w:tc>
          <w:tcPr>
            <w:tcW w:w="400" w:type="dxa"/>
            <w:vAlign w:val="bottom"/>
            <w:gridSpan w:val="2"/>
          </w:tcPr>
          <w:p>
            <w:pPr>
              <w:jc w:val="right"/>
              <w:ind w:right="48"/>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70,363</w:t>
            </w:r>
          </w:p>
        </w:tc>
        <w:tc>
          <w:tcPr>
            <w:tcW w:w="4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83,585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4080" w:type="dxa"/>
            <w:vAlign w:val="bottom"/>
          </w:tcPr>
          <w:p>
            <w:pPr>
              <w:spacing w:after="0"/>
              <w:rPr>
                <w:sz w:val="24"/>
                <w:szCs w:val="24"/>
                <w:color w:val="auto"/>
              </w:rPr>
            </w:pPr>
          </w:p>
        </w:tc>
        <w:tc>
          <w:tcPr>
            <w:tcW w:w="3120" w:type="dxa"/>
            <w:vAlign w:val="bottom"/>
            <w:gridSpan w:val="3"/>
          </w:tcPr>
          <w:p>
            <w:pPr>
              <w:jc w:val="right"/>
              <w:ind w:right="1520"/>
              <w:spacing w:after="0"/>
              <w:rPr>
                <w:sz w:val="20"/>
                <w:szCs w:val="20"/>
                <w:color w:val="auto"/>
              </w:rPr>
            </w:pPr>
            <w:r>
              <w:rPr>
                <w:rFonts w:ascii="Arial" w:cs="Arial" w:eastAsia="Arial" w:hAnsi="Arial"/>
                <w:sz w:val="16"/>
                <w:szCs w:val="16"/>
                <w:color w:val="auto"/>
              </w:rPr>
              <w:t>F-48</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9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2"/>
                <w:szCs w:val="12"/>
                <w:color w:val="auto"/>
              </w:rPr>
            </w:pPr>
          </w:p>
        </w:tc>
      </w:tr>
      <w:tr>
        <w:trPr>
          <w:trHeight w:val="162"/>
        </w:trPr>
        <w:tc>
          <w:tcPr>
            <w:tcW w:w="59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ISSUED AND</w:t>
            </w:r>
          </w:p>
        </w:tc>
        <w:tc>
          <w:tcPr>
            <w:tcW w:w="24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594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OUTSTANDING</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PROCEEDS(1)</w:t>
            </w: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PREFERENCE</w:t>
            </w:r>
          </w:p>
        </w:tc>
      </w:tr>
      <w:tr>
        <w:trPr>
          <w:trHeight w:val="169"/>
        </w:trPr>
        <w:tc>
          <w:tcPr>
            <w:tcW w:w="59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10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89"/>
        </w:trPr>
        <w:tc>
          <w:tcPr>
            <w:tcW w:w="594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13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61,180,500</w:t>
            </w:r>
          </w:p>
        </w:tc>
        <w:tc>
          <w:tcPr>
            <w:tcW w:w="13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61,180,500</w:t>
            </w:r>
          </w:p>
        </w:tc>
        <w:tc>
          <w:tcPr>
            <w:tcW w:w="2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60,933</w:t>
            </w:r>
          </w:p>
        </w:tc>
        <w:tc>
          <w:tcPr>
            <w:tcW w:w="260" w:type="dxa"/>
            <w:vAlign w:val="bottom"/>
          </w:tcPr>
          <w:p>
            <w:pPr>
              <w:jc w:val="right"/>
              <w:ind w:right="83"/>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74,476</w:t>
            </w:r>
          </w:p>
        </w:tc>
      </w:tr>
      <w:tr>
        <w:trPr>
          <w:trHeight w:val="189"/>
        </w:trPr>
        <w:tc>
          <w:tcPr>
            <w:tcW w:w="5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13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7,295,752</w:t>
            </w:r>
          </w:p>
        </w:tc>
        <w:tc>
          <w:tcPr>
            <w:tcW w:w="13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6,690,729</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9,430</w:t>
            </w: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10,158</w:t>
            </w:r>
          </w:p>
        </w:tc>
      </w:tr>
      <w:tr>
        <w:trPr>
          <w:trHeight w:val="189"/>
        </w:trPr>
        <w:tc>
          <w:tcPr>
            <w:tcW w:w="5940" w:type="dxa"/>
            <w:vAlign w:val="bottom"/>
          </w:tcPr>
          <w:p>
            <w:pPr>
              <w:spacing w:after="0" w:line="189" w:lineRule="exact"/>
              <w:rPr>
                <w:sz w:val="20"/>
                <w:szCs w:val="20"/>
                <w:color w:val="auto"/>
              </w:rPr>
            </w:pPr>
            <w:r>
              <w:rPr>
                <w:rFonts w:ascii="Arial" w:cs="Arial" w:eastAsia="Arial" w:hAnsi="Arial"/>
                <w:sz w:val="17"/>
                <w:szCs w:val="17"/>
                <w:color w:val="auto"/>
              </w:rPr>
              <w:t>Series C convertible preferred shares</w:t>
            </w: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72,754,989</w:t>
            </w:r>
          </w:p>
        </w:tc>
        <w:tc>
          <w:tcPr>
            <w:tcW w:w="2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72,754,989</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104,680</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105,934</w:t>
            </w:r>
          </w:p>
        </w:tc>
      </w:tr>
      <w:tr>
        <w:trPr>
          <w:trHeight w:val="27"/>
        </w:trPr>
        <w:tc>
          <w:tcPr>
            <w:tcW w:w="59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5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141,231,241</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140,626,218</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175,043</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3"/>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190,568</w:t>
            </w:r>
          </w:p>
        </w:tc>
      </w:tr>
      <w:tr>
        <w:trPr>
          <w:trHeight w:val="20"/>
        </w:trPr>
        <w:tc>
          <w:tcPr>
            <w:tcW w:w="59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In February 2020, the company entered into a Series C Preferred Shares Purchase Agreement, or the Series C Agreement, with certain existing investors, employees and new investors, or collectively, the Series C Investors. Under the terms of the Series C Agreement, the Company authorized the sale and issuance of up to 72,754,989 of the Company’s Series C convertible preferred shares at a purchase price of $1.4432 per share. As of March 31, 2020, a total of 72,754,989 shares had been purchased with gross proceeds of $105.0 million. The gross proceeds of $105.0 million were reduced by total issuance costs incurred of $0.3 million.</w:t>
      </w:r>
    </w:p>
    <w:p>
      <w:pPr>
        <w:spacing w:after="0" w:line="150" w:lineRule="exact"/>
        <w:rPr>
          <w:sz w:val="20"/>
          <w:szCs w:val="20"/>
          <w:color w:val="auto"/>
        </w:rPr>
      </w:pPr>
    </w:p>
    <w:p>
      <w:pPr>
        <w:ind w:left="120" w:right="580"/>
        <w:spacing w:after="0" w:line="243" w:lineRule="auto"/>
        <w:rPr>
          <w:sz w:val="20"/>
          <w:szCs w:val="20"/>
          <w:color w:val="auto"/>
        </w:rPr>
      </w:pPr>
      <w:r>
        <w:rPr>
          <w:rFonts w:ascii="Arial" w:cs="Arial" w:eastAsia="Arial" w:hAnsi="Arial"/>
          <w:sz w:val="17"/>
          <w:szCs w:val="17"/>
          <w:color w:val="auto"/>
        </w:rPr>
        <w:t>As of March 31, 2020, the holders of the convertible preferred shares had the following rights and preferences (in thousands, except share amounts):</w:t>
      </w:r>
    </w:p>
    <w:p>
      <w:pPr>
        <w:spacing w:after="0" w:line="126" w:lineRule="exact"/>
        <w:rPr>
          <w:sz w:val="20"/>
          <w:szCs w:val="20"/>
          <w:color w:val="auto"/>
        </w:rPr>
      </w:pPr>
    </w:p>
    <w:p>
      <w:pPr>
        <w:ind w:left="120" w:right="60"/>
        <w:spacing w:after="0" w:line="237" w:lineRule="auto"/>
        <w:rPr>
          <w:sz w:val="20"/>
          <w:szCs w:val="20"/>
          <w:color w:val="auto"/>
        </w:rPr>
      </w:pPr>
      <w:r>
        <w:rPr>
          <w:rFonts w:ascii="Arial" w:cs="Arial" w:eastAsia="Arial" w:hAnsi="Arial"/>
          <w:sz w:val="17"/>
          <w:szCs w:val="17"/>
          <w:i w:val="1"/>
          <w:iCs w:val="1"/>
          <w:color w:val="auto"/>
        </w:rPr>
        <w:t>Dividend Provisions</w:t>
      </w:r>
      <w:r>
        <w:rPr>
          <w:rFonts w:ascii="Arial" w:cs="Arial" w:eastAsia="Arial" w:hAnsi="Arial"/>
          <w:sz w:val="17"/>
          <w:szCs w:val="17"/>
          <w:color w:val="auto"/>
        </w:rPr>
        <w:t>—Cumulative dividends of 6.0% per annum of the original issue price for each Preferred Shares series are payable when and</w:t>
      </w:r>
      <w:r>
        <w:rPr>
          <w:rFonts w:ascii="Arial" w:cs="Arial" w:eastAsia="Arial" w:hAnsi="Arial"/>
          <w:sz w:val="17"/>
          <w:szCs w:val="17"/>
          <w:i w:val="1"/>
          <w:iCs w:val="1"/>
          <w:color w:val="auto"/>
        </w:rPr>
        <w:t xml:space="preserve"> </w:t>
      </w:r>
      <w:r>
        <w:rPr>
          <w:rFonts w:ascii="Arial" w:cs="Arial" w:eastAsia="Arial" w:hAnsi="Arial"/>
          <w:sz w:val="17"/>
          <w:szCs w:val="17"/>
          <w:color w:val="auto"/>
        </w:rPr>
        <w:t>as declared by the Company’s Board of Directors, or Board of Directors, upon the occurrence of a liquidation event or upon a contingent mandatory conversion of the Preferred Shares in connection with a qualified initial public offering as described below. The Series A original issue price is $1.00, and the Series B and Series C original issue price is $1.4432. The original issue price is subject to adjustment in the event of any share dividend, share split, combination, consolidation or other recapitalization. The dividends shall accrue from day to day from the issue date of such Preferred Shares whether or not declared and shall be cumulative. In addition, the Preferred Shares participate on an as-converted basis in any dividends payable to ordinary shareholders. As of March 31, 2020, cumulative dividends were $14.7 million. No dividends have been declared or paid since the issuance of convertible preferred shares through March 31, 2020.</w:t>
      </w:r>
    </w:p>
    <w:p>
      <w:pPr>
        <w:spacing w:after="0" w:line="130"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i w:val="1"/>
          <w:iCs w:val="1"/>
          <w:color w:val="auto"/>
        </w:rPr>
        <w:t>Liquidation</w:t>
      </w:r>
      <w:r>
        <w:rPr>
          <w:rFonts w:ascii="Arial" w:cs="Arial" w:eastAsia="Arial" w:hAnsi="Arial"/>
          <w:sz w:val="17"/>
          <w:szCs w:val="17"/>
          <w:color w:val="auto"/>
        </w:rPr>
        <w:t>—In the event of liquidation, dissolution or winding up of the Company, merger or a reduction of capital through the sale or lease of all</w:t>
      </w:r>
      <w:r>
        <w:rPr>
          <w:rFonts w:ascii="Arial" w:cs="Arial" w:eastAsia="Arial" w:hAnsi="Arial"/>
          <w:sz w:val="17"/>
          <w:szCs w:val="17"/>
          <w:i w:val="1"/>
          <w:iCs w:val="1"/>
          <w:color w:val="auto"/>
        </w:rPr>
        <w:t xml:space="preserve"> </w:t>
      </w:r>
      <w:r>
        <w:rPr>
          <w:rFonts w:ascii="Arial" w:cs="Arial" w:eastAsia="Arial" w:hAnsi="Arial"/>
          <w:sz w:val="17"/>
          <w:szCs w:val="17"/>
          <w:color w:val="auto"/>
        </w:rPr>
        <w:t>or substantial part of the business of the Company, before any distribution or payment shall be made to the holders of ordinary shares, the holders of Preferred Shares shall be entitled to be paid an amount in cash equal to the original issue price (subject to adjustment in the event of any share dividend, share split, combination, or other recapitalization) plus all dividends accumulated and unpaid thereon. First, the holders of the Preferred Shares are paid in full the amounts specified in the immediately preceding sentence on a pro-rata basis; then, after holders of the Preferred Shares are satisfied, any remaining amounts shall be distributed on a pro-rata basis to the holders of the Preferred Shares (calculated on an as converted basis) and the ordinary shares.</w:t>
      </w:r>
    </w:p>
    <w:p>
      <w:pPr>
        <w:spacing w:after="0" w:line="134" w:lineRule="exact"/>
        <w:rPr>
          <w:sz w:val="20"/>
          <w:szCs w:val="20"/>
          <w:color w:val="auto"/>
        </w:rPr>
      </w:pPr>
    </w:p>
    <w:p>
      <w:pPr>
        <w:ind w:left="120" w:right="140"/>
        <w:spacing w:after="0"/>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—On any matter presented to the shareholders of the Company, each holder of outstanding Preferred Shares shall be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cast the number of votes equal to the number of whole ordinary shares into which the Preferred Shares held by such holder are convertible. The holders of Preferred Shares shall vote together with the holders of ordinary shares as a single class. Additionally, the Company must receive approval of holders of at least two-third of the voting rights then held in aggregate by the holders of the Preferred Shares in issue on an as-converted basis in order to effect certain corporate actions. Four investors have contractual rights to elect four out of six board members.</w:t>
      </w:r>
    </w:p>
    <w:p>
      <w:pPr>
        <w:spacing w:after="0" w:line="130"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i w:val="1"/>
          <w:iCs w:val="1"/>
          <w:color w:val="auto"/>
        </w:rPr>
        <w:t>Optional Conversion at Holders’ Option</w:t>
      </w:r>
      <w:r>
        <w:rPr>
          <w:rFonts w:ascii="Arial" w:cs="Arial" w:eastAsia="Arial" w:hAnsi="Arial"/>
          <w:sz w:val="17"/>
          <w:szCs w:val="17"/>
          <w:color w:val="auto"/>
        </w:rPr>
        <w:t>—Each share of Preferred Shares shall be convertible, at the option of the holder, at any time and from</w:t>
      </w:r>
      <w:r>
        <w:rPr>
          <w:rFonts w:ascii="Arial" w:cs="Arial" w:eastAsia="Arial" w:hAnsi="Arial"/>
          <w:sz w:val="17"/>
          <w:szCs w:val="17"/>
          <w:i w:val="1"/>
          <w:iCs w:val="1"/>
          <w:color w:val="auto"/>
        </w:rPr>
        <w:t xml:space="preserve"> </w:t>
      </w:r>
      <w:r>
        <w:rPr>
          <w:rFonts w:ascii="Arial" w:cs="Arial" w:eastAsia="Arial" w:hAnsi="Arial"/>
          <w:sz w:val="17"/>
          <w:szCs w:val="17"/>
          <w:color w:val="auto"/>
        </w:rPr>
        <w:t>time to time, into such number of fully paid and non-assessable ordinary shares as is determined by dividing the original issue price by the Applicable Conversion Price. The Applicable Conversion Price for each series of Preferred Shares is currently equal to the original issue price for such series. Upon conversion, the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700"/>
        <w:spacing w:after="0" w:line="238" w:lineRule="auto"/>
        <w:rPr>
          <w:sz w:val="20"/>
          <w:szCs w:val="20"/>
          <w:color w:val="auto"/>
        </w:rPr>
      </w:pPr>
      <w:r>
        <w:rPr>
          <w:rFonts w:ascii="Arial" w:cs="Arial" w:eastAsia="Arial" w:hAnsi="Arial"/>
          <w:sz w:val="17"/>
          <w:szCs w:val="17"/>
          <w:color w:val="auto"/>
        </w:rPr>
        <w:t>holders shall also receive only declared but as yet unpaid dividends. Note only holders of Preferred Shares receive declared and unpaid dividends; preferred shareholders who chose to convert prior to the declaration of such dividends are not entitled to receive accumulated dividends.</w:t>
      </w:r>
    </w:p>
    <w:p>
      <w:pPr>
        <w:spacing w:after="0" w:line="129"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i w:val="1"/>
          <w:iCs w:val="1"/>
          <w:color w:val="auto"/>
        </w:rPr>
        <w:t>Contingent Mandatory Conversion</w:t>
      </w:r>
      <w:r>
        <w:rPr>
          <w:rFonts w:ascii="Arial" w:cs="Arial" w:eastAsia="Arial" w:hAnsi="Arial"/>
          <w:sz w:val="17"/>
          <w:szCs w:val="17"/>
          <w:color w:val="auto"/>
        </w:rPr>
        <w:t>—Upon the closing of the first underwritten public offering pursuant to an effective registration statement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Securities Act of 1933, as amended, or pursuant to a corresponding securities issuance application process in any non-U.S. jurisdiction, covering the offer and sale of the Company’s ordinary shares in which the gross cash proceeds to the Company (before underwriting discounts, commissions and fees) are at least $50.0 million for each series of Preferred Shares then all outstanding Preferred Shares shall automatically be converted into a number of ordinary shares, at a conversion rate determined by dividing the applicable original price of such Preferred Shares by the applicable conversion price of such Preferred Shares. Upon conversion, the holders shall also receive any cumulative and unpaid dividends, whether or not declared as conversion ordinary shares at the same conversion rate for the applicable Preferred Shares.</w:t>
      </w:r>
    </w:p>
    <w:p>
      <w:pPr>
        <w:spacing w:after="0" w:line="134" w:lineRule="exact"/>
        <w:rPr>
          <w:sz w:val="20"/>
          <w:szCs w:val="20"/>
          <w:color w:val="auto"/>
        </w:rPr>
      </w:pPr>
    </w:p>
    <w:p>
      <w:pPr>
        <w:ind w:left="120" w:right="40"/>
        <w:spacing w:after="0" w:line="248" w:lineRule="auto"/>
        <w:rPr>
          <w:sz w:val="20"/>
          <w:szCs w:val="20"/>
          <w:color w:val="auto"/>
        </w:rPr>
      </w:pPr>
      <w:r>
        <w:rPr>
          <w:rFonts w:ascii="Arial" w:cs="Arial" w:eastAsia="Arial" w:hAnsi="Arial"/>
          <w:sz w:val="17"/>
          <w:szCs w:val="17"/>
          <w:i w:val="1"/>
          <w:iCs w:val="1"/>
          <w:color w:val="auto"/>
        </w:rPr>
        <w:t>Down-Round Antidilution Protection</w:t>
      </w:r>
      <w:r>
        <w:rPr>
          <w:rFonts w:ascii="Arial" w:cs="Arial" w:eastAsia="Arial" w:hAnsi="Arial"/>
          <w:sz w:val="17"/>
          <w:szCs w:val="17"/>
          <w:color w:val="auto"/>
        </w:rPr>
        <w:t>—In the event the Company issues its ordinary shares without consideration or for consideration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that is less than the conversion price in effect for each series of the Preferred Shares, then the conversion price for that series shall be reduced in order to increase the number of ordinary shares into which such series of Preferred Shares is convertible to.</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LICENSE AGREEMENT</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174"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license granted to the Company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the Company in the Stanford Agreement also includes non-exclusive grants to certain Stanford patents.</w:t>
      </w:r>
    </w:p>
    <w:p>
      <w:pPr>
        <w:spacing w:after="0" w:line="149"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consideration for the rights granted to the Company under the Stanford Agreement, the Company paid Stanford a nonrefundable license royalty and reimbursed Stanford for past patent expenses, together totaling less than $0.1 million, and granted Stanford a specified number of ordinary shares of the Company. In addition, the Company is obligated to pay Stanford ongoing patent expenses and an annual license maintenance fee, which are nominal and will be creditable against any royalties payable to Stanford in the applicable year. The Company is required to make milestone payments up to an aggregate of $5.0 million in respect of a specified number of licensed products that successfully satisfy certain clinical and regulatory milestones. No milestone payments have been made through March 31, 2020. The Company also agreed to pay Stanford tiered royalties on a specified percentage of net sales made by the Company, its affiliates and its sublicensees of licensed products at rates ranging within low single-digit percentages, subject to certain reductions and offsets. The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52"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ALX148 and to make, use and sell licensed product containing such compound in all fields of use. The rights granted under this agreement include the rights to grant sublicenses to contractors or other collaboration partners, in each case to develop production processes or manufacture licensed product containing ALX148.</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consideration for the rights granted to the Company under the agreement,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also agreed to pay Selexis a flat royalty of a very low single-digit percentage on net sales made by the Company, its affiliates and sublicensees of products. This royalty obligation, on a product-by-product and country-by-country basis, shall terminate and become fully paid-up upon the passing of ten years after the first commercial sale of the product in such country, or the Company’s exercise of the royalty buyout option exercisable at any time prior to the first commercial sale of a licensed product.</w:t>
      </w:r>
    </w:p>
    <w:p>
      <w:pPr>
        <w:spacing w:after="0" w:line="15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The Company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The Company’s obligations to pay royalties that are accrued or accruable will survive any termination of the agreement, and in certain circumstances the licenses granted under the agreement will terminate unless they have become fully paid up as described in the previous paragraph.</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52" w:lineRule="exact"/>
        <w:rPr>
          <w:sz w:val="20"/>
          <w:szCs w:val="20"/>
          <w:color w:val="auto"/>
        </w:rPr>
      </w:pPr>
    </w:p>
    <w:p>
      <w:pPr>
        <w:ind w:left="120" w:right="80"/>
        <w:spacing w:after="0" w:line="241" w:lineRule="auto"/>
        <w:rPr>
          <w:sz w:val="20"/>
          <w:szCs w:val="20"/>
          <w:color w:val="auto"/>
        </w:rPr>
      </w:pPr>
      <w:r>
        <w:rPr>
          <w:rFonts w:ascii="Arial" w:cs="Arial" w:eastAsia="Arial" w:hAnsi="Arial"/>
          <w:sz w:val="17"/>
          <w:szCs w:val="17"/>
          <w:color w:val="auto"/>
        </w:rPr>
        <w:t>In March 2017, the Company entered into an agreement with Crystal Bioscience Inc. (now a subsidiary of Ligand Pharmaceuticals Incorporated), or Crystal, under which the Company obtained an assignment of certain patents, covering certain SIRPa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consideration for the rights granted to the Company under the agreement, it agreed to pay Crystal milestone payments up to $11.1 million in respect of all licensed products developed under the assigned patents, that successfully satisfy certain clinical and regulatory milestones, each milestone being paid only once for all products. The Company also agreed to pay Crystal tiered royalties on net sales made by the Company, its affiliates and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48" w:lineRule="exact"/>
        <w:rPr>
          <w:sz w:val="20"/>
          <w:szCs w:val="20"/>
          <w:color w:val="auto"/>
        </w:rPr>
      </w:pPr>
    </w:p>
    <w:p>
      <w:pPr>
        <w:ind w:left="120" w:right="660"/>
        <w:spacing w:after="0" w:line="243" w:lineRule="auto"/>
        <w:rPr>
          <w:sz w:val="20"/>
          <w:szCs w:val="20"/>
          <w:color w:val="auto"/>
        </w:rPr>
      </w:pPr>
      <w:r>
        <w:rPr>
          <w:rFonts w:ascii="Arial" w:cs="Arial" w:eastAsia="Arial" w:hAnsi="Arial"/>
          <w:sz w:val="17"/>
          <w:szCs w:val="17"/>
          <w:color w:val="auto"/>
        </w:rPr>
        <w:t>The Company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The Company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The Company’s obligations to pay royalties and milestone payments which accrued pre-termination or accrue post-termination will survive any termination.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RELATED-PARTY TRANSACTIONS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Revenue</w:t>
      </w:r>
    </w:p>
    <w:p>
      <w:pPr>
        <w:spacing w:after="0" w:line="3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June 2018, the Company entered into a Research and Development Services Agreement, or Tollnine Agreement, with Tollnine, Inc. or Tollnine, a related-party of the Company, to provide research and development services to Tollnine. The Company’s Chief Executive Officer was also the Chief Executive Officer of Tollnine until April 2020 and two of the Company’s investors are also investors in Tollnine. As such, Tollnine was deemed to be a related-party. The Tollnine Agreement has an initial term of 3 years, to be automatically renewed for additional one-year terms unless terminated by either party. The services are to be provided at a price based on the costs incurred by the Company plus a mark-up equal to 10% of such costs. The Company recognizes revenue when Tollnine, as the Company’s customer, obtains control of promised goods or services, in an amount that reflects the consideration which the Company expects to receive in exchange for those goods or services. For the three months ended March 31, 2019 and March 31, 2020, the Company recognized related-party revenues of $1.0 million and $0.7 million, respectively, under the Tollnine Agreement.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Receivables due from Related-party</w:t>
      </w:r>
    </w:p>
    <w:p>
      <w:pPr>
        <w:spacing w:after="0" w:line="39" w:lineRule="exact"/>
        <w:rPr>
          <w:sz w:val="20"/>
          <w:szCs w:val="20"/>
          <w:color w:val="auto"/>
        </w:rPr>
      </w:pPr>
    </w:p>
    <w:p>
      <w:pPr>
        <w:ind w:left="120" w:right="780"/>
        <w:spacing w:after="0" w:line="243" w:lineRule="auto"/>
        <w:rPr>
          <w:sz w:val="20"/>
          <w:szCs w:val="20"/>
          <w:color w:val="auto"/>
        </w:rPr>
      </w:pPr>
      <w:r>
        <w:rPr>
          <w:rFonts w:ascii="Arial" w:cs="Arial" w:eastAsia="Arial" w:hAnsi="Arial"/>
          <w:sz w:val="17"/>
          <w:szCs w:val="17"/>
          <w:color w:val="auto"/>
        </w:rPr>
        <w:t>As of December 31, 2019 and March 31, 2020, the Company had outstanding related-party receivables from Tollnine of $0.5 million and $1.2 million, respectively.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NET LOSS PER SHARE ATTRIBUTABLE TO ORDINARY SHAREHOLDERS AND PRO FORMA NET LOSS PER SHARE</w:t>
      </w:r>
    </w:p>
    <w:p>
      <w:pPr>
        <w:spacing w:after="0" w:line="93" w:lineRule="exact"/>
        <w:rPr>
          <w:sz w:val="20"/>
          <w:szCs w:val="20"/>
          <w:color w:val="auto"/>
        </w:rPr>
      </w:pPr>
    </w:p>
    <w:p>
      <w:pPr>
        <w:jc w:val="both"/>
        <w:ind w:left="120" w:right="480"/>
        <w:spacing w:after="0" w:line="243" w:lineRule="auto"/>
        <w:rPr>
          <w:sz w:val="20"/>
          <w:szCs w:val="20"/>
          <w:color w:val="auto"/>
        </w:rPr>
      </w:pPr>
      <w:r>
        <w:rPr>
          <w:rFonts w:ascii="Arial" w:cs="Arial" w:eastAsia="Arial" w:hAnsi="Arial"/>
          <w:sz w:val="17"/>
          <w:szCs w:val="17"/>
          <w:color w:val="auto"/>
        </w:rPr>
        <w:t>The following table sets forth the computation of the basic and diluted net loss per share attributable to ordinary shareholders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8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14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680" w:type="dxa"/>
            <w:vAlign w:val="bottom"/>
            <w:gridSpan w:val="2"/>
          </w:tcPr>
          <w:p>
            <w:pPr>
              <w:jc w:val="right"/>
              <w:ind w:right="688"/>
              <w:spacing w:after="0" w:line="189" w:lineRule="exact"/>
              <w:rPr>
                <w:sz w:val="20"/>
                <w:szCs w:val="20"/>
                <w:color w:val="auto"/>
              </w:rPr>
            </w:pPr>
            <w:r>
              <w:rPr>
                <w:rFonts w:ascii="Arial" w:cs="Arial" w:eastAsia="Arial" w:hAnsi="Arial"/>
                <w:sz w:val="17"/>
                <w:szCs w:val="17"/>
                <w:color w:val="auto"/>
              </w:rPr>
              <w:t>(4,238)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cumulative preferred dividends allocated to preferred shareholders</w:t>
            </w:r>
          </w:p>
        </w:tc>
        <w:tc>
          <w:tcPr>
            <w:tcW w:w="1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688"/>
              <w:spacing w:after="0" w:line="189" w:lineRule="exact"/>
              <w:rPr>
                <w:sz w:val="20"/>
                <w:szCs w:val="20"/>
                <w:color w:val="auto"/>
              </w:rPr>
            </w:pPr>
            <w:r>
              <w:rPr>
                <w:rFonts w:ascii="Arial" w:cs="Arial" w:eastAsia="Arial" w:hAnsi="Arial"/>
                <w:sz w:val="17"/>
                <w:szCs w:val="17"/>
                <w:color w:val="auto"/>
              </w:rPr>
              <w:t>(905)</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gridSpan w:val="2"/>
          </w:tcPr>
          <w:p>
            <w:pPr>
              <w:jc w:val="right"/>
              <w:ind w:right="688"/>
              <w:spacing w:after="0"/>
              <w:rPr>
                <w:sz w:val="20"/>
                <w:szCs w:val="20"/>
                <w:color w:val="auto"/>
              </w:rPr>
            </w:pPr>
            <w:r>
              <w:rPr>
                <w:rFonts w:ascii="Arial" w:cs="Arial" w:eastAsia="Arial" w:hAnsi="Arial"/>
                <w:sz w:val="17"/>
                <w:szCs w:val="17"/>
                <w:color w:val="auto"/>
              </w:rPr>
              <w:t>(5,143)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(7,437)</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Denominator:</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7"/>
                <w:szCs w:val="17"/>
                <w:color w:val="auto"/>
              </w:rPr>
              <w:t>Weighted-average ordinary shares outstanding</w:t>
            </w:r>
          </w:p>
        </w:tc>
        <w:tc>
          <w:tcPr>
            <w:tcW w:w="120" w:type="dxa"/>
            <w:vAlign w:val="bottom"/>
          </w:tcPr>
          <w:p>
            <w:pPr>
              <w:spacing w:after="0"/>
              <w:rPr>
                <w:sz w:val="16"/>
                <w:szCs w:val="16"/>
                <w:color w:val="auto"/>
              </w:rPr>
            </w:pPr>
          </w:p>
        </w:tc>
        <w:tc>
          <w:tcPr>
            <w:tcW w:w="1680" w:type="dxa"/>
            <w:vAlign w:val="bottom"/>
            <w:gridSpan w:val="2"/>
          </w:tcPr>
          <w:p>
            <w:pPr>
              <w:jc w:val="right"/>
              <w:ind w:right="748"/>
              <w:spacing w:after="0" w:line="189" w:lineRule="exact"/>
              <w:rPr>
                <w:sz w:val="20"/>
                <w:szCs w:val="20"/>
                <w:color w:val="auto"/>
              </w:rPr>
            </w:pPr>
            <w:r>
              <w:rPr>
                <w:rFonts w:ascii="Arial" w:cs="Arial" w:eastAsia="Arial" w:hAnsi="Arial"/>
                <w:sz w:val="17"/>
                <w:szCs w:val="17"/>
                <w:color w:val="auto"/>
                <w:w w:val="98"/>
              </w:rPr>
              <w:t>19,749,549</w:t>
            </w:r>
          </w:p>
        </w:tc>
        <w:tc>
          <w:tcPr>
            <w:tcW w:w="100" w:type="dxa"/>
            <w:vAlign w:val="bottom"/>
          </w:tcPr>
          <w:p>
            <w:pPr>
              <w:spacing w:after="0"/>
              <w:rPr>
                <w:sz w:val="16"/>
                <w:szCs w:val="16"/>
                <w:color w:val="auto"/>
              </w:rPr>
            </w:pPr>
          </w:p>
        </w:tc>
        <w:tc>
          <w:tcPr>
            <w:tcW w:w="9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w w:val="98"/>
              </w:rPr>
              <w:t>20,684,025</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CEEFF"/>
          </w:tcPr>
          <w:p>
            <w:pPr>
              <w:jc w:val="right"/>
              <w:ind w:right="688"/>
              <w:spacing w:after="0" w:line="183" w:lineRule="exact"/>
              <w:rPr>
                <w:sz w:val="20"/>
                <w:szCs w:val="20"/>
                <w:color w:val="auto"/>
              </w:rPr>
            </w:pPr>
            <w:r>
              <w:rPr>
                <w:rFonts w:ascii="Arial" w:cs="Arial" w:eastAsia="Arial" w:hAnsi="Arial"/>
                <w:sz w:val="17"/>
                <w:szCs w:val="17"/>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120" w:right="460"/>
        <w:spacing w:after="0" w:line="238" w:lineRule="auto"/>
        <w:rPr>
          <w:sz w:val="20"/>
          <w:szCs w:val="20"/>
          <w:color w:val="auto"/>
        </w:rPr>
      </w:pPr>
      <w:r>
        <w:rPr>
          <w:rFonts w:ascii="Arial" w:cs="Arial" w:eastAsia="Arial" w:hAnsi="Arial"/>
          <w:sz w:val="17"/>
          <w:szCs w:val="17"/>
          <w:color w:val="auto"/>
        </w:rPr>
        <w:t>Since the Company was in a loss position for all periods presented, basic net loss per share is the same as diluted net loss per share for all periods as the inclusion of all potential ordinary shares outstanding would have been anti-dilutive. Potentially dilutive securities that were not included in the diluted per share calculations as of March 31, 2019 and March 31, 2020 because they would be anti-dilutive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660" w:type="dxa"/>
            <w:vAlign w:val="bottom"/>
            <w:gridSpan w:val="4"/>
          </w:tcPr>
          <w:p>
            <w:pPr>
              <w:ind w:left="90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4920" w:type="dxa"/>
            <w:vAlign w:val="bottom"/>
            <w:tcBorders>
              <w:bottom w:val="single" w:sz="8" w:color="CCEEFF"/>
            </w:tcBorders>
          </w:tcPr>
          <w:p>
            <w:pPr>
              <w:spacing w:after="0"/>
              <w:rPr>
                <w:sz w:val="13"/>
                <w:szCs w:val="13"/>
                <w:color w:val="auto"/>
              </w:rPr>
            </w:pPr>
          </w:p>
        </w:tc>
        <w:tc>
          <w:tcPr>
            <w:tcW w:w="344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83"/>
        </w:trPr>
        <w:tc>
          <w:tcPr>
            <w:tcW w:w="4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A convertible preferred shares</w:t>
            </w:r>
          </w:p>
        </w:tc>
        <w:tc>
          <w:tcPr>
            <w:tcW w:w="3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61,180,500</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61,180,500</w:t>
            </w:r>
          </w:p>
        </w:tc>
        <w:tc>
          <w:tcPr>
            <w:tcW w:w="80" w:type="dxa"/>
            <w:vAlign w:val="bottom"/>
            <w:shd w:val="clear" w:color="auto" w:fill="CCEEFF"/>
          </w:tcPr>
          <w:p>
            <w:pPr>
              <w:spacing w:after="0"/>
              <w:rPr>
                <w:sz w:val="15"/>
                <w:szCs w:val="15"/>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3440" w:type="dxa"/>
            <w:vAlign w:val="bottom"/>
          </w:tcPr>
          <w:p>
            <w:pPr>
              <w:spacing w:after="0"/>
              <w:rPr>
                <w:sz w:val="16"/>
                <w:szCs w:val="16"/>
                <w:color w:val="auto"/>
              </w:rPr>
            </w:pPr>
          </w:p>
        </w:tc>
        <w:tc>
          <w:tcPr>
            <w:tcW w:w="13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6,690,729</w:t>
            </w:r>
          </w:p>
        </w:tc>
      </w:tr>
      <w:tr>
        <w:trPr>
          <w:trHeight w:val="189"/>
        </w:trPr>
        <w:tc>
          <w:tcPr>
            <w:tcW w:w="4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C convertible preferred shares</w:t>
            </w:r>
          </w:p>
        </w:tc>
        <w:tc>
          <w:tcPr>
            <w:tcW w:w="34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72,754,989</w:t>
            </w: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7"/>
                <w:szCs w:val="17"/>
                <w:color w:val="auto"/>
              </w:rPr>
              <w:t>Warrants to purchase Series B convertible preferred shares</w:t>
            </w:r>
          </w:p>
        </w:tc>
        <w:tc>
          <w:tcPr>
            <w:tcW w:w="3440" w:type="dxa"/>
            <w:vAlign w:val="bottom"/>
          </w:tcPr>
          <w:p>
            <w:pPr>
              <w:spacing w:after="0"/>
              <w:rPr>
                <w:sz w:val="16"/>
                <w:szCs w:val="16"/>
                <w:color w:val="auto"/>
              </w:rPr>
            </w:pPr>
          </w:p>
        </w:tc>
        <w:tc>
          <w:tcPr>
            <w:tcW w:w="13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403,348</w:t>
            </w:r>
          </w:p>
        </w:tc>
      </w:tr>
      <w:tr>
        <w:trPr>
          <w:trHeight w:val="189"/>
        </w:trPr>
        <w:tc>
          <w:tcPr>
            <w:tcW w:w="4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Ordinary shares subject to repurchase</w:t>
            </w:r>
          </w:p>
        </w:tc>
        <w:tc>
          <w:tcPr>
            <w:tcW w:w="476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951,041</w:t>
            </w:r>
          </w:p>
        </w:tc>
        <w:tc>
          <w:tcPr>
            <w:tcW w:w="13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113,854</w:t>
            </w: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7"/>
                <w:szCs w:val="17"/>
                <w:color w:val="auto"/>
              </w:rPr>
              <w:t>Options issued and outstanding</w:t>
            </w:r>
          </w:p>
        </w:tc>
        <w:tc>
          <w:tcPr>
            <w:tcW w:w="3440" w:type="dxa"/>
            <w:vAlign w:val="bottom"/>
          </w:tcPr>
          <w:p>
            <w:pPr>
              <w:spacing w:after="0"/>
              <w:rPr>
                <w:sz w:val="16"/>
                <w:szCs w:val="16"/>
                <w:color w:val="auto"/>
              </w:rPr>
            </w:pPr>
          </w:p>
        </w:tc>
        <w:tc>
          <w:tcPr>
            <w:tcW w:w="13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6,080,869</w:t>
            </w:r>
          </w:p>
        </w:tc>
        <w:tc>
          <w:tcPr>
            <w:tcW w:w="13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21,063,923</w:t>
            </w:r>
          </w:p>
        </w:tc>
      </w:tr>
      <w:tr>
        <w:trPr>
          <w:trHeight w:val="27"/>
        </w:trPr>
        <w:tc>
          <w:tcPr>
            <w:tcW w:w="49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4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34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68,212,410</w:t>
            </w:r>
          </w:p>
        </w:tc>
        <w:tc>
          <w:tcPr>
            <w:tcW w:w="13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162,207,343</w:t>
            </w:r>
          </w:p>
        </w:tc>
      </w:tr>
      <w:tr>
        <w:trPr>
          <w:trHeight w:val="20"/>
        </w:trPr>
        <w:tc>
          <w:tcPr>
            <w:tcW w:w="49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92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gridSpan w:val="3"/>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r>
        <w:trPr>
          <w:trHeight w:val="379"/>
        </w:trPr>
        <w:tc>
          <w:tcPr>
            <w:tcW w:w="4920" w:type="dxa"/>
            <w:vAlign w:val="bottom"/>
          </w:tcPr>
          <w:p>
            <w:pPr>
              <w:spacing w:after="0"/>
              <w:rPr>
                <w:sz w:val="24"/>
                <w:szCs w:val="24"/>
                <w:color w:val="auto"/>
              </w:rPr>
            </w:pPr>
          </w:p>
        </w:tc>
        <w:tc>
          <w:tcPr>
            <w:tcW w:w="4760" w:type="dxa"/>
            <w:vAlign w:val="bottom"/>
            <w:gridSpan w:val="3"/>
          </w:tcPr>
          <w:p>
            <w:pPr>
              <w:jc w:val="right"/>
              <w:ind w:right="4000"/>
              <w:spacing w:after="0"/>
              <w:rPr>
                <w:sz w:val="20"/>
                <w:szCs w:val="20"/>
                <w:color w:val="auto"/>
              </w:rPr>
            </w:pPr>
            <w:r>
              <w:rPr>
                <w:rFonts w:ascii="Arial" w:cs="Arial" w:eastAsia="Arial" w:hAnsi="Arial"/>
                <w:sz w:val="16"/>
                <w:szCs w:val="16"/>
                <w:color w:val="auto"/>
              </w:rPr>
              <w:t>F-52</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The following table sets forth the computation of the Company’s pro forma basic and diluted net loss per share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9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60" w:right="940" w:hanging="250"/>
        <w:spacing w:after="0" w:line="243" w:lineRule="auto"/>
        <w:rPr>
          <w:sz w:val="20"/>
          <w:szCs w:val="20"/>
          <w:color w:val="auto"/>
        </w:rPr>
      </w:pPr>
      <w:r>
        <w:rPr>
          <w:rFonts w:ascii="Arial" w:cs="Arial" w:eastAsia="Arial" w:hAnsi="Arial"/>
          <w:sz w:val="17"/>
          <w:szCs w:val="17"/>
          <w:color w:val="auto"/>
        </w:rPr>
        <w:t>Pro forma adjustment to reflect change in fair value of Series B convertible preferred shares warrant liability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 forma net loss attributable to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00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spacing w:after="0" w:line="28" w:lineRule="exact"/>
        <w:rPr>
          <w:sz w:val="20"/>
          <w:szCs w:val="20"/>
          <w:color w:val="auto"/>
        </w:rPr>
      </w:pPr>
    </w:p>
    <w:p>
      <w:pPr>
        <w:ind w:left="360" w:right="1400" w:hanging="250"/>
        <w:spacing w:after="0" w:line="232" w:lineRule="auto"/>
        <w:rPr>
          <w:sz w:val="20"/>
          <w:szCs w:val="20"/>
          <w:color w:val="auto"/>
        </w:rPr>
      </w:pPr>
      <w:r>
        <w:rPr>
          <w:rFonts w:ascii="Arial" w:cs="Arial" w:eastAsia="Arial" w:hAnsi="Arial"/>
          <w:sz w:val="17"/>
          <w:szCs w:val="17"/>
          <w:color w:val="auto"/>
        </w:rPr>
        <w:t>Weighted-average ordinary shares used to compute net loss per share attributable to ordinary shareholders, basic and diluted</w:t>
      </w:r>
    </w:p>
    <w:p>
      <w:pPr>
        <w:ind w:left="360" w:right="1180" w:hanging="250"/>
        <w:spacing w:after="0" w:line="243" w:lineRule="auto"/>
        <w:rPr>
          <w:sz w:val="20"/>
          <w:szCs w:val="20"/>
          <w:color w:val="auto"/>
        </w:rPr>
      </w:pPr>
      <w:r>
        <w:rPr>
          <w:rFonts w:ascii="Arial" w:cs="Arial" w:eastAsia="Arial" w:hAnsi="Arial"/>
          <w:sz w:val="17"/>
          <w:szCs w:val="17"/>
          <w:color w:val="auto"/>
        </w:rPr>
        <w:t>Pro forma adjustment to reflect assumed conversion of convertible preferred shares and accrued dividends allocable to preferred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-247015</wp:posOffset>
            </wp:positionV>
            <wp:extent cx="6995160" cy="2400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ind w:left="120" w:right="1000"/>
        <w:spacing w:after="0" w:line="309" w:lineRule="auto"/>
        <w:rPr>
          <w:sz w:val="20"/>
          <w:szCs w:val="20"/>
          <w:color w:val="auto"/>
        </w:rPr>
      </w:pPr>
      <w:r>
        <w:rPr>
          <w:rFonts w:ascii="Arial" w:cs="Arial" w:eastAsia="Arial" w:hAnsi="Arial"/>
          <w:sz w:val="17"/>
          <w:szCs w:val="17"/>
          <w:color w:val="auto"/>
        </w:rPr>
        <w:t>Weighted-average ordinary shares used to compute pro forma net loss per share, basic and diluted Pro forma 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200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MARCH 31, 2020</w:t>
      </w:r>
    </w:p>
    <w:p>
      <w:pPr>
        <w:spacing w:after="0" w:line="4" w:lineRule="exact"/>
        <w:rPr>
          <w:sz w:val="20"/>
          <w:szCs w:val="20"/>
          <w:color w:val="auto"/>
        </w:rPr>
      </w:pPr>
    </w:p>
    <w:p>
      <w:pPr>
        <w:ind w:left="1220" w:hanging="1217"/>
        <w:spacing w:after="0"/>
        <w:tabs>
          <w:tab w:leader="none" w:pos="12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(5,454)</w:t>
      </w:r>
    </w:p>
    <w:p>
      <w:pPr>
        <w:spacing w:after="0" w:line="18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0801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 w:lineRule="exact"/>
        <w:rPr>
          <w:sz w:val="20"/>
          <w:szCs w:val="20"/>
          <w:color w:val="auto"/>
        </w:rPr>
      </w:pPr>
    </w:p>
    <w:p>
      <w:pPr>
        <w:ind w:left="1220" w:hanging="1217"/>
        <w:spacing w:after="0"/>
        <w:tabs>
          <w:tab w:leader="none" w:pos="12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(5,368)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0801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10801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1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20,684,025</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123,758,558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0801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144,442,583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0801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10801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8" w:lineRule="exact"/>
        <w:rPr>
          <w:sz w:val="20"/>
          <w:szCs w:val="20"/>
          <w:color w:val="auto"/>
        </w:rPr>
      </w:pPr>
    </w:p>
    <w:p>
      <w:pPr>
        <w:ind w:left="1320" w:hanging="1317"/>
        <w:spacing w:after="0"/>
        <w:tabs>
          <w:tab w:leader="none" w:pos="13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10801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10801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8600" w:space="720"/>
            <w:col w:w="1800"/>
          </w:cols>
          <w:pgMar w:left="320" w:top="459" w:right="459" w:bottom="1440" w:gutter="0" w:footer="0" w:header="0"/>
          <w:type w:val="continuous"/>
        </w:sect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SUBSEQUENT EVENTS</w:t>
      </w:r>
    </w:p>
    <w:p>
      <w:pPr>
        <w:spacing w:after="0" w:line="80"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On April 1, 2020, the Company completed an internal reorganization transaction pursuant to which ALX Oncology Limited became a wholly-owned subsidiary ALX Oncology Holdings Inc., a newly formed Delaware corporation. As part of the transaction, all of the equity, option and warrant holders of ALX Oncology Limited became equity, option and warrant holders of ALX Oncology Holdings Inc., as they did in the Company immediately prior to the reorganization.</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July 1, 2020, the Company will terminate the Tollnine Agreement and entered into a series of transactions with Tallac Therapeutics and Dr.</w:t>
      </w:r>
    </w:p>
    <w:p>
      <w:pPr>
        <w:ind w:left="120"/>
        <w:spacing w:after="0"/>
        <w:rPr>
          <w:sz w:val="20"/>
          <w:szCs w:val="20"/>
          <w:color w:val="auto"/>
        </w:rPr>
      </w:pPr>
      <w:r>
        <w:rPr>
          <w:rFonts w:ascii="Arial" w:cs="Arial" w:eastAsia="Arial" w:hAnsi="Arial"/>
          <w:sz w:val="17"/>
          <w:szCs w:val="17"/>
          <w:color w:val="auto"/>
        </w:rPr>
        <w:t>Wan as described below, subject to the closing of such transactions.</w:t>
      </w:r>
    </w:p>
    <w:p>
      <w:pPr>
        <w:spacing w:after="0" w:line="95" w:lineRule="exact"/>
        <w:rPr>
          <w:sz w:val="20"/>
          <w:szCs w:val="20"/>
          <w:color w:val="auto"/>
        </w:rPr>
      </w:pPr>
    </w:p>
    <w:p>
      <w:pPr>
        <w:ind w:left="540" w:right="40" w:hanging="316"/>
        <w:spacing w:after="0" w:line="241" w:lineRule="auto"/>
        <w:tabs>
          <w:tab w:leader="none" w:pos="540" w:val="left"/>
        </w:tabs>
        <w:numPr>
          <w:ilvl w:val="0"/>
          <w:numId w:val="146"/>
        </w:numPr>
        <w:rPr>
          <w:rFonts w:ascii="Arial" w:cs="Arial" w:eastAsia="Arial" w:hAnsi="Arial"/>
          <w:sz w:val="17"/>
          <w:szCs w:val="17"/>
          <w:color w:val="auto"/>
        </w:rPr>
      </w:pPr>
      <w:r>
        <w:rPr>
          <w:rFonts w:ascii="Arial" w:cs="Arial" w:eastAsia="Arial" w:hAnsi="Arial"/>
          <w:sz w:val="17"/>
          <w:szCs w:val="17"/>
          <w:b w:val="1"/>
          <w:bCs w:val="1"/>
          <w:color w:val="auto"/>
        </w:rPr>
        <w:t>Entry into the Tallac Services Agreement</w:t>
      </w:r>
      <w:r>
        <w:rPr>
          <w:rFonts w:ascii="Arial" w:cs="Arial" w:eastAsia="Arial" w:hAnsi="Arial"/>
          <w:sz w:val="17"/>
          <w:szCs w:val="17"/>
          <w:color w:val="auto"/>
        </w:rPr>
        <w:t>: The Company entered into a research and development services agreement, or the Tallac</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Agreement, with Tallac Therapeutics effective as of July 1, 2020. The Tallac Services Agreement provides that Tallac Therapeutics will provide certain preclinical research services to the Company for a service fee based on the costs incurred by Tallac Therapeutics plus a mark-up equal to 10.0% of such costs. The Tallac Services Agreement has an initial term of four years and is renewed automatically for additional one year terms thereafter.</w:t>
      </w:r>
    </w:p>
    <w:p>
      <w:pPr>
        <w:spacing w:after="0" w:line="85" w:lineRule="exact"/>
        <w:rPr>
          <w:rFonts w:ascii="Arial" w:cs="Arial" w:eastAsia="Arial" w:hAnsi="Arial"/>
          <w:sz w:val="17"/>
          <w:szCs w:val="17"/>
          <w:color w:val="auto"/>
        </w:rPr>
      </w:pPr>
    </w:p>
    <w:p>
      <w:pPr>
        <w:ind w:left="540" w:hanging="316"/>
        <w:spacing w:after="0" w:line="237" w:lineRule="auto"/>
        <w:tabs>
          <w:tab w:leader="none" w:pos="540" w:val="left"/>
        </w:tabs>
        <w:numPr>
          <w:ilvl w:val="0"/>
          <w:numId w:val="146"/>
        </w:numPr>
        <w:rPr>
          <w:rFonts w:ascii="Arial" w:cs="Arial" w:eastAsia="Arial" w:hAnsi="Arial"/>
          <w:sz w:val="17"/>
          <w:szCs w:val="17"/>
          <w:color w:val="auto"/>
        </w:rPr>
      </w:pPr>
      <w:r>
        <w:rPr>
          <w:rFonts w:ascii="Arial" w:cs="Arial" w:eastAsia="Arial" w:hAnsi="Arial"/>
          <w:sz w:val="17"/>
          <w:szCs w:val="17"/>
          <w:b w:val="1"/>
          <w:bCs w:val="1"/>
          <w:color w:val="auto"/>
        </w:rPr>
        <w:t>Resignation of Dr. Wan and entry into Consulting Agreement</w:t>
      </w:r>
      <w:r>
        <w:rPr>
          <w:rFonts w:ascii="Arial" w:cs="Arial" w:eastAsia="Arial" w:hAnsi="Arial"/>
          <w:sz w:val="17"/>
          <w:szCs w:val="17"/>
          <w:color w:val="auto"/>
        </w:rPr>
        <w:t>: Dr. Wan resigned from her position as the Company’s Chief Scientific</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and will cease to be the Company’s employee effective as of June 30, 2020. In connection with her resignation, the Company entered into a Consulting Agreement with Dr. Wan effective as of July 1, 2020. Under the Consulting Agreement, Dr. Wan will serve as the Company’s Chief Science Consultant and, among other things, spend approximately 20% of her time performing activities typically performed by a consulting scientific adviser in the biotechnology industry. In exchange for such services, the options to purchase shares of the Company’s common stock that were previously granted to Dr. Wan will continue to vest and be exercisable subject to Dr. Wan remaining a service provider under the Consulting Agreement or the Tallac Services Agreement. The Consulting Agreement has an initial term of four years and is renewed automatically for additional one year terms thereafter.</w:t>
      </w:r>
    </w:p>
    <w:p>
      <w:pPr>
        <w:spacing w:after="0" w:line="89" w:lineRule="exact"/>
        <w:rPr>
          <w:rFonts w:ascii="Arial" w:cs="Arial" w:eastAsia="Arial" w:hAnsi="Arial"/>
          <w:sz w:val="17"/>
          <w:szCs w:val="17"/>
          <w:color w:val="auto"/>
        </w:rPr>
      </w:pPr>
    </w:p>
    <w:p>
      <w:pPr>
        <w:ind w:left="540" w:right="100" w:hanging="316"/>
        <w:spacing w:after="0" w:line="241" w:lineRule="auto"/>
        <w:tabs>
          <w:tab w:leader="none" w:pos="540" w:val="left"/>
        </w:tabs>
        <w:numPr>
          <w:ilvl w:val="0"/>
          <w:numId w:val="146"/>
        </w:numPr>
        <w:rPr>
          <w:rFonts w:ascii="Arial" w:cs="Arial" w:eastAsia="Arial" w:hAnsi="Arial"/>
          <w:sz w:val="17"/>
          <w:szCs w:val="17"/>
          <w:color w:val="auto"/>
        </w:rPr>
      </w:pPr>
      <w:r>
        <w:rPr>
          <w:rFonts w:ascii="Arial" w:cs="Arial" w:eastAsia="Arial" w:hAnsi="Arial"/>
          <w:sz w:val="17"/>
          <w:szCs w:val="17"/>
          <w:b w:val="1"/>
          <w:bCs w:val="1"/>
          <w:color w:val="auto"/>
        </w:rPr>
        <w:t>Transfer of employees to Tallac Therapeutics</w:t>
      </w:r>
      <w:r>
        <w:rPr>
          <w:rFonts w:ascii="Arial" w:cs="Arial" w:eastAsia="Arial" w:hAnsi="Arial"/>
          <w:sz w:val="17"/>
          <w:szCs w:val="17"/>
          <w:color w:val="auto"/>
        </w:rPr>
        <w:t>: In addition to Dr. Wan, eight of our employees, or Transferred Employees, will also</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 their employment with the Company effective as of June 30, 2020 and will become employees of Tallac Therapeutics effective as of July 1, 2020. The options to purchase shares of the Company’s common stock that were previously granted to the Transferred Employees will continue to vest and be exercisable subject to the Transferred Employees remaining service providers under the Tallac Services Agreement.</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F-53</w:t>
      </w:r>
    </w:p>
    <w:p>
      <w:pPr>
        <w:sectPr>
          <w:pgSz w:w="11900" w:h="16838" w:orient="portrait"/>
          <w:cols w:equalWidth="0" w:num="1">
            <w:col w:w="11120"/>
          </w:cols>
          <w:pgMar w:left="320" w:top="459" w:right="459" w:bottom="1440" w:gutter="0" w:footer="0" w:header="0"/>
          <w:type w:val="continuous"/>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316"/>
        <w:spacing w:after="0" w:line="249" w:lineRule="auto"/>
        <w:tabs>
          <w:tab w:leader="none" w:pos="540" w:val="left"/>
        </w:tabs>
        <w:numPr>
          <w:ilvl w:val="0"/>
          <w:numId w:val="147"/>
        </w:numPr>
        <w:rPr>
          <w:rFonts w:ascii="Arial" w:cs="Arial" w:eastAsia="Arial" w:hAnsi="Arial"/>
          <w:sz w:val="17"/>
          <w:szCs w:val="17"/>
          <w:color w:val="auto"/>
        </w:rPr>
      </w:pPr>
      <w:r>
        <w:rPr>
          <w:rFonts w:ascii="Arial" w:cs="Arial" w:eastAsia="Arial" w:hAnsi="Arial"/>
          <w:sz w:val="17"/>
          <w:szCs w:val="17"/>
          <w:b w:val="1"/>
          <w:bCs w:val="1"/>
          <w:color w:val="auto"/>
        </w:rPr>
        <w:t>Entry into Asset Transfer Agreement</w:t>
      </w:r>
      <w:r>
        <w:rPr>
          <w:rFonts w:ascii="Arial" w:cs="Arial" w:eastAsia="Arial" w:hAnsi="Arial"/>
          <w:sz w:val="17"/>
          <w:szCs w:val="17"/>
          <w:color w:val="auto"/>
        </w:rPr>
        <w:t>: ALX Oncology Inc. entered into an Asset Transfer Agreement with Tallac Therapeutics effective as</w:t>
      </w:r>
      <w:r>
        <w:rPr>
          <w:rFonts w:ascii="Arial" w:cs="Arial" w:eastAsia="Arial" w:hAnsi="Arial"/>
          <w:sz w:val="17"/>
          <w:szCs w:val="17"/>
          <w:b w:val="1"/>
          <w:bCs w:val="1"/>
          <w:color w:val="auto"/>
        </w:rPr>
        <w:t xml:space="preserve"> </w:t>
      </w:r>
      <w:r>
        <w:rPr>
          <w:rFonts w:ascii="Arial" w:cs="Arial" w:eastAsia="Arial" w:hAnsi="Arial"/>
          <w:sz w:val="17"/>
          <w:szCs w:val="17"/>
          <w:color w:val="auto"/>
        </w:rPr>
        <w:t>of July 1, 2020, pursuant to which Tallac Therapeutics purchased certain lab equipment and other assets from ALX Oncology Inc. for minimal cash consideration representing the aggregate book value of such assets.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F-54</w:t>
      </w:r>
    </w:p>
    <w:p>
      <w:pPr>
        <w:sectPr>
          <w:pgSz w:w="11900" w:h="16838" w:orient="portrait"/>
          <w:cols w:equalWidth="0" w:num="1">
            <w:col w:w="11020"/>
          </w:cols>
          <w:pgMar w:left="320" w:top="459" w:right="5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566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259715</wp:posOffset>
            </wp:positionV>
            <wp:extent cx="2065655" cy="10801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06565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2099"/>
        <w:spacing w:after="0"/>
        <w:rPr>
          <w:sz w:val="20"/>
          <w:szCs w:val="20"/>
          <w:color w:val="auto"/>
        </w:rPr>
      </w:pPr>
      <w:r>
        <w:rPr>
          <w:rFonts w:ascii="Arial" w:cs="Arial" w:eastAsia="Arial" w:hAnsi="Arial"/>
          <w:sz w:val="36"/>
          <w:szCs w:val="36"/>
          <w:b w:val="1"/>
          <w:bCs w:val="1"/>
          <w:color w:val="auto"/>
        </w:rPr>
        <w:t>ALX Oncology Holdings Inc.</w:t>
      </w:r>
    </w:p>
    <w:p>
      <w:pPr>
        <w:spacing w:after="0" w:line="200" w:lineRule="exact"/>
        <w:rPr>
          <w:sz w:val="20"/>
          <w:szCs w:val="20"/>
          <w:color w:val="auto"/>
        </w:rPr>
      </w:pPr>
    </w:p>
    <w:p>
      <w:pPr>
        <w:spacing w:after="0" w:line="244" w:lineRule="exact"/>
        <w:rPr>
          <w:sz w:val="20"/>
          <w:szCs w:val="20"/>
          <w:color w:val="auto"/>
        </w:rPr>
      </w:pPr>
    </w:p>
    <w:p>
      <w:pPr>
        <w:ind w:left="45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576580</wp:posOffset>
            </wp:positionV>
            <wp:extent cx="286321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174625</wp:posOffset>
            </wp:positionV>
            <wp:extent cx="286321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Jefferies</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Credit Suisse</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Piper Sandler</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Cantor</w:t>
      </w:r>
    </w:p>
    <w:p>
      <w:pPr>
        <w:spacing w:after="0" w:line="228"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LifeSci Capital</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554990</wp:posOffset>
            </wp:positionV>
            <wp:extent cx="69951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623570</wp:posOffset>
            </wp:positionV>
            <wp:extent cx="6995160"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93"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the filing fee of the Financial Industry Regulatory Authority, Inc., or FINRA, and the Nasdaq Stock Market LLC, or 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8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PAID OR</w:t>
            </w:r>
          </w:p>
        </w:tc>
      </w:tr>
      <w:tr>
        <w:trPr>
          <w:trHeight w:val="175"/>
        </w:trPr>
        <w:tc>
          <w:tcPr>
            <w:tcW w:w="9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TO BE PAID</w:t>
            </w:r>
          </w:p>
        </w:tc>
      </w:tr>
      <w:tr>
        <w:trPr>
          <w:trHeight w:val="183"/>
        </w:trPr>
        <w:tc>
          <w:tcPr>
            <w:tcW w:w="9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SEC Registration Fee</w:t>
            </w:r>
          </w:p>
        </w:tc>
        <w:tc>
          <w:tcPr>
            <w:tcW w:w="1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12,980</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FINRA filing fee</w:t>
            </w:r>
          </w:p>
        </w:tc>
        <w:tc>
          <w:tcPr>
            <w:tcW w:w="18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15,500</w:t>
            </w: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Nasdaq listing fee</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25,000</w:t>
            </w: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Printing and engraving expenses</w:t>
            </w:r>
          </w:p>
        </w:tc>
        <w:tc>
          <w:tcPr>
            <w:tcW w:w="18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Legal fees and expenses</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18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Transfer agent and registrar fees</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96"/>
        </w:trPr>
        <w:tc>
          <w:tcPr>
            <w:tcW w:w="9680" w:type="dxa"/>
            <w:vAlign w:val="bottom"/>
          </w:tcPr>
          <w:p>
            <w:pPr>
              <w:spacing w:after="0" w:line="189" w:lineRule="exact"/>
              <w:rPr>
                <w:sz w:val="20"/>
                <w:szCs w:val="20"/>
                <w:color w:val="auto"/>
              </w:rPr>
            </w:pPr>
            <w:r>
              <w:rPr>
                <w:rFonts w:ascii="Arial" w:cs="Arial" w:eastAsia="Arial" w:hAnsi="Arial"/>
                <w:sz w:val="17"/>
                <w:szCs w:val="17"/>
                <w:color w:val="auto"/>
              </w:rPr>
              <w:t>Miscellaneous expenses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20"/>
        </w:trPr>
        <w:tc>
          <w:tcPr>
            <w:tcW w:w="9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To be completed by amendment.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80"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upon the completion of this offering provides for the indemnification of the registrant’s directors and officers to the fullest extent permitted under the DGCL. In addition, the bylaws of the registrant to be in effect upon the completion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52"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to be in effect upon the completion of this offering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50"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As permitted by the DGCL,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50" w:lineRule="exact"/>
        <w:rPr>
          <w:sz w:val="20"/>
          <w:szCs w:val="20"/>
          <w:color w:val="auto"/>
        </w:rPr>
      </w:pPr>
    </w:p>
    <w:p>
      <w:pPr>
        <w:ind w:left="120" w:right="420"/>
        <w:spacing w:after="0" w:line="238" w:lineRule="auto"/>
        <w:rPr>
          <w:sz w:val="20"/>
          <w:szCs w:val="20"/>
          <w:color w:val="auto"/>
        </w:rPr>
      </w:pPr>
      <w:r>
        <w:rPr>
          <w:rFonts w:ascii="Arial" w:cs="Arial" w:eastAsia="Arial" w:hAnsi="Arial"/>
          <w:sz w:val="17"/>
          <w:szCs w:val="17"/>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47"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7"/>
          <w:szCs w:val="17"/>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93"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The following list sets forth information regarding all unregistered securities sold by ALX Oncology Limited from January 1, 2017 to March 31, 2020, the period prior to our incorporation and the effectiveness of the reorganization, and all unregistered securities sold by us since our incorporation on April 1, 2020. For all other times, it includes transactions between us and related parties.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90" w:lineRule="exact"/>
        <w:rPr>
          <w:sz w:val="20"/>
          <w:szCs w:val="20"/>
          <w:color w:val="auto"/>
        </w:rPr>
      </w:pPr>
    </w:p>
    <w:p>
      <w:pPr>
        <w:ind w:left="540" w:right="740" w:hanging="424"/>
        <w:spacing w:after="0" w:line="243" w:lineRule="auto"/>
        <w:tabs>
          <w:tab w:leader="none" w:pos="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From March 2017 to August 2017, ALX Oncology Limited received total proceeds of $25,000,000 from the issuance of convertible promissory notes to investors.</w:t>
      </w:r>
    </w:p>
    <w:p>
      <w:pPr>
        <w:spacing w:after="0" w:line="184" w:lineRule="exact"/>
        <w:rPr>
          <w:rFonts w:ascii="Arial" w:cs="Arial" w:eastAsia="Arial" w:hAnsi="Arial"/>
          <w:sz w:val="17"/>
          <w:szCs w:val="17"/>
          <w:color w:val="auto"/>
        </w:rPr>
      </w:pPr>
    </w:p>
    <w:p>
      <w:pPr>
        <w:ind w:left="540" w:right="260" w:hanging="424"/>
        <w:spacing w:after="0" w:line="243" w:lineRule="auto"/>
        <w:tabs>
          <w:tab w:leader="none" w:pos="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In September 2017, all of the convertible promissory notes were converted to an aggregate of 25,180,500 shares of Series A convertible preferred stock of ALX Oncology Limited at a conversion price of $1.00 per share.</w:t>
      </w:r>
    </w:p>
    <w:p>
      <w:pPr>
        <w:spacing w:after="0" w:line="184" w:lineRule="exact"/>
        <w:rPr>
          <w:rFonts w:ascii="Arial" w:cs="Arial" w:eastAsia="Arial" w:hAnsi="Arial"/>
          <w:sz w:val="17"/>
          <w:szCs w:val="17"/>
          <w:color w:val="auto"/>
        </w:rPr>
      </w:pPr>
    </w:p>
    <w:p>
      <w:pPr>
        <w:ind w:left="540" w:right="320" w:hanging="424"/>
        <w:spacing w:after="0" w:line="243" w:lineRule="auto"/>
        <w:tabs>
          <w:tab w:leader="none" w:pos="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In May 2019, ALX Oncology Limited issued and sold to investors an aggregate of 6,690,729 shares of its Series B convertible preferred stock at $1.4432 per share, for an aggregate consideration of approximately $9.6 million.</w:t>
      </w:r>
    </w:p>
    <w:p>
      <w:pPr>
        <w:spacing w:after="0" w:line="184" w:lineRule="exact"/>
        <w:rPr>
          <w:rFonts w:ascii="Arial" w:cs="Arial" w:eastAsia="Arial" w:hAnsi="Arial"/>
          <w:sz w:val="17"/>
          <w:szCs w:val="17"/>
          <w:color w:val="auto"/>
        </w:rPr>
      </w:pPr>
    </w:p>
    <w:p>
      <w:pPr>
        <w:ind w:left="540" w:right="220" w:hanging="424"/>
        <w:spacing w:after="0" w:line="243" w:lineRule="auto"/>
        <w:tabs>
          <w:tab w:leader="none" w:pos="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In December 2019, ALX Oncology Limited issued to certain lenders warrants to purchase an aggregate of 403,348 shares of its Series B convertible preferred stock at $1.4432 per share pursuant to a loan and security agreement.</w:t>
      </w:r>
    </w:p>
    <w:p>
      <w:pPr>
        <w:spacing w:after="0" w:line="184" w:lineRule="exact"/>
        <w:rPr>
          <w:rFonts w:ascii="Arial" w:cs="Arial" w:eastAsia="Arial" w:hAnsi="Arial"/>
          <w:sz w:val="17"/>
          <w:szCs w:val="17"/>
          <w:color w:val="auto"/>
        </w:rPr>
      </w:pPr>
    </w:p>
    <w:p>
      <w:pPr>
        <w:ind w:left="540" w:right="600" w:hanging="424"/>
        <w:spacing w:after="0" w:line="243" w:lineRule="auto"/>
        <w:tabs>
          <w:tab w:leader="none" w:pos="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In February 2020, ALX Oncology Limited issued and sold to investors an aggregate of 72,754,989 shares of its Series C convertible preferred stock at $1.4432 per share for an aggregate consideration of approximately $105.0 million.</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080"/>
          </w:cols>
          <w:pgMar w:left="320" w:top="459" w:right="49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40" w:right="140" w:hanging="424"/>
        <w:spacing w:after="0" w:line="243" w:lineRule="auto"/>
        <w:tabs>
          <w:tab w:leader="none" w:pos="5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Between January 2017 to March 2020, ALX Oncology Limited granted to certain service providers stock options to purchase an aggregate of 21,465,623 shares of its common stock upon the exercise of options at exercise prices per share ranging from $0.15 to $0.62.</w:t>
      </w:r>
    </w:p>
    <w:p>
      <w:pPr>
        <w:spacing w:after="0" w:line="184" w:lineRule="exact"/>
        <w:rPr>
          <w:rFonts w:ascii="Arial" w:cs="Arial" w:eastAsia="Arial" w:hAnsi="Arial"/>
          <w:sz w:val="17"/>
          <w:szCs w:val="17"/>
          <w:color w:val="auto"/>
        </w:rPr>
      </w:pPr>
    </w:p>
    <w:p>
      <w:pPr>
        <w:ind w:left="540" w:right="100" w:hanging="424"/>
        <w:spacing w:after="0" w:line="238" w:lineRule="auto"/>
        <w:tabs>
          <w:tab w:leader="none" w:pos="5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Between January 2017 to March 2020, ALX Oncology Limited issued and sold to certain service providers 99,731 shares of common stock upon the exercise of options at exercise prices per share ranging from $0.15 to $0.29, for an aggregate exercise price of approximately $19,491.69.</w:t>
      </w:r>
    </w:p>
    <w:p>
      <w:pPr>
        <w:spacing w:after="0" w:line="187" w:lineRule="exact"/>
        <w:rPr>
          <w:rFonts w:ascii="Arial" w:cs="Arial" w:eastAsia="Arial" w:hAnsi="Arial"/>
          <w:sz w:val="17"/>
          <w:szCs w:val="17"/>
          <w:color w:val="auto"/>
        </w:rPr>
      </w:pPr>
    </w:p>
    <w:p>
      <w:pPr>
        <w:ind w:left="540" w:right="20" w:hanging="424"/>
        <w:spacing w:after="0" w:line="233" w:lineRule="auto"/>
        <w:tabs>
          <w:tab w:leader="none" w:pos="5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On April 1, 2020, we incorporated ALX Oncology Holdings Inc. in Delaware, and we completed a reorganization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us as they did in ALX Oncology Limited immediately prior to the reorganization. In connection with this reorganization, on April 1, 2020: (a) we issued and sold to the existing shareholders of ALX Oncology Limited an aggregate of 20,840,532 shares of our common stock at purchase prices per share ranging from $0.001 to $0.29, an aggregate of 61,180,500 shares of our Series A convertible preferred stock at a purchase price per share of $1.000, an aggregate of 6,690,729 shares of our Series B convertible preferred stock at a purchase price per share of $1.4432 and an aggregate of 72,754,989 shares of our Series C convertible preferred stock at a purchase price per share of $1.4432, in exchange for promissory notes with an aggregate principal amount of approximately $176.3 million; (b) we acquired 525,000,000 shares of common stock of ALX Oncology Limited in exchange for the promissory notes that were acquired in connection with the issuance and sale of our capital stock described in clause (a); and (c) we granted stock options to the holders of outstanding options to purchase common stock of ALX Oncology Limited to purchase an aggregate of 21,063,923 shares of our common stock upon the exercise of options at exercise prices per share ranging from $0.13 to $0.62.</w:t>
      </w:r>
    </w:p>
    <w:p>
      <w:pPr>
        <w:spacing w:after="0" w:line="192" w:lineRule="exact"/>
        <w:rPr>
          <w:rFonts w:ascii="Arial" w:cs="Arial" w:eastAsia="Arial" w:hAnsi="Arial"/>
          <w:sz w:val="17"/>
          <w:szCs w:val="17"/>
          <w:color w:val="auto"/>
        </w:rPr>
      </w:pPr>
    </w:p>
    <w:p>
      <w:pPr>
        <w:jc w:val="both"/>
        <w:ind w:left="540" w:right="80" w:hanging="424"/>
        <w:spacing w:after="0" w:line="236" w:lineRule="auto"/>
        <w:tabs>
          <w:tab w:leader="none" w:pos="5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In connection with the reorganization and to replace the warrants that were originally issued by ALX Oncology Limited, on April 1, 2020, we issued to certain lenders warrants to purchase an aggregate of 403,348 shares of our Series B convertible preferred stock with an exercise price of $1.4432 per share pursuant to the amended loan and security agreement that was originally entered into by ALX Oncology Limited in December 2019.</w:t>
      </w:r>
    </w:p>
    <w:p>
      <w:pPr>
        <w:spacing w:after="0" w:line="189" w:lineRule="exact"/>
        <w:rPr>
          <w:rFonts w:ascii="Arial" w:cs="Arial" w:eastAsia="Arial" w:hAnsi="Arial"/>
          <w:sz w:val="17"/>
          <w:szCs w:val="17"/>
          <w:color w:val="auto"/>
        </w:rPr>
      </w:pPr>
    </w:p>
    <w:p>
      <w:pPr>
        <w:ind w:left="540" w:right="320" w:hanging="424"/>
        <w:spacing w:after="0" w:line="243" w:lineRule="auto"/>
        <w:tabs>
          <w:tab w:leader="none" w:pos="5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Since April 2, 2020, we have granted options to purchase an aggregate of 4,435,000 shares of our common stock at exercise prices per share ranging from $0.73 to $0.85, to a total of 17 service providers under our 2020 Equity Incentive Plan.</w:t>
      </w:r>
    </w:p>
    <w:p>
      <w:pPr>
        <w:spacing w:after="0" w:line="185" w:lineRule="exact"/>
        <w:rPr>
          <w:sz w:val="20"/>
          <w:szCs w:val="20"/>
          <w:color w:val="auto"/>
        </w:rPr>
      </w:pPr>
    </w:p>
    <w:p>
      <w:pPr>
        <w:ind w:left="540" w:right="100" w:hanging="419"/>
        <w:spacing w:after="0" w:line="238" w:lineRule="auto"/>
        <w:tabs>
          <w:tab w:leader="none" w:pos="520" w:val="left"/>
        </w:tabs>
        <w:rPr>
          <w:sz w:val="20"/>
          <w:szCs w:val="20"/>
          <w:color w:val="auto"/>
        </w:rPr>
      </w:pPr>
      <w:r>
        <w:rPr>
          <w:rFonts w:ascii="Arial" w:cs="Arial" w:eastAsia="Arial" w:hAnsi="Arial"/>
          <w:sz w:val="17"/>
          <w:szCs w:val="17"/>
          <w:color w:val="auto"/>
        </w:rPr>
        <w:t>(11)</w:t>
        <w:tab/>
        <w:t>On the effective date of this registration statement, we will grant stock options to purchase an aggregate of shares of common stock under our Amended and Restated 2020 Equity Incentive Plan to service providers at an exercise price per share equal to the initial public offering price of our common stock.</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offers, sales and issuances of the securities described in Items 15(1), (2), (3), (4), (5) and (9) were exempt from registration under the Securities Act under Section 4(a)(2) of the Securities Act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50"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The offers, sales and issuances of the securities described in Items 15(6), (7) and (10) were exempt from registration under the Securities Act under Rule 701 in that the transactions were under compensatory benefit plans and contracts relating to compensation as provided under Rule 701. The recipients of such securities were the registrant’s employees, consultants or directors and received the securities under ALX Oncology Limited’s equity incentive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offers, sales and issuances of the securities described in Items 15(8) were exempt from registration under the Securities Act under either</w:t>
      </w:r>
    </w:p>
    <w:p>
      <w:pPr>
        <w:ind w:left="5500" w:right="4920" w:hanging="5384"/>
        <w:spacing w:after="0" w:line="423" w:lineRule="auto"/>
        <w:tabs>
          <w:tab w:leader="none" w:pos="36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Rule 701 in that the transactions were under compensatory benefit plans and </w:t>
      </w:r>
      <w:r>
        <w:rPr>
          <w:rFonts w:ascii="Arial" w:cs="Arial" w:eastAsia="Arial" w:hAnsi="Arial"/>
          <w:sz w:val="16"/>
          <w:szCs w:val="16"/>
          <w:color w:val="auto"/>
        </w:rPr>
        <w:t>II-3</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contracts relating to compensation as provided under Rule 701 or (2) Section 4(a)(2) of the Securities Act as transactions by an issuer not involving any public offering. The recipients of such securities were the registrant’s employees, consultants or directors and received the securities under the registrant’s 2020 Equity Incentive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 and Financial Statement Schedules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 Exhibits.</w:t>
      </w:r>
    </w:p>
    <w:p>
      <w:pPr>
        <w:spacing w:after="0" w:line="41"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See the Exhibit Index immediately preceding the signature page hereto for a list of exhibits filed as part of this registration statement on Form S-1, which Exhibit Index is incorporated herein by reference.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 Financial Statement Schedules.</w:t>
      </w:r>
    </w:p>
    <w:p>
      <w:pPr>
        <w:spacing w:after="0" w:line="41"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Schedules have been omitted because the information required to be set forth therein is not applicable or is shown in the consolidated financial statements or notes thereto.</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93"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4"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undersigned hereby undertakes that:</w:t>
      </w:r>
    </w:p>
    <w:p>
      <w:pPr>
        <w:spacing w:after="0" w:line="196" w:lineRule="exact"/>
        <w:rPr>
          <w:sz w:val="20"/>
          <w:szCs w:val="20"/>
          <w:color w:val="auto"/>
        </w:rPr>
      </w:pPr>
    </w:p>
    <w:p>
      <w:pPr>
        <w:ind w:left="540" w:right="60" w:hanging="424"/>
        <w:spacing w:after="0" w:line="232" w:lineRule="auto"/>
        <w:tabs>
          <w:tab w:leader="none" w:pos="5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540" w:right="640"/>
        <w:spacing w:after="0" w:line="243" w:lineRule="auto"/>
        <w:rPr>
          <w:rFonts w:ascii="Arial" w:cs="Arial" w:eastAsia="Arial" w:hAnsi="Arial"/>
          <w:sz w:val="17"/>
          <w:szCs w:val="17"/>
          <w:color w:val="auto"/>
        </w:rPr>
      </w:pPr>
      <w:r>
        <w:rPr>
          <w:rFonts w:ascii="Arial" w:cs="Arial" w:eastAsia="Arial" w:hAnsi="Arial"/>
          <w:sz w:val="17"/>
          <w:szCs w:val="17"/>
          <w:color w:val="auto"/>
        </w:rPr>
        <w:t>(4) or 497(h) under the Securities Act of 1933 shall be deemed to be part of this registration statement as of the time it was declared effective.</w:t>
      </w:r>
    </w:p>
    <w:p>
      <w:pPr>
        <w:spacing w:after="0" w:line="184" w:lineRule="exact"/>
        <w:rPr>
          <w:rFonts w:ascii="Arial" w:cs="Arial" w:eastAsia="Arial" w:hAnsi="Arial"/>
          <w:sz w:val="17"/>
          <w:szCs w:val="17"/>
          <w:color w:val="auto"/>
        </w:rPr>
      </w:pPr>
    </w:p>
    <w:p>
      <w:pPr>
        <w:ind w:left="540" w:right="20" w:hanging="424"/>
        <w:spacing w:after="0" w:line="238" w:lineRule="auto"/>
        <w:tabs>
          <w:tab w:leader="none" w:pos="5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540" w:type="dxa"/>
            <w:vAlign w:val="bottom"/>
            <w:gridSpan w:val="3"/>
          </w:tcPr>
          <w:p>
            <w:pPr>
              <w:ind w:left="1420"/>
              <w:spacing w:after="0"/>
              <w:rPr>
                <w:sz w:val="20"/>
                <w:szCs w:val="20"/>
                <w:color w:val="auto"/>
              </w:rPr>
            </w:pPr>
            <w:r>
              <w:rPr>
                <w:rFonts w:ascii="Arial" w:cs="Arial" w:eastAsia="Arial" w:hAnsi="Arial"/>
                <w:sz w:val="18"/>
                <w:szCs w:val="18"/>
                <w:b w:val="1"/>
                <w:bCs w:val="1"/>
                <w:color w:val="auto"/>
              </w:rPr>
              <w:t>EXHIBIT INDEX</w:t>
            </w:r>
          </w:p>
        </w:tc>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6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385"/>
        </w:trPr>
        <w:tc>
          <w:tcPr>
            <w:tcW w:w="6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2"/>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DESCRIPTION</w:t>
            </w:r>
          </w:p>
        </w:tc>
        <w:tc>
          <w:tcPr>
            <w:tcW w:w="1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23"/>
                <w:szCs w:val="23"/>
                <w:color w:val="auto"/>
              </w:rPr>
            </w:pPr>
          </w:p>
        </w:tc>
        <w:tc>
          <w:tcPr>
            <w:tcW w:w="6740" w:type="dxa"/>
            <w:vAlign w:val="bottom"/>
            <w:gridSpan w:val="4"/>
          </w:tcPr>
          <w:p>
            <w:pPr>
              <w:spacing w:after="0"/>
              <w:rPr>
                <w:sz w:val="20"/>
                <w:szCs w:val="20"/>
                <w:color w:val="auto"/>
              </w:rPr>
            </w:pPr>
            <w:r>
              <w:rPr>
                <w:rFonts w:ascii="Arial" w:cs="Arial" w:eastAsia="Arial" w:hAnsi="Arial"/>
                <w:sz w:val="17"/>
                <w:szCs w:val="17"/>
                <w:color w:val="auto"/>
              </w:rPr>
              <w:t>Form of Underwriting Agreement.</w:t>
            </w:r>
          </w:p>
        </w:tc>
        <w:tc>
          <w:tcPr>
            <w:tcW w:w="1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3"/>
                <w:szCs w:val="23"/>
                <w:color w:val="auto"/>
              </w:rPr>
            </w:pPr>
          </w:p>
        </w:tc>
        <w:tc>
          <w:tcPr>
            <w:tcW w:w="8100" w:type="dxa"/>
            <w:vAlign w:val="bottom"/>
            <w:gridSpan w:val="5"/>
          </w:tcPr>
          <w:p>
            <w:pPr>
              <w:spacing w:after="0"/>
              <w:rPr>
                <w:rFonts w:ascii="Arial" w:cs="Arial" w:eastAsia="Arial" w:hAnsi="Arial"/>
                <w:sz w:val="17"/>
                <w:szCs w:val="17"/>
                <w:u w:val="single" w:color="auto"/>
                <w:color w:val="0000EE"/>
              </w:rPr>
            </w:pPr>
            <w:hyperlink w:anchor="page234">
              <w:r>
                <w:rPr>
                  <w:rFonts w:ascii="Arial" w:cs="Arial" w:eastAsia="Arial" w:hAnsi="Arial"/>
                  <w:sz w:val="17"/>
                  <w:szCs w:val="17"/>
                  <w:u w:val="single" w:color="auto"/>
                  <w:color w:val="0000EE"/>
                </w:rPr>
                <w:t>Amended and Restated Certificate of Incorporation of the Registrant, as currently in effect.</w:t>
              </w:r>
            </w:hyperlink>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w:anchor="page260">
              <w:r>
                <w:rPr>
                  <w:rFonts w:ascii="Arial" w:cs="Arial" w:eastAsia="Arial" w:hAnsi="Arial"/>
                  <w:sz w:val="17"/>
                  <w:szCs w:val="17"/>
                  <w:u w:val="single" w:color="auto"/>
                  <w:color w:val="0000EE"/>
                </w:rPr>
                <w:t>Form of Amended and Restated Certificate of Incorporation of the Registrant, to be in effect upon the completion of this offering.</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23"/>
                <w:szCs w:val="23"/>
                <w:color w:val="auto"/>
              </w:rPr>
            </w:pPr>
          </w:p>
        </w:tc>
        <w:tc>
          <w:tcPr>
            <w:tcW w:w="6740" w:type="dxa"/>
            <w:vAlign w:val="bottom"/>
            <w:gridSpan w:val="4"/>
          </w:tcPr>
          <w:p>
            <w:pPr>
              <w:spacing w:after="0"/>
              <w:rPr>
                <w:rFonts w:ascii="Arial" w:cs="Arial" w:eastAsia="Arial" w:hAnsi="Arial"/>
                <w:sz w:val="17"/>
                <w:szCs w:val="17"/>
                <w:u w:val="single" w:color="auto"/>
                <w:color w:val="0000EE"/>
              </w:rPr>
            </w:pPr>
            <w:hyperlink w:anchor="page266">
              <w:r>
                <w:rPr>
                  <w:rFonts w:ascii="Arial" w:cs="Arial" w:eastAsia="Arial" w:hAnsi="Arial"/>
                  <w:sz w:val="17"/>
                  <w:szCs w:val="17"/>
                  <w:u w:val="single" w:color="auto"/>
                  <w:color w:val="0000EE"/>
                </w:rPr>
                <w:t>Bylaws of the Registrant, as currently in effect.</w:t>
              </w:r>
            </w:hyperlink>
          </w:p>
        </w:tc>
        <w:tc>
          <w:tcPr>
            <w:tcW w:w="1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w:anchor="page287">
              <w:r>
                <w:rPr>
                  <w:rFonts w:ascii="Arial" w:cs="Arial" w:eastAsia="Arial" w:hAnsi="Arial"/>
                  <w:sz w:val="17"/>
                  <w:szCs w:val="17"/>
                  <w:u w:val="single" w:color="auto"/>
                  <w:color w:val="0000EE"/>
                </w:rPr>
                <w:t>Form of Amended and Restated Bylaws of the Registrant, to be in effect upon the completion of this offering.</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w:anchor="page319">
              <w:r>
                <w:rPr>
                  <w:rFonts w:ascii="Arial" w:cs="Arial" w:eastAsia="Arial" w:hAnsi="Arial"/>
                  <w:sz w:val="17"/>
                  <w:szCs w:val="17"/>
                  <w:u w:val="single" w:color="auto"/>
                  <w:color w:val="0000EE"/>
                </w:rPr>
                <w:t>Amended and Restated Investors’ Rights Agreement among the Registrant and certain of its stockholders, dated April 1, 2020.</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3"/>
                <w:szCs w:val="23"/>
                <w:color w:val="auto"/>
              </w:rPr>
            </w:pPr>
          </w:p>
        </w:tc>
        <w:tc>
          <w:tcPr>
            <w:tcW w:w="6740" w:type="dxa"/>
            <w:vAlign w:val="bottom"/>
            <w:gridSpan w:val="4"/>
          </w:tcPr>
          <w:p>
            <w:pPr>
              <w:spacing w:after="0"/>
              <w:rPr>
                <w:rFonts w:ascii="Arial" w:cs="Arial" w:eastAsia="Arial" w:hAnsi="Arial"/>
                <w:sz w:val="17"/>
                <w:szCs w:val="17"/>
                <w:u w:val="single" w:color="auto"/>
                <w:color w:val="0000EE"/>
              </w:rPr>
            </w:pPr>
            <w:hyperlink w:anchor="page358">
              <w:r>
                <w:rPr>
                  <w:rFonts w:ascii="Arial" w:cs="Arial" w:eastAsia="Arial" w:hAnsi="Arial"/>
                  <w:sz w:val="17"/>
                  <w:szCs w:val="17"/>
                  <w:u w:val="single" w:color="auto"/>
                  <w:color w:val="0000EE"/>
                </w:rPr>
                <w:t>Specimen common stock certificate of the Registrant.</w:t>
              </w:r>
            </w:hyperlink>
          </w:p>
        </w:tc>
        <w:tc>
          <w:tcPr>
            <w:tcW w:w="1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3"/>
                <w:szCs w:val="23"/>
                <w:color w:val="auto"/>
              </w:rPr>
            </w:pPr>
          </w:p>
        </w:tc>
        <w:tc>
          <w:tcPr>
            <w:tcW w:w="6740" w:type="dxa"/>
            <w:vAlign w:val="bottom"/>
            <w:gridSpan w:val="4"/>
          </w:tcPr>
          <w:p>
            <w:pPr>
              <w:spacing w:after="0"/>
              <w:rPr>
                <w:rFonts w:ascii="Arial" w:cs="Arial" w:eastAsia="Arial" w:hAnsi="Arial"/>
                <w:sz w:val="17"/>
                <w:szCs w:val="17"/>
                <w:u w:val="single" w:color="auto"/>
                <w:color w:val="0000EE"/>
              </w:rPr>
            </w:pPr>
            <w:hyperlink w:anchor="page360">
              <w:r>
                <w:rPr>
                  <w:rFonts w:ascii="Arial" w:cs="Arial" w:eastAsia="Arial" w:hAnsi="Arial"/>
                  <w:sz w:val="17"/>
                  <w:szCs w:val="17"/>
                  <w:u w:val="single" w:color="auto"/>
                  <w:color w:val="0000EE"/>
                </w:rPr>
                <w:t>Form of Amended and Restated Warrant to Purchase Stock.</w:t>
              </w:r>
            </w:hyperlink>
          </w:p>
        </w:tc>
        <w:tc>
          <w:tcPr>
            <w:tcW w:w="1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3"/>
                <w:szCs w:val="23"/>
                <w:color w:val="auto"/>
              </w:rPr>
            </w:pPr>
          </w:p>
        </w:tc>
        <w:tc>
          <w:tcPr>
            <w:tcW w:w="6740" w:type="dxa"/>
            <w:vAlign w:val="bottom"/>
            <w:gridSpan w:val="4"/>
          </w:tcPr>
          <w:p>
            <w:pPr>
              <w:spacing w:after="0"/>
              <w:rPr>
                <w:sz w:val="20"/>
                <w:szCs w:val="20"/>
                <w:color w:val="auto"/>
              </w:rPr>
            </w:pPr>
            <w:r>
              <w:rPr>
                <w:rFonts w:ascii="Arial" w:cs="Arial" w:eastAsia="Arial" w:hAnsi="Arial"/>
                <w:sz w:val="17"/>
                <w:szCs w:val="17"/>
                <w:color w:val="auto"/>
              </w:rPr>
              <w:t>Opinion of Wilson Sonsini Goodrich &amp; Rosati, Professional Corporation.</w:t>
            </w:r>
          </w:p>
        </w:tc>
        <w:tc>
          <w:tcPr>
            <w:tcW w:w="1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3"/>
                <w:szCs w:val="23"/>
                <w:color w:val="auto"/>
              </w:rPr>
            </w:pPr>
          </w:p>
        </w:tc>
        <w:tc>
          <w:tcPr>
            <w:tcW w:w="8100" w:type="dxa"/>
            <w:vAlign w:val="bottom"/>
            <w:gridSpan w:val="5"/>
          </w:tcPr>
          <w:p>
            <w:pPr>
              <w:spacing w:after="0"/>
              <w:rPr>
                <w:rFonts w:ascii="Arial" w:cs="Arial" w:eastAsia="Arial" w:hAnsi="Arial"/>
                <w:sz w:val="17"/>
                <w:szCs w:val="17"/>
                <w:color w:val="0000EE"/>
              </w:rPr>
            </w:pPr>
            <w:hyperlink w:anchor="page376">
              <w:r>
                <w:rPr>
                  <w:rFonts w:ascii="Arial" w:cs="Arial" w:eastAsia="Arial" w:hAnsi="Arial"/>
                  <w:sz w:val="17"/>
                  <w:szCs w:val="17"/>
                  <w:u w:val="single" w:color="auto"/>
                  <w:color w:val="0000EE"/>
                </w:rPr>
                <w:t>Form of Indemnification Agreement between the Registrant and each of its directors and executive officers</w:t>
              </w:r>
              <w:r>
                <w:rPr>
                  <w:rFonts w:ascii="Arial" w:cs="Arial" w:eastAsia="Arial" w:hAnsi="Arial"/>
                  <w:sz w:val="17"/>
                  <w:szCs w:val="17"/>
                  <w:color w:val="0000EE"/>
                </w:rPr>
                <w:t>.</w:t>
              </w:r>
            </w:hyperlink>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0"/>
                <w:szCs w:val="20"/>
                <w:color w:val="auto"/>
              </w:rPr>
            </w:pPr>
          </w:p>
        </w:tc>
        <w:tc>
          <w:tcPr>
            <w:tcW w:w="9800" w:type="dxa"/>
            <w:vAlign w:val="bottom"/>
            <w:gridSpan w:val="10"/>
          </w:tcPr>
          <w:p>
            <w:pPr>
              <w:spacing w:after="0"/>
              <w:rPr>
                <w:sz w:val="20"/>
                <w:szCs w:val="20"/>
                <w:color w:val="auto"/>
              </w:rPr>
            </w:pPr>
            <w:r>
              <w:rPr>
                <w:rFonts w:ascii="Arial" w:cs="Arial" w:eastAsia="Arial" w:hAnsi="Arial"/>
                <w:sz w:val="17"/>
                <w:szCs w:val="17"/>
                <w:color w:val="auto"/>
              </w:rPr>
              <w:t>Amended and Restated 2020 Equity Incentive Plan and forms of agreements thereunder, to be in effect upon the completion of</w:t>
            </w:r>
          </w:p>
        </w:tc>
      </w:tr>
      <w:tr>
        <w:trPr>
          <w:trHeight w:val="205"/>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40" w:type="dxa"/>
            <w:vAlign w:val="bottom"/>
            <w:gridSpan w:val="4"/>
          </w:tcPr>
          <w:p>
            <w:pPr>
              <w:spacing w:after="0"/>
              <w:rPr>
                <w:sz w:val="20"/>
                <w:szCs w:val="20"/>
                <w:color w:val="auto"/>
              </w:rPr>
            </w:pPr>
            <w:r>
              <w:rPr>
                <w:rFonts w:ascii="Arial" w:cs="Arial" w:eastAsia="Arial" w:hAnsi="Arial"/>
                <w:sz w:val="17"/>
                <w:szCs w:val="17"/>
                <w:color w:val="auto"/>
              </w:rPr>
              <w:t>this offering.</w:t>
            </w:r>
          </w:p>
        </w:tc>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4"/>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3"/>
                <w:szCs w:val="23"/>
                <w:color w:val="auto"/>
              </w:rPr>
            </w:pPr>
          </w:p>
        </w:tc>
        <w:tc>
          <w:tcPr>
            <w:tcW w:w="6740" w:type="dxa"/>
            <w:vAlign w:val="bottom"/>
            <w:gridSpan w:val="4"/>
          </w:tcPr>
          <w:p>
            <w:pPr>
              <w:spacing w:after="0"/>
              <w:rPr>
                <w:sz w:val="20"/>
                <w:szCs w:val="20"/>
                <w:color w:val="auto"/>
              </w:rPr>
            </w:pPr>
            <w:r>
              <w:rPr>
                <w:rFonts w:ascii="Arial" w:cs="Arial" w:eastAsia="Arial" w:hAnsi="Arial"/>
                <w:sz w:val="17"/>
                <w:szCs w:val="17"/>
                <w:color w:val="auto"/>
              </w:rPr>
              <w:t>2020 Employee Stock Purchase Plan, to be in effect upon the completion of this offering.</w:t>
            </w:r>
          </w:p>
        </w:tc>
        <w:tc>
          <w:tcPr>
            <w:tcW w:w="1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3"/>
                <w:szCs w:val="23"/>
                <w:color w:val="auto"/>
              </w:rPr>
            </w:pPr>
          </w:p>
        </w:tc>
        <w:tc>
          <w:tcPr>
            <w:tcW w:w="6740" w:type="dxa"/>
            <w:vAlign w:val="bottom"/>
            <w:gridSpan w:val="4"/>
          </w:tcPr>
          <w:p>
            <w:pPr>
              <w:spacing w:after="0"/>
              <w:rPr>
                <w:sz w:val="20"/>
                <w:szCs w:val="20"/>
                <w:color w:val="auto"/>
              </w:rPr>
            </w:pPr>
            <w:r>
              <w:rPr>
                <w:rFonts w:ascii="Arial" w:cs="Arial" w:eastAsia="Arial" w:hAnsi="Arial"/>
                <w:sz w:val="17"/>
                <w:szCs w:val="17"/>
                <w:color w:val="auto"/>
              </w:rPr>
              <w:t>Confirmatory Offer Letter between the Registrant and Jaume Pons, Ph.D. effective as of</w:t>
            </w:r>
          </w:p>
        </w:tc>
        <w:tc>
          <w:tcPr>
            <w:tcW w:w="1360" w:type="dxa"/>
            <w:vAlign w:val="bottom"/>
          </w:tcPr>
          <w:p>
            <w:pPr>
              <w:jc w:val="right"/>
              <w:ind w:right="235"/>
              <w:spacing w:after="0"/>
              <w:rPr>
                <w:sz w:val="20"/>
                <w:szCs w:val="20"/>
                <w:color w:val="auto"/>
              </w:rPr>
            </w:pPr>
            <w:r>
              <w:rPr>
                <w:rFonts w:ascii="Arial" w:cs="Arial" w:eastAsia="Arial" w:hAnsi="Arial"/>
                <w:sz w:val="17"/>
                <w:szCs w:val="17"/>
                <w:color w:val="auto"/>
              </w:rPr>
              <w:t>, 2020.</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3"/>
                <w:szCs w:val="23"/>
                <w:color w:val="auto"/>
              </w:rPr>
            </w:pPr>
          </w:p>
        </w:tc>
        <w:tc>
          <w:tcPr>
            <w:tcW w:w="6740" w:type="dxa"/>
            <w:vAlign w:val="bottom"/>
            <w:gridSpan w:val="4"/>
          </w:tcPr>
          <w:p>
            <w:pPr>
              <w:spacing w:after="0"/>
              <w:rPr>
                <w:sz w:val="20"/>
                <w:szCs w:val="20"/>
                <w:color w:val="auto"/>
              </w:rPr>
            </w:pPr>
            <w:r>
              <w:rPr>
                <w:rFonts w:ascii="Arial" w:cs="Arial" w:eastAsia="Arial" w:hAnsi="Arial"/>
                <w:sz w:val="17"/>
                <w:szCs w:val="17"/>
                <w:color w:val="auto"/>
              </w:rPr>
              <w:t>Confirmatory Offer Letter between the Registrant and Nathan Caffo, effective as of</w:t>
            </w:r>
          </w:p>
        </w:tc>
        <w:tc>
          <w:tcPr>
            <w:tcW w:w="1360" w:type="dxa"/>
            <w:vAlign w:val="bottom"/>
          </w:tcPr>
          <w:p>
            <w:pPr>
              <w:jc w:val="right"/>
              <w:ind w:right="655"/>
              <w:spacing w:after="0"/>
              <w:rPr>
                <w:sz w:val="20"/>
                <w:szCs w:val="20"/>
                <w:color w:val="auto"/>
              </w:rPr>
            </w:pPr>
            <w:r>
              <w:rPr>
                <w:rFonts w:ascii="Arial" w:cs="Arial" w:eastAsia="Arial" w:hAnsi="Arial"/>
                <w:sz w:val="17"/>
                <w:szCs w:val="17"/>
                <w:color w:val="auto"/>
              </w:rPr>
              <w:t>, 2020.</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3"/>
                <w:szCs w:val="23"/>
                <w:color w:val="auto"/>
              </w:rPr>
            </w:pPr>
          </w:p>
        </w:tc>
        <w:tc>
          <w:tcPr>
            <w:tcW w:w="6740" w:type="dxa"/>
            <w:vAlign w:val="bottom"/>
            <w:gridSpan w:val="4"/>
          </w:tcPr>
          <w:p>
            <w:pPr>
              <w:spacing w:after="0"/>
              <w:rPr>
                <w:sz w:val="20"/>
                <w:szCs w:val="20"/>
                <w:color w:val="auto"/>
              </w:rPr>
            </w:pPr>
            <w:r>
              <w:rPr>
                <w:rFonts w:ascii="Arial" w:cs="Arial" w:eastAsia="Arial" w:hAnsi="Arial"/>
                <w:sz w:val="17"/>
                <w:szCs w:val="17"/>
                <w:color w:val="auto"/>
              </w:rPr>
              <w:t>Confirmatory Offer Letter between the Registrant and Peter García, effective as of</w:t>
            </w:r>
          </w:p>
        </w:tc>
        <w:tc>
          <w:tcPr>
            <w:tcW w:w="1360" w:type="dxa"/>
            <w:vAlign w:val="bottom"/>
          </w:tcPr>
          <w:p>
            <w:pPr>
              <w:jc w:val="right"/>
              <w:ind w:right="695"/>
              <w:spacing w:after="0"/>
              <w:rPr>
                <w:sz w:val="20"/>
                <w:szCs w:val="20"/>
                <w:color w:val="auto"/>
              </w:rPr>
            </w:pPr>
            <w:r>
              <w:rPr>
                <w:rFonts w:ascii="Arial" w:cs="Arial" w:eastAsia="Arial" w:hAnsi="Arial"/>
                <w:sz w:val="17"/>
                <w:szCs w:val="17"/>
                <w:color w:val="auto"/>
              </w:rPr>
              <w:t>, 2020.</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23"/>
                <w:szCs w:val="23"/>
                <w:color w:val="auto"/>
              </w:rPr>
            </w:pPr>
          </w:p>
        </w:tc>
        <w:tc>
          <w:tcPr>
            <w:tcW w:w="6740" w:type="dxa"/>
            <w:vAlign w:val="bottom"/>
            <w:gridSpan w:val="4"/>
          </w:tcPr>
          <w:p>
            <w:pPr>
              <w:spacing w:after="0"/>
              <w:rPr>
                <w:sz w:val="20"/>
                <w:szCs w:val="20"/>
                <w:color w:val="auto"/>
              </w:rPr>
            </w:pPr>
            <w:r>
              <w:rPr>
                <w:rFonts w:ascii="Arial" w:cs="Arial" w:eastAsia="Arial" w:hAnsi="Arial"/>
                <w:sz w:val="17"/>
                <w:szCs w:val="17"/>
                <w:color w:val="auto"/>
              </w:rPr>
              <w:t>Confirmatory Offer Letter between the Registrant and Steffen Pietzke, effective as of</w:t>
            </w:r>
          </w:p>
        </w:tc>
        <w:tc>
          <w:tcPr>
            <w:tcW w:w="1360" w:type="dxa"/>
            <w:vAlign w:val="bottom"/>
          </w:tcPr>
          <w:p>
            <w:pPr>
              <w:jc w:val="right"/>
              <w:ind w:right="515"/>
              <w:spacing w:after="0"/>
              <w:rPr>
                <w:sz w:val="20"/>
                <w:szCs w:val="20"/>
                <w:color w:val="auto"/>
              </w:rPr>
            </w:pPr>
            <w:r>
              <w:rPr>
                <w:rFonts w:ascii="Arial" w:cs="Arial" w:eastAsia="Arial" w:hAnsi="Arial"/>
                <w:sz w:val="17"/>
                <w:szCs w:val="17"/>
                <w:color w:val="auto"/>
              </w:rPr>
              <w:t>, 2020.</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23"/>
                <w:szCs w:val="23"/>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rPr>
              <w:t>Confirmatory Offer Letter between the Registrant and Sophia Randolph, M.D., Ph.D., effective as of</w:t>
            </w:r>
          </w:p>
        </w:tc>
        <w:tc>
          <w:tcPr>
            <w:tcW w:w="780" w:type="dxa"/>
            <w:vAlign w:val="bottom"/>
          </w:tcPr>
          <w:p>
            <w:pPr>
              <w:jc w:val="right"/>
              <w:ind w:right="155"/>
              <w:spacing w:after="0"/>
              <w:rPr>
                <w:sz w:val="20"/>
                <w:szCs w:val="20"/>
                <w:color w:val="auto"/>
              </w:rPr>
            </w:pPr>
            <w:r>
              <w:rPr>
                <w:rFonts w:ascii="Arial" w:cs="Arial" w:eastAsia="Arial" w:hAnsi="Arial"/>
                <w:sz w:val="17"/>
                <w:szCs w:val="17"/>
                <w:color w:val="auto"/>
                <w:w w:val="99"/>
              </w:rPr>
              <w:t>, 2020.</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23"/>
                <w:szCs w:val="23"/>
                <w:color w:val="auto"/>
              </w:rPr>
            </w:pPr>
          </w:p>
        </w:tc>
        <w:tc>
          <w:tcPr>
            <w:tcW w:w="6740" w:type="dxa"/>
            <w:vAlign w:val="bottom"/>
            <w:gridSpan w:val="4"/>
          </w:tcPr>
          <w:p>
            <w:pPr>
              <w:spacing w:after="0"/>
              <w:rPr>
                <w:sz w:val="20"/>
                <w:szCs w:val="20"/>
                <w:color w:val="auto"/>
              </w:rPr>
            </w:pPr>
            <w:r>
              <w:rPr>
                <w:rFonts w:ascii="Arial" w:cs="Arial" w:eastAsia="Arial" w:hAnsi="Arial"/>
                <w:sz w:val="17"/>
                <w:szCs w:val="17"/>
                <w:color w:val="auto"/>
              </w:rPr>
              <w:t>Executive Incentive Compensation Plan.</w:t>
            </w:r>
          </w:p>
        </w:tc>
        <w:tc>
          <w:tcPr>
            <w:tcW w:w="1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w w:val="99"/>
              </w:rPr>
              <w:t>10.10+*</w:t>
            </w:r>
          </w:p>
        </w:tc>
        <w:tc>
          <w:tcPr>
            <w:tcW w:w="580" w:type="dxa"/>
            <w:vAlign w:val="bottom"/>
          </w:tcPr>
          <w:p>
            <w:pPr>
              <w:spacing w:after="0"/>
              <w:rPr>
                <w:sz w:val="23"/>
                <w:szCs w:val="23"/>
                <w:color w:val="auto"/>
              </w:rPr>
            </w:pPr>
          </w:p>
        </w:tc>
        <w:tc>
          <w:tcPr>
            <w:tcW w:w="6740" w:type="dxa"/>
            <w:vAlign w:val="bottom"/>
            <w:gridSpan w:val="4"/>
          </w:tcPr>
          <w:p>
            <w:pPr>
              <w:spacing w:after="0"/>
              <w:rPr>
                <w:sz w:val="20"/>
                <w:szCs w:val="20"/>
                <w:color w:val="auto"/>
              </w:rPr>
            </w:pPr>
            <w:r>
              <w:rPr>
                <w:rFonts w:ascii="Arial" w:cs="Arial" w:eastAsia="Arial" w:hAnsi="Arial"/>
                <w:sz w:val="17"/>
                <w:szCs w:val="17"/>
                <w:color w:val="auto"/>
              </w:rPr>
              <w:t>Outside Director Compensation Policy.</w:t>
            </w:r>
          </w:p>
        </w:tc>
        <w:tc>
          <w:tcPr>
            <w:tcW w:w="1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w w:val="99"/>
              </w:rPr>
              <w:t>10.11+*</w:t>
            </w:r>
          </w:p>
        </w:tc>
        <w:tc>
          <w:tcPr>
            <w:tcW w:w="580" w:type="dxa"/>
            <w:vAlign w:val="bottom"/>
          </w:tcPr>
          <w:p>
            <w:pPr>
              <w:spacing w:after="0"/>
              <w:rPr>
                <w:sz w:val="23"/>
                <w:szCs w:val="23"/>
                <w:color w:val="auto"/>
              </w:rPr>
            </w:pPr>
          </w:p>
        </w:tc>
        <w:tc>
          <w:tcPr>
            <w:tcW w:w="6740" w:type="dxa"/>
            <w:vAlign w:val="bottom"/>
            <w:gridSpan w:val="4"/>
          </w:tcPr>
          <w:p>
            <w:pPr>
              <w:spacing w:after="0"/>
              <w:rPr>
                <w:sz w:val="20"/>
                <w:szCs w:val="20"/>
                <w:color w:val="auto"/>
              </w:rPr>
            </w:pPr>
            <w:r>
              <w:rPr>
                <w:rFonts w:ascii="Arial" w:cs="Arial" w:eastAsia="Arial" w:hAnsi="Arial"/>
                <w:sz w:val="17"/>
                <w:szCs w:val="17"/>
                <w:color w:val="auto"/>
              </w:rPr>
              <w:t>Form of Change in Control and Severance Agreement.</w:t>
            </w:r>
          </w:p>
        </w:tc>
        <w:tc>
          <w:tcPr>
            <w:tcW w:w="1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1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580" w:type="dxa"/>
            <w:vAlign w:val="bottom"/>
          </w:tcPr>
          <w:p>
            <w:pPr>
              <w:spacing w:after="0"/>
              <w:rPr>
                <w:sz w:val="18"/>
                <w:szCs w:val="18"/>
                <w:color w:val="auto"/>
              </w:rPr>
            </w:pPr>
          </w:p>
        </w:tc>
        <w:tc>
          <w:tcPr>
            <w:tcW w:w="9800" w:type="dxa"/>
            <w:vAlign w:val="bottom"/>
            <w:gridSpan w:val="10"/>
          </w:tcPr>
          <w:p>
            <w:pPr>
              <w:spacing w:after="0"/>
              <w:rPr>
                <w:rFonts w:ascii="Arial" w:cs="Arial" w:eastAsia="Arial" w:hAnsi="Arial"/>
                <w:sz w:val="17"/>
                <w:szCs w:val="17"/>
                <w:color w:val="0000EE"/>
              </w:rPr>
            </w:pPr>
            <w:hyperlink w:anchor="page392">
              <w:r>
                <w:rPr>
                  <w:rFonts w:ascii="Arial" w:cs="Arial" w:eastAsia="Arial" w:hAnsi="Arial"/>
                  <w:sz w:val="17"/>
                  <w:szCs w:val="17"/>
                  <w:color w:val="0000EE"/>
                </w:rPr>
                <w:t>Exclusive (Equity) Agreement between the Registrant and The Board of Trustees of the Leland Stanford Junior University,</w:t>
              </w:r>
            </w:hyperlink>
          </w:p>
        </w:tc>
      </w:tr>
      <w:tr>
        <w:trPr>
          <w:trHeight w:val="169"/>
        </w:trPr>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740" w:type="dxa"/>
            <w:vAlign w:val="bottom"/>
            <w:tcBorders>
              <w:top w:val="single" w:sz="8" w:color="0000EE"/>
            </w:tcBorders>
            <w:gridSpan w:val="4"/>
          </w:tcPr>
          <w:p>
            <w:pPr>
              <w:spacing w:after="0" w:line="169" w:lineRule="exact"/>
              <w:rPr>
                <w:rFonts w:ascii="Arial" w:cs="Arial" w:eastAsia="Arial" w:hAnsi="Arial"/>
                <w:sz w:val="17"/>
                <w:szCs w:val="17"/>
                <w:color w:val="0000EE"/>
              </w:rPr>
            </w:pPr>
            <w:hyperlink w:anchor="page392">
              <w:r>
                <w:rPr>
                  <w:rFonts w:ascii="Arial" w:cs="Arial" w:eastAsia="Arial" w:hAnsi="Arial"/>
                  <w:sz w:val="17"/>
                  <w:szCs w:val="17"/>
                  <w:color w:val="0000EE"/>
                </w:rPr>
                <w:t>effective as of March 24, 2015, as amended on April 24, 2015 and May 15, 2015.</w:t>
              </w:r>
            </w:hyperlink>
          </w:p>
        </w:tc>
        <w:tc>
          <w:tcPr>
            <w:tcW w:w="1360" w:type="dxa"/>
            <w:vAlign w:val="bottom"/>
            <w:tcBorders>
              <w:top w:val="single" w:sz="8" w:color="0000EE"/>
            </w:tcBorders>
          </w:tcPr>
          <w:p>
            <w:pPr>
              <w:spacing w:after="0"/>
              <w:rPr>
                <w:sz w:val="14"/>
                <w:szCs w:val="14"/>
                <w:color w:val="auto"/>
              </w:rPr>
            </w:pPr>
          </w:p>
        </w:tc>
        <w:tc>
          <w:tcPr>
            <w:tcW w:w="7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r>
              <w:rPr>
                <w:rFonts w:ascii="Arial" w:cs="Arial" w:eastAsia="Arial" w:hAnsi="Arial"/>
                <w:sz w:val="18"/>
                <w:szCs w:val="18"/>
                <w:color w:val="auto"/>
              </w:rPr>
              <w:t>10.13</w:t>
            </w:r>
          </w:p>
        </w:tc>
        <w:tc>
          <w:tcPr>
            <w:tcW w:w="580" w:type="dxa"/>
            <w:vAlign w:val="bottom"/>
          </w:tcPr>
          <w:p>
            <w:pPr>
              <w:spacing w:after="0"/>
              <w:rPr>
                <w:sz w:val="20"/>
                <w:szCs w:val="20"/>
                <w:color w:val="auto"/>
              </w:rPr>
            </w:pPr>
          </w:p>
        </w:tc>
        <w:tc>
          <w:tcPr>
            <w:tcW w:w="9740" w:type="dxa"/>
            <w:vAlign w:val="bottom"/>
            <w:tcBorders>
              <w:bottom w:val="single" w:sz="8" w:color="0000EE"/>
            </w:tcBorders>
            <w:gridSpan w:val="9"/>
          </w:tcPr>
          <w:p>
            <w:pPr>
              <w:spacing w:after="0"/>
              <w:rPr>
                <w:rFonts w:ascii="Arial" w:cs="Arial" w:eastAsia="Arial" w:hAnsi="Arial"/>
                <w:sz w:val="17"/>
                <w:szCs w:val="17"/>
                <w:color w:val="0000EE"/>
              </w:rPr>
            </w:pPr>
            <w:hyperlink w:anchor="page426">
              <w:r>
                <w:rPr>
                  <w:rFonts w:ascii="Arial" w:cs="Arial" w:eastAsia="Arial" w:hAnsi="Arial"/>
                  <w:sz w:val="17"/>
                  <w:szCs w:val="17"/>
                  <w:color w:val="0000EE"/>
                </w:rPr>
                <w:t>Loan and Security Agreement, dated as of December 20, 2019, among the Registrant, certain of its affiliates, Silicon Valley Bank</w:t>
              </w:r>
            </w:hyperlink>
          </w:p>
        </w:tc>
        <w:tc>
          <w:tcPr>
            <w:tcW w:w="60" w:type="dxa"/>
            <w:vAlign w:val="bottom"/>
          </w:tcPr>
          <w:p>
            <w:pPr>
              <w:spacing w:after="0"/>
              <w:rPr>
                <w:sz w:val="20"/>
                <w:szCs w:val="20"/>
                <w:color w:val="auto"/>
              </w:rPr>
            </w:pPr>
          </w:p>
        </w:tc>
      </w:tr>
      <w:tr>
        <w:trPr>
          <w:trHeight w:val="169"/>
        </w:trPr>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0" w:type="dxa"/>
            <w:vAlign w:val="bottom"/>
            <w:gridSpan w:val="10"/>
          </w:tcPr>
          <w:p>
            <w:pPr>
              <w:spacing w:after="0" w:line="169" w:lineRule="exact"/>
              <w:rPr>
                <w:rFonts w:ascii="Arial" w:cs="Arial" w:eastAsia="Arial" w:hAnsi="Arial"/>
                <w:sz w:val="17"/>
                <w:szCs w:val="17"/>
                <w:color w:val="0000EE"/>
              </w:rPr>
            </w:pPr>
            <w:hyperlink w:anchor="page426">
              <w:r>
                <w:rPr>
                  <w:rFonts w:ascii="Arial" w:cs="Arial" w:eastAsia="Arial" w:hAnsi="Arial"/>
                  <w:sz w:val="17"/>
                  <w:szCs w:val="17"/>
                  <w:color w:val="0000EE"/>
                </w:rPr>
                <w:t>and WestRiver Innovation Lending Fund VIII, L.P., as amended by the Joinder and First Amendment to Loan and Security</w:t>
              </w:r>
            </w:hyperlink>
          </w:p>
        </w:tc>
      </w:tr>
      <w:tr>
        <w:trPr>
          <w:trHeight w:val="169"/>
        </w:trPr>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0" w:type="dxa"/>
            <w:vAlign w:val="bottom"/>
            <w:tcBorders>
              <w:top w:val="single" w:sz="8" w:color="0000EE"/>
              <w:bottom w:val="single" w:sz="8" w:color="0000EE"/>
            </w:tcBorders>
          </w:tcPr>
          <w:p>
            <w:pPr>
              <w:spacing w:after="0" w:line="169" w:lineRule="exact"/>
              <w:rPr>
                <w:rFonts w:ascii="Arial" w:cs="Arial" w:eastAsia="Arial" w:hAnsi="Arial"/>
                <w:sz w:val="17"/>
                <w:szCs w:val="17"/>
                <w:color w:val="0000EE"/>
                <w:w w:val="99"/>
              </w:rPr>
            </w:pPr>
            <w:hyperlink w:anchor="page426">
              <w:r>
                <w:rPr>
                  <w:rFonts w:ascii="Arial" w:cs="Arial" w:eastAsia="Arial" w:hAnsi="Arial"/>
                  <w:sz w:val="17"/>
                  <w:szCs w:val="17"/>
                  <w:color w:val="0000EE"/>
                  <w:w w:val="99"/>
                </w:rPr>
                <w:t>Agreement on May 21, 2020.</w:t>
              </w:r>
            </w:hyperlink>
          </w:p>
        </w:tc>
        <w:tc>
          <w:tcPr>
            <w:tcW w:w="4540" w:type="dxa"/>
            <w:vAlign w:val="bottom"/>
            <w:tcBorders>
              <w:top w:val="single" w:sz="8" w:color="0000EE"/>
            </w:tcBorders>
            <w:gridSpan w:val="3"/>
          </w:tcPr>
          <w:p>
            <w:pPr>
              <w:spacing w:after="0"/>
              <w:rPr>
                <w:sz w:val="14"/>
                <w:szCs w:val="14"/>
                <w:color w:val="auto"/>
              </w:rPr>
            </w:pPr>
          </w:p>
        </w:tc>
        <w:tc>
          <w:tcPr>
            <w:tcW w:w="1360" w:type="dxa"/>
            <w:vAlign w:val="bottom"/>
            <w:tcBorders>
              <w:top w:val="single" w:sz="8" w:color="0000EE"/>
            </w:tcBorders>
          </w:tcPr>
          <w:p>
            <w:pPr>
              <w:spacing w:after="0"/>
              <w:rPr>
                <w:sz w:val="14"/>
                <w:szCs w:val="14"/>
                <w:color w:val="auto"/>
              </w:rPr>
            </w:pPr>
          </w:p>
        </w:tc>
        <w:tc>
          <w:tcPr>
            <w:tcW w:w="7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10.14</w:t>
            </w:r>
          </w:p>
        </w:tc>
        <w:tc>
          <w:tcPr>
            <w:tcW w:w="580" w:type="dxa"/>
            <w:vAlign w:val="bottom"/>
          </w:tcPr>
          <w:p>
            <w:pPr>
              <w:spacing w:after="0"/>
              <w:rPr>
                <w:sz w:val="20"/>
                <w:szCs w:val="20"/>
                <w:color w:val="auto"/>
              </w:rPr>
            </w:pPr>
          </w:p>
        </w:tc>
        <w:tc>
          <w:tcPr>
            <w:tcW w:w="9800" w:type="dxa"/>
            <w:vAlign w:val="bottom"/>
            <w:gridSpan w:val="10"/>
          </w:tcPr>
          <w:p>
            <w:pPr>
              <w:spacing w:after="0"/>
              <w:rPr>
                <w:rFonts w:ascii="Arial" w:cs="Arial" w:eastAsia="Arial" w:hAnsi="Arial"/>
                <w:sz w:val="17"/>
                <w:szCs w:val="17"/>
                <w:color w:val="0000EE"/>
              </w:rPr>
            </w:pPr>
            <w:hyperlink w:anchor="page495">
              <w:r>
                <w:rPr>
                  <w:rFonts w:ascii="Arial" w:cs="Arial" w:eastAsia="Arial" w:hAnsi="Arial"/>
                  <w:sz w:val="17"/>
                  <w:szCs w:val="17"/>
                  <w:color w:val="0000EE"/>
                </w:rPr>
                <w:t>Conformed Copy of Amended and Restated Research and Development Services Agreement, dated as of June 18, 2018,</w:t>
              </w:r>
            </w:hyperlink>
          </w:p>
        </w:tc>
      </w:tr>
      <w:tr>
        <w:trPr>
          <w:trHeight w:val="205"/>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100" w:type="dxa"/>
            <w:vAlign w:val="bottom"/>
            <w:tcBorders>
              <w:top w:val="single" w:sz="8" w:color="0000EE"/>
            </w:tcBorders>
            <w:gridSpan w:val="5"/>
          </w:tcPr>
          <w:p>
            <w:pPr>
              <w:spacing w:after="0"/>
              <w:rPr>
                <w:rFonts w:ascii="Arial" w:cs="Arial" w:eastAsia="Arial" w:hAnsi="Arial"/>
                <w:sz w:val="17"/>
                <w:szCs w:val="17"/>
                <w:u w:val="single" w:color="auto"/>
                <w:color w:val="0000EE"/>
              </w:rPr>
            </w:pPr>
            <w:hyperlink w:anchor="page495">
              <w:r>
                <w:rPr>
                  <w:rFonts w:ascii="Arial" w:cs="Arial" w:eastAsia="Arial" w:hAnsi="Arial"/>
                  <w:sz w:val="17"/>
                  <w:szCs w:val="17"/>
                  <w:u w:val="single" w:color="auto"/>
                  <w:color w:val="0000EE"/>
                </w:rPr>
                <w:t>between ALX Oncology Inc. and Tollnine, Inc., incorporating Amendment No. 1, dated as of May 3, 2019.</w:t>
              </w:r>
            </w:hyperlink>
          </w:p>
        </w:tc>
        <w:tc>
          <w:tcPr>
            <w:tcW w:w="7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3"/>
        </w:trPr>
        <w:tc>
          <w:tcPr>
            <w:tcW w:w="640" w:type="dxa"/>
            <w:vAlign w:val="bottom"/>
          </w:tcPr>
          <w:p>
            <w:pPr>
              <w:spacing w:after="0"/>
              <w:rPr>
                <w:sz w:val="20"/>
                <w:szCs w:val="20"/>
                <w:color w:val="auto"/>
              </w:rPr>
            </w:pPr>
            <w:r>
              <w:rPr>
                <w:rFonts w:ascii="Arial" w:cs="Arial" w:eastAsia="Arial" w:hAnsi="Arial"/>
                <w:sz w:val="18"/>
                <w:szCs w:val="18"/>
                <w:color w:val="auto"/>
              </w:rPr>
              <w:t>10.15</w:t>
            </w:r>
          </w:p>
        </w:tc>
        <w:tc>
          <w:tcPr>
            <w:tcW w:w="580" w:type="dxa"/>
            <w:vAlign w:val="bottom"/>
          </w:tcPr>
          <w:p>
            <w:pPr>
              <w:spacing w:after="0"/>
              <w:rPr>
                <w:sz w:val="20"/>
                <w:szCs w:val="20"/>
                <w:color w:val="auto"/>
              </w:rPr>
            </w:pPr>
          </w:p>
        </w:tc>
        <w:tc>
          <w:tcPr>
            <w:tcW w:w="9800" w:type="dxa"/>
            <w:vAlign w:val="bottom"/>
            <w:gridSpan w:val="10"/>
          </w:tcPr>
          <w:p>
            <w:pPr>
              <w:spacing w:after="0"/>
              <w:rPr>
                <w:rFonts w:ascii="Arial" w:cs="Arial" w:eastAsia="Arial" w:hAnsi="Arial"/>
                <w:sz w:val="18"/>
                <w:szCs w:val="18"/>
                <w:color w:val="0000EE"/>
              </w:rPr>
            </w:pPr>
            <w:hyperlink w:anchor="page513">
              <w:r>
                <w:rPr>
                  <w:rFonts w:ascii="Arial" w:cs="Arial" w:eastAsia="Arial" w:hAnsi="Arial"/>
                  <w:sz w:val="18"/>
                  <w:szCs w:val="18"/>
                  <w:color w:val="0000EE"/>
                </w:rPr>
                <w:t>Research and Development Services Agreement, dated as of June 25, 2020, between the Registrant and Tallac</w:t>
              </w:r>
            </w:hyperlink>
          </w:p>
        </w:tc>
      </w:tr>
      <w:tr>
        <w:trPr>
          <w:trHeight w:val="183"/>
        </w:trPr>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1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513">
              <w:r>
                <w:rPr>
                  <w:rFonts w:ascii="Arial" w:cs="Arial" w:eastAsia="Arial" w:hAnsi="Arial"/>
                  <w:sz w:val="18"/>
                  <w:szCs w:val="18"/>
                  <w:color w:val="0000EE"/>
                  <w:w w:val="98"/>
                </w:rPr>
                <w:t>Therapeutics, Inc. (formerly known as Tollnine, Inc.).</w:t>
              </w:r>
            </w:hyperlink>
          </w:p>
        </w:tc>
        <w:tc>
          <w:tcPr>
            <w:tcW w:w="2580" w:type="dxa"/>
            <w:vAlign w:val="bottom"/>
            <w:tcBorders>
              <w:top w:val="single" w:sz="8" w:color="0000EE"/>
            </w:tcBorders>
            <w:gridSpan w:val="2"/>
          </w:tcPr>
          <w:p>
            <w:pPr>
              <w:spacing w:after="0"/>
              <w:rPr>
                <w:sz w:val="15"/>
                <w:szCs w:val="15"/>
                <w:color w:val="auto"/>
              </w:rPr>
            </w:pPr>
          </w:p>
        </w:tc>
        <w:tc>
          <w:tcPr>
            <w:tcW w:w="136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91"/>
        </w:trPr>
        <w:tc>
          <w:tcPr>
            <w:tcW w:w="640" w:type="dxa"/>
            <w:vAlign w:val="bottom"/>
          </w:tcPr>
          <w:p>
            <w:pPr>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24"/>
                <w:szCs w:val="24"/>
                <w:color w:val="auto"/>
              </w:rPr>
            </w:pPr>
          </w:p>
        </w:tc>
        <w:tc>
          <w:tcPr>
            <w:tcW w:w="6740" w:type="dxa"/>
            <w:vAlign w:val="bottom"/>
            <w:gridSpan w:val="4"/>
          </w:tcPr>
          <w:p>
            <w:pPr>
              <w:spacing w:after="0"/>
              <w:rPr>
                <w:rFonts w:ascii="Arial" w:cs="Arial" w:eastAsia="Arial" w:hAnsi="Arial"/>
                <w:sz w:val="17"/>
                <w:szCs w:val="17"/>
                <w:u w:val="single" w:color="auto"/>
                <w:color w:val="0000EE"/>
              </w:rPr>
            </w:pPr>
            <w:hyperlink w:anchor="page529">
              <w:r>
                <w:rPr>
                  <w:rFonts w:ascii="Arial" w:cs="Arial" w:eastAsia="Arial" w:hAnsi="Arial"/>
                  <w:sz w:val="17"/>
                  <w:szCs w:val="17"/>
                  <w:u w:val="single" w:color="auto"/>
                  <w:color w:val="0000EE"/>
                </w:rPr>
                <w:t>List of subsidiaries of the Registrant.</w:t>
              </w:r>
            </w:hyperlink>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3"/>
                <w:szCs w:val="23"/>
                <w:color w:val="auto"/>
              </w:rPr>
            </w:pPr>
          </w:p>
        </w:tc>
        <w:tc>
          <w:tcPr>
            <w:tcW w:w="6740" w:type="dxa"/>
            <w:vAlign w:val="bottom"/>
            <w:gridSpan w:val="4"/>
          </w:tcPr>
          <w:p>
            <w:pPr>
              <w:spacing w:after="0"/>
              <w:rPr>
                <w:rFonts w:ascii="Arial" w:cs="Arial" w:eastAsia="Arial" w:hAnsi="Arial"/>
                <w:sz w:val="17"/>
                <w:szCs w:val="17"/>
                <w:u w:val="single" w:color="auto"/>
                <w:color w:val="0000EE"/>
              </w:rPr>
            </w:pPr>
            <w:hyperlink w:anchor="page530">
              <w:r>
                <w:rPr>
                  <w:rFonts w:ascii="Arial" w:cs="Arial" w:eastAsia="Arial" w:hAnsi="Arial"/>
                  <w:sz w:val="17"/>
                  <w:szCs w:val="17"/>
                  <w:u w:val="single" w:color="auto"/>
                  <w:color w:val="0000EE"/>
                </w:rPr>
                <w:t>Consent of Independent Registered Public Accounting Firm as to the Registrant.</w:t>
              </w:r>
            </w:hyperlink>
          </w:p>
        </w:tc>
        <w:tc>
          <w:tcPr>
            <w:tcW w:w="1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23"/>
                <w:szCs w:val="23"/>
                <w:color w:val="auto"/>
              </w:rPr>
            </w:pPr>
          </w:p>
        </w:tc>
        <w:tc>
          <w:tcPr>
            <w:tcW w:w="6740" w:type="dxa"/>
            <w:vAlign w:val="bottom"/>
            <w:gridSpan w:val="4"/>
          </w:tcPr>
          <w:p>
            <w:pPr>
              <w:spacing w:after="0"/>
              <w:rPr>
                <w:rFonts w:ascii="Arial" w:cs="Arial" w:eastAsia="Arial" w:hAnsi="Arial"/>
                <w:sz w:val="17"/>
                <w:szCs w:val="17"/>
                <w:u w:val="single" w:color="auto"/>
                <w:color w:val="0000EE"/>
              </w:rPr>
            </w:pPr>
            <w:hyperlink w:anchor="page531">
              <w:r>
                <w:rPr>
                  <w:rFonts w:ascii="Arial" w:cs="Arial" w:eastAsia="Arial" w:hAnsi="Arial"/>
                  <w:sz w:val="17"/>
                  <w:szCs w:val="17"/>
                  <w:u w:val="single" w:color="auto"/>
                  <w:color w:val="0000EE"/>
                </w:rPr>
                <w:t>Consent of Independent Registered Public Accounting Firm as to ALX Oncology Limited.</w:t>
              </w:r>
            </w:hyperlink>
          </w:p>
        </w:tc>
        <w:tc>
          <w:tcPr>
            <w:tcW w:w="1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23.3*</w:t>
            </w:r>
          </w:p>
        </w:tc>
        <w:tc>
          <w:tcPr>
            <w:tcW w:w="580" w:type="dxa"/>
            <w:vAlign w:val="bottom"/>
          </w:tcPr>
          <w:p>
            <w:pPr>
              <w:spacing w:after="0"/>
              <w:rPr>
                <w:sz w:val="23"/>
                <w:szCs w:val="23"/>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rPr>
              <w:t>Consent of Wilson Sonsini Goodrich &amp; Rosati, Professional Corporation (included in Exhibit 5.1).</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580" w:type="dxa"/>
            <w:vAlign w:val="bottom"/>
          </w:tcPr>
          <w:p>
            <w:pPr>
              <w:spacing w:after="0"/>
              <w:rPr>
                <w:sz w:val="23"/>
                <w:szCs w:val="23"/>
                <w:color w:val="auto"/>
              </w:rPr>
            </w:pPr>
          </w:p>
        </w:tc>
        <w:tc>
          <w:tcPr>
            <w:tcW w:w="6740" w:type="dxa"/>
            <w:vAlign w:val="bottom"/>
            <w:gridSpan w:val="4"/>
          </w:tcPr>
          <w:p>
            <w:pPr>
              <w:spacing w:after="0"/>
              <w:rPr>
                <w:rFonts w:ascii="Arial" w:cs="Arial" w:eastAsia="Arial" w:hAnsi="Arial"/>
                <w:sz w:val="17"/>
                <w:szCs w:val="17"/>
                <w:color w:val="0000EE"/>
              </w:rPr>
            </w:pPr>
            <w:hyperlink w:anchor="page233">
              <w:r>
                <w:rPr>
                  <w:rFonts w:ascii="Arial" w:cs="Arial" w:eastAsia="Arial" w:hAnsi="Arial"/>
                  <w:sz w:val="17"/>
                  <w:szCs w:val="17"/>
                  <w:u w:val="single" w:color="auto"/>
                  <w:color w:val="0000EE"/>
                </w:rPr>
                <w:t>Power of Attorney (see page II-6 to this Form S-1)</w:t>
              </w:r>
              <w:r>
                <w:rPr>
                  <w:rFonts w:ascii="Arial" w:cs="Arial" w:eastAsia="Arial" w:hAnsi="Arial"/>
                  <w:sz w:val="17"/>
                  <w:szCs w:val="17"/>
                  <w:color w:val="0000EE"/>
                </w:rPr>
                <w:t>.</w:t>
              </w:r>
            </w:hyperlink>
          </w:p>
        </w:tc>
        <w:tc>
          <w:tcPr>
            <w:tcW w:w="1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128270</wp:posOffset>
            </wp:positionV>
            <wp:extent cx="699516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To be filed by amendment.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Indicated management contract or compensatory plan.</w:t>
      </w:r>
    </w:p>
    <w:p>
      <w:pPr>
        <w:spacing w:after="0" w:line="1" w:lineRule="exact"/>
        <w:rPr>
          <w:sz w:val="20"/>
          <w:szCs w:val="20"/>
          <w:color w:val="auto"/>
        </w:rPr>
      </w:pPr>
    </w:p>
    <w:p>
      <w:pPr>
        <w:ind w:left="540" w:right="260" w:hanging="180"/>
        <w:spacing w:after="0" w:line="258" w:lineRule="auto"/>
        <w:tabs>
          <w:tab w:leader="none" w:pos="5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Portions of this exhibit (indicated by asterisks) have been omitted pursuant to a request for confidential treatment and this exhibit has been filed separately with the SEC.</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336"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Burlingame, State of California, on June 26, 2020.</w:t>
      </w:r>
    </w:p>
    <w:p>
      <w:pPr>
        <w:spacing w:after="0" w:line="165"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ALX ONCOLOGY HOLDINGS INC.</w:t>
      </w:r>
    </w:p>
    <w:p>
      <w:pPr>
        <w:spacing w:after="0" w:line="176"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0</wp:posOffset>
            </wp:positionV>
            <wp:extent cx="259715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ind w:left="7040"/>
        <w:spacing w:after="0"/>
        <w:rPr>
          <w:sz w:val="20"/>
          <w:szCs w:val="20"/>
          <w:color w:val="auto"/>
        </w:rPr>
      </w:pPr>
      <w:r>
        <w:rPr>
          <w:rFonts w:ascii="Arial" w:cs="Arial" w:eastAsia="Arial" w:hAnsi="Arial"/>
          <w:sz w:val="17"/>
          <w:szCs w:val="17"/>
          <w:color w:val="auto"/>
        </w:rPr>
        <w:t>Jaume Pons, Ph.D.</w:t>
      </w:r>
    </w:p>
    <w:p>
      <w:pPr>
        <w:ind w:left="7040"/>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336"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Jaume Pons, Ph.D., and Peter Garcia as his or her true and lawful attorneys-in-fact and agents, with full power of substitution and substitution, for him or her and in his or her name, place and stead, in any and all capacities (including his or her capacity as a director and/or officer of ALX Oncology Holdings Inc.)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48"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2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8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07"/>
        </w:trPr>
        <w:tc>
          <w:tcPr>
            <w:tcW w:w="4220" w:type="dxa"/>
            <w:vAlign w:val="bottom"/>
          </w:tcPr>
          <w:p>
            <w:pPr>
              <w:spacing w:after="0"/>
              <w:rPr>
                <w:sz w:val="20"/>
                <w:szCs w:val="20"/>
                <w:color w:val="auto"/>
              </w:rPr>
            </w:pPr>
            <w:r>
              <w:rPr>
                <w:rFonts w:ascii="Arial" w:cs="Arial" w:eastAsia="Arial" w:hAnsi="Arial"/>
                <w:sz w:val="17"/>
                <w:szCs w:val="17"/>
                <w:color w:val="auto"/>
              </w:rPr>
              <w:t>/s/ Jaume Pons</w:t>
            </w:r>
          </w:p>
        </w:tc>
        <w:tc>
          <w:tcPr>
            <w:tcW w:w="10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7"/>
                <w:szCs w:val="17"/>
                <w:color w:val="auto"/>
              </w:rPr>
              <w:t>President, Chief Executive Officer and Director</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June 26, 2020</w:t>
            </w:r>
          </w:p>
        </w:tc>
        <w:tc>
          <w:tcPr>
            <w:tcW w:w="0" w:type="dxa"/>
            <w:vAlign w:val="bottom"/>
          </w:tcPr>
          <w:p>
            <w:pPr>
              <w:spacing w:after="0"/>
              <w:rPr>
                <w:sz w:val="1"/>
                <w:szCs w:val="1"/>
                <w:color w:val="auto"/>
              </w:rPr>
            </w:pPr>
          </w:p>
        </w:tc>
      </w:tr>
      <w:tr>
        <w:trPr>
          <w:trHeight w:val="24"/>
        </w:trPr>
        <w:tc>
          <w:tcPr>
            <w:tcW w:w="42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680" w:type="dxa"/>
            <w:vAlign w:val="bottom"/>
            <w:vMerge w:val="restart"/>
          </w:tcPr>
          <w:p>
            <w:pPr>
              <w:jc w:val="center"/>
              <w:spacing w:after="0"/>
              <w:rPr>
                <w:sz w:val="20"/>
                <w:szCs w:val="20"/>
                <w:color w:val="auto"/>
              </w:rPr>
            </w:pPr>
            <w:r>
              <w:rPr>
                <w:rFonts w:ascii="Arial" w:cs="Arial" w:eastAsia="Arial" w:hAnsi="Arial"/>
                <w:sz w:val="17"/>
                <w:szCs w:val="17"/>
                <w:i w:val="1"/>
                <w:iCs w:val="1"/>
                <w:color w:val="auto"/>
              </w:rPr>
              <w:t>(Principal Executive Officer)</w:t>
            </w: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Jaume Pons, Ph.D.</w:t>
            </w:r>
          </w:p>
        </w:tc>
        <w:tc>
          <w:tcPr>
            <w:tcW w:w="100" w:type="dxa"/>
            <w:vAlign w:val="bottom"/>
            <w:vMerge w:val="continue"/>
          </w:tcPr>
          <w:p>
            <w:pPr>
              <w:spacing w:after="0"/>
              <w:rPr>
                <w:sz w:val="17"/>
                <w:szCs w:val="17"/>
                <w:color w:val="auto"/>
              </w:rPr>
            </w:pPr>
          </w:p>
        </w:tc>
        <w:tc>
          <w:tcPr>
            <w:tcW w:w="4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4220" w:type="dxa"/>
            <w:vAlign w:val="bottom"/>
          </w:tcPr>
          <w:p>
            <w:pPr>
              <w:spacing w:after="0"/>
              <w:rPr>
                <w:sz w:val="20"/>
                <w:szCs w:val="20"/>
                <w:color w:val="auto"/>
              </w:rPr>
            </w:pPr>
            <w:r>
              <w:rPr>
                <w:rFonts w:ascii="Arial" w:cs="Arial" w:eastAsia="Arial" w:hAnsi="Arial"/>
                <w:sz w:val="17"/>
                <w:szCs w:val="17"/>
                <w:color w:val="auto"/>
              </w:rPr>
              <w:t>/s/ Peter Garcia</w:t>
            </w:r>
          </w:p>
        </w:tc>
        <w:tc>
          <w:tcPr>
            <w:tcW w:w="10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7"/>
                <w:szCs w:val="17"/>
                <w:color w:val="auto"/>
              </w:rPr>
              <w:t>Chief Financial Officer</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June 26, 2020</w:t>
            </w:r>
          </w:p>
        </w:tc>
        <w:tc>
          <w:tcPr>
            <w:tcW w:w="0" w:type="dxa"/>
            <w:vAlign w:val="bottom"/>
          </w:tcPr>
          <w:p>
            <w:pPr>
              <w:spacing w:after="0"/>
              <w:rPr>
                <w:sz w:val="1"/>
                <w:szCs w:val="1"/>
                <w:color w:val="auto"/>
              </w:rPr>
            </w:pPr>
          </w:p>
        </w:tc>
      </w:tr>
      <w:tr>
        <w:trPr>
          <w:trHeight w:val="24"/>
        </w:trPr>
        <w:tc>
          <w:tcPr>
            <w:tcW w:w="42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68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r>
              <w:rPr>
                <w:rFonts w:ascii="Arial" w:cs="Arial" w:eastAsia="Arial" w:hAnsi="Arial"/>
                <w:sz w:val="17"/>
                <w:szCs w:val="17"/>
                <w:color w:val="auto"/>
              </w:rPr>
              <w:t>)</w:t>
            </w: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Peter Garcia</w:t>
            </w:r>
          </w:p>
        </w:tc>
        <w:tc>
          <w:tcPr>
            <w:tcW w:w="100" w:type="dxa"/>
            <w:vAlign w:val="bottom"/>
            <w:vMerge w:val="continue"/>
          </w:tcPr>
          <w:p>
            <w:pPr>
              <w:spacing w:after="0"/>
              <w:rPr>
                <w:sz w:val="17"/>
                <w:szCs w:val="17"/>
                <w:color w:val="auto"/>
              </w:rPr>
            </w:pPr>
          </w:p>
        </w:tc>
        <w:tc>
          <w:tcPr>
            <w:tcW w:w="4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4220" w:type="dxa"/>
            <w:vAlign w:val="bottom"/>
          </w:tcPr>
          <w:p>
            <w:pPr>
              <w:spacing w:after="0"/>
              <w:rPr>
                <w:sz w:val="20"/>
                <w:szCs w:val="20"/>
                <w:color w:val="auto"/>
              </w:rPr>
            </w:pPr>
            <w:r>
              <w:rPr>
                <w:rFonts w:ascii="Arial" w:cs="Arial" w:eastAsia="Arial" w:hAnsi="Arial"/>
                <w:sz w:val="17"/>
                <w:szCs w:val="17"/>
                <w:color w:val="auto"/>
              </w:rPr>
              <w:t>/s/ Steffen Pietzke</w:t>
            </w:r>
          </w:p>
        </w:tc>
        <w:tc>
          <w:tcPr>
            <w:tcW w:w="10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7"/>
                <w:szCs w:val="17"/>
                <w:color w:val="auto"/>
              </w:rPr>
              <w:t>Vice President, Finance and Chief Accounting Officer</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June 26, 2020</w:t>
            </w:r>
          </w:p>
        </w:tc>
        <w:tc>
          <w:tcPr>
            <w:tcW w:w="0" w:type="dxa"/>
            <w:vAlign w:val="bottom"/>
          </w:tcPr>
          <w:p>
            <w:pPr>
              <w:spacing w:after="0"/>
              <w:rPr>
                <w:sz w:val="1"/>
                <w:szCs w:val="1"/>
                <w:color w:val="auto"/>
              </w:rPr>
            </w:pPr>
          </w:p>
        </w:tc>
      </w:tr>
      <w:tr>
        <w:trPr>
          <w:trHeight w:val="24"/>
        </w:trPr>
        <w:tc>
          <w:tcPr>
            <w:tcW w:w="42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680" w:type="dxa"/>
            <w:vAlign w:val="bottom"/>
            <w:vMerge w:val="restart"/>
          </w:tcPr>
          <w:p>
            <w:pPr>
              <w:jc w:val="center"/>
              <w:spacing w:after="0"/>
              <w:rPr>
                <w:sz w:val="20"/>
                <w:szCs w:val="20"/>
                <w:color w:val="auto"/>
              </w:rPr>
            </w:pPr>
            <w:r>
              <w:rPr>
                <w:rFonts w:ascii="Arial" w:cs="Arial" w:eastAsia="Arial" w:hAnsi="Arial"/>
                <w:sz w:val="17"/>
                <w:szCs w:val="17"/>
                <w:i w:val="1"/>
                <w:iCs w:val="1"/>
                <w:color w:val="auto"/>
              </w:rPr>
              <w:t>(Principal Accounting Officer)</w:t>
            </w: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Steffen Pietzke</w:t>
            </w:r>
          </w:p>
        </w:tc>
        <w:tc>
          <w:tcPr>
            <w:tcW w:w="100" w:type="dxa"/>
            <w:vAlign w:val="bottom"/>
            <w:vMerge w:val="continue"/>
          </w:tcPr>
          <w:p>
            <w:pPr>
              <w:spacing w:after="0"/>
              <w:rPr>
                <w:sz w:val="17"/>
                <w:szCs w:val="17"/>
                <w:color w:val="auto"/>
              </w:rPr>
            </w:pPr>
          </w:p>
        </w:tc>
        <w:tc>
          <w:tcPr>
            <w:tcW w:w="4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Corey Goodman</w:t>
            </w:r>
          </w:p>
        </w:tc>
        <w:tc>
          <w:tcPr>
            <w:tcW w:w="10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7"/>
                <w:szCs w:val="17"/>
                <w:color w:val="auto"/>
              </w:rPr>
              <w:t>Executive Chairman of the Board of Directors</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June 26, 2020</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Corey Goodman, Ph.D.</w:t>
            </w:r>
          </w:p>
        </w:tc>
        <w:tc>
          <w:tcPr>
            <w:tcW w:w="1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Rekha Hemrajani</w:t>
            </w:r>
          </w:p>
        </w:tc>
        <w:tc>
          <w:tcPr>
            <w:tcW w:w="10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June 26, 2020</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Rekha Hemrajani</w:t>
            </w:r>
          </w:p>
        </w:tc>
        <w:tc>
          <w:tcPr>
            <w:tcW w:w="1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Jason Lettmann</w:t>
            </w:r>
          </w:p>
        </w:tc>
        <w:tc>
          <w:tcPr>
            <w:tcW w:w="10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June 26, 2020</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Jason Lettmann</w:t>
            </w:r>
          </w:p>
        </w:tc>
        <w:tc>
          <w:tcPr>
            <w:tcW w:w="1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Jack Nielsen</w:t>
            </w:r>
          </w:p>
        </w:tc>
        <w:tc>
          <w:tcPr>
            <w:tcW w:w="10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June 26, 2020</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Jack Nielsen</w:t>
            </w:r>
          </w:p>
        </w:tc>
        <w:tc>
          <w:tcPr>
            <w:tcW w:w="1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Graham Walmsley</w:t>
            </w:r>
          </w:p>
        </w:tc>
        <w:tc>
          <w:tcPr>
            <w:tcW w:w="10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June 26, 2020</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Graham Walmsley, M.D., Ph.D.</w:t>
            </w:r>
          </w:p>
        </w:tc>
        <w:tc>
          <w:tcPr>
            <w:tcW w:w="1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ind w:left="1060"/>
              <w:spacing w:after="0"/>
              <w:rPr>
                <w:sz w:val="20"/>
                <w:szCs w:val="20"/>
                <w:color w:val="auto"/>
              </w:rPr>
            </w:pPr>
            <w:r>
              <w:rPr>
                <w:rFonts w:ascii="Arial" w:cs="Arial" w:eastAsia="Arial" w:hAnsi="Arial"/>
                <w:sz w:val="16"/>
                <w:szCs w:val="16"/>
                <w:color w:val="auto"/>
              </w:rPr>
              <w:t>II-6</w:t>
            </w: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ALX ONCOLOGY HOLDINGS INC.</w:t>
      </w:r>
    </w:p>
    <w:p>
      <w:pPr>
        <w:sectPr>
          <w:pgSz w:w="11900" w:h="16838" w:orient="portrait"/>
          <w:cols w:equalWidth="0" w:num="1">
            <w:col w:w="10020"/>
          </w:cols>
          <w:pgMar w:left="1440" w:top="121" w:right="439" w:bottom="1440" w:gutter="0" w:footer="0" w:header="0"/>
        </w:sectPr>
      </w:pPr>
    </w:p>
    <w:bookmarkStart w:id="234" w:name="page235"/>
    <w:bookmarkEnd w:id="23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AMENDED AND RESTATED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ALX ONCOLOGY HOLDINGS INC.</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ALX Oncology Holdings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121" w:lineRule="exact"/>
        <w:rPr>
          <w:sz w:val="20"/>
          <w:szCs w:val="20"/>
          <w:color w:val="auto"/>
        </w:rPr>
      </w:pPr>
    </w:p>
    <w:p>
      <w:pPr>
        <w:ind w:right="20" w:firstLine="987"/>
        <w:spacing w:after="0" w:line="277" w:lineRule="auto"/>
        <w:tabs>
          <w:tab w:leader="none" w:pos="1171"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That the name of this corporation is ALX Oncology Holdings Inc., and that this corporation was originally incorporated pursuant to the General Corporation Law on April 1, 2020 under the name “ALX Oncology Holdings Inc.”.</w:t>
      </w:r>
    </w:p>
    <w:p>
      <w:pPr>
        <w:spacing w:after="0" w:line="166" w:lineRule="exact"/>
        <w:rPr>
          <w:rFonts w:ascii="Arial" w:cs="Arial" w:eastAsia="Arial" w:hAnsi="Arial"/>
          <w:sz w:val="18"/>
          <w:szCs w:val="18"/>
          <w:b w:val="1"/>
          <w:bCs w:val="1"/>
          <w:color w:val="auto"/>
        </w:rPr>
      </w:pPr>
    </w:p>
    <w:p>
      <w:pPr>
        <w:ind w:right="20" w:firstLine="987"/>
        <w:spacing w:after="0" w:line="261" w:lineRule="auto"/>
        <w:tabs>
          <w:tab w:leader="none" w:pos="1171"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That the Board of Directors of the Corporation (the “</w:t>
      </w:r>
      <w:r>
        <w:rPr>
          <w:rFonts w:ascii="Arial" w:cs="Arial" w:eastAsia="Arial" w:hAnsi="Arial"/>
          <w:sz w:val="18"/>
          <w:szCs w:val="18"/>
          <w:b w:val="1"/>
          <w:bCs w:val="1"/>
          <w:color w:val="auto"/>
        </w:rPr>
        <w:t>Board of Directors</w:t>
      </w:r>
      <w:r>
        <w:rPr>
          <w:rFonts w:ascii="Arial" w:cs="Arial" w:eastAsia="Arial" w:hAnsi="Arial"/>
          <w:sz w:val="18"/>
          <w:szCs w:val="18"/>
          <w:color w:val="auto"/>
        </w:rPr>
        <w:t>”)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the Certificate of Incorporation of this corporation be amended and restated in its entirety to read as follows:</w:t>
      </w:r>
    </w:p>
    <w:p>
      <w:pPr>
        <w:spacing w:after="0" w:line="12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ALX Oncology Holdings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117" w:lineRule="exact"/>
        <w:rPr>
          <w:sz w:val="20"/>
          <w:szCs w:val="20"/>
          <w:color w:val="auto"/>
        </w:rPr>
      </w:pPr>
    </w:p>
    <w:p>
      <w:pPr>
        <w:ind w:left="980" w:firstLine="401"/>
        <w:spacing w:after="0" w:line="347" w:lineRule="auto"/>
        <w:rPr>
          <w:sz w:val="20"/>
          <w:szCs w:val="20"/>
          <w:color w:val="auto"/>
        </w:rPr>
      </w:pPr>
      <w:r>
        <w:rPr>
          <w:rFonts w:ascii="Arial" w:cs="Arial" w:eastAsia="Arial" w:hAnsi="Arial"/>
          <w:sz w:val="16"/>
          <w:szCs w:val="16"/>
          <w:b w:val="1"/>
          <w:bCs w:val="1"/>
          <w:color w:val="auto"/>
        </w:rPr>
        <w:t xml:space="preserve">SECOND: </w:t>
      </w:r>
      <w:r>
        <w:rPr>
          <w:rFonts w:ascii="Arial" w:cs="Arial" w:eastAsia="Arial" w:hAnsi="Arial"/>
          <w:sz w:val="16"/>
          <w:szCs w:val="16"/>
          <w:color w:val="auto"/>
        </w:rPr>
        <w:t>The address of the registered office of the Corporation in the State of Delaware is 1209 Orange Street, in the City of</w:t>
      </w:r>
      <w:r>
        <w:rPr>
          <w:rFonts w:ascii="Arial" w:cs="Arial" w:eastAsia="Arial" w:hAnsi="Arial"/>
          <w:sz w:val="16"/>
          <w:szCs w:val="16"/>
          <w:b w:val="1"/>
          <w:bCs w:val="1"/>
          <w:color w:val="auto"/>
        </w:rPr>
        <w:t xml:space="preserve"> </w:t>
      </w:r>
      <w:r>
        <w:rPr>
          <w:rFonts w:ascii="Arial" w:cs="Arial" w:eastAsia="Arial" w:hAnsi="Arial"/>
          <w:sz w:val="16"/>
          <w:szCs w:val="16"/>
          <w:color w:val="auto"/>
        </w:rPr>
        <w:t>Wilmington, County of New Castle, Zip Code 19801. The name of its registered agent at such address is The Corporation Trust Company.</w:t>
      </w:r>
    </w:p>
    <w:p>
      <w:pPr>
        <w:spacing w:after="0" w:line="8" w:lineRule="exact"/>
        <w:rPr>
          <w:sz w:val="20"/>
          <w:szCs w:val="20"/>
          <w:color w:val="auto"/>
        </w:rPr>
      </w:pPr>
    </w:p>
    <w:p>
      <w:pPr>
        <w:ind w:left="980" w:right="300" w:firstLine="401"/>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may be organized under the General Corporation Law.</w:t>
      </w:r>
    </w:p>
    <w:p>
      <w:pPr>
        <w:spacing w:after="0" w:line="54" w:lineRule="exact"/>
        <w:rPr>
          <w:sz w:val="20"/>
          <w:szCs w:val="20"/>
          <w:color w:val="auto"/>
        </w:rPr>
      </w:pPr>
    </w:p>
    <w:p>
      <w:pPr>
        <w:ind w:left="980" w:right="40" w:firstLine="401"/>
        <w:spacing w:after="0" w:line="258"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total number of shares of all classes of stock which the Corporation shall have authority to issue is (i)</w:t>
      </w:r>
      <w:r>
        <w:rPr>
          <w:rFonts w:ascii="Arial" w:cs="Arial" w:eastAsia="Arial" w:hAnsi="Arial"/>
          <w:sz w:val="18"/>
          <w:szCs w:val="18"/>
          <w:b w:val="1"/>
          <w:bCs w:val="1"/>
          <w:color w:val="auto"/>
        </w:rPr>
        <w:t xml:space="preserve"> </w:t>
      </w:r>
      <w:r>
        <w:rPr>
          <w:rFonts w:ascii="Arial" w:cs="Arial" w:eastAsia="Arial" w:hAnsi="Arial"/>
          <w:sz w:val="18"/>
          <w:szCs w:val="18"/>
          <w:color w:val="auto"/>
        </w:rPr>
        <w:t>10,000,000,000 shares of Common Stock, $0.001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(ii) 141,231,241 shares of Preferred Stock, $0.001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 of which 61,180,500 shares are hereby designated as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7,295,752 shares are hereby designated as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and 72,754,989 shares are hereby designated as “</w:t>
      </w:r>
      <w:r>
        <w:rPr>
          <w:rFonts w:ascii="Arial" w:cs="Arial" w:eastAsia="Arial" w:hAnsi="Arial"/>
          <w:sz w:val="18"/>
          <w:szCs w:val="18"/>
          <w:b w:val="1"/>
          <w:bCs w:val="1"/>
          <w:color w:val="auto"/>
        </w:rPr>
        <w:t>Series C</w:t>
      </w:r>
      <w:r>
        <w:rPr>
          <w:rFonts w:ascii="Arial" w:cs="Arial" w:eastAsia="Arial" w:hAnsi="Arial"/>
          <w:sz w:val="18"/>
          <w:szCs w:val="18"/>
          <w:color w:val="auto"/>
        </w:rPr>
        <w:t xml:space="preserv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ectPr>
          <w:pgSz w:w="11900" w:h="16838" w:orient="portrait"/>
          <w:cols w:equalWidth="0" w:num="1">
            <w:col w:w="10940"/>
          </w:cols>
          <w:pgMar w:left="440" w:top="270" w:right="519" w:bottom="1440" w:gutter="0" w:footer="0" w:header="0"/>
        </w:sectPr>
      </w:pPr>
    </w:p>
    <w:bookmarkStart w:id="235" w:name="page236"/>
    <w:bookmarkEnd w:id="235"/>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is a statement of the designations and the powers, privileges and rights, and the qualifications, limitations or restrictions thereof in respect of each class of capital stock of the 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COMMON STOCK</w:t>
      </w:r>
    </w:p>
    <w:p>
      <w:pPr>
        <w:spacing w:after="0" w:line="225" w:lineRule="exact"/>
        <w:rPr>
          <w:sz w:val="20"/>
          <w:szCs w:val="20"/>
          <w:color w:val="auto"/>
        </w:rPr>
      </w:pPr>
    </w:p>
    <w:p>
      <w:pPr>
        <w:ind w:right="440" w:firstLine="987"/>
        <w:spacing w:after="0" w:line="277" w:lineRule="auto"/>
        <w:tabs>
          <w:tab w:leader="none" w:pos="1171"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170" w:lineRule="exact"/>
        <w:rPr>
          <w:rFonts w:ascii="Arial" w:cs="Arial" w:eastAsia="Arial" w:hAnsi="Arial"/>
          <w:sz w:val="18"/>
          <w:szCs w:val="18"/>
          <w:color w:val="auto"/>
        </w:rPr>
      </w:pPr>
    </w:p>
    <w:p>
      <w:pPr>
        <w:jc w:val="both"/>
        <w:ind w:right="60" w:firstLine="987"/>
        <w:spacing w:after="0" w:line="311" w:lineRule="auto"/>
        <w:tabs>
          <w:tab w:leader="none" w:pos="1171" w:val="left"/>
        </w:tabs>
        <w:numPr>
          <w:ilvl w:val="1"/>
          <w:numId w:val="154"/>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The holders of the Common Stock are entitled to one vote for each share of Common Stock held at all meetings of stockholders (and written actions in lieu of meetings). Except as otherwise provided herein or as required by law, the holders of the Common Stock and the Preferred Stock shall vote together as a single class on all matters submitted to the stockholders for a vote. There shall be no cumulative voting.</w:t>
      </w:r>
    </w:p>
    <w:p>
      <w:pPr>
        <w:spacing w:after="0" w:line="148" w:lineRule="exact"/>
        <w:rPr>
          <w:rFonts w:ascii="Arial" w:cs="Arial" w:eastAsia="Arial" w:hAnsi="Arial"/>
          <w:sz w:val="16"/>
          <w:szCs w:val="16"/>
          <w:color w:val="auto"/>
        </w:rPr>
      </w:pPr>
    </w:p>
    <w:p>
      <w:pPr>
        <w:ind w:right="160" w:firstLine="987"/>
        <w:spacing w:after="0" w:line="263" w:lineRule="auto"/>
        <w:tabs>
          <w:tab w:leader="none" w:pos="1171"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the preferential rights of the Preferred Stock, if any, and Section 1 of Part B of this Article Fourth, the holders of the Common Stock are entitled to receive, when, as and if declared by the Board of Directors, out of the assets of the Corporation which are by law available therefor, dividends payable either in cash, in property or fully paid Common Stock.</w:t>
      </w:r>
    </w:p>
    <w:p>
      <w:pPr>
        <w:spacing w:after="0" w:line="183" w:lineRule="exact"/>
        <w:rPr>
          <w:rFonts w:ascii="Arial" w:cs="Arial" w:eastAsia="Arial" w:hAnsi="Arial"/>
          <w:sz w:val="18"/>
          <w:szCs w:val="18"/>
          <w:color w:val="auto"/>
        </w:rPr>
      </w:pPr>
    </w:p>
    <w:p>
      <w:pPr>
        <w:ind w:right="140" w:firstLine="987"/>
        <w:spacing w:after="0" w:line="257" w:lineRule="auto"/>
        <w:tabs>
          <w:tab w:leader="none" w:pos="1171"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 The number of authorized shares of Common Stock may be increased or decreased (but not below the number of shares thereof then outstanding) by (in addition to any vote of the holders of one or more series of Preferred Stock that may be required by the terms of this Amended and Restated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87" w:lineRule="exact"/>
        <w:rPr>
          <w:rFonts w:ascii="Arial" w:cs="Arial" w:eastAsia="Arial" w:hAnsi="Arial"/>
          <w:sz w:val="18"/>
          <w:szCs w:val="18"/>
          <w:color w:val="auto"/>
        </w:rPr>
      </w:pPr>
    </w:p>
    <w:p>
      <w:pPr>
        <w:ind w:left="640" w:hanging="204"/>
        <w:spacing w:after="0"/>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rights, preferences, powers, privileges and restrictions, qualifications and limitations granted to and imposed on the Preferred Stock are set forth below in this Part B of this Article Fourth. Unless otherwise indicated, references to “sections” or “subsections” in this Part B of this Article Fourth refer to sections and subsections of Part B of this Article Fourth.</w:t>
      </w:r>
    </w:p>
    <w:p>
      <w:pPr>
        <w:spacing w:after="0" w:line="184" w:lineRule="exact"/>
        <w:rPr>
          <w:sz w:val="20"/>
          <w:szCs w:val="20"/>
          <w:color w:val="auto"/>
        </w:rPr>
      </w:pPr>
    </w:p>
    <w:p>
      <w:pPr>
        <w:ind w:left="1160" w:hanging="173"/>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sz w:val="20"/>
          <w:szCs w:val="20"/>
          <w:color w:val="auto"/>
        </w:rPr>
      </w:pPr>
    </w:p>
    <w:p>
      <w:pPr>
        <w:ind w:right="40" w:firstLine="1432"/>
        <w:spacing w:after="0" w:line="273" w:lineRule="auto"/>
        <w:rPr>
          <w:sz w:val="20"/>
          <w:szCs w:val="20"/>
          <w:color w:val="auto"/>
        </w:rPr>
      </w:pPr>
      <w:r>
        <w:rPr>
          <w:rFonts w:ascii="Arial" w:cs="Arial" w:eastAsia="Arial" w:hAnsi="Arial"/>
          <w:sz w:val="17"/>
          <w:szCs w:val="17"/>
          <w:color w:val="auto"/>
        </w:rPr>
        <w:t>1.1 Holders of the outstanding shares of Preferred Stock shall be entitled to receive, out of funds legally available therefor, cash dividends calculated in accordance with this Subsection 1.1. From and after the applicable Preferred Stock Original Issue Date (as defined below) of each series of Preferred Stock, dividends at the rate of six percent (6%) of the Applicable Preferred Stock Original Issue Price (as defined below) per annum shall accrue on each outstanding share of Series A Preferred Stock, Series B Preferred Stock and Series C Preferred Stock (subject to appropriate adjustment in the event of any stock dividend, stock split, combination or other similar recapitalization with respect of the applicable series of Preferred Stock) (the “</w:t>
      </w:r>
      <w:r>
        <w:rPr>
          <w:rFonts w:ascii="Arial" w:cs="Arial" w:eastAsia="Arial" w:hAnsi="Arial"/>
          <w:sz w:val="17"/>
          <w:szCs w:val="17"/>
          <w:b w:val="1"/>
          <w:bCs w:val="1"/>
          <w:color w:val="auto"/>
        </w:rPr>
        <w:t>Preferred Dividends</w:t>
      </w:r>
      <w:r>
        <w:rPr>
          <w:rFonts w:ascii="Arial" w:cs="Arial" w:eastAsia="Arial" w:hAnsi="Arial"/>
          <w:sz w:val="17"/>
          <w:szCs w:val="17"/>
          <w:color w:val="auto"/>
        </w:rPr>
        <w:t>”), each payable in preference and priority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36" w:name="page237"/>
    <w:bookmarkEnd w:id="236"/>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any declaration or payment of any dividend or other distribution or return of capital on any other class of stocks in the capital of the Corporation. The Preferred Dividends shall be calculated based on a 365-day year and shall accrue from day to day, whether or not declared, and shall be cumulative;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as set forth in Subsection 1.3 and Subsection 2.1, such Preferred Dividends shall be payable only when, as, and if declared by the Board of Directors and the Corporation shall be under no obligation to pay such Preferred Dividends. Payment of any Preferred Dividends to the holders of Preferred Stock shall be made on a pro rata,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among the holders of Series A Preferred Stock, the holders of Series B Preferred Stock, and the holders of Series C Preferred Stock.</w:t>
      </w:r>
    </w:p>
    <w:p>
      <w:pPr>
        <w:spacing w:after="0" w:line="174" w:lineRule="exact"/>
        <w:rPr>
          <w:sz w:val="20"/>
          <w:szCs w:val="20"/>
          <w:color w:val="auto"/>
        </w:rPr>
      </w:pPr>
    </w:p>
    <w:p>
      <w:pPr>
        <w:ind w:right="140" w:firstLine="1432"/>
        <w:spacing w:after="0" w:line="254" w:lineRule="auto"/>
        <w:rPr>
          <w:sz w:val="20"/>
          <w:szCs w:val="20"/>
          <w:color w:val="auto"/>
        </w:rPr>
      </w:pPr>
      <w:r>
        <w:rPr>
          <w:rFonts w:ascii="Arial" w:cs="Arial" w:eastAsia="Arial" w:hAnsi="Arial"/>
          <w:sz w:val="18"/>
          <w:szCs w:val="18"/>
          <w:color w:val="auto"/>
        </w:rPr>
        <w:t>1.2 For purpose hereof, (a) the “</w:t>
      </w:r>
      <w:r>
        <w:rPr>
          <w:rFonts w:ascii="Arial" w:cs="Arial" w:eastAsia="Arial" w:hAnsi="Arial"/>
          <w:sz w:val="18"/>
          <w:szCs w:val="18"/>
          <w:b w:val="1"/>
          <w:bCs w:val="1"/>
          <w:color w:val="auto"/>
        </w:rPr>
        <w:t>Applicable Preferred Stock Original Issue Price</w:t>
      </w:r>
      <w:r>
        <w:rPr>
          <w:rFonts w:ascii="Arial" w:cs="Arial" w:eastAsia="Arial" w:hAnsi="Arial"/>
          <w:sz w:val="18"/>
          <w:szCs w:val="18"/>
          <w:color w:val="auto"/>
        </w:rPr>
        <w:t>” shall be equal to (i) in the case of the Series A Preferred Stock, $1.00 per share, subject to appropriate adjustment in the event of any stock dividend, stock split, combination or other similar recapitalization with respect to the Series A Preferred Stock (the “</w:t>
      </w:r>
      <w:r>
        <w:rPr>
          <w:rFonts w:ascii="Arial" w:cs="Arial" w:eastAsia="Arial" w:hAnsi="Arial"/>
          <w:sz w:val="18"/>
          <w:szCs w:val="18"/>
          <w:b w:val="1"/>
          <w:bCs w:val="1"/>
          <w:color w:val="auto"/>
        </w:rPr>
        <w:t>Series A Original Issue Price</w:t>
      </w:r>
      <w:r>
        <w:rPr>
          <w:rFonts w:ascii="Arial" w:cs="Arial" w:eastAsia="Arial" w:hAnsi="Arial"/>
          <w:sz w:val="18"/>
          <w:szCs w:val="18"/>
          <w:color w:val="auto"/>
        </w:rPr>
        <w:t>”), (ii) in the case of the Series B Preferred Stock, $1.4432 per share, subject to appropriate adjustment in the event of any stock dividend, stock split, combination or other similar recapitalization with respect to the Series B Preferred Stock (the “</w:t>
      </w:r>
      <w:r>
        <w:rPr>
          <w:rFonts w:ascii="Arial" w:cs="Arial" w:eastAsia="Arial" w:hAnsi="Arial"/>
          <w:sz w:val="18"/>
          <w:szCs w:val="18"/>
          <w:b w:val="1"/>
          <w:bCs w:val="1"/>
          <w:color w:val="auto"/>
        </w:rPr>
        <w:t>Series B Original Issue Price</w:t>
      </w:r>
      <w:r>
        <w:rPr>
          <w:rFonts w:ascii="Arial" w:cs="Arial" w:eastAsia="Arial" w:hAnsi="Arial"/>
          <w:sz w:val="18"/>
          <w:szCs w:val="18"/>
          <w:color w:val="auto"/>
        </w:rPr>
        <w:t>”), and (iii) in the case of the Series C Preferred Stock, $1.4432 per share, subject to appropriate adjustment in the event of any stock dividend, stock split, combination or other similar recapitalization with respect to the Series C Preferred Stock (the “</w:t>
      </w:r>
      <w:r>
        <w:rPr>
          <w:rFonts w:ascii="Arial" w:cs="Arial" w:eastAsia="Arial" w:hAnsi="Arial"/>
          <w:sz w:val="18"/>
          <w:szCs w:val="18"/>
          <w:b w:val="1"/>
          <w:bCs w:val="1"/>
          <w:color w:val="auto"/>
        </w:rPr>
        <w:t>Series C Original Issue Price</w:t>
      </w:r>
      <w:r>
        <w:rPr>
          <w:rFonts w:ascii="Arial" w:cs="Arial" w:eastAsia="Arial" w:hAnsi="Arial"/>
          <w:sz w:val="18"/>
          <w:szCs w:val="18"/>
          <w:color w:val="auto"/>
        </w:rPr>
        <w:t>”); and the “</w:t>
      </w:r>
      <w:r>
        <w:rPr>
          <w:rFonts w:ascii="Arial" w:cs="Arial" w:eastAsia="Arial" w:hAnsi="Arial"/>
          <w:sz w:val="18"/>
          <w:szCs w:val="18"/>
          <w:b w:val="1"/>
          <w:bCs w:val="1"/>
          <w:color w:val="auto"/>
        </w:rPr>
        <w:t>Preferred Stock Original Issue Date</w:t>
      </w:r>
      <w:r>
        <w:rPr>
          <w:rFonts w:ascii="Arial" w:cs="Arial" w:eastAsia="Arial" w:hAnsi="Arial"/>
          <w:sz w:val="18"/>
          <w:szCs w:val="18"/>
          <w:color w:val="auto"/>
        </w:rPr>
        <w:t>” shall mean (i) in the case of the Series A Preferred Stock, May 8, 2015, (ii) in the case of Series B Preferred Stock, May 16, 2019, and (iii) in the case of Series C Preferred Stock, February 6, 2020.</w:t>
      </w:r>
    </w:p>
    <w:p>
      <w:pPr>
        <w:spacing w:after="0" w:line="192" w:lineRule="exact"/>
        <w:rPr>
          <w:sz w:val="20"/>
          <w:szCs w:val="20"/>
          <w:color w:val="auto"/>
        </w:rPr>
      </w:pPr>
    </w:p>
    <w:p>
      <w:pPr>
        <w:ind w:firstLine="1432"/>
        <w:spacing w:after="0" w:line="268" w:lineRule="auto"/>
        <w:rPr>
          <w:sz w:val="20"/>
          <w:szCs w:val="20"/>
          <w:color w:val="auto"/>
        </w:rPr>
      </w:pPr>
      <w:r>
        <w:rPr>
          <w:rFonts w:ascii="Arial" w:cs="Arial" w:eastAsia="Arial" w:hAnsi="Arial"/>
          <w:sz w:val="17"/>
          <w:szCs w:val="17"/>
          <w:color w:val="auto"/>
        </w:rPr>
        <w:t xml:space="preserve">1.3 The Corporation shall not declare, pay or set aside any dividends on shares of Common Stock or any other class or series of capital stock of the Corporation (other than dividends on shares of Common Stock payable in shares of Common Stock) unless (in addition to the obtaining of any consents required elsewhere in this Amended and Restated Certificate of Incorporation) the holders of the Preferred Stock then outstanding shall first receive, or simultaneously receive, a dividend on each outstanding share of Preferred Stock in an amount at least equal to the greater of (i) the amount of the aggregate Preferred Dividends then accrued on such share of Preferred Stock and not previously paid and (ii) (A) in the case of a dividend on Common Stock or any class or series that is convertible into Common Stock, that dividend per share of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Preferred Stock, in each case calculated on the record date for determination of holders entitled to receive such dividend or (B) in the case of a dividend on any class or series that is not convertible into Common Stock, at a rate per share of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Applicable Preferred Stock Original Issue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Corporation declares, pays or sets aside, on the same date, a dividend on shares of more than one class or series of capital stock of the Corporation, the dividend payable to the holders of Preferred Stock pursuant to this Section 1.3 shall be calculated based upon the dividend on the class or series of capital stock that would result in the highest Preferred Stock dividend.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37" w:name="page238"/>
    <w:bookmarkEnd w:id="237"/>
    <w:p>
      <w:pPr>
        <w:ind w:left="1160" w:hanging="173"/>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Liquidation, Dissolution or Winding Up; Certain Mergers, Consolidations and Asset Sales</w:t>
      </w:r>
      <w:r>
        <w:rPr>
          <w:rFonts w:ascii="Arial" w:cs="Arial" w:eastAsia="Arial" w:hAnsi="Arial"/>
          <w:sz w:val="18"/>
          <w:szCs w:val="18"/>
          <w:color w:val="auto"/>
        </w:rPr>
        <w:t>.</w:t>
      </w:r>
    </w:p>
    <w:p>
      <w:pPr>
        <w:spacing w:after="0" w:line="225" w:lineRule="exact"/>
        <w:rPr>
          <w:sz w:val="20"/>
          <w:szCs w:val="20"/>
          <w:color w:val="auto"/>
        </w:rPr>
      </w:pPr>
    </w:p>
    <w:p>
      <w:pPr>
        <w:ind w:right="60" w:firstLine="1432"/>
        <w:spacing w:after="0" w:line="26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Preferential Payments to Holders of Preferred Stock</w:t>
      </w:r>
      <w:r>
        <w:rPr>
          <w:rFonts w:ascii="Arial" w:cs="Arial" w:eastAsia="Arial" w:hAnsi="Arial"/>
          <w:sz w:val="17"/>
          <w:szCs w:val="17"/>
          <w:color w:val="auto"/>
        </w:rPr>
        <w:t xml:space="preserve">. In the event of any voluntary or involuntary liquidation, dissolution or winding up of the Corporation or Deemed Liquidation Event (as defined below), the holders of shares of Preferred Stock then outstanding shall be entitled to be paid,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among each other, out of the assets of the Corporation available for distribution to its stockholders or, in the case of a Deemed Liquidation Event, out of the consideration payable to stockholders in such Deemed Liquidation Event or the Available Proceeds (as defined below), before any payment shall be made to the holders of Common Stock by reason of their ownership thereof, an amount per share equal to one (1) times the Applicable Preferred Stock Original Issue Price, plus any applicable Preferred Dividends for such Preferred Stock accrued but unpaid thereon, whether or not declared. If upon any such liquidation, dissolution or winding up of the Corporation or Deemed Liquidation Event, the assets of the Corporation available for distribution to its stockholders shall be insufficient to pay all holders of shares of Preferred Stock the full amount to which they shall be entitled under this Subsection 2.1,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2" w:lineRule="exact"/>
        <w:rPr>
          <w:sz w:val="20"/>
          <w:szCs w:val="20"/>
          <w:color w:val="auto"/>
        </w:rPr>
      </w:pPr>
    </w:p>
    <w:p>
      <w:pPr>
        <w:ind w:firstLine="1432"/>
        <w:spacing w:after="0" w:line="25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Distribution of Remaining Assets</w:t>
      </w:r>
      <w:r>
        <w:rPr>
          <w:rFonts w:ascii="Arial" w:cs="Arial" w:eastAsia="Arial" w:hAnsi="Arial"/>
          <w:sz w:val="18"/>
          <w:szCs w:val="18"/>
          <w:color w:val="auto"/>
        </w:rPr>
        <w:t>. In the event of any voluntary or involuntary liquidation, dissolution or winding up of the Corporation, after the payment in full of all preferential amounts required to be paid to the holders of shares of Preferred Stock described in Subsection 2.1, the remaining assets of the Corporation available for distribution to its stockholders or, in the case of a Deemed Liquidation Event, the consideration not payable to the holders of shares of Preferred Stock pursuant to Subsection 2.1 or the remaining Available Proceeds, as the case may be, shall be distributed among the holders of the shares of Preferred Stock and Common Stock, pro rata based on the number of shares held by each such holder, treating for this purpose all such securities as if they had been converted to Common Stock pursuant to the terms of this Amended and Restated Certificate of Incorporation immediately prior to such liquidation, dissolution or winding up of the Corporation. The aggregate amount which a holder of a share of a series of Preferred Stock is entitled to receive under Subsections 2.1 and 2.2 is hereinafter referred to as the “</w:t>
      </w:r>
      <w:r>
        <w:rPr>
          <w:rFonts w:ascii="Arial" w:cs="Arial" w:eastAsia="Arial" w:hAnsi="Arial"/>
          <w:sz w:val="18"/>
          <w:szCs w:val="18"/>
          <w:b w:val="1"/>
          <w:bCs w:val="1"/>
          <w:color w:val="auto"/>
        </w:rPr>
        <w:t>Applicable Preferred Stock</w:t>
      </w:r>
      <w:r>
        <w:rPr>
          <w:rFonts w:ascii="Arial" w:cs="Arial" w:eastAsia="Arial" w:hAnsi="Arial"/>
          <w:sz w:val="18"/>
          <w:szCs w:val="18"/>
          <w:color w:val="auto"/>
        </w:rPr>
        <w:t xml:space="preserve"> </w:t>
      </w:r>
      <w:r>
        <w:rPr>
          <w:rFonts w:ascii="Arial" w:cs="Arial" w:eastAsia="Arial" w:hAnsi="Arial"/>
          <w:sz w:val="18"/>
          <w:szCs w:val="18"/>
          <w:b w:val="1"/>
          <w:bCs w:val="1"/>
          <w:color w:val="auto"/>
        </w:rPr>
        <w:t>Liquidation Amount</w:t>
      </w:r>
      <w:r>
        <w:rPr>
          <w:rFonts w:ascii="Arial" w:cs="Arial" w:eastAsia="Arial" w:hAnsi="Arial"/>
          <w:sz w:val="18"/>
          <w:szCs w:val="18"/>
          <w:color w:val="auto"/>
        </w:rPr>
        <w:t>.”</w:t>
      </w:r>
    </w:p>
    <w:p>
      <w:pPr>
        <w:spacing w:after="0" w:line="19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2.3 Deemed Liquidation Events.</w:t>
      </w:r>
    </w:p>
    <w:p>
      <w:pPr>
        <w:spacing w:after="0" w:line="221" w:lineRule="exact"/>
        <w:rPr>
          <w:sz w:val="20"/>
          <w:szCs w:val="20"/>
          <w:color w:val="auto"/>
        </w:rPr>
      </w:pPr>
    </w:p>
    <w:p>
      <w:pPr>
        <w:jc w:val="both"/>
        <w:ind w:right="140" w:firstLine="1983"/>
        <w:spacing w:after="0" w:line="31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Definition</w:t>
      </w:r>
      <w:r>
        <w:rPr>
          <w:rFonts w:ascii="Arial" w:cs="Arial" w:eastAsia="Arial" w:hAnsi="Arial"/>
          <w:sz w:val="16"/>
          <w:szCs w:val="16"/>
          <w:color w:val="auto"/>
        </w:rPr>
        <w:t>. Each of the following events shall be considered a “</w:t>
      </w:r>
      <w:r>
        <w:rPr>
          <w:rFonts w:ascii="Arial" w:cs="Arial" w:eastAsia="Arial" w:hAnsi="Arial"/>
          <w:sz w:val="16"/>
          <w:szCs w:val="16"/>
          <w:b w:val="1"/>
          <w:bCs w:val="1"/>
          <w:color w:val="auto"/>
        </w:rPr>
        <w:t>Deemed Liquidation Event</w:t>
      </w:r>
      <w:r>
        <w:rPr>
          <w:rFonts w:ascii="Arial" w:cs="Arial" w:eastAsia="Arial" w:hAnsi="Arial"/>
          <w:sz w:val="16"/>
          <w:szCs w:val="16"/>
          <w:color w:val="auto"/>
        </w:rPr>
        <w:t>” unless the holders of at least two-thirds of the then outstanding shares of Preferred Stock, voting together as a single class on an as-converted basis (the “</w:t>
      </w:r>
      <w:r>
        <w:rPr>
          <w:rFonts w:ascii="Arial" w:cs="Arial" w:eastAsia="Arial" w:hAnsi="Arial"/>
          <w:sz w:val="16"/>
          <w:szCs w:val="16"/>
          <w:b w:val="1"/>
          <w:bCs w:val="1"/>
          <w:color w:val="auto"/>
        </w:rPr>
        <w:t>Requisite Holders</w:t>
      </w:r>
      <w:r>
        <w:rPr>
          <w:rFonts w:ascii="Arial" w:cs="Arial" w:eastAsia="Arial" w:hAnsi="Arial"/>
          <w:sz w:val="16"/>
          <w:szCs w:val="16"/>
          <w:color w:val="auto"/>
        </w:rPr>
        <w:t>”), elect otherwise by written notice sent to the Corporation at least ten (10) days prior to the effective date of any such event:</w:t>
      </w:r>
    </w:p>
    <w:p>
      <w:pPr>
        <w:spacing w:after="0" w:line="51" w:lineRule="exact"/>
        <w:rPr>
          <w:sz w:val="20"/>
          <w:szCs w:val="20"/>
          <w:color w:val="auto"/>
        </w:rPr>
      </w:pPr>
    </w:p>
    <w:p>
      <w:pPr>
        <w:ind w:left="2840" w:hanging="428"/>
        <w:spacing w:after="0"/>
        <w:tabs>
          <w:tab w:leader="none" w:pos="28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30" w:lineRule="exact"/>
        <w:rPr>
          <w:rFonts w:ascii="Arial" w:cs="Arial" w:eastAsia="Arial" w:hAnsi="Arial"/>
          <w:sz w:val="18"/>
          <w:szCs w:val="18"/>
          <w:color w:val="auto"/>
        </w:rPr>
      </w:pPr>
    </w:p>
    <w:p>
      <w:pPr>
        <w:ind w:left="3400" w:hanging="542"/>
        <w:spacing w:after="0"/>
        <w:tabs>
          <w:tab w:leader="none" w:pos="34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30" w:lineRule="exact"/>
        <w:rPr>
          <w:rFonts w:ascii="Arial" w:cs="Arial" w:eastAsia="Arial" w:hAnsi="Arial"/>
          <w:sz w:val="18"/>
          <w:szCs w:val="18"/>
          <w:color w:val="auto"/>
        </w:rPr>
      </w:pPr>
    </w:p>
    <w:p>
      <w:pPr>
        <w:ind w:left="3400" w:right="20" w:hanging="542"/>
        <w:spacing w:after="0" w:line="277" w:lineRule="auto"/>
        <w:tabs>
          <w:tab w:leader="none" w:pos="34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 subsidiary of the Corporation is a constituent party and the Corporation issues shares of its capital stock pursuant to such merger or consolidation,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38" w:name="page239"/>
    <w:bookmarkEnd w:id="238"/>
    <w:p>
      <w:pPr>
        <w:ind w:left="4"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88" w:lineRule="exact"/>
        <w:rPr>
          <w:sz w:val="20"/>
          <w:szCs w:val="20"/>
          <w:color w:val="auto"/>
        </w:rPr>
      </w:pPr>
    </w:p>
    <w:p>
      <w:pPr>
        <w:ind w:left="4" w:right="200" w:firstLine="2419"/>
        <w:spacing w:after="0" w:line="279" w:lineRule="auto"/>
        <w:tabs>
          <w:tab w:leader="none" w:pos="2682"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sale, lease, transfer, exclusive license or other disposition, in a single transaction or series of related transactions, of (i) all of the main operating subsidiaries of the Corporation (whether by merger, consolidation or otherwise, and whether in a single transaction or a series of related transactions), (ii) all or substantially all of the business of the Corporation, (iii) all or substantially all the assets of the Corporation or its subsidiaries (including all or substantially all of the Corporation’s or its subsidiaries’ intellectual property).</w:t>
      </w:r>
    </w:p>
    <w:p>
      <w:pPr>
        <w:spacing w:after="0" w:line="171"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225" w:lineRule="exact"/>
        <w:rPr>
          <w:sz w:val="20"/>
          <w:szCs w:val="20"/>
          <w:color w:val="auto"/>
        </w:rPr>
      </w:pPr>
    </w:p>
    <w:p>
      <w:pPr>
        <w:ind w:left="4" w:firstLine="2419"/>
        <w:spacing w:after="0" w:line="259" w:lineRule="auto"/>
        <w:tabs>
          <w:tab w:leader="none" w:pos="267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Corporation shall not have the power to effect a Deemed Liquidation Event referred to in Subsection 2.3.1(a)(i) unless the agreement or plan of merger or consolidation for such transaction (the “</w:t>
      </w:r>
      <w:r>
        <w:rPr>
          <w:rFonts w:ascii="Arial" w:cs="Arial" w:eastAsia="Arial" w:hAnsi="Arial"/>
          <w:sz w:val="18"/>
          <w:szCs w:val="18"/>
          <w:b w:val="1"/>
          <w:bCs w:val="1"/>
          <w:color w:val="auto"/>
        </w:rPr>
        <w:t>Merger Agreement</w:t>
      </w:r>
      <w:r>
        <w:rPr>
          <w:rFonts w:ascii="Arial" w:cs="Arial" w:eastAsia="Arial" w:hAnsi="Arial"/>
          <w:sz w:val="18"/>
          <w:szCs w:val="18"/>
          <w:color w:val="auto"/>
        </w:rPr>
        <w:t>”) provides that the consideration payable to the stockholders of the Corporation in such Deemed Liquidation Event shall be paid to the holders of capital stock of the Corporation in accordance with Subsections 2.1 and 2.2.</w:t>
      </w:r>
    </w:p>
    <w:p>
      <w:pPr>
        <w:spacing w:after="0" w:line="186" w:lineRule="exact"/>
        <w:rPr>
          <w:rFonts w:ascii="Arial" w:cs="Arial" w:eastAsia="Arial" w:hAnsi="Arial"/>
          <w:sz w:val="18"/>
          <w:szCs w:val="18"/>
          <w:color w:val="auto"/>
        </w:rPr>
      </w:pPr>
    </w:p>
    <w:p>
      <w:pPr>
        <w:ind w:left="4" w:right="140" w:firstLine="2419"/>
        <w:spacing w:after="0" w:line="291" w:lineRule="auto"/>
        <w:tabs>
          <w:tab w:leader="none" w:pos="2682"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In the event of a Deemed Liquidation Event referred to in Subsection 2.3.1(a)(ii) or 2.3.1(b), if the Corporation does not effect a dissolution of the Corporation under the General Corporation Law within ninety (90) days after such Deemed Liquidation Event, then</w:t>
      </w:r>
    </w:p>
    <w:p>
      <w:pPr>
        <w:ind w:left="4" w:right="20" w:hanging="4"/>
        <w:spacing w:after="0" w:line="268" w:lineRule="auto"/>
        <w:tabs>
          <w:tab w:leader="none" w:pos="219"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Corporation shall send a written notice to each holder of Preferred Stock no later than the ninetieth (90</w:t>
      </w:r>
      <w:r>
        <w:rPr>
          <w:rFonts w:ascii="Arial" w:cs="Arial" w:eastAsia="Arial" w:hAnsi="Arial"/>
          <w:sz w:val="14"/>
          <w:szCs w:val="14"/>
          <w:color w:val="auto"/>
        </w:rPr>
        <w:t>th</w:t>
      </w:r>
      <w:r>
        <w:rPr>
          <w:rFonts w:ascii="Arial" w:cs="Arial" w:eastAsia="Arial" w:hAnsi="Arial"/>
          <w:sz w:val="17"/>
          <w:szCs w:val="17"/>
          <w:color w:val="auto"/>
        </w:rPr>
        <w:t>) day after the Deemed Liquidation Event advising such holders of their right (and the requirements to be met to secure such right) pursuant to the terms of the following clauses, (ii) the Corporation shall require the redemption of such shares of Preferred Stock, and (iii) if the Requisite Holders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w:t>
      </w:r>
      <w:r>
        <w:rPr>
          <w:rFonts w:ascii="Arial" w:cs="Arial" w:eastAsia="Arial" w:hAnsi="Arial"/>
          <w:sz w:val="17"/>
          <w:szCs w:val="17"/>
          <w:b w:val="1"/>
          <w:bCs w:val="1"/>
          <w:color w:val="auto"/>
        </w:rPr>
        <w:t>,</w:t>
      </w:r>
      <w:r>
        <w:rPr>
          <w:rFonts w:ascii="Arial" w:cs="Arial" w:eastAsia="Arial" w:hAnsi="Arial"/>
          <w:sz w:val="17"/>
          <w:szCs w:val="17"/>
          <w:color w:val="auto"/>
        </w:rPr>
        <w:t xml:space="preserve"> together with any other assets of the Corporation available for distribution to its stockholders, all to the extent permitted by Delaware law governing distributions to stockholders (the “</w:t>
      </w:r>
      <w:r>
        <w:rPr>
          <w:rFonts w:ascii="Arial" w:cs="Arial" w:eastAsia="Arial" w:hAnsi="Arial"/>
          <w:sz w:val="17"/>
          <w:szCs w:val="17"/>
          <w:b w:val="1"/>
          <w:bCs w:val="1"/>
          <w:color w:val="auto"/>
        </w:rPr>
        <w:t>Available Proceeds</w:t>
      </w:r>
      <w:r>
        <w:rPr>
          <w:rFonts w:ascii="Arial" w:cs="Arial" w:eastAsia="Arial" w:hAnsi="Arial"/>
          <w:sz w:val="17"/>
          <w:szCs w:val="17"/>
          <w:color w:val="auto"/>
        </w:rPr>
        <w:t>”), on the one hundred fiftieth (150</w:t>
      </w:r>
      <w:r>
        <w:rPr>
          <w:rFonts w:ascii="Arial" w:cs="Arial" w:eastAsia="Arial" w:hAnsi="Arial"/>
          <w:sz w:val="14"/>
          <w:szCs w:val="14"/>
          <w:color w:val="auto"/>
        </w:rPr>
        <w:t>th</w:t>
      </w:r>
      <w:r>
        <w:rPr>
          <w:rFonts w:ascii="Arial" w:cs="Arial" w:eastAsia="Arial" w:hAnsi="Arial"/>
          <w:sz w:val="17"/>
          <w:szCs w:val="17"/>
          <w:color w:val="auto"/>
        </w:rPr>
        <w:t>) day after such Deemed Liquidation Event, to redeem all outstanding shares of Preferred Stock at a price per share equal to the Applicable Preferred Stock Liquidation Amount. Notwithstanding the foregoing, in the event of a redemption pursuant to the preceding sentence, if the Available Proceeds are not sufficient to redeem all outstanding shares of</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39" w:name="page240"/>
    <w:bookmarkEnd w:id="23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Preferred Stock, the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Prior to the distribution or redemption provided for in this Subsection 2.3.2(b), the Corporation shall not expend or dissipate the consideration received for such Deemed Liquidation Event, except to discharge expenses incurred in connection with such Deemed Liquidation Event or in the ordinary course of business.</w:t>
      </w:r>
    </w:p>
    <w:p>
      <w:pPr>
        <w:spacing w:after="0" w:line="192" w:lineRule="exact"/>
        <w:rPr>
          <w:sz w:val="20"/>
          <w:szCs w:val="20"/>
          <w:color w:val="auto"/>
        </w:rPr>
      </w:pPr>
    </w:p>
    <w:p>
      <w:pPr>
        <w:ind w:right="160" w:firstLine="1983"/>
        <w:spacing w:after="0" w:line="270"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u w:val="single" w:color="auto"/>
          <w:color w:val="auto"/>
        </w:rPr>
        <w:t>Amount Deemed Paid or Distributed</w:t>
      </w:r>
      <w:r>
        <w:rPr>
          <w:rFonts w:ascii="Arial" w:cs="Arial" w:eastAsia="Arial" w:hAnsi="Arial"/>
          <w:sz w:val="17"/>
          <w:szCs w:val="17"/>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Board of Directors. The Board of Directors shall seek to obtain agreement on the value of such property, rights or securities with the Requisite Holder and, if agreement is unable to be obtained, independent competent appraisers shall be promptly engaged to determine the value of such property, rights or securities. The Corporation shall, upon the date the valuation is agreed by the Board of Directors and Requisite Holders or upon receipt of such appraiser’s valuation, as the case may be, give prompt written notice to the holders of capital stock of the Corporation of the valuation. Notwithstanding the foregoing, any securities to be distributed to holders of capital stock of the Corporation shall be valued as follows:</w:t>
      </w:r>
    </w:p>
    <w:p>
      <w:pPr>
        <w:spacing w:after="0" w:line="73"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Valuation of Securities</w:t>
      </w:r>
      <w:r>
        <w:rPr>
          <w:rFonts w:ascii="Arial" w:cs="Arial" w:eastAsia="Arial" w:hAnsi="Arial"/>
          <w:sz w:val="16"/>
          <w:szCs w:val="16"/>
          <w:color w:val="auto"/>
        </w:rPr>
        <w:t>. Notwithstanding Subsection 2.3.3, any securities to be distributed to the stockholders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Corporation shall be valued as follows:</w:t>
      </w:r>
    </w:p>
    <w:p>
      <w:pPr>
        <w:spacing w:after="0" w:line="10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 Securities not subject to an investment letter or other similar restrictions on free marketability covered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subsection (b) hereof:</w:t>
      </w:r>
    </w:p>
    <w:p>
      <w:pPr>
        <w:spacing w:after="0" w:line="116" w:lineRule="exact"/>
        <w:rPr>
          <w:sz w:val="20"/>
          <w:szCs w:val="20"/>
          <w:color w:val="auto"/>
        </w:rPr>
      </w:pPr>
    </w:p>
    <w:p>
      <w:pPr>
        <w:jc w:val="both"/>
        <w:ind w:left="3400" w:right="200" w:hanging="542"/>
        <w:spacing w:after="0" w:line="263" w:lineRule="auto"/>
        <w:tabs>
          <w:tab w:leader="none" w:pos="34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traded on a securities exchange, the value shall be deemed to be the volume weighted average of the closing prices of the securities on such exchange over the 30-day period ending three (3) business days prior to the closing;</w:t>
      </w:r>
    </w:p>
    <w:p>
      <w:pPr>
        <w:spacing w:after="0" w:line="89" w:lineRule="exact"/>
        <w:rPr>
          <w:rFonts w:ascii="Arial" w:cs="Arial" w:eastAsia="Arial" w:hAnsi="Arial"/>
          <w:sz w:val="18"/>
          <w:szCs w:val="18"/>
          <w:color w:val="auto"/>
        </w:rPr>
      </w:pPr>
    </w:p>
    <w:p>
      <w:pPr>
        <w:ind w:left="3400" w:right="40" w:hanging="542"/>
        <w:spacing w:after="0" w:line="263" w:lineRule="auto"/>
        <w:tabs>
          <w:tab w:leader="none" w:pos="34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actively traded over-the-counter, the value shall be deemed to be the volume weighted average of the closing bid or sale prices (whichever is applicable) over the 30-day period ending three (3) business days prior to the closing; and</w:t>
      </w:r>
    </w:p>
    <w:p>
      <w:pPr>
        <w:spacing w:after="0" w:line="89" w:lineRule="exact"/>
        <w:rPr>
          <w:rFonts w:ascii="Arial" w:cs="Arial" w:eastAsia="Arial" w:hAnsi="Arial"/>
          <w:sz w:val="18"/>
          <w:szCs w:val="18"/>
          <w:color w:val="auto"/>
        </w:rPr>
      </w:pPr>
    </w:p>
    <w:p>
      <w:pPr>
        <w:ind w:left="3400" w:right="120" w:hanging="542"/>
        <w:spacing w:after="0" w:line="263" w:lineRule="auto"/>
        <w:tabs>
          <w:tab w:leader="none" w:pos="34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there is no active public market, the value shall be the fair market value thereof, as reasonably determined by the Board of Directors or independent competent appraisers (as the case may be) in good faith.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40" w:name="page241"/>
    <w:bookmarkEnd w:id="240"/>
    <w:p>
      <w:pPr>
        <w:ind w:left="4" w:right="140" w:firstLine="2419"/>
        <w:spacing w:after="0" w:line="279" w:lineRule="auto"/>
        <w:tabs>
          <w:tab w:leader="none" w:pos="2682" w:val="left"/>
        </w:tabs>
        <w:numPr>
          <w:ilvl w:val="0"/>
          <w:numId w:val="1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method of valuation of securities subject to an investment letter or other restrictions on free marketability (other than restrictions arising solely by virtue of a stockholder’s status as an affiliate or former affiliate) shall be to make an appropriate discount from the market value determined as provided in subsections 4.3.3(a)(i), (ii) and (iii), to reflect the adjusted fair market value thereof, as reasonably determined by the Board of Directors or independent competent appraisers (as the case may be) in good faith.</w:t>
      </w:r>
    </w:p>
    <w:p>
      <w:pPr>
        <w:spacing w:after="0" w:line="171" w:lineRule="exact"/>
        <w:rPr>
          <w:sz w:val="20"/>
          <w:szCs w:val="20"/>
          <w:color w:val="auto"/>
        </w:rPr>
      </w:pPr>
    </w:p>
    <w:p>
      <w:pPr>
        <w:ind w:left="4" w:right="220" w:firstLine="1983"/>
        <w:spacing w:after="0" w:line="285" w:lineRule="auto"/>
        <w:rPr>
          <w:sz w:val="20"/>
          <w:szCs w:val="20"/>
          <w:color w:val="auto"/>
        </w:rPr>
      </w:pPr>
      <w:r>
        <w:rPr>
          <w:rFonts w:ascii="Arial" w:cs="Arial" w:eastAsia="Arial" w:hAnsi="Arial"/>
          <w:sz w:val="16"/>
          <w:szCs w:val="16"/>
          <w:color w:val="auto"/>
        </w:rPr>
        <w:t xml:space="preserve">2.3.5 </w:t>
      </w:r>
      <w:r>
        <w:rPr>
          <w:rFonts w:ascii="Arial" w:cs="Arial" w:eastAsia="Arial" w:hAnsi="Arial"/>
          <w:sz w:val="16"/>
          <w:szCs w:val="16"/>
          <w:u w:val="single" w:color="auto"/>
          <w:color w:val="auto"/>
        </w:rPr>
        <w:t>Allocation of Escrow and Contingent Consideration</w:t>
      </w:r>
      <w:r>
        <w:rPr>
          <w:rFonts w:ascii="Arial" w:cs="Arial" w:eastAsia="Arial" w:hAnsi="Arial"/>
          <w:sz w:val="16"/>
          <w:szCs w:val="16"/>
          <w:color w:val="auto"/>
        </w:rPr>
        <w:t>. In the event of a Deemed Liquidation Event pursuant to Subsection 2.3.1(a)(i), if any portion of the consideration payable to the stockholders of the Corporation is payable only upon satisfaction of contingencies (the “</w:t>
      </w:r>
      <w:r>
        <w:rPr>
          <w:rFonts w:ascii="Arial" w:cs="Arial" w:eastAsia="Arial" w:hAnsi="Arial"/>
          <w:sz w:val="16"/>
          <w:szCs w:val="16"/>
          <w:b w:val="1"/>
          <w:bCs w:val="1"/>
          <w:color w:val="auto"/>
        </w:rPr>
        <w:t>Additional Consideration</w:t>
      </w:r>
      <w:r>
        <w:rPr>
          <w:rFonts w:ascii="Arial" w:cs="Arial" w:eastAsia="Arial" w:hAnsi="Arial"/>
          <w:sz w:val="16"/>
          <w:szCs w:val="16"/>
          <w:color w:val="auto"/>
        </w:rPr>
        <w:t>”), the Merger Agreement shall provide that (a) the portion of such consideration that is not Additional Consideration (such portion,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shall be allocated among the holders of capital stock of the Corporation in accordance with Subsections 2.1 and 2.2 as if the Initial Consideration were the only consideration payable in connection with such Deemed Liquidation Event; and</w:t>
      </w:r>
    </w:p>
    <w:p>
      <w:pPr>
        <w:spacing w:after="0" w:line="2" w:lineRule="exact"/>
        <w:rPr>
          <w:sz w:val="20"/>
          <w:szCs w:val="20"/>
          <w:color w:val="auto"/>
        </w:rPr>
      </w:pPr>
    </w:p>
    <w:p>
      <w:pPr>
        <w:ind w:left="4" w:right="80" w:hanging="4"/>
        <w:spacing w:after="0" w:line="253" w:lineRule="auto"/>
        <w:tabs>
          <w:tab w:leader="none" w:pos="25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Additional Consideration which becomes payable to the stockholders of the Corporation upon satisfaction of such contingencies shall be allocated among the holders of capital stock of the Corporation in accordance with Subsections 2.1 and 2.2 after taking into account the previous payment of the Initial Consideration as part of the same transaction. For the purposes of this Subsection 2.3.4, consideration placed into escrow or retained as a holdback to be available for satisfaction of indemnification or similar obligations in connection with such Deemed Liquidation Event shall be deemed to be Initial Consideration.</w:t>
      </w:r>
    </w:p>
    <w:p>
      <w:pPr>
        <w:spacing w:after="0" w:line="190" w:lineRule="exact"/>
        <w:rPr>
          <w:rFonts w:ascii="Arial" w:cs="Arial" w:eastAsia="Arial" w:hAnsi="Arial"/>
          <w:sz w:val="18"/>
          <w:szCs w:val="18"/>
          <w:color w:val="auto"/>
        </w:rPr>
      </w:pPr>
    </w:p>
    <w:p>
      <w:pPr>
        <w:ind w:left="1164" w:hanging="173"/>
        <w:spacing w:after="0"/>
        <w:tabs>
          <w:tab w:leader="none" w:pos="1164"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ind w:left="4" w:firstLine="1432"/>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this Amended and Restated Certificate of Incorporation, holders of Preferred Stock shall vote together with the holders of Common Stock as a single class and on an as-converted to Common Stock basis. Fractional votes shall not, however, be permitted and any fractional voting rights resulting from the above formula (after aggregating all Common Stock into which Preferred Stock held by each holder could be converted) shall be reduced to the nearest whole number.</w:t>
      </w:r>
    </w:p>
    <w:p>
      <w:pPr>
        <w:spacing w:after="0" w:line="192" w:lineRule="exact"/>
        <w:rPr>
          <w:sz w:val="20"/>
          <w:szCs w:val="20"/>
          <w:color w:val="auto"/>
        </w:rPr>
      </w:pPr>
    </w:p>
    <w:p>
      <w:pPr>
        <w:ind w:left="4" w:right="100" w:firstLine="1432"/>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 (a) The holders of record of the shares of Series A Preferred Stock and Series B Preferred Stock, voting together as a single class on an as-converted basis, shall be entitled to elect two (2) directors of the Corporation (the “</w:t>
      </w:r>
      <w:r>
        <w:rPr>
          <w:rFonts w:ascii="Arial" w:cs="Arial" w:eastAsia="Arial" w:hAnsi="Arial"/>
          <w:sz w:val="18"/>
          <w:szCs w:val="18"/>
          <w:b w:val="1"/>
          <w:bCs w:val="1"/>
          <w:color w:val="auto"/>
        </w:rPr>
        <w:t>Series A/B Directors</w:t>
      </w:r>
      <w:r>
        <w:rPr>
          <w:rFonts w:ascii="Arial" w:cs="Arial" w:eastAsia="Arial" w:hAnsi="Arial"/>
          <w:sz w:val="18"/>
          <w:szCs w:val="18"/>
          <w:color w:val="auto"/>
        </w:rPr>
        <w:t>”); (b) the holders of record of the shares of Series C Preferred Stock, exclusively and as a separate class, shall be entitled to elect two (2) director of the Corporation (the “</w:t>
      </w:r>
      <w:r>
        <w:rPr>
          <w:rFonts w:ascii="Arial" w:cs="Arial" w:eastAsia="Arial" w:hAnsi="Arial"/>
          <w:sz w:val="18"/>
          <w:szCs w:val="18"/>
          <w:b w:val="1"/>
          <w:bCs w:val="1"/>
          <w:color w:val="auto"/>
        </w:rPr>
        <w:t>Series C Director</w:t>
      </w:r>
      <w:r>
        <w:rPr>
          <w:rFonts w:ascii="Arial" w:cs="Arial" w:eastAsia="Arial" w:hAnsi="Arial"/>
          <w:sz w:val="18"/>
          <w:szCs w:val="18"/>
          <w:color w:val="auto"/>
        </w:rPr>
        <w:t>” and together with the Series A/B Directors, the “</w:t>
      </w:r>
      <w:r>
        <w:rPr>
          <w:rFonts w:ascii="Arial" w:cs="Arial" w:eastAsia="Arial" w:hAnsi="Arial"/>
          <w:sz w:val="18"/>
          <w:szCs w:val="18"/>
          <w:b w:val="1"/>
          <w:bCs w:val="1"/>
          <w:color w:val="auto"/>
        </w:rPr>
        <w:t>Preferred Directors</w:t>
      </w:r>
      <w:r>
        <w:rPr>
          <w:rFonts w:ascii="Arial" w:cs="Arial" w:eastAsia="Arial" w:hAnsi="Arial"/>
          <w:sz w:val="18"/>
          <w:szCs w:val="18"/>
          <w:color w:val="auto"/>
        </w:rPr>
        <w:t>”); (c) the holders of record of the shares of Common Stock, exclusively and as a separate class, shall be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241" w:name="page242"/>
    <w:bookmarkEnd w:id="24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entitled to elect one (1) director of the Corporation (the “</w:t>
      </w:r>
      <w:r>
        <w:rPr>
          <w:rFonts w:ascii="Arial" w:cs="Arial" w:eastAsia="Arial" w:hAnsi="Arial"/>
          <w:sz w:val="16"/>
          <w:szCs w:val="16"/>
          <w:b w:val="1"/>
          <w:bCs w:val="1"/>
          <w:color w:val="auto"/>
        </w:rPr>
        <w:t>Common Stock Director</w:t>
      </w:r>
      <w:r>
        <w:rPr>
          <w:rFonts w:ascii="Arial" w:cs="Arial" w:eastAsia="Arial" w:hAnsi="Arial"/>
          <w:sz w:val="16"/>
          <w:szCs w:val="16"/>
          <w:color w:val="auto"/>
        </w:rPr>
        <w:t>”); and (d) the Requisite Holders, voting together as a single class and on an as-converted basis, shall be entitled to elect one (1) directors of the Corporation, subject to the consent of the majority of holders of record of the shares of Common Stock (the “</w:t>
      </w:r>
      <w:r>
        <w:rPr>
          <w:rFonts w:ascii="Arial" w:cs="Arial" w:eastAsia="Arial" w:hAnsi="Arial"/>
          <w:sz w:val="16"/>
          <w:szCs w:val="16"/>
          <w:b w:val="1"/>
          <w:bCs w:val="1"/>
          <w:color w:val="auto"/>
        </w:rPr>
        <w:t>Mutual Directors</w:t>
      </w:r>
      <w:r>
        <w:rPr>
          <w:rFonts w:ascii="Arial" w:cs="Arial" w:eastAsia="Arial" w:hAnsi="Arial"/>
          <w:sz w:val="16"/>
          <w:szCs w:val="16"/>
          <w:color w:val="auto"/>
        </w:rPr>
        <w:t>”).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Series A Preferred Stock, Series B Preferred Stock, Series C Preferred Stock or Common Stock, as the case may be, fail to elect a sufficient number of directors to fill all directorships for which they are entitled to elect directors, voting exclusively and as a separate class, pursuant to the first sentence of this Subsection 3.2, then any directorship not so filled shall remain vacant until such time as the holders of shares of Series A Preferred Stock, Series B Preferred Stock, Series C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Subsection 3.2,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Subsection 3.2.</w:t>
      </w:r>
    </w:p>
    <w:p>
      <w:pPr>
        <w:spacing w:after="0" w:line="178" w:lineRule="exact"/>
        <w:rPr>
          <w:sz w:val="20"/>
          <w:szCs w:val="20"/>
          <w:color w:val="auto"/>
        </w:rPr>
      </w:pPr>
    </w:p>
    <w:p>
      <w:pPr>
        <w:ind w:right="60" w:firstLine="1432"/>
        <w:spacing w:after="0" w:line="27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Preferred Stock Protective Provisions</w:t>
      </w:r>
      <w:r>
        <w:rPr>
          <w:rFonts w:ascii="Arial" w:cs="Arial" w:eastAsia="Arial" w:hAnsi="Arial"/>
          <w:sz w:val="17"/>
          <w:szCs w:val="17"/>
          <w:color w:val="auto"/>
        </w:rPr>
        <w:t xml:space="preserve">. At any time when at least 9,000,000 shares of Preferred Stock (subject to appropriate adjustment in the event of any stock dividend, stock split, combination or other similar recapitalization with respect to any series of Preferred Stock) are outstanding, the Corporation shall not, either directly or indirectly by amendment, merger, consolidation or otherwise, do any of the following without (in addition to any other vote required by law or this Amended and Restated Certificate of Incorporation) the written consent or affirmative vote of the Requisite Holders,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of no force or effect:</w:t>
      </w:r>
    </w:p>
    <w:p>
      <w:pPr>
        <w:spacing w:after="0" w:line="70" w:lineRule="exact"/>
        <w:rPr>
          <w:sz w:val="20"/>
          <w:szCs w:val="20"/>
          <w:color w:val="auto"/>
        </w:rPr>
      </w:pPr>
    </w:p>
    <w:p>
      <w:pPr>
        <w:ind w:right="540" w:firstLine="1983"/>
        <w:spacing w:after="0" w:line="277" w:lineRule="auto"/>
        <w:rPr>
          <w:sz w:val="20"/>
          <w:szCs w:val="20"/>
          <w:color w:val="auto"/>
        </w:rPr>
      </w:pPr>
      <w:r>
        <w:rPr>
          <w:rFonts w:ascii="Arial" w:cs="Arial" w:eastAsia="Arial" w:hAnsi="Arial"/>
          <w:sz w:val="18"/>
          <w:szCs w:val="18"/>
          <w:color w:val="auto"/>
        </w:rPr>
        <w:t>3.3.1 amend, alter or repeal any provision of this Amended and Restated Certificate of Incorporation or Bylaws of the Corporation in a manner that adversely affects the powers, preferences or rights of any series of Preferred Stock;</w:t>
      </w:r>
    </w:p>
    <w:p>
      <w:pPr>
        <w:spacing w:after="0" w:line="170" w:lineRule="exact"/>
        <w:rPr>
          <w:sz w:val="20"/>
          <w:szCs w:val="20"/>
          <w:color w:val="auto"/>
        </w:rPr>
      </w:pPr>
    </w:p>
    <w:p>
      <w:pPr>
        <w:ind w:right="60" w:firstLine="1983"/>
        <w:spacing w:after="0" w:line="342" w:lineRule="auto"/>
        <w:rPr>
          <w:sz w:val="20"/>
          <w:szCs w:val="20"/>
          <w:color w:val="auto"/>
        </w:rPr>
      </w:pPr>
      <w:r>
        <w:rPr>
          <w:rFonts w:ascii="Arial" w:cs="Arial" w:eastAsia="Arial" w:hAnsi="Arial"/>
          <w:sz w:val="16"/>
          <w:szCs w:val="16"/>
          <w:color w:val="auto"/>
        </w:rPr>
        <w:t>3.3.2 create, or authorize the creation of, or issue or obligate itself to issue shares of, or any other security convertible into or exercisable for, any class or series of equity security having rights, preferences or privileges senior to or on parity with any series of Preferred Stock;</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242" w:name="page243"/>
    <w:bookmarkEnd w:id="242"/>
    <w:p>
      <w:pPr>
        <w:ind w:right="20" w:firstLine="198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3.3.3 (i) reclassify, alter or amend any existing security of the Corporation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series of Preferred Stock in respect of the distribution of assets on the liquidation, dissolution or winding up of the Corporation, the payment of dividends or rights of redemption, if such reclassification, alteration or amendment would render such other security senior to any series of Preferred Stock in respect of any such right, preference, or privilege or (ii) reclassify, alter or amend any existing security of the Corporation that is junior to any series of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Preferred Stock in respect of any such right, preference or privilege;</w:t>
      </w:r>
    </w:p>
    <w:p>
      <w:pPr>
        <w:spacing w:after="0" w:line="195" w:lineRule="exact"/>
        <w:rPr>
          <w:sz w:val="20"/>
          <w:szCs w:val="20"/>
          <w:color w:val="auto"/>
        </w:rPr>
      </w:pPr>
    </w:p>
    <w:p>
      <w:pPr>
        <w:ind w:right="800" w:firstLine="1983"/>
        <w:spacing w:after="0" w:line="277" w:lineRule="auto"/>
        <w:rPr>
          <w:sz w:val="20"/>
          <w:szCs w:val="20"/>
          <w:color w:val="auto"/>
        </w:rPr>
      </w:pPr>
      <w:r>
        <w:rPr>
          <w:rFonts w:ascii="Arial" w:cs="Arial" w:eastAsia="Arial" w:hAnsi="Arial"/>
          <w:sz w:val="18"/>
          <w:szCs w:val="18"/>
          <w:color w:val="auto"/>
        </w:rPr>
        <w:t>3.3.4 effect a liquidation, dissolution or winding-up of the business and affairs of the Corporation and/or any of its subsidiaries, or effect any merger or consolidation or any other Deemed Liquidation Event;</w:t>
      </w:r>
    </w:p>
    <w:p>
      <w:pPr>
        <w:spacing w:after="0" w:line="170" w:lineRule="exact"/>
        <w:rPr>
          <w:sz w:val="20"/>
          <w:szCs w:val="20"/>
          <w:color w:val="auto"/>
        </w:rPr>
      </w:pPr>
    </w:p>
    <w:p>
      <w:pPr>
        <w:jc w:val="both"/>
        <w:ind w:right="40" w:firstLine="1983"/>
        <w:spacing w:after="0" w:line="259" w:lineRule="auto"/>
        <w:rPr>
          <w:sz w:val="20"/>
          <w:szCs w:val="20"/>
          <w:color w:val="auto"/>
        </w:rPr>
      </w:pPr>
      <w:r>
        <w:rPr>
          <w:rFonts w:ascii="Arial" w:cs="Arial" w:eastAsia="Arial" w:hAnsi="Arial"/>
          <w:sz w:val="18"/>
          <w:szCs w:val="18"/>
          <w:color w:val="auto"/>
        </w:rPr>
        <w:t>3.3.5 increase the authorized number of shares of Common Stock or issues shares of Common Stock, except for the purpose of (i) issuing shares upon exercise of outstanding options to purchase Common Stock for up to an aggregate of 24,923,591 shares of Common Stock or warrants for the purchase of Common Stock; (ii) issuing shares upon the conversion of Preferred Stock; or (iii) issuing shares in connection with a share split, share dividend or other recapitalization;</w:t>
      </w:r>
    </w:p>
    <w:p>
      <w:pPr>
        <w:spacing w:after="0" w:line="187" w:lineRule="exact"/>
        <w:rPr>
          <w:sz w:val="20"/>
          <w:szCs w:val="20"/>
          <w:color w:val="auto"/>
        </w:rPr>
      </w:pPr>
    </w:p>
    <w:p>
      <w:pPr>
        <w:ind w:firstLine="1983"/>
        <w:spacing w:after="0" w:line="277" w:lineRule="auto"/>
        <w:rPr>
          <w:sz w:val="20"/>
          <w:szCs w:val="20"/>
          <w:color w:val="auto"/>
        </w:rPr>
      </w:pPr>
      <w:r>
        <w:rPr>
          <w:rFonts w:ascii="Arial" w:cs="Arial" w:eastAsia="Arial" w:hAnsi="Arial"/>
          <w:sz w:val="18"/>
          <w:szCs w:val="18"/>
          <w:color w:val="auto"/>
        </w:rPr>
        <w:t>3.3.6 increase or decrease the authorized number of directors constituting the Board of Directors or change the procedures by which the members of the Board of Directors are elected or appointed;</w:t>
      </w:r>
    </w:p>
    <w:p>
      <w:pPr>
        <w:spacing w:after="0" w:line="170" w:lineRule="exact"/>
        <w:rPr>
          <w:sz w:val="20"/>
          <w:szCs w:val="20"/>
          <w:color w:val="auto"/>
        </w:rPr>
      </w:pPr>
    </w:p>
    <w:p>
      <w:pPr>
        <w:ind w:right="400" w:firstLine="1983"/>
        <w:spacing w:after="0" w:line="259" w:lineRule="auto"/>
        <w:rPr>
          <w:sz w:val="20"/>
          <w:szCs w:val="20"/>
          <w:color w:val="auto"/>
        </w:rPr>
      </w:pPr>
      <w:r>
        <w:rPr>
          <w:rFonts w:ascii="Arial" w:cs="Arial" w:eastAsia="Arial" w:hAnsi="Arial"/>
          <w:sz w:val="18"/>
          <w:szCs w:val="18"/>
          <w:color w:val="auto"/>
        </w:rPr>
        <w:t>3.3.7 purchase or redeem (or permit any subsidiary to purchase or redeem) or pay or declare any dividend or make any distribution on, any shares of capital stock of the Corporation other than repurchases of stock from service providers of the Corporation or any subsidiary upon the cessation of services pursuant to agreements to repurchase such shares that are approved by the Board of Directors (including a majority of Preferred Directors);</w:t>
      </w:r>
    </w:p>
    <w:p>
      <w:pPr>
        <w:spacing w:after="0" w:line="187" w:lineRule="exact"/>
        <w:rPr>
          <w:sz w:val="20"/>
          <w:szCs w:val="20"/>
          <w:color w:val="auto"/>
        </w:rPr>
      </w:pPr>
    </w:p>
    <w:p>
      <w:pPr>
        <w:jc w:val="both"/>
        <w:ind w:right="20" w:firstLine="1983"/>
        <w:spacing w:after="0" w:line="263" w:lineRule="auto"/>
        <w:rPr>
          <w:sz w:val="20"/>
          <w:szCs w:val="20"/>
          <w:color w:val="auto"/>
        </w:rPr>
      </w:pPr>
      <w:r>
        <w:rPr>
          <w:rFonts w:ascii="Arial" w:cs="Arial" w:eastAsia="Arial" w:hAnsi="Arial"/>
          <w:sz w:val="18"/>
          <w:szCs w:val="18"/>
          <w:color w:val="auto"/>
        </w:rPr>
        <w:t>3.3.8 incur indebtedness in respect of the Corporation or any of its subsidiaries for borrowed money (including operating and capital leases) in excess of $250,000 in the aggregate; provided, that the incurrence of any direct or indirect guarantee of the payment or performance of the indebtedness of any other party shall be construed as the incurrence of indebtedness;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3.3.9 amend or modify any existing stock option or equity incentive plan of the Corporation or adopt any new stock option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equity incentive plan;</w:t>
      </w:r>
    </w:p>
    <w:p>
      <w:pPr>
        <w:spacing w:after="0" w:line="211" w:lineRule="exact"/>
        <w:rPr>
          <w:sz w:val="20"/>
          <w:szCs w:val="20"/>
          <w:color w:val="auto"/>
        </w:rPr>
      </w:pPr>
    </w:p>
    <w:p>
      <w:pPr>
        <w:jc w:val="both"/>
        <w:ind w:right="40" w:firstLine="1983"/>
        <w:spacing w:after="0" w:line="277" w:lineRule="auto"/>
        <w:rPr>
          <w:sz w:val="20"/>
          <w:szCs w:val="20"/>
          <w:color w:val="auto"/>
        </w:rPr>
      </w:pPr>
      <w:r>
        <w:rPr>
          <w:rFonts w:ascii="Arial" w:cs="Arial" w:eastAsia="Arial" w:hAnsi="Arial"/>
          <w:sz w:val="18"/>
          <w:szCs w:val="18"/>
          <w:color w:val="auto"/>
        </w:rPr>
        <w:t>3.3.10 cause the Corporation and/or any of its subsidiaries to acquire, merge or consolidate with or into any corporation or to purchase all or substantially all of the assets of any corporation;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43" w:name="page244"/>
    <w:bookmarkEnd w:id="243"/>
    <w:p>
      <w:pPr>
        <w:ind w:right="100" w:firstLine="198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3.3.11 amend, terminate or waive any provision of the Corporation’s and/or any of its subsidiaries’ certificate of incorporation or by-laws or other equivalent organizational documents or any shareholders agreements (including the existing amended and restated voting agreement, the existing amended and restated right of first refusal and co-sale agreement, the existing amended and restated investors’ rights agreement relating to the Corporation, as well as any other agreement executed by Requisite Holders relating to the Corporation entered into on or after the effective date of this Amended and Restated Certificate of Incorporation).</w:t>
      </w:r>
    </w:p>
    <w:p>
      <w:pPr>
        <w:spacing w:after="0" w:line="188" w:lineRule="exact"/>
        <w:rPr>
          <w:sz w:val="20"/>
          <w:szCs w:val="20"/>
          <w:color w:val="auto"/>
        </w:rPr>
      </w:pPr>
    </w:p>
    <w:p>
      <w:pPr>
        <w:ind w:left="1160" w:hanging="173"/>
        <w:spacing w:after="0"/>
        <w:tabs>
          <w:tab w:leader="none" w:pos="116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225" w:lineRule="exact"/>
        <w:rPr>
          <w:sz w:val="20"/>
          <w:szCs w:val="20"/>
          <w:color w:val="auto"/>
        </w:rPr>
      </w:pPr>
    </w:p>
    <w:p>
      <w:pPr>
        <w:ind w:firstLine="1983"/>
        <w:spacing w:after="0" w:line="269"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Preferred Stock Original Issue Price by the Applicable Preferred Stock Conversion Price (as defined below) in effect at the time of conversion. For purposes hereof, the “</w:t>
      </w:r>
      <w:r>
        <w:rPr>
          <w:rFonts w:ascii="Arial" w:cs="Arial" w:eastAsia="Arial" w:hAnsi="Arial"/>
          <w:sz w:val="17"/>
          <w:szCs w:val="17"/>
          <w:b w:val="1"/>
          <w:bCs w:val="1"/>
          <w:color w:val="auto"/>
        </w:rPr>
        <w:t>Applicable Preferred Stock Conversion Price</w:t>
      </w:r>
      <w:r>
        <w:rPr>
          <w:rFonts w:ascii="Arial" w:cs="Arial" w:eastAsia="Arial" w:hAnsi="Arial"/>
          <w:sz w:val="17"/>
          <w:szCs w:val="17"/>
          <w:color w:val="auto"/>
        </w:rPr>
        <w:t xml:space="preserve">” shall initially (as of the Series C Original Issue Date and before any adjustment is required pursuant to Subsection 4.4 hereof) be equal to (a) in the case of the Series A Preferred Stock, $1.00; (b) in the case of the Series B Preferred Stock, $1.4432; (c) in the case of the Series C Preferred Stock, $1.4432; </w:t>
      </w:r>
      <w:r>
        <w:rPr>
          <w:rFonts w:ascii="Arial" w:cs="Arial" w:eastAsia="Arial" w:hAnsi="Arial"/>
          <w:sz w:val="17"/>
          <w:szCs w:val="17"/>
          <w:u w:val="single" w:color="auto"/>
          <w:color w:val="auto"/>
        </w:rPr>
        <w:t>provided</w:t>
      </w:r>
      <w:r>
        <w:rPr>
          <w:rFonts w:ascii="Arial" w:cs="Arial" w:eastAsia="Arial" w:hAnsi="Arial"/>
          <w:sz w:val="17"/>
          <w:szCs w:val="17"/>
          <w:color w:val="auto"/>
        </w:rPr>
        <w:t>, that, the Applicable Preferred Stock Conversion Price for a series of Preferred Stock shall only be adjusted pursuant to this Section 4 if the issuance of Additional Shares of Common Stock is made for consideration less than the Applicable Preferred Stock Conversion Price then in effect for such series of Preferred Stock. Such initial Applicable Preferred Stock Conversion Price, and the initial rate at which shares of Series A Preferred Stock, Series B Preferred Stock or Series C Preferred Stock, as applicable, may be converted into shares of Common Stock, shall be subject to adjustment as provided below.</w:t>
      </w:r>
    </w:p>
    <w:p>
      <w:pPr>
        <w:spacing w:after="0" w:line="182" w:lineRule="exact"/>
        <w:rPr>
          <w:sz w:val="20"/>
          <w:szCs w:val="20"/>
          <w:color w:val="auto"/>
        </w:rPr>
      </w:pPr>
    </w:p>
    <w:p>
      <w:pPr>
        <w:ind w:firstLine="1983"/>
        <w:spacing w:after="0" w:line="263"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4" w:lineRule="exact"/>
        <w:rPr>
          <w:sz w:val="20"/>
          <w:szCs w:val="20"/>
          <w:color w:val="auto"/>
        </w:rPr>
      </w:pPr>
    </w:p>
    <w:p>
      <w:pPr>
        <w:ind w:right="80" w:firstLine="1432"/>
        <w:spacing w:after="0" w:line="27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any series of class of Preferred Stock the holder is at the time converting into Common Stock and the aggregate number of shares of Common Stock issuable upon such conversion.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44" w:name="page245"/>
    <w:bookmarkEnd w:id="244"/>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4.3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5" w:lineRule="exact"/>
        <w:rPr>
          <w:sz w:val="20"/>
          <w:szCs w:val="20"/>
          <w:color w:val="auto"/>
        </w:rPr>
      </w:pPr>
    </w:p>
    <w:p>
      <w:pPr>
        <w:ind w:right="20" w:firstLine="1983"/>
        <w:spacing w:after="0" w:line="285"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6"/>
          <w:szCs w:val="16"/>
          <w:b w:val="1"/>
          <w:bCs w:val="1"/>
          <w:color w:val="auto"/>
        </w:rPr>
        <w:t>Conversion Time</w:t>
      </w:r>
      <w:r>
        <w:rPr>
          <w:rFonts w:ascii="Arial" w:cs="Arial" w:eastAsia="Arial" w:hAnsi="Arial"/>
          <w:sz w:val="16"/>
          <w:szCs w:val="16"/>
          <w:color w:val="auto"/>
        </w:rPr>
        <w:t>”),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Subsection 4.2 in lieu of any fraction of a share of Common Stock otherwise issuable upon such conversion and (iii) pay all declared but unpaid dividends on the shares of Preferred Stock converted.</w:t>
      </w:r>
    </w:p>
    <w:p>
      <w:pPr>
        <w:spacing w:after="0" w:line="169" w:lineRule="exact"/>
        <w:rPr>
          <w:sz w:val="20"/>
          <w:szCs w:val="20"/>
          <w:color w:val="auto"/>
        </w:rPr>
      </w:pPr>
    </w:p>
    <w:p>
      <w:pPr>
        <w:ind w:firstLine="1983"/>
        <w:spacing w:after="0" w:line="269" w:lineRule="auto"/>
        <w:rPr>
          <w:sz w:val="20"/>
          <w:szCs w:val="20"/>
          <w:color w:val="auto"/>
        </w:rPr>
      </w:pPr>
      <w:r>
        <w:rPr>
          <w:rFonts w:ascii="Arial" w:cs="Arial" w:eastAsia="Arial" w:hAnsi="Arial"/>
          <w:sz w:val="17"/>
          <w:szCs w:val="17"/>
          <w:color w:val="auto"/>
        </w:rPr>
        <w:t xml:space="preserve">4.3.2 </w:t>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Amended and Restated Certificate of Incorporation. Before taking any action which would cause an adjustment reducing the Applicable Preferred Stock Conversion Price below the then par value of the shares of Common Stock issuable upon conversion of the applicable series of Preferred Stock, the Corporation will take any corporate action which may, in the opinion of its counsel, be necessary in order that the Corporation may validly and legally issue fully paid and non-assessable shares of Common Stock at such adjusted Applicable Preferred Stock Conversion Price.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45" w:name="page246"/>
    <w:bookmarkEnd w:id="245"/>
    <w:p>
      <w:pPr>
        <w:ind w:right="60" w:firstLine="1983"/>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4.3.3 </w:t>
      </w:r>
      <w:r>
        <w:rPr>
          <w:rFonts w:ascii="Arial" w:cs="Arial" w:eastAsia="Arial" w:hAnsi="Arial"/>
          <w:sz w:val="17"/>
          <w:szCs w:val="17"/>
          <w:u w:val="single" w:color="auto"/>
          <w:color w:val="auto"/>
        </w:rPr>
        <w:t>Effect of Conversion</w:t>
      </w:r>
      <w:r>
        <w:rPr>
          <w:rFonts w:ascii="Arial" w:cs="Arial" w:eastAsia="Arial" w:hAnsi="Arial"/>
          <w:sz w:val="17"/>
          <w:szCs w:val="17"/>
          <w:color w:val="auto"/>
        </w:rPr>
        <w:t>.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Subsection 4.2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such series of Preferred Stock accordingly.</w:t>
      </w:r>
    </w:p>
    <w:p>
      <w:pPr>
        <w:spacing w:after="0" w:line="177" w:lineRule="exact"/>
        <w:rPr>
          <w:sz w:val="20"/>
          <w:szCs w:val="20"/>
          <w:color w:val="auto"/>
        </w:rPr>
      </w:pPr>
    </w:p>
    <w:p>
      <w:pPr>
        <w:ind w:right="60" w:firstLine="1983"/>
        <w:spacing w:after="0" w:line="263"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No Further Adjustment</w:t>
      </w:r>
      <w:r>
        <w:rPr>
          <w:rFonts w:ascii="Arial" w:cs="Arial" w:eastAsia="Arial" w:hAnsi="Arial"/>
          <w:sz w:val="18"/>
          <w:szCs w:val="18"/>
          <w:color w:val="auto"/>
        </w:rPr>
        <w:t>. Upon any such conversion, no adjustment to the Applicable Preferred Stock Conversion Price shall be made for any declared but unpaid dividends on the applicable series of Preferred Stock surrendered for conversion or on the Common Stock delivered upon conversion.</w:t>
      </w:r>
    </w:p>
    <w:p>
      <w:pPr>
        <w:spacing w:after="0" w:line="184" w:lineRule="exact"/>
        <w:rPr>
          <w:sz w:val="20"/>
          <w:szCs w:val="20"/>
          <w:color w:val="auto"/>
        </w:rPr>
      </w:pPr>
    </w:p>
    <w:p>
      <w:pPr>
        <w:ind w:right="40" w:firstLine="1983"/>
        <w:spacing w:after="0" w:line="255"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The Corporation shall pay any and all issue and other similar taxes that may be payable in respect of any issuance or delivery of shares of Common Stock upon conversion of shares of Preferred Stock pursuant to this Section 4.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9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to Applicable Preferred Stock Conversion Price for Diluting Issues</w:t>
      </w:r>
      <w:r>
        <w:rPr>
          <w:rFonts w:ascii="Arial" w:cs="Arial" w:eastAsia="Arial" w:hAnsi="Arial"/>
          <w:sz w:val="18"/>
          <w:szCs w:val="18"/>
          <w:color w:val="auto"/>
        </w:rPr>
        <w: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Special Definitions</w:t>
      </w:r>
      <w:r>
        <w:rPr>
          <w:rFonts w:ascii="Arial" w:cs="Arial" w:eastAsia="Arial" w:hAnsi="Arial"/>
          <w:sz w:val="18"/>
          <w:szCs w:val="18"/>
          <w:color w:val="auto"/>
        </w:rPr>
        <w:t>. For purposes of this Article Fourth, the following definitions shall apply:</w:t>
      </w:r>
    </w:p>
    <w:p>
      <w:pPr>
        <w:spacing w:after="0" w:line="113"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Convertible Securities.</w:t>
      </w:r>
    </w:p>
    <w:p>
      <w:pPr>
        <w:spacing w:after="0" w:line="207" w:lineRule="exact"/>
        <w:rPr>
          <w:sz w:val="20"/>
          <w:szCs w:val="20"/>
          <w:color w:val="auto"/>
        </w:rPr>
      </w:pPr>
    </w:p>
    <w:p>
      <w:pPr>
        <w:ind w:left="2680" w:hanging="261"/>
        <w:spacing w:after="0"/>
        <w:tabs>
          <w:tab w:leader="none" w:pos="26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C Original Issue Date</w:t>
      </w:r>
      <w:r>
        <w:rPr>
          <w:rFonts w:ascii="Arial" w:cs="Arial" w:eastAsia="Arial" w:hAnsi="Arial"/>
          <w:sz w:val="18"/>
          <w:szCs w:val="18"/>
          <w:color w:val="auto"/>
        </w:rPr>
        <w:t>” shall mean February 6, 2020.</w:t>
      </w:r>
    </w:p>
    <w:p>
      <w:pPr>
        <w:spacing w:after="0" w:line="225" w:lineRule="exact"/>
        <w:rPr>
          <w:rFonts w:ascii="Arial" w:cs="Arial" w:eastAsia="Arial" w:hAnsi="Arial"/>
          <w:sz w:val="18"/>
          <w:szCs w:val="18"/>
          <w:color w:val="auto"/>
        </w:rPr>
      </w:pPr>
    </w:p>
    <w:p>
      <w:pPr>
        <w:ind w:firstLine="2419"/>
        <w:spacing w:after="0" w:line="282" w:lineRule="auto"/>
        <w:tabs>
          <w:tab w:leader="none" w:pos="266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46" w:name="page247"/>
    <w:bookmarkEnd w:id="246"/>
    <w:p>
      <w:pPr>
        <w:ind w:right="120" w:firstLine="2419"/>
        <w:spacing w:after="0" w:line="261" w:lineRule="auto"/>
        <w:tabs>
          <w:tab w:leader="none" w:pos="2678" w:val="left"/>
        </w:tabs>
        <w:numPr>
          <w:ilvl w:val="0"/>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Additional Shares of Common Stock</w:t>
      </w:r>
      <w:r>
        <w:rPr>
          <w:rFonts w:ascii="Arial" w:cs="Arial" w:eastAsia="Arial" w:hAnsi="Arial"/>
          <w:sz w:val="18"/>
          <w:szCs w:val="18"/>
          <w:color w:val="auto"/>
        </w:rPr>
        <w:t>” shall mean all shares of Common Stock issued (or, pursuant to Subsection 4.4.3 below, deemed to be issued) by the Corporation after the Series C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8"/>
          <w:szCs w:val="18"/>
          <w:b w:val="1"/>
          <w:bCs w:val="1"/>
          <w:color w:val="auto"/>
        </w:rPr>
        <w:t>Exempted Securities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3400" w:hanging="650"/>
        <w:spacing w:after="0"/>
        <w:tabs>
          <w:tab w:leader="none" w:pos="34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shares of Common Stock issued upon conversion of the Preferred Stock;</w:t>
      </w:r>
    </w:p>
    <w:p>
      <w:pPr>
        <w:spacing w:after="0" w:line="130" w:lineRule="exact"/>
        <w:rPr>
          <w:rFonts w:ascii="Arial" w:cs="Arial" w:eastAsia="Arial" w:hAnsi="Arial"/>
          <w:sz w:val="18"/>
          <w:szCs w:val="18"/>
          <w:color w:val="auto"/>
        </w:rPr>
      </w:pPr>
    </w:p>
    <w:p>
      <w:pPr>
        <w:ind w:left="3400" w:hanging="650"/>
        <w:spacing w:after="0" w:line="286" w:lineRule="auto"/>
        <w:tabs>
          <w:tab w:leader="none" w:pos="340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shares of Common Stock or Options issued to employees or directors of, or consultants or advisors to, the Corporation or any of its subsidiaries pursuant to a plan, agreement or arrangement approved by the Board of Directors, including a majority of the Preferred Directors;</w:t>
      </w:r>
    </w:p>
    <w:p>
      <w:pPr>
        <w:spacing w:after="0" w:line="70" w:lineRule="exact"/>
        <w:rPr>
          <w:rFonts w:ascii="Arial" w:cs="Arial" w:eastAsia="Arial" w:hAnsi="Arial"/>
          <w:sz w:val="17"/>
          <w:szCs w:val="17"/>
          <w:color w:val="auto"/>
        </w:rPr>
      </w:pPr>
    </w:p>
    <w:p>
      <w:pPr>
        <w:ind w:left="3400" w:right="220" w:hanging="650"/>
        <w:spacing w:after="0" w:line="311" w:lineRule="auto"/>
        <w:tabs>
          <w:tab w:leader="none" w:pos="340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to the public in a firm commitment underwritten public offering pursuant to an effective registration statement for a total public offering amount of not less than $50,000,000 after deducting underwriters commissions and expenses;</w:t>
      </w:r>
    </w:p>
    <w:p>
      <w:pPr>
        <w:spacing w:after="0" w:line="54" w:lineRule="exact"/>
        <w:rPr>
          <w:rFonts w:ascii="Arial" w:cs="Arial" w:eastAsia="Arial" w:hAnsi="Arial"/>
          <w:sz w:val="16"/>
          <w:szCs w:val="16"/>
          <w:color w:val="auto"/>
        </w:rPr>
      </w:pPr>
    </w:p>
    <w:p>
      <w:pPr>
        <w:ind w:left="3400" w:right="60" w:hanging="650"/>
        <w:spacing w:after="0" w:line="279" w:lineRule="auto"/>
        <w:tabs>
          <w:tab w:leader="none" w:pos="340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pursuant to the acquisition by the Corporation of another corporation or other entity by consolidation, corporate reorganizations, or merger or purchase of all or substantially all of the assets of such corporation or other entity as approved by the Board of Directors, including a majority of the Preferred Directors;</w:t>
      </w:r>
    </w:p>
    <w:p>
      <w:pPr>
        <w:spacing w:after="0" w:line="76" w:lineRule="exact"/>
        <w:rPr>
          <w:rFonts w:ascii="Arial" w:cs="Arial" w:eastAsia="Arial" w:hAnsi="Arial"/>
          <w:sz w:val="17"/>
          <w:szCs w:val="17"/>
          <w:color w:val="auto"/>
        </w:rPr>
      </w:pPr>
    </w:p>
    <w:p>
      <w:pPr>
        <w:ind w:left="3400" w:right="280" w:hanging="650"/>
        <w:spacing w:after="0" w:line="263" w:lineRule="auto"/>
        <w:tabs>
          <w:tab w:leader="none" w:pos="34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persons providing equipment leasing, real estate leasing, bank financing or similar transactions approved by the Board of Directors, including a majority of the Preferred Directors; or</w:t>
      </w:r>
    </w:p>
    <w:p>
      <w:pPr>
        <w:spacing w:after="0" w:line="89" w:lineRule="exact"/>
        <w:rPr>
          <w:rFonts w:ascii="Arial" w:cs="Arial" w:eastAsia="Arial" w:hAnsi="Arial"/>
          <w:sz w:val="18"/>
          <w:szCs w:val="18"/>
          <w:color w:val="auto"/>
        </w:rPr>
      </w:pPr>
    </w:p>
    <w:p>
      <w:pPr>
        <w:ind w:left="3400" w:hanging="650"/>
        <w:spacing w:after="0" w:line="263" w:lineRule="auto"/>
        <w:tabs>
          <w:tab w:leader="none" w:pos="34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suppliers or third party service providers other than for capital raising purposes approved by the Board of Directors, including a majority of the Preferred Directors.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247" w:name="page248"/>
    <w:bookmarkEnd w:id="247"/>
    <w:p>
      <w:pPr>
        <w:ind w:right="400" w:firstLine="198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4.4.2 </w:t>
      </w:r>
      <w:r>
        <w:rPr>
          <w:rFonts w:ascii="Arial" w:cs="Arial" w:eastAsia="Arial" w:hAnsi="Arial"/>
          <w:sz w:val="18"/>
          <w:szCs w:val="18"/>
          <w:u w:val="single" w:color="auto"/>
          <w:color w:val="auto"/>
        </w:rPr>
        <w:t>No Adjustment of Applicable Preferred Stock Conversion Price</w:t>
      </w:r>
      <w:r>
        <w:rPr>
          <w:rFonts w:ascii="Arial" w:cs="Arial" w:eastAsia="Arial" w:hAnsi="Arial"/>
          <w:sz w:val="18"/>
          <w:szCs w:val="18"/>
          <w:color w:val="auto"/>
        </w:rPr>
        <w:t>. No adjustment in the Applicable Preferred Stock Conversion Price shall be made as the result of the issuance or deemed issuance of Additional Shares of Common Stock if the Corporation receives written notice from the Requisite Holders agreeing that no such adjustment shall be made as the result of the issuance or deemed issuance of such Additional Shares of Common Stock.</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4.4.3 </w:t>
      </w:r>
      <w:r>
        <w:rPr>
          <w:rFonts w:ascii="Arial" w:cs="Arial" w:eastAsia="Arial" w:hAnsi="Arial"/>
          <w:sz w:val="18"/>
          <w:szCs w:val="18"/>
          <w:u w:val="single" w:color="auto"/>
          <w:color w:val="auto"/>
        </w:rPr>
        <w:t>Deemed Issue of Additional Shares of Common Stock</w:t>
      </w:r>
      <w:r>
        <w:rPr>
          <w:rFonts w:ascii="Arial" w:cs="Arial" w:eastAsia="Arial" w:hAnsi="Arial"/>
          <w:sz w:val="18"/>
          <w:szCs w:val="18"/>
          <w:color w:val="auto"/>
        </w:rPr>
        <w:t>.</w:t>
      </w:r>
    </w:p>
    <w:p>
      <w:pPr>
        <w:spacing w:after="0" w:line="225" w:lineRule="exact"/>
        <w:rPr>
          <w:sz w:val="20"/>
          <w:szCs w:val="20"/>
          <w:color w:val="auto"/>
        </w:rPr>
      </w:pPr>
    </w:p>
    <w:p>
      <w:pPr>
        <w:ind w:right="60" w:firstLine="2419"/>
        <w:spacing w:after="0" w:line="254" w:lineRule="auto"/>
        <w:tabs>
          <w:tab w:leader="none" w:pos="266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the Corporation at any time or from time to time after the Series C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91" w:lineRule="exact"/>
        <w:rPr>
          <w:rFonts w:ascii="Arial" w:cs="Arial" w:eastAsia="Arial" w:hAnsi="Arial"/>
          <w:sz w:val="18"/>
          <w:szCs w:val="18"/>
          <w:color w:val="auto"/>
        </w:rPr>
      </w:pPr>
    </w:p>
    <w:p>
      <w:pPr>
        <w:ind w:firstLine="2419"/>
        <w:spacing w:after="0" w:line="286" w:lineRule="auto"/>
        <w:tabs>
          <w:tab w:leader="none" w:pos="267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If the terms of any Option or Convertible Security, the issuance of which resulted in an adjustment to the Applicable Preferred Stock Conversion Price pursuant to the terms of Subsection 4.4.4,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Preferred Stock Conversion Price computed upon the original issue of such Option or Convertible Security (or upon the occurrence of a record date with respect thereto) shall be readjusted to such Applicable Preferred Stock Conversion Price as would have obtained had such revised terms been in effect upon the original date of issuance of such Option or Convertible Security. Notwithstanding the foregoing, no readjustment pursuant to this clause (b) shall have the effect of increasing the Applicable Preferred Stock Conversion Price to an amount which exceeds the lower of (i) the Applicable Preferred Stock Conversion Price in effect immediately prior to the original adjustment made as a result of the issuance of such Option or Convertible Security, or (ii) the Applicable Preferred Stock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48" w:name="page249"/>
    <w:bookmarkEnd w:id="248"/>
    <w:p>
      <w:pPr>
        <w:ind w:firstLine="2419"/>
        <w:spacing w:after="0" w:line="269" w:lineRule="auto"/>
        <w:tabs>
          <w:tab w:leader="none" w:pos="2668" w:val="left"/>
        </w:tabs>
        <w:numPr>
          <w:ilvl w:val="0"/>
          <w:numId w:val="1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terms of any Option or Convertible Security (excluding Options or Convertible Securities which are themselves Exempted Securities), the issuance of which did not result in an adjustment to the Applicable Preferred Stock Conversion Price pursuant to the terms of Subsection 4.4.4 (either because the consideration per share (determined pursuant to Subsection 4.4.5) of the Additional Shares of Common Stock subject thereto was equal to or greater than the Applicable Preferred Stock Conversion Price then in effect, or because such Option or Convertible Security was issued before the Series C Original Issue Date), are revised after the Series C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Subsection 4.4.3(a) shall be deemed to have been issued effective upon such increase or decrease becoming effective).</w:t>
      </w:r>
    </w:p>
    <w:p>
      <w:pPr>
        <w:spacing w:after="0" w:line="181" w:lineRule="exact"/>
        <w:rPr>
          <w:rFonts w:ascii="Arial" w:cs="Arial" w:eastAsia="Arial" w:hAnsi="Arial"/>
          <w:sz w:val="17"/>
          <w:szCs w:val="17"/>
          <w:color w:val="auto"/>
        </w:rPr>
      </w:pPr>
    </w:p>
    <w:p>
      <w:pPr>
        <w:ind w:right="20" w:firstLine="2419"/>
        <w:spacing w:after="0" w:line="301" w:lineRule="auto"/>
        <w:tabs>
          <w:tab w:leader="none" w:pos="267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Upon the expiration or termination of any unexercised Option or unconverted or unexchanged Convertible Security (or portion thereof) which resulted (either upon its original issuance or upon a revision of its terms) in an adjustment to the Applicable Preferred Stock Conversion Price pursuant to the terms of Subsection 4.4.4, the Applicable Preferred Stock Conversion Price shall be readjusted to such Applicable Preferred Stock Conversion Price as would have obtained had such Option or Convertible Security (or portion thereof) never been issued.</w:t>
      </w:r>
    </w:p>
    <w:p>
      <w:pPr>
        <w:spacing w:after="0" w:line="157" w:lineRule="exact"/>
        <w:rPr>
          <w:rFonts w:ascii="Arial" w:cs="Arial" w:eastAsia="Arial" w:hAnsi="Arial"/>
          <w:sz w:val="16"/>
          <w:szCs w:val="16"/>
          <w:color w:val="auto"/>
        </w:rPr>
      </w:pPr>
    </w:p>
    <w:p>
      <w:pPr>
        <w:ind w:firstLine="2419"/>
        <w:spacing w:after="0" w:line="269" w:lineRule="auto"/>
        <w:tabs>
          <w:tab w:leader="none" w:pos="266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Preferred Stock Conversion Price provided for in this Subsection 4.4.3 shall be effected at the time of such issuance or amendment based on such number of shares or amount of consideration without regard to any provisions for subsequent adjustments (and any subsequent adjustments shall be treated as provided in clauses (b) and (c) of this Subsection 4.4.3).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Applied Preferred Stock Conversion Price that would result under the terms of this Subsection 4.4.3 at the time of such issuance or amendment shall instead be effected at the time such number of shares and/or amount of consideration is first calculable (even if subject to subsequent adjustments), assuming for purposes of calculating such adjustment to the Applicable Preferred Stock Conversion Price that such issuance or amendment took place at the time such calculation can first be made.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49" w:name="page250"/>
    <w:bookmarkEnd w:id="249"/>
    <w:p>
      <w:pPr>
        <w:ind w:right="20" w:firstLine="198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4.4.4 </w:t>
      </w:r>
      <w:r>
        <w:rPr>
          <w:rFonts w:ascii="Arial" w:cs="Arial" w:eastAsia="Arial" w:hAnsi="Arial"/>
          <w:sz w:val="18"/>
          <w:szCs w:val="18"/>
          <w:u w:val="single" w:color="auto"/>
          <w:color w:val="auto"/>
        </w:rPr>
        <w:t>Adjustment of Applicable Preferred Stock Conversion Price Upon Issuance of Additional Shares of Common Stock</w:t>
      </w:r>
      <w:r>
        <w:rPr>
          <w:rFonts w:ascii="Arial" w:cs="Arial" w:eastAsia="Arial" w:hAnsi="Arial"/>
          <w:sz w:val="18"/>
          <w:szCs w:val="18"/>
          <w:color w:val="auto"/>
        </w:rPr>
        <w:t>. In the event the Corporation shall at any time after the Series C Original Issue Date issue Additional Shares of Common Stock (including Additional Shares of Common Stock deemed to be issued pursuant to Subsection 4.4.3), without consideration or for a consideration per share less than the Applicable Preferred Stock Conversion Price in effect immediately prior to such issuance or deemed issuance, then the Applicable Preferred Stock Conversion Price shall be reduced, concurrently with such issue, to a price (calculated to the nearest cent) determined in accordance with the following formula:</w:t>
      </w:r>
    </w:p>
    <w:p>
      <w:pPr>
        <w:spacing w:after="0" w:line="200" w:lineRule="exact"/>
        <w:rPr>
          <w:sz w:val="20"/>
          <w:szCs w:val="20"/>
          <w:color w:val="auto"/>
        </w:rPr>
      </w:pPr>
    </w:p>
    <w:p>
      <w:pPr>
        <w:spacing w:after="0" w:line="20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17" w:lineRule="exact"/>
        <w:rPr>
          <w:sz w:val="20"/>
          <w:szCs w:val="20"/>
          <w:color w:val="auto"/>
        </w:rPr>
      </w:pPr>
    </w:p>
    <w:p>
      <w:pPr>
        <w:ind w:right="280" w:firstLine="2419"/>
        <w:spacing w:after="0" w:line="277" w:lineRule="auto"/>
        <w:tabs>
          <w:tab w:leader="none" w:pos="266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shall mean the Applicable Preferred Stock Conversion Price in effect immediately after such issuance or deemed issuance of Additional Shares of Common Stock;</w:t>
      </w:r>
    </w:p>
    <w:p>
      <w:pPr>
        <w:spacing w:after="0" w:line="170" w:lineRule="exact"/>
        <w:rPr>
          <w:rFonts w:ascii="Arial" w:cs="Arial" w:eastAsia="Arial" w:hAnsi="Arial"/>
          <w:sz w:val="18"/>
          <w:szCs w:val="18"/>
          <w:color w:val="auto"/>
        </w:rPr>
      </w:pPr>
    </w:p>
    <w:p>
      <w:pPr>
        <w:ind w:right="60" w:firstLine="2419"/>
        <w:spacing w:after="0" w:line="277" w:lineRule="auto"/>
        <w:tabs>
          <w:tab w:leader="none" w:pos="267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1</w:t>
      </w:r>
      <w:r>
        <w:rPr>
          <w:rFonts w:ascii="Arial" w:cs="Arial" w:eastAsia="Arial" w:hAnsi="Arial"/>
          <w:sz w:val="18"/>
          <w:szCs w:val="18"/>
          <w:color w:val="auto"/>
        </w:rPr>
        <w:t>” shall mean the Applicable Preferred Stock Conversion Price in effect immediately prior to such issuance or deemed issuance of Additional Shares of Common Stock;</w:t>
      </w:r>
    </w:p>
    <w:p>
      <w:pPr>
        <w:spacing w:after="0" w:line="170" w:lineRule="exact"/>
        <w:rPr>
          <w:rFonts w:ascii="Arial" w:cs="Arial" w:eastAsia="Arial" w:hAnsi="Arial"/>
          <w:sz w:val="18"/>
          <w:szCs w:val="18"/>
          <w:color w:val="auto"/>
        </w:rPr>
      </w:pPr>
    </w:p>
    <w:p>
      <w:pPr>
        <w:jc w:val="both"/>
        <w:ind w:firstLine="2419"/>
        <w:spacing w:after="0" w:line="279" w:lineRule="auto"/>
        <w:tabs>
          <w:tab w:leader="none" w:pos="266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71" w:lineRule="exact"/>
        <w:rPr>
          <w:rFonts w:ascii="Arial" w:cs="Arial" w:eastAsia="Arial" w:hAnsi="Arial"/>
          <w:sz w:val="17"/>
          <w:szCs w:val="17"/>
          <w:color w:val="auto"/>
        </w:rPr>
      </w:pPr>
    </w:p>
    <w:p>
      <w:pPr>
        <w:ind w:right="40" w:firstLine="2419"/>
        <w:spacing w:after="0" w:line="275" w:lineRule="auto"/>
        <w:tabs>
          <w:tab w:leader="none" w:pos="267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or deemed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152" w:lineRule="exact"/>
        <w:rPr>
          <w:rFonts w:ascii="Arial" w:cs="Arial" w:eastAsia="Arial" w:hAnsi="Arial"/>
          <w:sz w:val="18"/>
          <w:szCs w:val="18"/>
          <w:color w:val="auto"/>
        </w:rPr>
      </w:pPr>
    </w:p>
    <w:p>
      <w:pPr>
        <w:ind w:left="2660" w:hanging="241"/>
        <w:spacing w:after="0"/>
        <w:tabs>
          <w:tab w:leader="none" w:pos="2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-2067560</wp:posOffset>
            </wp:positionV>
            <wp:extent cx="2857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ind w:right="20" w:firstLine="1983"/>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For purposes of this Subsection 4.4, the consideration received by the Corporation for the issuance or deemed issuance of any Additional Shares of Common Stock shall be computed as follows:</w:t>
      </w:r>
    </w:p>
    <w:p>
      <w:pPr>
        <w:spacing w:after="0" w:line="62" w:lineRule="exact"/>
        <w:rPr>
          <w:sz w:val="20"/>
          <w:szCs w:val="20"/>
          <w:color w:val="auto"/>
        </w:rPr>
      </w:pPr>
    </w:p>
    <w:p>
      <w:pPr>
        <w:ind w:left="2660" w:hanging="241"/>
        <w:spacing w:after="0"/>
        <w:tabs>
          <w:tab w:leader="none" w:pos="266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30" w:lineRule="exact"/>
        <w:rPr>
          <w:rFonts w:ascii="Arial" w:cs="Arial" w:eastAsia="Arial" w:hAnsi="Arial"/>
          <w:sz w:val="18"/>
          <w:szCs w:val="18"/>
          <w:color w:val="auto"/>
        </w:rPr>
      </w:pPr>
    </w:p>
    <w:p>
      <w:pPr>
        <w:ind w:left="3400" w:hanging="650"/>
        <w:spacing w:after="0" w:line="259" w:lineRule="auto"/>
        <w:tabs>
          <w:tab w:leader="none" w:pos="34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 or dividends and before deducting any expenses paid or incurred and any underwriting commissions or concessions paid or allowed by the Corporation in connection with such issuance or deemed issuance;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250" w:name="page251"/>
    <w:bookmarkEnd w:id="250"/>
    <w:p>
      <w:pPr>
        <w:ind w:left="3360" w:right="60" w:hanging="650"/>
        <w:spacing w:after="0" w:line="263" w:lineRule="auto"/>
        <w:tabs>
          <w:tab w:leader="none" w:pos="33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insofar as it consists of property other than cash, be computed at the fair market value thereof at the time of such issue, as determined in good faith by the Board of Directors, excluding any accrued interest or dividends; and</w:t>
      </w:r>
    </w:p>
    <w:p>
      <w:pPr>
        <w:spacing w:after="0" w:line="89" w:lineRule="exact"/>
        <w:rPr>
          <w:rFonts w:ascii="Arial" w:cs="Arial" w:eastAsia="Arial" w:hAnsi="Arial"/>
          <w:sz w:val="18"/>
          <w:szCs w:val="18"/>
          <w:color w:val="auto"/>
        </w:rPr>
      </w:pPr>
    </w:p>
    <w:p>
      <w:pPr>
        <w:ind w:left="3360" w:hanging="650"/>
        <w:spacing w:after="0" w:line="259" w:lineRule="auto"/>
        <w:tabs>
          <w:tab w:leader="none" w:pos="33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w:t>
      </w:r>
    </w:p>
    <w:p>
      <w:pPr>
        <w:spacing w:after="0" w:line="186" w:lineRule="exact"/>
        <w:rPr>
          <w:rFonts w:ascii="Arial" w:cs="Arial" w:eastAsia="Arial" w:hAnsi="Arial"/>
          <w:sz w:val="18"/>
          <w:szCs w:val="18"/>
          <w:color w:val="auto"/>
        </w:rPr>
      </w:pPr>
    </w:p>
    <w:p>
      <w:pPr>
        <w:ind w:left="-40" w:right="40" w:firstLine="2419"/>
        <w:spacing w:after="0" w:line="263" w:lineRule="auto"/>
        <w:tabs>
          <w:tab w:leader="none" w:pos="263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Options and Convertible Securities</w:t>
      </w:r>
      <w:r>
        <w:rPr>
          <w:rFonts w:ascii="Arial" w:cs="Arial" w:eastAsia="Arial" w:hAnsi="Arial"/>
          <w:sz w:val="18"/>
          <w:szCs w:val="18"/>
          <w:color w:val="auto"/>
        </w:rPr>
        <w:t>. The consideration per share received by the Corporation for Additional Shares of Common Stock deemed to have been issued pursuant to Subsection 4.4.3, relating to Options and Convertible Securities, shall be determined by dividing:</w:t>
      </w:r>
    </w:p>
    <w:p>
      <w:pPr>
        <w:spacing w:after="0" w:line="89" w:lineRule="exact"/>
        <w:rPr>
          <w:rFonts w:ascii="Arial" w:cs="Arial" w:eastAsia="Arial" w:hAnsi="Arial"/>
          <w:sz w:val="18"/>
          <w:szCs w:val="18"/>
          <w:color w:val="auto"/>
        </w:rPr>
      </w:pPr>
    </w:p>
    <w:p>
      <w:pPr>
        <w:ind w:left="3360" w:right="80" w:hanging="650"/>
        <w:spacing w:after="0" w:line="254" w:lineRule="auto"/>
        <w:tabs>
          <w:tab w:leader="none" w:pos="33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in each case after excluding any accrued interest or dividends, by</w:t>
      </w:r>
    </w:p>
    <w:p>
      <w:pPr>
        <w:spacing w:after="0" w:line="97" w:lineRule="exact"/>
        <w:rPr>
          <w:rFonts w:ascii="Arial" w:cs="Arial" w:eastAsia="Arial" w:hAnsi="Arial"/>
          <w:sz w:val="18"/>
          <w:szCs w:val="18"/>
          <w:color w:val="auto"/>
        </w:rPr>
      </w:pPr>
    </w:p>
    <w:p>
      <w:pPr>
        <w:ind w:left="3360" w:right="20" w:hanging="650"/>
        <w:spacing w:after="0" w:line="275" w:lineRule="auto"/>
        <w:tabs>
          <w:tab w:leader="none" w:pos="336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80" w:top="274" w:right="479" w:bottom="1440" w:gutter="0" w:footer="0" w:header="0"/>
        </w:sectPr>
      </w:pPr>
    </w:p>
    <w:bookmarkStart w:id="251" w:name="page252"/>
    <w:bookmarkEnd w:id="251"/>
    <w:p>
      <w:pPr>
        <w:ind w:right="40" w:firstLine="198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In the event the Corporation shall issue on more than one date Additional Shares of Common Stock that are a part of one transaction or a series of related transactions and that would result in an adjustment to the Applicable Preferred Stock Conversion Price pursuant to the terms of Subsection 4.4.4, then, upon the final such issuance, the Applicable Preferred Stock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88" w:lineRule="exact"/>
        <w:rPr>
          <w:sz w:val="20"/>
          <w:szCs w:val="20"/>
          <w:color w:val="auto"/>
        </w:rPr>
      </w:pPr>
    </w:p>
    <w:p>
      <w:pPr>
        <w:ind w:right="100" w:firstLine="1432"/>
        <w:spacing w:after="0" w:line="25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Adjustment for Stock Splits and Combinations</w:t>
      </w:r>
      <w:r>
        <w:rPr>
          <w:rFonts w:ascii="Arial" w:cs="Arial" w:eastAsia="Arial" w:hAnsi="Arial"/>
          <w:sz w:val="18"/>
          <w:szCs w:val="18"/>
          <w:color w:val="auto"/>
        </w:rPr>
        <w:t>. If the Corporation shall at any time or from time to time after the Series C Original Issue Date effect a subdivision of the outstanding Common Stock, the Applicable Preferred Stock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C Original Issue Date combine the outstanding shares of Common Stock, the Applicable Preferred Stock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96" w:lineRule="exact"/>
        <w:rPr>
          <w:sz w:val="20"/>
          <w:szCs w:val="20"/>
          <w:color w:val="auto"/>
        </w:rPr>
      </w:pPr>
    </w:p>
    <w:p>
      <w:pPr>
        <w:ind w:firstLine="1432"/>
        <w:spacing w:after="0" w:line="29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Adjustment for Certain Dividends and Distributions</w:t>
      </w:r>
      <w:r>
        <w:rPr>
          <w:rFonts w:ascii="Arial" w:cs="Arial" w:eastAsia="Arial" w:hAnsi="Arial"/>
          <w:sz w:val="16"/>
          <w:szCs w:val="16"/>
          <w:color w:val="auto"/>
        </w:rPr>
        <w:t>. In the event the Corporation at any time or from time to time after the Series C Original Issue Date shall make or issue, or fix a record date for the determination of holders of Common Stock entitled to receive, a dividend or other distribution payable on the Common Stock in additional shares of Common Stock, then and in each such event the Applicable Preferred Stock Conversion Price in effect immediately before such event shall be decreased as of the time of such issuance or, in the event such a record date shall have been fixed, as of the close of business on such record date, by multiplying the Applicable Preferred Stock Conversion Price then in effect by a fraction:</w:t>
      </w:r>
    </w:p>
    <w:p>
      <w:pPr>
        <w:spacing w:after="0" w:line="53" w:lineRule="exact"/>
        <w:rPr>
          <w:sz w:val="20"/>
          <w:szCs w:val="20"/>
          <w:color w:val="auto"/>
        </w:rPr>
      </w:pPr>
    </w:p>
    <w:p>
      <w:pPr>
        <w:ind w:firstLine="1979"/>
        <w:spacing w:after="0" w:line="277" w:lineRule="auto"/>
        <w:tabs>
          <w:tab w:leader="none" w:pos="223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ind w:right="20" w:firstLine="1979"/>
        <w:spacing w:after="0" w:line="263" w:lineRule="auto"/>
        <w:tabs>
          <w:tab w:leader="none" w:pos="223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52" w:name="page253"/>
    <w:bookmarkEnd w:id="252"/>
    <w:p>
      <w:pPr>
        <w:ind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foregoing (a) if such record date shall have been fixed and such dividend is not fully paid or if such distribution is not fully made on the date fixed therefor, the Applicable Preferred Stock Conversion Price shall be recomputed accordingly as of the close of business on such record date and thereafter the Applicable Preferred Stock Conversion Price shall be adjusted pursuant to this subsection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64" w:lineRule="exact"/>
        <w:rPr>
          <w:sz w:val="20"/>
          <w:szCs w:val="20"/>
          <w:color w:val="auto"/>
        </w:rPr>
      </w:pPr>
    </w:p>
    <w:p>
      <w:pPr>
        <w:ind w:firstLine="1432"/>
        <w:spacing w:after="0" w:line="27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In the event the Corporation at any time or from time to time after the Series C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Section 1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77" w:lineRule="exact"/>
        <w:rPr>
          <w:sz w:val="20"/>
          <w:szCs w:val="20"/>
          <w:color w:val="auto"/>
        </w:rPr>
      </w:pPr>
    </w:p>
    <w:p>
      <w:pPr>
        <w:ind w:right="120" w:firstLine="1432"/>
        <w:spacing w:after="0" w:line="28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Subject to the provisions of Subsection 2.3, if there shall occur any reorganization, recapitalization, reclassification, consolidation or merger involving the Corporation (other than a Deemed Liquidation Even under Subsection 2.3) in which the Common Stock (but not the Preferred Stock) is converted into or exchanged for securities, cash or other property (other than a transaction covered by Subsections 4.4, 4.6 or 4.7),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shall be made in the application of the provisions in this Section 4 with respect to the rights and interests thereafter of the holders of the Preferred Stock, to the end that the provisions set forth in this Section 4 (including provisions with respect to changes in and other adjustments of the Applicable Preferred Stock Conversion Price) shall thereafter be applicable, as nearly as reasonably may be, in relation to any securities or other property thereafter deliverable upon the conversion of the Preferred Stock.</w:t>
      </w:r>
    </w:p>
    <w:p>
      <w:pPr>
        <w:spacing w:after="0" w:line="168" w:lineRule="exact"/>
        <w:rPr>
          <w:sz w:val="20"/>
          <w:szCs w:val="20"/>
          <w:color w:val="auto"/>
        </w:rPr>
      </w:pPr>
    </w:p>
    <w:p>
      <w:pPr>
        <w:ind w:right="20" w:firstLine="1432"/>
        <w:spacing w:after="0" w:line="279"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Certificate as to Adjustments</w:t>
      </w:r>
      <w:r>
        <w:rPr>
          <w:rFonts w:ascii="Arial" w:cs="Arial" w:eastAsia="Arial" w:hAnsi="Arial"/>
          <w:sz w:val="17"/>
          <w:szCs w:val="17"/>
          <w:color w:val="auto"/>
        </w:rPr>
        <w:t>. Upon the occurrence of each adjustment or readjustment of the Applicable Preferred Stock Conversion Price pursuant to this Section 4, the Corporation at its expense shall, as promptly as reasonably practicable but in any event not later than thirty (30) days thereafter, compute such adjustment or readjustment in accordance with the terms hereof and furnish to each holder of Preferred Stock a certificate setting forth such adjustment or readjustment (including the kind and amount of securities, cash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53" w:name="page254"/>
    <w:bookmarkEnd w:id="253"/>
    <w:p>
      <w:pPr>
        <w:ind w:left="4"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thirty (30) days thereafter), furnish or cause to be furnished to such holder a certificate setting forth (i) the Applicable Preferred Stock Conversion Price then in effect for each series of Preferred Stock, and (ii) the number of shares of Common Stock and the amount, if any, of other securities, cash or property which then would be received upon the conversion of Preferred Stock.</w:t>
      </w:r>
    </w:p>
    <w:p>
      <w:pPr>
        <w:spacing w:after="0" w:line="176"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Notice of Record Date</w:t>
      </w:r>
      <w:r>
        <w:rPr>
          <w:rFonts w:ascii="Arial" w:cs="Arial" w:eastAsia="Arial" w:hAnsi="Arial"/>
          <w:sz w:val="18"/>
          <w:szCs w:val="18"/>
          <w:color w:val="auto"/>
        </w:rPr>
        <w:t>. In the event:</w:t>
      </w:r>
    </w:p>
    <w:p>
      <w:pPr>
        <w:spacing w:after="0" w:line="117" w:lineRule="exact"/>
        <w:rPr>
          <w:sz w:val="20"/>
          <w:szCs w:val="20"/>
          <w:color w:val="auto"/>
        </w:rPr>
      </w:pPr>
    </w:p>
    <w:p>
      <w:pPr>
        <w:jc w:val="both"/>
        <w:ind w:left="4" w:right="200" w:firstLine="2419"/>
        <w:spacing w:after="0" w:line="311" w:lineRule="auto"/>
        <w:tabs>
          <w:tab w:leader="none" w:pos="2672"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48" w:lineRule="exact"/>
        <w:rPr>
          <w:rFonts w:ascii="Arial" w:cs="Arial" w:eastAsia="Arial" w:hAnsi="Arial"/>
          <w:sz w:val="16"/>
          <w:szCs w:val="16"/>
          <w:color w:val="auto"/>
        </w:rPr>
      </w:pPr>
    </w:p>
    <w:p>
      <w:pPr>
        <w:ind w:left="2684" w:hanging="261"/>
        <w:spacing w:after="0"/>
        <w:tabs>
          <w:tab w:leader="none" w:pos="2684" w:val="left"/>
        </w:tabs>
        <w:numPr>
          <w:ilvl w:val="0"/>
          <w:numId w:val="175"/>
        </w:numPr>
        <w:rPr>
          <w:rFonts w:ascii="Arial" w:cs="Arial" w:eastAsia="Arial" w:hAnsi="Arial"/>
          <w:sz w:val="17"/>
          <w:szCs w:val="17"/>
          <w:color w:val="auto"/>
        </w:rPr>
      </w:pPr>
      <w:r>
        <w:rPr>
          <w:rFonts w:ascii="Arial" w:cs="Arial" w:eastAsia="Arial" w:hAnsi="Arial"/>
          <w:sz w:val="17"/>
          <w:szCs w:val="17"/>
          <w:color w:val="auto"/>
        </w:rPr>
        <w:t>of any capital reorganization of the Corporation, any reclassification of the Common Stock, or any Deemed</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Liquidation Event; or</w:t>
      </w:r>
    </w:p>
    <w:p>
      <w:pPr>
        <w:spacing w:after="0" w:line="210" w:lineRule="exact"/>
        <w:rPr>
          <w:rFonts w:ascii="Arial" w:cs="Arial" w:eastAsia="Arial" w:hAnsi="Arial"/>
          <w:sz w:val="17"/>
          <w:szCs w:val="17"/>
          <w:color w:val="auto"/>
        </w:rPr>
      </w:pPr>
    </w:p>
    <w:p>
      <w:pPr>
        <w:ind w:left="2664" w:hanging="241"/>
        <w:spacing w:after="0"/>
        <w:tabs>
          <w:tab w:leader="none" w:pos="266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w:t>
      </w:r>
    </w:p>
    <w:p>
      <w:pPr>
        <w:spacing w:after="0" w:line="46" w:lineRule="exact"/>
        <w:rPr>
          <w:sz w:val="20"/>
          <w:szCs w:val="20"/>
          <w:color w:val="auto"/>
        </w:rPr>
      </w:pPr>
    </w:p>
    <w:p>
      <w:pPr>
        <w:ind w:left="4" w:hanging="4"/>
        <w:spacing w:after="0" w:line="269" w:lineRule="auto"/>
        <w:tabs>
          <w:tab w:leader="none" w:pos="219"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each series of Preferred Stock and the Common Stock. Such notice shall be sent at least ten (10) days prior to the record date or effective date for the event specified in such notice.</w:t>
      </w:r>
    </w:p>
    <w:p>
      <w:pPr>
        <w:spacing w:after="0" w:line="180" w:lineRule="exact"/>
        <w:rPr>
          <w:rFonts w:ascii="Arial" w:cs="Arial" w:eastAsia="Arial" w:hAnsi="Arial"/>
          <w:sz w:val="17"/>
          <w:szCs w:val="17"/>
          <w:color w:val="auto"/>
        </w:rPr>
      </w:pPr>
    </w:p>
    <w:p>
      <w:pPr>
        <w:ind w:left="1164" w:hanging="173"/>
        <w:spacing w:after="0"/>
        <w:tabs>
          <w:tab w:leader="none" w:pos="1164" w:val="left"/>
        </w:tabs>
        <w:numPr>
          <w:ilvl w:val="1"/>
          <w:numId w:val="176"/>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225" w:lineRule="exact"/>
        <w:rPr>
          <w:sz w:val="20"/>
          <w:szCs w:val="20"/>
          <w:color w:val="auto"/>
        </w:rPr>
      </w:pPr>
    </w:p>
    <w:p>
      <w:pPr>
        <w:ind w:left="4" w:right="60" w:firstLine="1432"/>
        <w:spacing w:after="0" w:line="29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Trigger Events</w:t>
      </w:r>
      <w:r>
        <w:rPr>
          <w:rFonts w:ascii="Arial" w:cs="Arial" w:eastAsia="Arial" w:hAnsi="Arial"/>
          <w:sz w:val="16"/>
          <w:szCs w:val="16"/>
          <w:color w:val="auto"/>
        </w:rPr>
        <w:t>. Upon either (a) the closing of the sale of shares of Common Stock to the public in a firm-commitment underwritten public offering pursuant to an effective registration statement under the Securities Act of 1933, as amended, or a corresponding securities issuance application process in any non-U.S. jurisdiction covering the offer and of the Common Stock for the account of the Corporation, in which the proceeds to the Corporation are not less than $50,000,000, net of the underwriting discount, commissions and expenses, and in connection with such offering the Common Stock is listed for trading on the Nasdaq Stock Market, the New York Stock Exchange or London Stock Exchange or (b) the date and time, or the occurrence of an event, specified by vote or written consent of the Requisite Holders (the</w:t>
      </w:r>
    </w:p>
    <w:p>
      <w:pPr>
        <w:spacing w:after="0" w:line="9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4"/>
          </w:cols>
          <w:pgMar w:left="436" w:top="274" w:right="519" w:bottom="1440" w:gutter="0" w:footer="0" w:header="0"/>
        </w:sectPr>
      </w:pPr>
    </w:p>
    <w:bookmarkStart w:id="254" w:name="page255"/>
    <w:bookmarkEnd w:id="25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time of such closing or the date and time specified or the time of the event specified in such vote or written consent is referred to herein as the</w:t>
      </w:r>
    </w:p>
    <w:p>
      <w:pPr>
        <w:spacing w:after="0" w:line="3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Mandatory Conversion Time</w:t>
      </w:r>
      <w:r>
        <w:rPr>
          <w:rFonts w:ascii="Arial" w:cs="Arial" w:eastAsia="Arial" w:hAnsi="Arial"/>
          <w:sz w:val="16"/>
          <w:szCs w:val="16"/>
          <w:color w:val="auto"/>
        </w:rPr>
        <w:t>”), then (i) all outstanding shares of Preferred Stock, including accrued but unpaid, whether or not declared, Preferred Dividends together with any other declared but unpaid dividends on such Preferred Share, shall automatically be converted into shares of Common Stock, at the then effective conversion rate as calculated pursuant to Subsection 4.1.1. and (ii) such shares may not be reissued by the Corporation.</w:t>
      </w:r>
    </w:p>
    <w:p>
      <w:pPr>
        <w:spacing w:after="0" w:line="155" w:lineRule="exact"/>
        <w:rPr>
          <w:sz w:val="20"/>
          <w:szCs w:val="20"/>
          <w:color w:val="auto"/>
        </w:rPr>
      </w:pPr>
    </w:p>
    <w:p>
      <w:pPr>
        <w:ind w:firstLine="1432"/>
        <w:spacing w:after="0" w:line="285"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All holders of record of shares of Preferred Stock shall be sent written notice of the Mandatory Conversion Time and the place designated for mandatory conversion of all such shares of Preferred Stock pursuant to this Section 5.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Subsection 5.1,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Subsection 5.2.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Subsection 4.2 in lieu of any fraction of a share of Common Stock otherwise issuable upon such conversion.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71" w:lineRule="exact"/>
        <w:rPr>
          <w:sz w:val="20"/>
          <w:szCs w:val="20"/>
          <w:color w:val="auto"/>
        </w:rPr>
      </w:pPr>
    </w:p>
    <w:p>
      <w:pPr>
        <w:ind w:firstLine="987"/>
        <w:spacing w:after="0" w:line="311" w:lineRule="auto"/>
        <w:tabs>
          <w:tab w:leader="none" w:pos="1171"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Redeemed or Otherwise Acquired Shares</w:t>
      </w:r>
      <w:r>
        <w:rPr>
          <w:rFonts w:ascii="Arial" w:cs="Arial" w:eastAsia="Arial" w:hAnsi="Arial"/>
          <w:sz w:val="16"/>
          <w:szCs w:val="16"/>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48" w:lineRule="exact"/>
        <w:rPr>
          <w:rFonts w:ascii="Arial" w:cs="Arial" w:eastAsia="Arial" w:hAnsi="Arial"/>
          <w:sz w:val="16"/>
          <w:szCs w:val="16"/>
          <w:color w:val="auto"/>
        </w:rPr>
      </w:pPr>
    </w:p>
    <w:p>
      <w:pPr>
        <w:jc w:val="both"/>
        <w:ind w:right="260" w:firstLine="987"/>
        <w:spacing w:after="0" w:line="263" w:lineRule="auto"/>
        <w:tabs>
          <w:tab w:leader="none" w:pos="1171"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of the rights, powers, preferences and other terms of the Preferred Stock set forth herein may be waived on behalf of all holders of Preferred Stock by the affirmative written consent or vote of the holders of at least two-thirds (2/3</w:t>
      </w:r>
      <w:r>
        <w:rPr>
          <w:rFonts w:ascii="Arial" w:cs="Arial" w:eastAsia="Arial" w:hAnsi="Arial"/>
          <w:sz w:val="15"/>
          <w:szCs w:val="15"/>
          <w:color w:val="auto"/>
        </w:rPr>
        <w:t>rds</w:t>
      </w:r>
      <w:r>
        <w:rPr>
          <w:rFonts w:ascii="Arial" w:cs="Arial" w:eastAsia="Arial" w:hAnsi="Arial"/>
          <w:sz w:val="18"/>
          <w:szCs w:val="18"/>
          <w:color w:val="auto"/>
        </w:rPr>
        <w:t>) of the shares of Preferred Stock then outstanding.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55" w:name="page256"/>
    <w:bookmarkEnd w:id="255"/>
    <w:p>
      <w:pPr>
        <w:ind w:right="180" w:firstLine="987"/>
        <w:spacing w:after="0" w:line="311" w:lineRule="auto"/>
        <w:tabs>
          <w:tab w:leader="none" w:pos="1171"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Notices</w:t>
      </w:r>
      <w:r>
        <w:rPr>
          <w:rFonts w:ascii="Arial" w:cs="Arial" w:eastAsia="Arial" w:hAnsi="Arial"/>
          <w:sz w:val="16"/>
          <w:szCs w:val="16"/>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5" w:lineRule="exact"/>
        <w:rPr>
          <w:sz w:val="20"/>
          <w:szCs w:val="20"/>
          <w:color w:val="auto"/>
        </w:rPr>
      </w:pPr>
    </w:p>
    <w:p>
      <w:pPr>
        <w:ind w:right="280" w:firstLine="1432"/>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Subject to any additional vote required by this Amended and Restated Certificate of Incorporation or Bylaws, in</w:t>
      </w:r>
      <w:r>
        <w:rPr>
          <w:rFonts w:ascii="Arial" w:cs="Arial" w:eastAsia="Arial" w:hAnsi="Arial"/>
          <w:sz w:val="18"/>
          <w:szCs w:val="18"/>
          <w:b w:val="1"/>
          <w:bCs w:val="1"/>
          <w:color w:val="auto"/>
        </w:rPr>
        <w:t xml:space="preserve"> </w:t>
      </w:r>
      <w:r>
        <w:rPr>
          <w:rFonts w:ascii="Arial" w:cs="Arial" w:eastAsia="Arial" w:hAnsi="Arial"/>
          <w:sz w:val="18"/>
          <w:szCs w:val="18"/>
          <w:color w:val="auto"/>
        </w:rPr>
        <w:t>furtherance and not in limitation of the powers conferred by statute, the Board of Directors is expressly authorized to make, repeal, alter, amend and rescind any or all of the Bylaws of the Corporation.</w:t>
      </w:r>
    </w:p>
    <w:p>
      <w:pPr>
        <w:spacing w:after="0" w:line="176" w:lineRule="exact"/>
        <w:rPr>
          <w:sz w:val="20"/>
          <w:szCs w:val="20"/>
          <w:color w:val="auto"/>
        </w:rPr>
      </w:pPr>
    </w:p>
    <w:p>
      <w:pPr>
        <w:ind w:firstLine="1432"/>
        <w:spacing w:after="0" w:line="282"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Subject to any additional vote required by this Amended and Restated Certificate of Incorporation, the number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 shall be determined in the manner set forth in the Bylaws of the Corporation.</w:t>
      </w:r>
    </w:p>
    <w:p>
      <w:pPr>
        <w:spacing w:after="0" w:line="16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225" w:lineRule="exact"/>
        <w:rPr>
          <w:sz w:val="20"/>
          <w:szCs w:val="20"/>
          <w:color w:val="auto"/>
        </w:rPr>
      </w:pPr>
    </w:p>
    <w:p>
      <w:pPr>
        <w:ind w:right="20" w:firstLine="1432"/>
        <w:spacing w:after="0" w:line="266"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books of the Corporation may be kept outside the State of Delaware at such place or places as may be designated from time to time by the Board of Directors or in the Bylaws of the Corporation.</w:t>
      </w:r>
    </w:p>
    <w:p>
      <w:pPr>
        <w:spacing w:after="0" w:line="176" w:lineRule="exact"/>
        <w:rPr>
          <w:sz w:val="20"/>
          <w:szCs w:val="20"/>
          <w:color w:val="auto"/>
        </w:rPr>
      </w:pPr>
    </w:p>
    <w:p>
      <w:pPr>
        <w:jc w:val="both"/>
        <w:ind w:right="20" w:firstLine="1432"/>
        <w:spacing w:after="0" w:line="258"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To the fullest extent permitted by law, a director of the Corporation shall not be personally liable to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8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80" w:lineRule="exact"/>
        <w:rPr>
          <w:sz w:val="20"/>
          <w:szCs w:val="20"/>
          <w:color w:val="auto"/>
        </w:rPr>
      </w:pPr>
    </w:p>
    <w:p>
      <w:pPr>
        <w:ind w:right="60" w:firstLine="1432"/>
        <w:spacing w:after="0" w:line="303" w:lineRule="auto"/>
        <w:rPr>
          <w:sz w:val="20"/>
          <w:szCs w:val="20"/>
          <w:color w:val="auto"/>
        </w:rPr>
      </w:pPr>
      <w:r>
        <w:rPr>
          <w:rFonts w:ascii="Arial" w:cs="Arial" w:eastAsia="Arial" w:hAnsi="Arial"/>
          <w:sz w:val="16"/>
          <w:szCs w:val="16"/>
          <w:b w:val="1"/>
          <w:bCs w:val="1"/>
          <w:color w:val="auto"/>
        </w:rPr>
        <w:t xml:space="preserve">TENTH: </w:t>
      </w:r>
      <w:r>
        <w:rPr>
          <w:rFonts w:ascii="Arial" w:cs="Arial" w:eastAsia="Arial" w:hAnsi="Arial"/>
          <w:sz w:val="16"/>
          <w:szCs w:val="16"/>
          <w:color w:val="auto"/>
        </w:rPr>
        <w:t>To the fullest extent permitted by applicable law, the Corporation is authorized to provide indemnification of (and</w:t>
      </w:r>
      <w:r>
        <w:rPr>
          <w:rFonts w:ascii="Arial" w:cs="Arial" w:eastAsia="Arial" w:hAnsi="Arial"/>
          <w:sz w:val="16"/>
          <w:szCs w:val="16"/>
          <w:b w:val="1"/>
          <w:bCs w:val="1"/>
          <w:color w:val="auto"/>
        </w:rPr>
        <w:t xml:space="preserve"> </w:t>
      </w:r>
      <w:r>
        <w:rPr>
          <w:rFonts w:ascii="Arial" w:cs="Arial" w:eastAsia="Arial" w:hAnsi="Arial"/>
          <w:sz w:val="16"/>
          <w:szCs w:val="16"/>
          <w:color w:val="auto"/>
        </w:rPr>
        <w:t>advancement 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55"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Any amendment, repeal or modification of the foregoing provisions of this Article Tenth shall not (a) adversely affect any right or protection of any director, officer or other agent of the Corporation existing at the time of such amendment, repeal or modification or (b) increase the liability of any director of the Corporation with respect to any acts or omissions of such director, officer or agent occurring prior to, such amendment, repeal or modification.</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40" w:top="274" w:right="539" w:bottom="1440" w:gutter="0" w:footer="0" w:header="0"/>
        </w:sectPr>
      </w:pPr>
    </w:p>
    <w:bookmarkStart w:id="256" w:name="page257"/>
    <w:bookmarkEnd w:id="256"/>
    <w:p>
      <w:pPr>
        <w:ind w:left="4" w:right="2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Tenth; and (b) to indemnify or insure directors, officers and employees against liability in instances in which they may not otherwise be indemnified by the Corporation under the provisions of this Article Tenth.</w:t>
      </w:r>
    </w:p>
    <w:p>
      <w:pPr>
        <w:spacing w:after="0" w:line="184" w:lineRule="exact"/>
        <w:rPr>
          <w:sz w:val="20"/>
          <w:szCs w:val="20"/>
          <w:color w:val="auto"/>
        </w:rPr>
      </w:pPr>
    </w:p>
    <w:p>
      <w:pPr>
        <w:ind w:left="4" w:firstLine="1432"/>
        <w:spacing w:after="0" w:line="272" w:lineRule="auto"/>
        <w:rPr>
          <w:sz w:val="20"/>
          <w:szCs w:val="20"/>
          <w:color w:val="auto"/>
        </w:rPr>
      </w:pPr>
      <w:r>
        <w:rPr>
          <w:rFonts w:ascii="Arial" w:cs="Arial" w:eastAsia="Arial" w:hAnsi="Arial"/>
          <w:sz w:val="17"/>
          <w:szCs w:val="17"/>
          <w:b w:val="1"/>
          <w:bCs w:val="1"/>
          <w:color w:val="auto"/>
        </w:rPr>
        <w:t xml:space="preserve">ELEVENTH: </w:t>
      </w:r>
      <w:r>
        <w:rPr>
          <w:rFonts w:ascii="Arial" w:cs="Arial" w:eastAsia="Arial" w:hAnsi="Arial"/>
          <w:sz w:val="17"/>
          <w:szCs w:val="17"/>
          <w:color w:val="auto"/>
        </w:rPr>
        <w:t>The Corporation renounces, to the fullest extent permitted by law, any interest or expectancy of the Corporation in, or</w:t>
      </w:r>
      <w:r>
        <w:rPr>
          <w:rFonts w:ascii="Arial" w:cs="Arial" w:eastAsia="Arial" w:hAnsi="Arial"/>
          <w:sz w:val="17"/>
          <w:szCs w:val="17"/>
          <w:b w:val="1"/>
          <w:bCs w:val="1"/>
          <w:color w:val="auto"/>
        </w:rPr>
        <w:t xml:space="preserve"> </w:t>
      </w:r>
      <w:r>
        <w:rPr>
          <w:rFonts w:ascii="Arial" w:cs="Arial" w:eastAsia="Arial" w:hAnsi="Arial"/>
          <w:sz w:val="17"/>
          <w:szCs w:val="17"/>
          <w:color w:val="auto"/>
        </w:rPr>
        <w:t>in being offered an opportunity to participate in, any Excluded Opportunity. An “</w:t>
      </w:r>
      <w:r>
        <w:rPr>
          <w:rFonts w:ascii="Arial" w:cs="Arial" w:eastAsia="Arial" w:hAnsi="Arial"/>
          <w:sz w:val="17"/>
          <w:szCs w:val="17"/>
          <w:b w:val="1"/>
          <w:bCs w:val="1"/>
          <w:color w:val="auto"/>
        </w:rPr>
        <w:t>Excluded Opportunity</w:t>
      </w:r>
      <w:r>
        <w:rPr>
          <w:rFonts w:ascii="Arial" w:cs="Arial" w:eastAsia="Arial" w:hAnsi="Arial"/>
          <w:sz w:val="17"/>
          <w:szCs w:val="17"/>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the persons referred to in clauses (i) and (ii) are “</w:t>
      </w:r>
      <w:r>
        <w:rPr>
          <w:rFonts w:ascii="Arial" w:cs="Arial" w:eastAsia="Arial" w:hAnsi="Arial"/>
          <w:sz w:val="17"/>
          <w:szCs w:val="17"/>
          <w:b w:val="1"/>
          <w:bCs w:val="1"/>
          <w:color w:val="auto"/>
        </w:rPr>
        <w:t>Covered Persons</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w:t>
      </w:r>
    </w:p>
    <w:p>
      <w:pPr>
        <w:spacing w:after="0" w:line="172" w:lineRule="exact"/>
        <w:rPr>
          <w:sz w:val="20"/>
          <w:szCs w:val="20"/>
          <w:color w:val="auto"/>
        </w:rPr>
      </w:pPr>
    </w:p>
    <w:p>
      <w:pPr>
        <w:ind w:left="4" w:right="80" w:firstLine="1432"/>
        <w:spacing w:after="0" w:line="286" w:lineRule="auto"/>
        <w:rPr>
          <w:sz w:val="20"/>
          <w:szCs w:val="20"/>
          <w:color w:val="auto"/>
        </w:rPr>
      </w:pPr>
      <w:r>
        <w:rPr>
          <w:rFonts w:ascii="Arial" w:cs="Arial" w:eastAsia="Arial" w:hAnsi="Arial"/>
          <w:sz w:val="16"/>
          <w:szCs w:val="16"/>
          <w:b w:val="1"/>
          <w:bCs w:val="1"/>
          <w:color w:val="auto"/>
        </w:rPr>
        <w:t xml:space="preserve">TWELFTH: </w:t>
      </w:r>
      <w:r>
        <w:rPr>
          <w:rFonts w:ascii="Arial" w:cs="Arial" w:eastAsia="Arial" w:hAnsi="Arial"/>
          <w:sz w:val="16"/>
          <w:szCs w:val="16"/>
          <w:color w:val="auto"/>
        </w:rPr>
        <w:t>Unless the Corporation consents in writing to the selection of an alternative forum, the Court of Chancery in the State</w:t>
      </w:r>
      <w:r>
        <w:rPr>
          <w:rFonts w:ascii="Arial" w:cs="Arial" w:eastAsia="Arial" w:hAnsi="Arial"/>
          <w:sz w:val="16"/>
          <w:szCs w:val="16"/>
          <w:b w:val="1"/>
          <w:bCs w:val="1"/>
          <w:color w:val="auto"/>
        </w:rPr>
        <w:t xml:space="preserve"> </w:t>
      </w:r>
      <w:r>
        <w:rPr>
          <w:rFonts w:ascii="Arial" w:cs="Arial" w:eastAsia="Arial" w:hAnsi="Arial"/>
          <w:sz w:val="16"/>
          <w:szCs w:val="16"/>
          <w:color w:val="auto"/>
        </w:rPr>
        <w:t>of 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w:t>
      </w:r>
    </w:p>
    <w:p>
      <w:pPr>
        <w:spacing w:after="0" w:line="2" w:lineRule="exact"/>
        <w:rPr>
          <w:sz w:val="20"/>
          <w:szCs w:val="20"/>
          <w:color w:val="auto"/>
        </w:rPr>
      </w:pPr>
    </w:p>
    <w:p>
      <w:pPr>
        <w:ind w:left="4" w:right="220" w:hanging="4"/>
        <w:spacing w:after="0" w:line="281" w:lineRule="auto"/>
        <w:tabs>
          <w:tab w:leader="none" w:pos="309"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any action asserting a claim against the Corporation, its directors, officers or employees governed by the internal affairs doctrine, except for, as to each of clauses (i) through (iv) above, any claim as to which the Court of Chancery determines that there is an indispensable party not subject to the jurisdiction of the Court of Chancery (and the indispensable party does not consent to the personal jurisdiction of the Court of Chancery within ten</w:t>
      </w:r>
    </w:p>
    <w:p>
      <w:pPr>
        <w:spacing w:after="0" w:line="1" w:lineRule="exact"/>
        <w:rPr>
          <w:rFonts w:ascii="Arial" w:cs="Arial" w:eastAsia="Arial" w:hAnsi="Arial"/>
          <w:sz w:val="16"/>
          <w:szCs w:val="16"/>
          <w:color w:val="auto"/>
        </w:rPr>
      </w:pPr>
    </w:p>
    <w:p>
      <w:pPr>
        <w:ind w:left="4" w:right="40"/>
        <w:spacing w:after="0" w:line="252" w:lineRule="auto"/>
        <w:rPr>
          <w:rFonts w:ascii="Arial" w:cs="Arial" w:eastAsia="Arial" w:hAnsi="Arial"/>
          <w:sz w:val="16"/>
          <w:szCs w:val="16"/>
          <w:color w:val="auto"/>
        </w:rPr>
      </w:pPr>
      <w:r>
        <w:rPr>
          <w:rFonts w:ascii="Arial" w:cs="Arial" w:eastAsia="Arial" w:hAnsi="Arial"/>
          <w:sz w:val="18"/>
          <w:szCs w:val="18"/>
          <w:color w:val="auto"/>
        </w:rPr>
        <w:t>(10)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57" w:name="page258"/>
    <w:bookmarkEnd w:id="257"/>
    <w:p>
      <w:pPr>
        <w:ind w:firstLine="1432"/>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THIRTEENTH: </w:t>
      </w:r>
      <w:r>
        <w:rPr>
          <w:rFonts w:ascii="Arial" w:cs="Arial" w:eastAsia="Arial" w:hAnsi="Arial"/>
          <w:sz w:val="18"/>
          <w:szCs w:val="18"/>
          <w:color w:val="auto"/>
        </w:rPr>
        <w:t>For purposes of Section 500 of the California Corporations Code (to the extent applicable), in connection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of shares of Common Stock permitted under this Amended and Restated Certificate of Incorporation from employees, officers, directors or consultants of the Corporation in connection with a termination of employment or services pursuant to agreements or arrangements approved by the Board of Directors (in addition to any other consent required under this Amended and Restated Certificate of Incorporation), such repurchase may be made without regard to any “preferential dividends arrears amount” or “preferential rights amount” (as those terms are defined in Section 500 of the California Corporations Code). Accordingly, for purposes of making any calculation under California Corporations Code Section 500 in connection with such repurchase, the amount of any “preferential dividends arrears amount” or “preferential rights amount” (as those terms are defined therein) shall be deemed to be zero (0).</w:t>
      </w:r>
    </w:p>
    <w:p>
      <w:pPr>
        <w:spacing w:after="0" w:line="196"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ind w:right="340" w:firstLine="987"/>
        <w:spacing w:after="0" w:line="277" w:lineRule="auto"/>
        <w:tabs>
          <w:tab w:leader="none" w:pos="1171"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That the foregoing amendment and restatement was approved by the holders of the requisite number of shares of this corporation in accordance with Section 228 of the General Corporation Law.</w:t>
      </w:r>
    </w:p>
    <w:p>
      <w:pPr>
        <w:spacing w:after="0" w:line="170" w:lineRule="exact"/>
        <w:rPr>
          <w:rFonts w:ascii="Arial" w:cs="Arial" w:eastAsia="Arial" w:hAnsi="Arial"/>
          <w:sz w:val="18"/>
          <w:szCs w:val="18"/>
          <w:b w:val="1"/>
          <w:bCs w:val="1"/>
          <w:color w:val="auto"/>
        </w:rPr>
      </w:pPr>
    </w:p>
    <w:p>
      <w:pPr>
        <w:ind w:right="160" w:firstLine="987"/>
        <w:spacing w:after="0" w:line="308" w:lineRule="auto"/>
        <w:tabs>
          <w:tab w:leader="none" w:pos="1171" w:val="left"/>
        </w:tabs>
        <w:numPr>
          <w:ilvl w:val="0"/>
          <w:numId w:val="180"/>
        </w:numPr>
        <w:rPr>
          <w:rFonts w:ascii="Arial" w:cs="Arial" w:eastAsia="Arial" w:hAnsi="Arial"/>
          <w:sz w:val="17"/>
          <w:szCs w:val="17"/>
          <w:b w:val="1"/>
          <w:bCs w:val="1"/>
          <w:color w:val="auto"/>
        </w:rPr>
      </w:pPr>
      <w:r>
        <w:rPr>
          <w:rFonts w:ascii="Arial" w:cs="Arial" w:eastAsia="Arial" w:hAnsi="Arial"/>
          <w:sz w:val="17"/>
          <w:szCs w:val="17"/>
          <w:color w:val="auto"/>
        </w:rPr>
        <w:t>That this Certificate of Incorporation, which restates and integrates and further amends the provisions of this Corporation’s Certificate of Incorporation, has been duly adopted in accordance with Sections 242 and 245 of the General Corporation Law.</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0" w:right="479" w:bottom="1440" w:gutter="0" w:footer="0" w:header="0"/>
        </w:sectPr>
      </w:pPr>
    </w:p>
    <w:bookmarkStart w:id="258" w:name="page259"/>
    <w:bookmarkEnd w:id="258"/>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this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1st day of April, 2020.</w:t>
      </w:r>
    </w:p>
    <w:p>
      <w:pPr>
        <w:spacing w:after="0" w:line="200" w:lineRule="exact"/>
        <w:rPr>
          <w:sz w:val="20"/>
          <w:szCs w:val="20"/>
          <w:color w:val="auto"/>
        </w:rPr>
      </w:pPr>
    </w:p>
    <w:p>
      <w:pPr>
        <w:spacing w:after="0" w:line="20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Jaume Pons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0460"/>
          </w:cols>
          <w:pgMar w:left="440" w:top="270" w:right="99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ALX Oncology Holdings Inc., a corporation organized and existing under the laws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 as follows:</w:t>
      </w:r>
    </w:p>
    <w:p>
      <w:pPr>
        <w:spacing w:after="0" w:line="62"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A. The name of the Corporation is ALX Oncology Holdings Inc. The Corporation was originally incorporated pursuant to the General Corporation Law of the State of Delaware (“</w:t>
      </w:r>
      <w:r>
        <w:rPr>
          <w:rFonts w:ascii="Arial" w:cs="Arial" w:eastAsia="Arial" w:hAnsi="Arial"/>
          <w:sz w:val="18"/>
          <w:szCs w:val="18"/>
          <w:u w:val="single" w:color="auto"/>
          <w:color w:val="auto"/>
        </w:rPr>
        <w:t>DGCL</w:t>
      </w:r>
      <w:r>
        <w:rPr>
          <w:rFonts w:ascii="Arial" w:cs="Arial" w:eastAsia="Arial" w:hAnsi="Arial"/>
          <w:sz w:val="18"/>
          <w:szCs w:val="18"/>
          <w:color w:val="auto"/>
        </w:rPr>
        <w:t>”) on April 1, 2020.</w:t>
      </w:r>
    </w:p>
    <w:p>
      <w:pPr>
        <w:spacing w:after="0" w:line="62" w:lineRule="exact"/>
        <w:rPr>
          <w:sz w:val="20"/>
          <w:szCs w:val="20"/>
          <w:color w:val="auto"/>
        </w:rPr>
      </w:pPr>
    </w:p>
    <w:p>
      <w:pPr>
        <w:ind w:right="140" w:firstLine="991"/>
        <w:spacing w:after="0" w:line="286" w:lineRule="auto"/>
        <w:rPr>
          <w:sz w:val="20"/>
          <w:szCs w:val="20"/>
          <w:color w:val="auto"/>
        </w:rPr>
      </w:pPr>
      <w:r>
        <w:rPr>
          <w:rFonts w:ascii="Arial" w:cs="Arial" w:eastAsia="Arial" w:hAnsi="Arial"/>
          <w:sz w:val="17"/>
          <w:szCs w:val="17"/>
          <w:color w:val="auto"/>
        </w:rPr>
        <w:t>B. This Amended and Restated Certificate of Incorporation (this “</w:t>
      </w:r>
      <w:r>
        <w:rPr>
          <w:rFonts w:ascii="Arial" w:cs="Arial" w:eastAsia="Arial" w:hAnsi="Arial"/>
          <w:sz w:val="17"/>
          <w:szCs w:val="17"/>
          <w:u w:val="single" w:color="auto"/>
          <w:color w:val="auto"/>
        </w:rPr>
        <w:t>Amended and Restated Certificate of Incorporation</w:t>
      </w:r>
      <w:r>
        <w:rPr>
          <w:rFonts w:ascii="Arial" w:cs="Arial" w:eastAsia="Arial" w:hAnsi="Arial"/>
          <w:sz w:val="17"/>
          <w:szCs w:val="17"/>
          <w:color w:val="auto"/>
        </w:rPr>
        <w:t>”) was duly adopted by the Board of Directors of the Corporation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in accordance with Sections 242 and 245 of the DGCL, and has been duly approved by the written consent of the stockholders of the Corporation in accordance with Section 228 of the DGCL.</w:t>
      </w:r>
    </w:p>
    <w:p>
      <w:pPr>
        <w:spacing w:after="0" w:line="5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 The text of the Amended and Restated Certificate of Incorporation is hereby amended and restated in its entirety to read as follows: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ALX Oncology Holdings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1209 Orange Street, City of Wilmington, County of New Castle, Delaware 19801. The name of its registered agent at such address is The Corporation Trust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nature of the business or purposes to be conducted or promoted by the Corporation is to engage in any lawful act or activity for which corporations may be organized under the DGCL.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Section 1. This Corporation is authorized to issue two classes of stock, to be designated, respectively, Common Stock and Preferred Stock. The total number of shares of stock that the Corporation shall have authority to issue is one billion one hundred million (1,100,000,000) shares, of which one billion (1,000,000,000) shares are Common Stock, $0.0001 par value, and one hundred million (100,000,000) shares are Preferred Stock, $0.0001 par value.</w:t>
      </w:r>
    </w:p>
    <w:p>
      <w:pPr>
        <w:spacing w:after="0" w:line="187"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Section 2. Each share of Common Stock shall entitle the holder thereof to one (1) vote on any matter submitted to a vote at a meeting of stockholders.</w:t>
      </w:r>
    </w:p>
    <w:p>
      <w:pPr>
        <w:sectPr>
          <w:pgSz w:w="11900" w:h="16838" w:orient="portrait"/>
          <w:cols w:equalWidth="0" w:num="1">
            <w:col w:w="11020"/>
          </w:cols>
          <w:pgMar w:left="440" w:top="121" w:right="439" w:bottom="1440" w:gutter="0" w:footer="0" w:header="0"/>
        </w:sectPr>
      </w:pPr>
    </w:p>
    <w:bookmarkStart w:id="260" w:name="page261"/>
    <w:bookmarkEnd w:id="260"/>
    <w:p>
      <w:pPr>
        <w:ind w:right="8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this Amended and Restated Certificate of Incorporation or the resolution of the Board of Directors originally fixing the number of shares of such series. If the number of shares of any series is so decreased, then the Corporation shall take all such steps as are necessary to cause the shares constituting such decrease to resume the status which they had prior to the adoption of the resolution originally fixing the number of shares of such series.</w:t>
      </w:r>
    </w:p>
    <w:p>
      <w:pPr>
        <w:spacing w:after="0" w:line="18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Section 4. Except as otherwise required by law,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Section 1. The number of directors that constitutes the entire Board of Directors of the Corporation shall be determined in the manner set forth in the Bylaws of the Corporation. At each annual meeting of stockholders, directors of the Corporation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157"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Section 2. From and after the effectiveness of this Amended and Restated Certificate of Incorporation, the directors of the Corporation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61" w:name="page262"/>
    <w:bookmarkEnd w:id="26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decrease in the number of directors constituting the Board of Directors shall shorten the term of any incumbent director.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Section 1. Any director or the entire Board of Directors may be removed from office at any time, but only for cause, and only by the affirmative vote of the holders of at least a majority of the voting power of the issued and outstanding capital stock of the Corporation entitled to vote in the election of directors.</w:t>
      </w:r>
    </w:p>
    <w:p>
      <w:pPr>
        <w:spacing w:after="0" w:line="184"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Section 2. Except as otherwise provided for or fixed by or pursuant to the provisions of Article IV hereof in relation to the rights of the holders of Preferred Stock to elect directors under specified circumstances, newly created directorships resulting from any increase in the number of directors, created in accordance with the Bylaws of the Corporation,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 The Corporation is to have perpetual existence.</w:t>
      </w:r>
    </w:p>
    <w:p>
      <w:pPr>
        <w:spacing w:after="0" w:line="225"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Section 2. The business and affairs of the Corporation shall be managed by or under the direction of the Board of Directors. In addition to the powers and authority expressly conferred upon them by statute or by this Amended and Restated Certificate of Incorporation or the Bylaws of the Corporation, the directors are hereby empowered to exercise all such powers and do all such acts and things as may be exercised or done by the Corporation.</w:t>
      </w:r>
    </w:p>
    <w:p>
      <w:pPr>
        <w:spacing w:after="0" w:line="187"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Section 3. In furtherance and not in limitation of the powers conferred by statute, the Board of Directors is expressly authorized to adopt, alter, amend or repeal the Bylaws of the Corporation. The affirmative vote of at least a majority of the Board of Directors then in office shall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262" w:name="page263"/>
    <w:bookmarkEnd w:id="262"/>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required in order for the Board of Directors to adopt, amend, alter or repeal the Corporation’s Bylaws. The Corporation’s Bylaws may also be adopted, amended, altered or repealed by the stockholders of the Corporation. Notwithstanding the above or any other provision of this Amended and Restated Certificate of Incorporation, the Bylaws of the Corporation may not be amended, altered or repealed except in accordance with Article X of the Bylaws. No Bylaw hereafter legally adopted, amended, altered or repealed shall invalidate any prior act of the directors or officers of the Corporation that would have been valid if such Bylaw had not been adopted, amended, altered or repealed.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4. The election of directors need not be by written ballot unless the Bylaws of the Corporation shall so provide.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5. No stockholder will be permitted to cumulate votes at any election of directors.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Section 1.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2. Special meetings of stockholders of the Corporation may be called only by the Chairperson of the Board of Directors, the Chief Executive Officer, the President or the Board of Directors acting pursuant to a resolution adopted by a majority of the Board of Directors, and any power of stockholders to call a special meeting of stockholders is specifically denied. Only such business shall be considered at a special meeting of stockholders as shall have been stated in the notice for such meeting.</w:t>
      </w:r>
    </w:p>
    <w:p>
      <w:pPr>
        <w:spacing w:after="0" w:line="187"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Section 3. Advance notice of stockholder nominations for the election of directors and of business to be brought by stockholders before any meeting of the stockholders of the Corporation shall be given in the manner and to the extent provided in the Bylaws of the Corporation.</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Section 1. To the fullest extent permitted by the DGCL as the same exists or as may hereafter be amended from time to time, a director of 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7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Section 2. 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Arial" w:cs="Arial" w:eastAsia="Arial" w:hAnsi="Arial"/>
          <w:sz w:val="18"/>
          <w:szCs w:val="18"/>
          <w:u w:val="single" w:color="auto"/>
          <w:color w:val="auto"/>
        </w:rPr>
        <w:t>Proceeding</w:t>
      </w:r>
      <w:r>
        <w:rPr>
          <w:rFonts w:ascii="Arial" w:cs="Arial" w:eastAsia="Arial" w:hAnsi="Arial"/>
          <w:sz w:val="18"/>
          <w:szCs w:val="18"/>
          <w:color w:val="auto"/>
        </w:rPr>
        <w:t>”) by reason of the fact that he or she is or was a director, officer, employee or agent of the Corporation or is or was serving at the request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63" w:name="page264"/>
    <w:bookmarkEnd w:id="263"/>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initiated by such person only if the Proceeding was authorized by the Board of Directors.</w:t>
      </w:r>
    </w:p>
    <w:p>
      <w:pPr>
        <w:spacing w:after="0" w:line="17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Section 3. The Corporation shall have the power to indemnify, to the extent permitted by applicable law,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61"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Section 4. Neither any amendment nor repeal of any Section of this Article IX, nor the adoption of any provision of this Amended and Restated Certificate of Incorporation or the Bylaws of the Corporation inconsistent with this Article IX, shall eliminate or reduce the effect of this Article IX in respect of any matter occurring, or any cause of action, suit, claim or proceeding accruing or arising or that, but for this Article IX, would accrue or arise, prior to such amendment, repeal or adoption of an inconsistent provision.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Meetings of stockholders may be held within or outside of the State of Delaware, as the Bylaws may provide. The books of the Corporation may be kept (subject to any provision contained in the statutes) outside of the State of Delaware at such place or places as may be designated from time to time by the Board of Directors or in the Bylaws of the Corporation.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 xml:space="preserve">The Corporation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any other provision of this Amended and Restated Certificate of Incorporation or any provision of law that might</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permit a lesser vote or no vote, the Board of Directors acting pursuant to a resolution adopted by a majority of the Board of Directors and the affirmative vote of sixty-six and two-thirds percent (66 2/3%) of the then outstanding voting securities of the Corporation, voting together as a single class, shall be required for the amendment, repeal or modification of the provisions of Section 3 of Article IV, Section 2 of Article V, Article VI, Section 5 of Article VII, Article VIII or Article XI of this Amended and Restated Certificate of Incorporation.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64" w:name="page265"/>
    <w:bookmarkEnd w:id="26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ALX Oncology Holdings Inc. has caused this Amended and Restated Certificate of Incorporation to be signed by Jaume Pons, a duly authorized officer of the Corporation, on this ___ day of 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271780</wp:posOffset>
            </wp:positionV>
            <wp:extent cx="27946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Jaume Pons, Ph.D.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00"/>
          </w:cols>
          <w:pgMar w:left="440" w:top="274" w:right="85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BYLAWS OF</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ALX ONCOLOGY HOLDINGS INC.</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Adopted as of April 1, 2020</w:t>
      </w:r>
    </w:p>
    <w:p>
      <w:pPr>
        <w:sectPr>
          <w:pgSz w:w="11900" w:h="16838" w:orient="portrait"/>
          <w:cols w:equalWidth="0" w:num="1">
            <w:col w:w="10020"/>
          </w:cols>
          <w:pgMar w:left="1440" w:top="121" w:right="43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760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377"/>
        </w:trPr>
        <w:tc>
          <w:tcPr>
            <w:tcW w:w="96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Page</w:t>
            </w:r>
          </w:p>
        </w:tc>
      </w:t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ARTICLE I — MEETINGS OF STOCKHOLDERS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960" w:type="dxa"/>
            <w:vAlign w:val="bottom"/>
          </w:tcPr>
          <w:p>
            <w:pPr>
              <w:ind w:left="540"/>
              <w:spacing w:after="0"/>
              <w:rPr>
                <w:sz w:val="20"/>
                <w:szCs w:val="20"/>
                <w:color w:val="auto"/>
              </w:rPr>
            </w:pPr>
            <w:r>
              <w:rPr>
                <w:rFonts w:ascii="Arial" w:cs="Arial" w:eastAsia="Arial" w:hAnsi="Arial"/>
                <w:sz w:val="18"/>
                <w:szCs w:val="18"/>
                <w:color w:val="auto"/>
              </w:rPr>
              <w:t>1.1</w:t>
            </w:r>
          </w:p>
        </w:tc>
        <w:tc>
          <w:tcPr>
            <w:tcW w:w="7600" w:type="dxa"/>
            <w:vAlign w:val="bottom"/>
          </w:tcPr>
          <w:p>
            <w:pPr>
              <w:ind w:left="120"/>
              <w:spacing w:after="0"/>
              <w:rPr>
                <w:sz w:val="20"/>
                <w:szCs w:val="20"/>
                <w:color w:val="auto"/>
              </w:rPr>
            </w:pPr>
            <w:r>
              <w:rPr>
                <w:rFonts w:ascii="Arial" w:cs="Arial" w:eastAsia="Arial" w:hAnsi="Arial"/>
                <w:sz w:val="18"/>
                <w:szCs w:val="18"/>
                <w:color w:val="auto"/>
              </w:rPr>
              <w:t>Place of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1.2</w:t>
            </w:r>
          </w:p>
        </w:tc>
        <w:tc>
          <w:tcPr>
            <w:tcW w:w="7600" w:type="dxa"/>
            <w:vAlign w:val="bottom"/>
          </w:tcPr>
          <w:p>
            <w:pPr>
              <w:ind w:left="120"/>
              <w:spacing w:after="0"/>
              <w:rPr>
                <w:sz w:val="20"/>
                <w:szCs w:val="20"/>
                <w:color w:val="auto"/>
              </w:rPr>
            </w:pPr>
            <w:r>
              <w:rPr>
                <w:rFonts w:ascii="Arial" w:cs="Arial" w:eastAsia="Arial" w:hAnsi="Arial"/>
                <w:sz w:val="18"/>
                <w:szCs w:val="18"/>
                <w:color w:val="auto"/>
              </w:rPr>
              <w:t>Annual Meeting</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1.3</w:t>
            </w:r>
          </w:p>
        </w:tc>
        <w:tc>
          <w:tcPr>
            <w:tcW w:w="7600" w:type="dxa"/>
            <w:vAlign w:val="bottom"/>
          </w:tcPr>
          <w:p>
            <w:pPr>
              <w:ind w:left="120"/>
              <w:spacing w:after="0"/>
              <w:rPr>
                <w:sz w:val="20"/>
                <w:szCs w:val="20"/>
                <w:color w:val="auto"/>
              </w:rPr>
            </w:pPr>
            <w:r>
              <w:rPr>
                <w:rFonts w:ascii="Arial" w:cs="Arial" w:eastAsia="Arial" w:hAnsi="Arial"/>
                <w:sz w:val="18"/>
                <w:szCs w:val="18"/>
                <w:color w:val="auto"/>
              </w:rPr>
              <w:t>Special Meeting</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1.4</w:t>
            </w:r>
          </w:p>
        </w:tc>
        <w:tc>
          <w:tcPr>
            <w:tcW w:w="7600" w:type="dxa"/>
            <w:vAlign w:val="bottom"/>
          </w:tcPr>
          <w:p>
            <w:pPr>
              <w:ind w:left="120"/>
              <w:spacing w:after="0"/>
              <w:rPr>
                <w:sz w:val="20"/>
                <w:szCs w:val="20"/>
                <w:color w:val="auto"/>
              </w:rPr>
            </w:pPr>
            <w:r>
              <w:rPr>
                <w:rFonts w:ascii="Arial" w:cs="Arial" w:eastAsia="Arial" w:hAnsi="Arial"/>
                <w:sz w:val="18"/>
                <w:szCs w:val="18"/>
                <w:color w:val="auto"/>
              </w:rPr>
              <w:t>Notice of Stockholders’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1.5</w:t>
            </w:r>
          </w:p>
        </w:tc>
        <w:tc>
          <w:tcPr>
            <w:tcW w:w="7600" w:type="dxa"/>
            <w:vAlign w:val="bottom"/>
          </w:tcPr>
          <w:p>
            <w:pPr>
              <w:ind w:left="120"/>
              <w:spacing w:after="0"/>
              <w:rPr>
                <w:sz w:val="20"/>
                <w:szCs w:val="20"/>
                <w:color w:val="auto"/>
              </w:rPr>
            </w:pPr>
            <w:r>
              <w:rPr>
                <w:rFonts w:ascii="Arial" w:cs="Arial" w:eastAsia="Arial" w:hAnsi="Arial"/>
                <w:sz w:val="18"/>
                <w:szCs w:val="18"/>
                <w:color w:val="auto"/>
              </w:rPr>
              <w:t>Quorum</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1.6</w:t>
            </w:r>
          </w:p>
        </w:tc>
        <w:tc>
          <w:tcPr>
            <w:tcW w:w="7600" w:type="dxa"/>
            <w:vAlign w:val="bottom"/>
          </w:tcPr>
          <w:p>
            <w:pPr>
              <w:ind w:left="120"/>
              <w:spacing w:after="0"/>
              <w:rPr>
                <w:sz w:val="20"/>
                <w:szCs w:val="20"/>
                <w:color w:val="auto"/>
              </w:rPr>
            </w:pPr>
            <w:r>
              <w:rPr>
                <w:rFonts w:ascii="Arial" w:cs="Arial" w:eastAsia="Arial" w:hAnsi="Arial"/>
                <w:sz w:val="18"/>
                <w:szCs w:val="18"/>
                <w:color w:val="auto"/>
              </w:rPr>
              <w:t>Adjourned Meeting; Notice</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1.7</w:t>
            </w:r>
          </w:p>
        </w:tc>
        <w:tc>
          <w:tcPr>
            <w:tcW w:w="7600" w:type="dxa"/>
            <w:vAlign w:val="bottom"/>
          </w:tcPr>
          <w:p>
            <w:pPr>
              <w:ind w:left="120"/>
              <w:spacing w:after="0"/>
              <w:rPr>
                <w:sz w:val="20"/>
                <w:szCs w:val="20"/>
                <w:color w:val="auto"/>
              </w:rPr>
            </w:pPr>
            <w:r>
              <w:rPr>
                <w:rFonts w:ascii="Arial" w:cs="Arial" w:eastAsia="Arial" w:hAnsi="Arial"/>
                <w:sz w:val="18"/>
                <w:szCs w:val="18"/>
                <w:color w:val="auto"/>
              </w:rPr>
              <w:t>Conduct of Business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1.8</w:t>
            </w:r>
          </w:p>
        </w:tc>
        <w:tc>
          <w:tcPr>
            <w:tcW w:w="7600" w:type="dxa"/>
            <w:vAlign w:val="bottom"/>
          </w:tcPr>
          <w:p>
            <w:pPr>
              <w:ind w:left="120"/>
              <w:spacing w:after="0"/>
              <w:rPr>
                <w:sz w:val="20"/>
                <w:szCs w:val="20"/>
                <w:color w:val="auto"/>
              </w:rPr>
            </w:pPr>
            <w:r>
              <w:rPr>
                <w:rFonts w:ascii="Arial" w:cs="Arial" w:eastAsia="Arial" w:hAnsi="Arial"/>
                <w:sz w:val="18"/>
                <w:szCs w:val="18"/>
                <w:color w:val="auto"/>
              </w:rPr>
              <w:t>Voting</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1.9</w:t>
            </w:r>
          </w:p>
        </w:tc>
        <w:tc>
          <w:tcPr>
            <w:tcW w:w="7600" w:type="dxa"/>
            <w:vAlign w:val="bottom"/>
          </w:tcPr>
          <w:p>
            <w:pPr>
              <w:ind w:left="120"/>
              <w:spacing w:after="0"/>
              <w:rPr>
                <w:sz w:val="20"/>
                <w:szCs w:val="20"/>
                <w:color w:val="auto"/>
              </w:rPr>
            </w:pPr>
            <w:r>
              <w:rPr>
                <w:rFonts w:ascii="Arial" w:cs="Arial" w:eastAsia="Arial" w:hAnsi="Arial"/>
                <w:sz w:val="18"/>
                <w:szCs w:val="18"/>
                <w:color w:val="auto"/>
              </w:rPr>
              <w:t>Stockholder Action by Written Consent Without a Meeting</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1.10</w:t>
            </w:r>
          </w:p>
        </w:tc>
        <w:tc>
          <w:tcPr>
            <w:tcW w:w="7600" w:type="dxa"/>
            <w:vAlign w:val="bottom"/>
          </w:tcPr>
          <w:p>
            <w:pPr>
              <w:ind w:left="120"/>
              <w:spacing w:after="0"/>
              <w:rPr>
                <w:sz w:val="20"/>
                <w:szCs w:val="20"/>
                <w:color w:val="auto"/>
              </w:rPr>
            </w:pPr>
            <w:r>
              <w:rPr>
                <w:rFonts w:ascii="Arial" w:cs="Arial" w:eastAsia="Arial" w:hAnsi="Arial"/>
                <w:sz w:val="18"/>
                <w:szCs w:val="18"/>
                <w:color w:val="auto"/>
              </w:rPr>
              <w:t>Record Dates</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1.11</w:t>
            </w:r>
          </w:p>
        </w:tc>
        <w:tc>
          <w:tcPr>
            <w:tcW w:w="7600" w:type="dxa"/>
            <w:vAlign w:val="bottom"/>
          </w:tcPr>
          <w:p>
            <w:pPr>
              <w:ind w:left="120"/>
              <w:spacing w:after="0"/>
              <w:rPr>
                <w:sz w:val="20"/>
                <w:szCs w:val="20"/>
                <w:color w:val="auto"/>
              </w:rPr>
            </w:pPr>
            <w:r>
              <w:rPr>
                <w:rFonts w:ascii="Arial" w:cs="Arial" w:eastAsia="Arial" w:hAnsi="Arial"/>
                <w:sz w:val="18"/>
                <w:szCs w:val="18"/>
                <w:color w:val="auto"/>
              </w:rPr>
              <w:t>Proxies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60" w:type="dxa"/>
            <w:vAlign w:val="bottom"/>
          </w:tcPr>
          <w:p>
            <w:pPr>
              <w:ind w:left="540"/>
              <w:spacing w:after="0"/>
              <w:rPr>
                <w:sz w:val="20"/>
                <w:szCs w:val="20"/>
                <w:color w:val="auto"/>
              </w:rPr>
            </w:pPr>
            <w:r>
              <w:rPr>
                <w:rFonts w:ascii="Arial" w:cs="Arial" w:eastAsia="Arial" w:hAnsi="Arial"/>
                <w:sz w:val="18"/>
                <w:szCs w:val="18"/>
                <w:color w:val="auto"/>
              </w:rPr>
              <w:t>1.12</w:t>
            </w:r>
          </w:p>
        </w:tc>
        <w:tc>
          <w:tcPr>
            <w:tcW w:w="7600" w:type="dxa"/>
            <w:vAlign w:val="bottom"/>
          </w:tcPr>
          <w:p>
            <w:pPr>
              <w:ind w:left="120"/>
              <w:spacing w:after="0"/>
              <w:rPr>
                <w:sz w:val="20"/>
                <w:szCs w:val="20"/>
                <w:color w:val="auto"/>
              </w:rPr>
            </w:pPr>
            <w:r>
              <w:rPr>
                <w:rFonts w:ascii="Arial" w:cs="Arial" w:eastAsia="Arial" w:hAnsi="Arial"/>
                <w:sz w:val="18"/>
                <w:szCs w:val="18"/>
                <w:color w:val="auto"/>
              </w:rPr>
              <w:t>List of Stockholders Entitled to Vote</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 —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960" w:type="dxa"/>
            <w:vAlign w:val="bottom"/>
          </w:tcPr>
          <w:p>
            <w:pPr>
              <w:ind w:left="540"/>
              <w:spacing w:after="0"/>
              <w:rPr>
                <w:sz w:val="20"/>
                <w:szCs w:val="20"/>
                <w:color w:val="auto"/>
              </w:rPr>
            </w:pPr>
            <w:r>
              <w:rPr>
                <w:rFonts w:ascii="Arial" w:cs="Arial" w:eastAsia="Arial" w:hAnsi="Arial"/>
                <w:sz w:val="18"/>
                <w:szCs w:val="18"/>
                <w:color w:val="auto"/>
              </w:rPr>
              <w:t>2.1</w:t>
            </w:r>
          </w:p>
        </w:tc>
        <w:tc>
          <w:tcPr>
            <w:tcW w:w="7600" w:type="dxa"/>
            <w:vAlign w:val="bottom"/>
          </w:tcPr>
          <w:p>
            <w:pPr>
              <w:ind w:left="120"/>
              <w:spacing w:after="0"/>
              <w:rPr>
                <w:sz w:val="20"/>
                <w:szCs w:val="20"/>
                <w:color w:val="auto"/>
              </w:rPr>
            </w:pPr>
            <w:r>
              <w:rPr>
                <w:rFonts w:ascii="Arial" w:cs="Arial" w:eastAsia="Arial" w:hAnsi="Arial"/>
                <w:sz w:val="18"/>
                <w:szCs w:val="18"/>
                <w:color w:val="auto"/>
              </w:rPr>
              <w:t>Powers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2.2</w:t>
            </w:r>
          </w:p>
        </w:tc>
        <w:tc>
          <w:tcPr>
            <w:tcW w:w="7600" w:type="dxa"/>
            <w:vAlign w:val="bottom"/>
          </w:tcPr>
          <w:p>
            <w:pPr>
              <w:ind w:left="120"/>
              <w:spacing w:after="0"/>
              <w:rPr>
                <w:sz w:val="20"/>
                <w:szCs w:val="20"/>
                <w:color w:val="auto"/>
              </w:rPr>
            </w:pPr>
            <w:r>
              <w:rPr>
                <w:rFonts w:ascii="Arial" w:cs="Arial" w:eastAsia="Arial" w:hAnsi="Arial"/>
                <w:sz w:val="18"/>
                <w:szCs w:val="18"/>
                <w:color w:val="auto"/>
              </w:rPr>
              <w:t>Number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2.3</w:t>
            </w:r>
          </w:p>
        </w:tc>
        <w:tc>
          <w:tcPr>
            <w:tcW w:w="7600" w:type="dxa"/>
            <w:vAlign w:val="bottom"/>
          </w:tcPr>
          <w:p>
            <w:pPr>
              <w:ind w:left="120"/>
              <w:spacing w:after="0"/>
              <w:rPr>
                <w:sz w:val="20"/>
                <w:szCs w:val="20"/>
                <w:color w:val="auto"/>
              </w:rPr>
            </w:pPr>
            <w:r>
              <w:rPr>
                <w:rFonts w:ascii="Arial" w:cs="Arial" w:eastAsia="Arial" w:hAnsi="Arial"/>
                <w:sz w:val="18"/>
                <w:szCs w:val="18"/>
                <w:color w:val="auto"/>
              </w:rPr>
              <w:t>Election, Qualification and Term of Office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2.4</w:t>
            </w:r>
          </w:p>
        </w:tc>
        <w:tc>
          <w:tcPr>
            <w:tcW w:w="7600" w:type="dxa"/>
            <w:vAlign w:val="bottom"/>
          </w:tcPr>
          <w:p>
            <w:pPr>
              <w:ind w:left="120"/>
              <w:spacing w:after="0"/>
              <w:rPr>
                <w:sz w:val="20"/>
                <w:szCs w:val="20"/>
                <w:color w:val="auto"/>
              </w:rPr>
            </w:pPr>
            <w:r>
              <w:rPr>
                <w:rFonts w:ascii="Arial" w:cs="Arial" w:eastAsia="Arial" w:hAnsi="Arial"/>
                <w:sz w:val="18"/>
                <w:szCs w:val="18"/>
                <w:color w:val="auto"/>
              </w:rPr>
              <w:t>Resignation and Vacancies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2.5</w:t>
            </w:r>
          </w:p>
        </w:tc>
        <w:tc>
          <w:tcPr>
            <w:tcW w:w="7600" w:type="dxa"/>
            <w:vAlign w:val="bottom"/>
          </w:tcPr>
          <w:p>
            <w:pPr>
              <w:ind w:left="120"/>
              <w:spacing w:after="0"/>
              <w:rPr>
                <w:sz w:val="20"/>
                <w:szCs w:val="20"/>
                <w:color w:val="auto"/>
              </w:rPr>
            </w:pPr>
            <w:r>
              <w:rPr>
                <w:rFonts w:ascii="Arial" w:cs="Arial" w:eastAsia="Arial" w:hAnsi="Arial"/>
                <w:sz w:val="18"/>
                <w:szCs w:val="18"/>
                <w:color w:val="auto"/>
              </w:rPr>
              <w:t>Place of Meetings; Meetings by Telephone</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2.6</w:t>
            </w:r>
          </w:p>
        </w:tc>
        <w:tc>
          <w:tcPr>
            <w:tcW w:w="7600" w:type="dxa"/>
            <w:vAlign w:val="bottom"/>
          </w:tcPr>
          <w:p>
            <w:pPr>
              <w:ind w:left="120"/>
              <w:spacing w:after="0"/>
              <w:rPr>
                <w:sz w:val="20"/>
                <w:szCs w:val="20"/>
                <w:color w:val="auto"/>
              </w:rPr>
            </w:pPr>
            <w:r>
              <w:rPr>
                <w:rFonts w:ascii="Arial" w:cs="Arial" w:eastAsia="Arial" w:hAnsi="Arial"/>
                <w:sz w:val="18"/>
                <w:szCs w:val="18"/>
                <w:color w:val="auto"/>
              </w:rPr>
              <w:t>Conduct of Business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2.7</w:t>
            </w:r>
          </w:p>
        </w:tc>
        <w:tc>
          <w:tcPr>
            <w:tcW w:w="7600" w:type="dxa"/>
            <w:vAlign w:val="bottom"/>
          </w:tcPr>
          <w:p>
            <w:pPr>
              <w:ind w:left="120"/>
              <w:spacing w:after="0"/>
              <w:rPr>
                <w:sz w:val="20"/>
                <w:szCs w:val="20"/>
                <w:color w:val="auto"/>
              </w:rPr>
            </w:pPr>
            <w:r>
              <w:rPr>
                <w:rFonts w:ascii="Arial" w:cs="Arial" w:eastAsia="Arial" w:hAnsi="Arial"/>
                <w:sz w:val="18"/>
                <w:szCs w:val="18"/>
                <w:color w:val="auto"/>
              </w:rPr>
              <w:t>Regular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2.8</w:t>
            </w:r>
          </w:p>
        </w:tc>
        <w:tc>
          <w:tcPr>
            <w:tcW w:w="7600" w:type="dxa"/>
            <w:vAlign w:val="bottom"/>
          </w:tcPr>
          <w:p>
            <w:pPr>
              <w:ind w:left="120"/>
              <w:spacing w:after="0"/>
              <w:rPr>
                <w:sz w:val="20"/>
                <w:szCs w:val="20"/>
                <w:color w:val="auto"/>
              </w:rPr>
            </w:pPr>
            <w:r>
              <w:rPr>
                <w:rFonts w:ascii="Arial" w:cs="Arial" w:eastAsia="Arial" w:hAnsi="Arial"/>
                <w:sz w:val="18"/>
                <w:szCs w:val="18"/>
                <w:color w:val="auto"/>
              </w:rPr>
              <w:t>Special Meetings; Notice</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2.9</w:t>
            </w:r>
          </w:p>
        </w:tc>
        <w:tc>
          <w:tcPr>
            <w:tcW w:w="7600" w:type="dxa"/>
            <w:vAlign w:val="bottom"/>
          </w:tcPr>
          <w:p>
            <w:pPr>
              <w:ind w:left="120"/>
              <w:spacing w:after="0"/>
              <w:rPr>
                <w:sz w:val="20"/>
                <w:szCs w:val="20"/>
                <w:color w:val="auto"/>
              </w:rPr>
            </w:pPr>
            <w:r>
              <w:rPr>
                <w:rFonts w:ascii="Arial" w:cs="Arial" w:eastAsia="Arial" w:hAnsi="Arial"/>
                <w:sz w:val="18"/>
                <w:szCs w:val="18"/>
                <w:color w:val="auto"/>
              </w:rPr>
              <w:t>Quorum; Voting</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2.10</w:t>
            </w:r>
          </w:p>
        </w:tc>
        <w:tc>
          <w:tcPr>
            <w:tcW w:w="7600" w:type="dxa"/>
            <w:vAlign w:val="bottom"/>
          </w:tcPr>
          <w:p>
            <w:pPr>
              <w:ind w:left="120"/>
              <w:spacing w:after="0"/>
              <w:rPr>
                <w:sz w:val="20"/>
                <w:szCs w:val="20"/>
                <w:color w:val="auto"/>
              </w:rPr>
            </w:pPr>
            <w:r>
              <w:rPr>
                <w:rFonts w:ascii="Arial" w:cs="Arial" w:eastAsia="Arial" w:hAnsi="Arial"/>
                <w:sz w:val="18"/>
                <w:szCs w:val="18"/>
                <w:color w:val="auto"/>
              </w:rPr>
              <w:t>Board Action by Written Consent Without a Meeting</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2.11</w:t>
            </w:r>
          </w:p>
        </w:tc>
        <w:tc>
          <w:tcPr>
            <w:tcW w:w="7600" w:type="dxa"/>
            <w:vAlign w:val="bottom"/>
          </w:tcPr>
          <w:p>
            <w:pPr>
              <w:ind w:left="120"/>
              <w:spacing w:after="0"/>
              <w:rPr>
                <w:sz w:val="20"/>
                <w:szCs w:val="20"/>
                <w:color w:val="auto"/>
              </w:rPr>
            </w:pPr>
            <w:r>
              <w:rPr>
                <w:rFonts w:ascii="Arial" w:cs="Arial" w:eastAsia="Arial" w:hAnsi="Arial"/>
                <w:sz w:val="18"/>
                <w:szCs w:val="18"/>
                <w:color w:val="auto"/>
              </w:rPr>
              <w:t>Fees and Compensation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60" w:type="dxa"/>
            <w:vAlign w:val="bottom"/>
          </w:tcPr>
          <w:p>
            <w:pPr>
              <w:ind w:left="540"/>
              <w:spacing w:after="0"/>
              <w:rPr>
                <w:sz w:val="20"/>
                <w:szCs w:val="20"/>
                <w:color w:val="auto"/>
              </w:rPr>
            </w:pPr>
            <w:r>
              <w:rPr>
                <w:rFonts w:ascii="Arial" w:cs="Arial" w:eastAsia="Arial" w:hAnsi="Arial"/>
                <w:sz w:val="18"/>
                <w:szCs w:val="18"/>
                <w:color w:val="auto"/>
              </w:rPr>
              <w:t>2.12</w:t>
            </w:r>
          </w:p>
        </w:tc>
        <w:tc>
          <w:tcPr>
            <w:tcW w:w="7600" w:type="dxa"/>
            <w:vAlign w:val="bottom"/>
          </w:tcPr>
          <w:p>
            <w:pPr>
              <w:ind w:left="120"/>
              <w:spacing w:after="0"/>
              <w:rPr>
                <w:sz w:val="20"/>
                <w:szCs w:val="20"/>
                <w:color w:val="auto"/>
              </w:rPr>
            </w:pPr>
            <w:r>
              <w:rPr>
                <w:rFonts w:ascii="Arial" w:cs="Arial" w:eastAsia="Arial" w:hAnsi="Arial"/>
                <w:sz w:val="18"/>
                <w:szCs w:val="18"/>
                <w:color w:val="auto"/>
              </w:rPr>
              <w:t>Removal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III — COMMITTEES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0"/>
        </w:trPr>
        <w:tc>
          <w:tcPr>
            <w:tcW w:w="960" w:type="dxa"/>
            <w:vAlign w:val="bottom"/>
          </w:tcPr>
          <w:p>
            <w:pPr>
              <w:ind w:left="540"/>
              <w:spacing w:after="0"/>
              <w:rPr>
                <w:sz w:val="20"/>
                <w:szCs w:val="20"/>
                <w:color w:val="auto"/>
              </w:rPr>
            </w:pPr>
            <w:r>
              <w:rPr>
                <w:rFonts w:ascii="Arial" w:cs="Arial" w:eastAsia="Arial" w:hAnsi="Arial"/>
                <w:sz w:val="18"/>
                <w:szCs w:val="18"/>
                <w:color w:val="auto"/>
              </w:rPr>
              <w:t>3.1</w:t>
            </w:r>
          </w:p>
        </w:tc>
        <w:tc>
          <w:tcPr>
            <w:tcW w:w="7600" w:type="dxa"/>
            <w:vAlign w:val="bottom"/>
          </w:tcPr>
          <w:p>
            <w:pPr>
              <w:ind w:left="120"/>
              <w:spacing w:after="0"/>
              <w:rPr>
                <w:sz w:val="20"/>
                <w:szCs w:val="20"/>
                <w:color w:val="auto"/>
              </w:rPr>
            </w:pPr>
            <w:r>
              <w:rPr>
                <w:rFonts w:ascii="Arial" w:cs="Arial" w:eastAsia="Arial" w:hAnsi="Arial"/>
                <w:sz w:val="18"/>
                <w:szCs w:val="18"/>
                <w:color w:val="auto"/>
              </w:rPr>
              <w:t>Committees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3.2</w:t>
            </w:r>
          </w:p>
        </w:tc>
        <w:tc>
          <w:tcPr>
            <w:tcW w:w="7600" w:type="dxa"/>
            <w:vAlign w:val="bottom"/>
          </w:tcPr>
          <w:p>
            <w:pPr>
              <w:ind w:left="120"/>
              <w:spacing w:after="0"/>
              <w:rPr>
                <w:sz w:val="20"/>
                <w:szCs w:val="20"/>
                <w:color w:val="auto"/>
              </w:rPr>
            </w:pPr>
            <w:r>
              <w:rPr>
                <w:rFonts w:ascii="Arial" w:cs="Arial" w:eastAsia="Arial" w:hAnsi="Arial"/>
                <w:sz w:val="18"/>
                <w:szCs w:val="18"/>
                <w:color w:val="auto"/>
              </w:rPr>
              <w:t>Committee Minutes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3.3</w:t>
            </w:r>
          </w:p>
        </w:tc>
        <w:tc>
          <w:tcPr>
            <w:tcW w:w="7600" w:type="dxa"/>
            <w:vAlign w:val="bottom"/>
          </w:tcPr>
          <w:p>
            <w:pPr>
              <w:ind w:left="120"/>
              <w:spacing w:after="0"/>
              <w:rPr>
                <w:sz w:val="20"/>
                <w:szCs w:val="20"/>
                <w:color w:val="auto"/>
              </w:rPr>
            </w:pPr>
            <w:r>
              <w:rPr>
                <w:rFonts w:ascii="Arial" w:cs="Arial" w:eastAsia="Arial" w:hAnsi="Arial"/>
                <w:sz w:val="18"/>
                <w:szCs w:val="18"/>
                <w:color w:val="auto"/>
              </w:rPr>
              <w:t>Meetings and Actions of Committees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60" w:type="dxa"/>
            <w:vAlign w:val="bottom"/>
          </w:tcPr>
          <w:p>
            <w:pPr>
              <w:ind w:left="540"/>
              <w:spacing w:after="0"/>
              <w:rPr>
                <w:sz w:val="20"/>
                <w:szCs w:val="20"/>
                <w:color w:val="auto"/>
              </w:rPr>
            </w:pPr>
            <w:r>
              <w:rPr>
                <w:rFonts w:ascii="Arial" w:cs="Arial" w:eastAsia="Arial" w:hAnsi="Arial"/>
                <w:sz w:val="18"/>
                <w:szCs w:val="18"/>
                <w:color w:val="auto"/>
              </w:rPr>
              <w:t>3.4</w:t>
            </w:r>
          </w:p>
        </w:tc>
        <w:tc>
          <w:tcPr>
            <w:tcW w:w="7600" w:type="dxa"/>
            <w:vAlign w:val="bottom"/>
          </w:tcPr>
          <w:p>
            <w:pPr>
              <w:ind w:left="120"/>
              <w:spacing w:after="0"/>
              <w:rPr>
                <w:sz w:val="20"/>
                <w:szCs w:val="20"/>
                <w:color w:val="auto"/>
              </w:rPr>
            </w:pPr>
            <w:r>
              <w:rPr>
                <w:rFonts w:ascii="Arial" w:cs="Arial" w:eastAsia="Arial" w:hAnsi="Arial"/>
                <w:sz w:val="18"/>
                <w:szCs w:val="18"/>
                <w:color w:val="auto"/>
              </w:rPr>
              <w:t>Subcommittees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IV — 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960" w:type="dxa"/>
            <w:vAlign w:val="bottom"/>
          </w:tcPr>
          <w:p>
            <w:pPr>
              <w:ind w:left="540"/>
              <w:spacing w:after="0"/>
              <w:rPr>
                <w:sz w:val="20"/>
                <w:szCs w:val="20"/>
                <w:color w:val="auto"/>
              </w:rPr>
            </w:pPr>
            <w:r>
              <w:rPr>
                <w:rFonts w:ascii="Arial" w:cs="Arial" w:eastAsia="Arial" w:hAnsi="Arial"/>
                <w:sz w:val="18"/>
                <w:szCs w:val="18"/>
                <w:color w:val="auto"/>
              </w:rPr>
              <w:t>4.1</w:t>
            </w:r>
          </w:p>
        </w:tc>
        <w:tc>
          <w:tcPr>
            <w:tcW w:w="7600" w:type="dxa"/>
            <w:vAlign w:val="bottom"/>
          </w:tcPr>
          <w:p>
            <w:pPr>
              <w:ind w:left="120"/>
              <w:spacing w:after="0"/>
              <w:rPr>
                <w:sz w:val="20"/>
                <w:szCs w:val="20"/>
                <w:color w:val="auto"/>
              </w:rPr>
            </w:pPr>
            <w:r>
              <w:rPr>
                <w:rFonts w:ascii="Arial" w:cs="Arial" w:eastAsia="Arial" w:hAnsi="Arial"/>
                <w:sz w:val="18"/>
                <w:szCs w:val="18"/>
                <w:color w:val="auto"/>
              </w:rPr>
              <w:t>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4.2</w:t>
            </w:r>
          </w:p>
        </w:tc>
        <w:tc>
          <w:tcPr>
            <w:tcW w:w="7600" w:type="dxa"/>
            <w:vAlign w:val="bottom"/>
          </w:tcPr>
          <w:p>
            <w:pPr>
              <w:ind w:left="120"/>
              <w:spacing w:after="0"/>
              <w:rPr>
                <w:sz w:val="20"/>
                <w:szCs w:val="20"/>
                <w:color w:val="auto"/>
              </w:rPr>
            </w:pPr>
            <w:r>
              <w:rPr>
                <w:rFonts w:ascii="Arial" w:cs="Arial" w:eastAsia="Arial" w:hAnsi="Arial"/>
                <w:sz w:val="18"/>
                <w:szCs w:val="18"/>
                <w:color w:val="auto"/>
              </w:rPr>
              <w:t>Appointment of 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4.3</w:t>
            </w:r>
          </w:p>
        </w:tc>
        <w:tc>
          <w:tcPr>
            <w:tcW w:w="7600" w:type="dxa"/>
            <w:vAlign w:val="bottom"/>
          </w:tcPr>
          <w:p>
            <w:pPr>
              <w:ind w:left="120"/>
              <w:spacing w:after="0"/>
              <w:rPr>
                <w:sz w:val="20"/>
                <w:szCs w:val="20"/>
                <w:color w:val="auto"/>
              </w:rPr>
            </w:pPr>
            <w:r>
              <w:rPr>
                <w:rFonts w:ascii="Arial" w:cs="Arial" w:eastAsia="Arial" w:hAnsi="Arial"/>
                <w:sz w:val="18"/>
                <w:szCs w:val="18"/>
                <w:color w:val="auto"/>
              </w:rPr>
              <w:t>Subordinate 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4.4</w:t>
            </w:r>
          </w:p>
        </w:tc>
        <w:tc>
          <w:tcPr>
            <w:tcW w:w="7600" w:type="dxa"/>
            <w:vAlign w:val="bottom"/>
          </w:tcPr>
          <w:p>
            <w:pPr>
              <w:ind w:left="120"/>
              <w:spacing w:after="0"/>
              <w:rPr>
                <w:sz w:val="20"/>
                <w:szCs w:val="20"/>
                <w:color w:val="auto"/>
              </w:rPr>
            </w:pPr>
            <w:r>
              <w:rPr>
                <w:rFonts w:ascii="Arial" w:cs="Arial" w:eastAsia="Arial" w:hAnsi="Arial"/>
                <w:sz w:val="18"/>
                <w:szCs w:val="18"/>
                <w:color w:val="auto"/>
              </w:rPr>
              <w:t>Removal and Resignation of 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4.5</w:t>
            </w:r>
          </w:p>
        </w:tc>
        <w:tc>
          <w:tcPr>
            <w:tcW w:w="7600" w:type="dxa"/>
            <w:vAlign w:val="bottom"/>
          </w:tcPr>
          <w:p>
            <w:pPr>
              <w:ind w:left="120"/>
              <w:spacing w:after="0"/>
              <w:rPr>
                <w:sz w:val="20"/>
                <w:szCs w:val="20"/>
                <w:color w:val="auto"/>
              </w:rPr>
            </w:pPr>
            <w:r>
              <w:rPr>
                <w:rFonts w:ascii="Arial" w:cs="Arial" w:eastAsia="Arial" w:hAnsi="Arial"/>
                <w:sz w:val="18"/>
                <w:szCs w:val="18"/>
                <w:color w:val="auto"/>
              </w:rPr>
              <w:t>Vacancies in Offices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4.6</w:t>
            </w:r>
          </w:p>
        </w:tc>
        <w:tc>
          <w:tcPr>
            <w:tcW w:w="7600" w:type="dxa"/>
            <w:vAlign w:val="bottom"/>
          </w:tcPr>
          <w:p>
            <w:pPr>
              <w:ind w:left="120"/>
              <w:spacing w:after="0"/>
              <w:rPr>
                <w:sz w:val="20"/>
                <w:szCs w:val="20"/>
                <w:color w:val="auto"/>
              </w:rPr>
            </w:pPr>
            <w:r>
              <w:rPr>
                <w:rFonts w:ascii="Arial" w:cs="Arial" w:eastAsia="Arial" w:hAnsi="Arial"/>
                <w:sz w:val="18"/>
                <w:szCs w:val="18"/>
                <w:color w:val="auto"/>
              </w:rPr>
              <w:t>Representation of Securities of Other Corporations or Entities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960" w:type="dxa"/>
            <w:vAlign w:val="bottom"/>
          </w:tcPr>
          <w:p>
            <w:pPr>
              <w:ind w:left="540"/>
              <w:spacing w:after="0"/>
              <w:rPr>
                <w:sz w:val="20"/>
                <w:szCs w:val="20"/>
                <w:color w:val="auto"/>
              </w:rPr>
            </w:pPr>
            <w:r>
              <w:rPr>
                <w:rFonts w:ascii="Arial" w:cs="Arial" w:eastAsia="Arial" w:hAnsi="Arial"/>
                <w:sz w:val="18"/>
                <w:szCs w:val="18"/>
                <w:color w:val="auto"/>
              </w:rPr>
              <w:t>4.7</w:t>
            </w:r>
          </w:p>
        </w:tc>
        <w:tc>
          <w:tcPr>
            <w:tcW w:w="7600" w:type="dxa"/>
            <w:vAlign w:val="bottom"/>
          </w:tcPr>
          <w:p>
            <w:pPr>
              <w:ind w:left="120"/>
              <w:spacing w:after="0"/>
              <w:rPr>
                <w:sz w:val="20"/>
                <w:szCs w:val="20"/>
                <w:color w:val="auto"/>
              </w:rPr>
            </w:pPr>
            <w:r>
              <w:rPr>
                <w:rFonts w:ascii="Arial" w:cs="Arial" w:eastAsia="Arial" w:hAnsi="Arial"/>
                <w:sz w:val="18"/>
                <w:szCs w:val="18"/>
                <w:color w:val="auto"/>
              </w:rPr>
              <w:t>Authority and Duties of 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67" w:name="page268"/>
    <w:bookmarkEnd w:id="26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Page</w:t>
            </w: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rPr>
              <w:t>ARTICLE V — INDEMNIFICATION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960" w:type="dxa"/>
            <w:vAlign w:val="bottom"/>
          </w:tcPr>
          <w:p>
            <w:pPr>
              <w:ind w:left="540"/>
              <w:spacing w:after="0"/>
              <w:rPr>
                <w:sz w:val="20"/>
                <w:szCs w:val="20"/>
                <w:color w:val="auto"/>
              </w:rPr>
            </w:pPr>
            <w:r>
              <w:rPr>
                <w:rFonts w:ascii="Arial" w:cs="Arial" w:eastAsia="Arial" w:hAnsi="Arial"/>
                <w:sz w:val="18"/>
                <w:szCs w:val="18"/>
                <w:color w:val="auto"/>
              </w:rPr>
              <w:t>5.1</w:t>
            </w:r>
          </w:p>
        </w:tc>
        <w:tc>
          <w:tcPr>
            <w:tcW w:w="8060" w:type="dxa"/>
            <w:vAlign w:val="bottom"/>
          </w:tcPr>
          <w:p>
            <w:pPr>
              <w:ind w:left="120"/>
              <w:spacing w:after="0"/>
              <w:rPr>
                <w:sz w:val="20"/>
                <w:szCs w:val="20"/>
                <w:color w:val="auto"/>
              </w:rPr>
            </w:pPr>
            <w:r>
              <w:rPr>
                <w:rFonts w:ascii="Arial" w:cs="Arial" w:eastAsia="Arial" w:hAnsi="Arial"/>
                <w:sz w:val="18"/>
                <w:szCs w:val="18"/>
                <w:color w:val="auto"/>
              </w:rPr>
              <w:t>Indemnification of Directors and Officers in Third Party Proceedings</w:t>
            </w:r>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5.2</w:t>
            </w:r>
          </w:p>
        </w:tc>
        <w:tc>
          <w:tcPr>
            <w:tcW w:w="8060" w:type="dxa"/>
            <w:vAlign w:val="bottom"/>
          </w:tcPr>
          <w:p>
            <w:pPr>
              <w:ind w:left="120"/>
              <w:spacing w:after="0"/>
              <w:rPr>
                <w:sz w:val="20"/>
                <w:szCs w:val="20"/>
                <w:color w:val="auto"/>
              </w:rPr>
            </w:pPr>
            <w:r>
              <w:rPr>
                <w:rFonts w:ascii="Arial" w:cs="Arial" w:eastAsia="Arial" w:hAnsi="Arial"/>
                <w:sz w:val="18"/>
                <w:szCs w:val="18"/>
                <w:color w:val="auto"/>
              </w:rPr>
              <w:t>Indemnification of Directors and Officers in Actions by or in the Right of the Company</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5.3</w:t>
            </w:r>
          </w:p>
        </w:tc>
        <w:tc>
          <w:tcPr>
            <w:tcW w:w="8060" w:type="dxa"/>
            <w:vAlign w:val="bottom"/>
          </w:tcPr>
          <w:p>
            <w:pPr>
              <w:ind w:left="120"/>
              <w:spacing w:after="0"/>
              <w:rPr>
                <w:sz w:val="20"/>
                <w:szCs w:val="20"/>
                <w:color w:val="auto"/>
              </w:rPr>
            </w:pPr>
            <w:r>
              <w:rPr>
                <w:rFonts w:ascii="Arial" w:cs="Arial" w:eastAsia="Arial" w:hAnsi="Arial"/>
                <w:sz w:val="18"/>
                <w:szCs w:val="18"/>
                <w:color w:val="auto"/>
              </w:rPr>
              <w:t>Successful Defense</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5.4</w:t>
            </w:r>
          </w:p>
        </w:tc>
        <w:tc>
          <w:tcPr>
            <w:tcW w:w="8060" w:type="dxa"/>
            <w:vAlign w:val="bottom"/>
          </w:tcPr>
          <w:p>
            <w:pPr>
              <w:ind w:left="120"/>
              <w:spacing w:after="0"/>
              <w:rPr>
                <w:sz w:val="20"/>
                <w:szCs w:val="20"/>
                <w:color w:val="auto"/>
              </w:rPr>
            </w:pPr>
            <w:r>
              <w:rPr>
                <w:rFonts w:ascii="Arial" w:cs="Arial" w:eastAsia="Arial" w:hAnsi="Arial"/>
                <w:sz w:val="18"/>
                <w:szCs w:val="18"/>
                <w:color w:val="auto"/>
              </w:rPr>
              <w:t>Indemnification of Others</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5.5</w:t>
            </w:r>
          </w:p>
        </w:tc>
        <w:tc>
          <w:tcPr>
            <w:tcW w:w="8060" w:type="dxa"/>
            <w:vAlign w:val="bottom"/>
          </w:tcPr>
          <w:p>
            <w:pPr>
              <w:ind w:left="120"/>
              <w:spacing w:after="0"/>
              <w:rPr>
                <w:sz w:val="20"/>
                <w:szCs w:val="20"/>
                <w:color w:val="auto"/>
              </w:rPr>
            </w:pPr>
            <w:r>
              <w:rPr>
                <w:rFonts w:ascii="Arial" w:cs="Arial" w:eastAsia="Arial" w:hAnsi="Arial"/>
                <w:sz w:val="18"/>
                <w:szCs w:val="18"/>
                <w:color w:val="auto"/>
              </w:rPr>
              <w:t>Advanced Payment of Expenses</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5.6</w:t>
            </w:r>
          </w:p>
        </w:tc>
        <w:tc>
          <w:tcPr>
            <w:tcW w:w="8060" w:type="dxa"/>
            <w:vAlign w:val="bottom"/>
          </w:tcPr>
          <w:p>
            <w:pPr>
              <w:ind w:left="120"/>
              <w:spacing w:after="0"/>
              <w:rPr>
                <w:sz w:val="20"/>
                <w:szCs w:val="20"/>
                <w:color w:val="auto"/>
              </w:rPr>
            </w:pPr>
            <w:r>
              <w:rPr>
                <w:rFonts w:ascii="Arial" w:cs="Arial" w:eastAsia="Arial" w:hAnsi="Arial"/>
                <w:sz w:val="18"/>
                <w:szCs w:val="18"/>
                <w:color w:val="auto"/>
              </w:rPr>
              <w:t>Limitation on Indemnification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5.7</w:t>
            </w:r>
          </w:p>
        </w:tc>
        <w:tc>
          <w:tcPr>
            <w:tcW w:w="8060" w:type="dxa"/>
            <w:vAlign w:val="bottom"/>
          </w:tcPr>
          <w:p>
            <w:pPr>
              <w:ind w:left="120"/>
              <w:spacing w:after="0"/>
              <w:rPr>
                <w:sz w:val="20"/>
                <w:szCs w:val="20"/>
                <w:color w:val="auto"/>
              </w:rPr>
            </w:pPr>
            <w:r>
              <w:rPr>
                <w:rFonts w:ascii="Arial" w:cs="Arial" w:eastAsia="Arial" w:hAnsi="Arial"/>
                <w:sz w:val="18"/>
                <w:szCs w:val="18"/>
                <w:color w:val="auto"/>
              </w:rPr>
              <w:t>Determination; Claim</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5.8</w:t>
            </w:r>
          </w:p>
        </w:tc>
        <w:tc>
          <w:tcPr>
            <w:tcW w:w="8060" w:type="dxa"/>
            <w:vAlign w:val="bottom"/>
          </w:tcPr>
          <w:p>
            <w:pPr>
              <w:ind w:left="120"/>
              <w:spacing w:after="0"/>
              <w:rPr>
                <w:sz w:val="20"/>
                <w:szCs w:val="20"/>
                <w:color w:val="auto"/>
              </w:rPr>
            </w:pPr>
            <w:r>
              <w:rPr>
                <w:rFonts w:ascii="Arial" w:cs="Arial" w:eastAsia="Arial" w:hAnsi="Arial"/>
                <w:sz w:val="18"/>
                <w:szCs w:val="18"/>
                <w:color w:val="auto"/>
              </w:rPr>
              <w:t>Non-Exclusivity of Rights</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5.9</w:t>
            </w:r>
          </w:p>
        </w:tc>
        <w:tc>
          <w:tcPr>
            <w:tcW w:w="806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5.10</w:t>
            </w:r>
          </w:p>
        </w:tc>
        <w:tc>
          <w:tcPr>
            <w:tcW w:w="8060" w:type="dxa"/>
            <w:vAlign w:val="bottom"/>
          </w:tcPr>
          <w:p>
            <w:pPr>
              <w:ind w:left="120"/>
              <w:spacing w:after="0"/>
              <w:rPr>
                <w:sz w:val="20"/>
                <w:szCs w:val="20"/>
                <w:color w:val="auto"/>
              </w:rPr>
            </w:pPr>
            <w:r>
              <w:rPr>
                <w:rFonts w:ascii="Arial" w:cs="Arial" w:eastAsia="Arial" w:hAnsi="Arial"/>
                <w:sz w:val="18"/>
                <w:szCs w:val="18"/>
                <w:color w:val="auto"/>
              </w:rPr>
              <w:t>Survival</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5.11</w:t>
            </w:r>
          </w:p>
        </w:tc>
        <w:tc>
          <w:tcPr>
            <w:tcW w:w="8060" w:type="dxa"/>
            <w:vAlign w:val="bottom"/>
          </w:tcPr>
          <w:p>
            <w:pPr>
              <w:ind w:left="120"/>
              <w:spacing w:after="0"/>
              <w:rPr>
                <w:sz w:val="20"/>
                <w:szCs w:val="20"/>
                <w:color w:val="auto"/>
              </w:rPr>
            </w:pPr>
            <w:r>
              <w:rPr>
                <w:rFonts w:ascii="Arial" w:cs="Arial" w:eastAsia="Arial" w:hAnsi="Arial"/>
                <w:sz w:val="18"/>
                <w:szCs w:val="18"/>
                <w:color w:val="auto"/>
              </w:rPr>
              <w:t>Effect of Repeal or Modification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60" w:type="dxa"/>
            <w:vAlign w:val="bottom"/>
          </w:tcPr>
          <w:p>
            <w:pPr>
              <w:ind w:left="540"/>
              <w:spacing w:after="0"/>
              <w:rPr>
                <w:sz w:val="20"/>
                <w:szCs w:val="20"/>
                <w:color w:val="auto"/>
              </w:rPr>
            </w:pPr>
            <w:r>
              <w:rPr>
                <w:rFonts w:ascii="Arial" w:cs="Arial" w:eastAsia="Arial" w:hAnsi="Arial"/>
                <w:sz w:val="18"/>
                <w:szCs w:val="18"/>
                <w:color w:val="auto"/>
              </w:rPr>
              <w:t>5.12</w:t>
            </w:r>
          </w:p>
        </w:tc>
        <w:tc>
          <w:tcPr>
            <w:tcW w:w="8060" w:type="dxa"/>
            <w:vAlign w:val="bottom"/>
          </w:tcPr>
          <w:p>
            <w:pPr>
              <w:ind w:left="120"/>
              <w:spacing w:after="0"/>
              <w:rPr>
                <w:sz w:val="20"/>
                <w:szCs w:val="20"/>
                <w:color w:val="auto"/>
              </w:rPr>
            </w:pPr>
            <w:r>
              <w:rPr>
                <w:rFonts w:ascii="Arial" w:cs="Arial" w:eastAsia="Arial" w:hAnsi="Arial"/>
                <w:sz w:val="18"/>
                <w:szCs w:val="18"/>
                <w:color w:val="auto"/>
              </w:rPr>
              <w:t>Certain Definitions</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 — STOCK</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960" w:type="dxa"/>
            <w:vAlign w:val="bottom"/>
          </w:tcPr>
          <w:p>
            <w:pPr>
              <w:ind w:left="540"/>
              <w:spacing w:after="0"/>
              <w:rPr>
                <w:sz w:val="20"/>
                <w:szCs w:val="20"/>
                <w:color w:val="auto"/>
              </w:rPr>
            </w:pPr>
            <w:r>
              <w:rPr>
                <w:rFonts w:ascii="Arial" w:cs="Arial" w:eastAsia="Arial" w:hAnsi="Arial"/>
                <w:sz w:val="18"/>
                <w:szCs w:val="18"/>
                <w:color w:val="auto"/>
              </w:rPr>
              <w:t>6.1</w:t>
            </w:r>
          </w:p>
        </w:tc>
        <w:tc>
          <w:tcPr>
            <w:tcW w:w="8060" w:type="dxa"/>
            <w:vAlign w:val="bottom"/>
          </w:tcPr>
          <w:p>
            <w:pPr>
              <w:ind w:left="120"/>
              <w:spacing w:after="0"/>
              <w:rPr>
                <w:sz w:val="20"/>
                <w:szCs w:val="20"/>
                <w:color w:val="auto"/>
              </w:rPr>
            </w:pPr>
            <w:r>
              <w:rPr>
                <w:rFonts w:ascii="Arial" w:cs="Arial" w:eastAsia="Arial" w:hAnsi="Arial"/>
                <w:sz w:val="18"/>
                <w:szCs w:val="18"/>
                <w:color w:val="auto"/>
              </w:rPr>
              <w:t>Stock Certificates; Partly Paid Shares</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6.2</w:t>
            </w:r>
          </w:p>
        </w:tc>
        <w:tc>
          <w:tcPr>
            <w:tcW w:w="8060" w:type="dxa"/>
            <w:vAlign w:val="bottom"/>
          </w:tcPr>
          <w:p>
            <w:pPr>
              <w:ind w:left="120"/>
              <w:spacing w:after="0"/>
              <w:rPr>
                <w:sz w:val="20"/>
                <w:szCs w:val="20"/>
                <w:color w:val="auto"/>
              </w:rPr>
            </w:pPr>
            <w:r>
              <w:rPr>
                <w:rFonts w:ascii="Arial" w:cs="Arial" w:eastAsia="Arial" w:hAnsi="Arial"/>
                <w:sz w:val="18"/>
                <w:szCs w:val="18"/>
                <w:color w:val="auto"/>
              </w:rPr>
              <w:t>Special Designation on Certificates</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6.3</w:t>
            </w:r>
          </w:p>
        </w:tc>
        <w:tc>
          <w:tcPr>
            <w:tcW w:w="8060" w:type="dxa"/>
            <w:vAlign w:val="bottom"/>
          </w:tcPr>
          <w:p>
            <w:pPr>
              <w:ind w:left="120"/>
              <w:spacing w:after="0"/>
              <w:rPr>
                <w:sz w:val="20"/>
                <w:szCs w:val="20"/>
                <w:color w:val="auto"/>
              </w:rPr>
            </w:pPr>
            <w:r>
              <w:rPr>
                <w:rFonts w:ascii="Arial" w:cs="Arial" w:eastAsia="Arial" w:hAnsi="Arial"/>
                <w:sz w:val="18"/>
                <w:szCs w:val="18"/>
                <w:color w:val="auto"/>
              </w:rPr>
              <w:t>Lost Certificates</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6.4</w:t>
            </w:r>
          </w:p>
        </w:tc>
        <w:tc>
          <w:tcPr>
            <w:tcW w:w="8060" w:type="dxa"/>
            <w:vAlign w:val="bottom"/>
          </w:tcPr>
          <w:p>
            <w:pPr>
              <w:ind w:left="120"/>
              <w:spacing w:after="0"/>
              <w:rPr>
                <w:sz w:val="20"/>
                <w:szCs w:val="20"/>
                <w:color w:val="auto"/>
              </w:rPr>
            </w:pPr>
            <w:r>
              <w:rPr>
                <w:rFonts w:ascii="Arial" w:cs="Arial" w:eastAsia="Arial" w:hAnsi="Arial"/>
                <w:sz w:val="18"/>
                <w:szCs w:val="18"/>
                <w:color w:val="auto"/>
              </w:rPr>
              <w:t>Dividends</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6.5</w:t>
            </w:r>
          </w:p>
        </w:tc>
        <w:tc>
          <w:tcPr>
            <w:tcW w:w="8060" w:type="dxa"/>
            <w:vAlign w:val="bottom"/>
          </w:tcPr>
          <w:p>
            <w:pPr>
              <w:ind w:left="120"/>
              <w:spacing w:after="0"/>
              <w:rPr>
                <w:sz w:val="20"/>
                <w:szCs w:val="20"/>
                <w:color w:val="auto"/>
              </w:rPr>
            </w:pPr>
            <w:r>
              <w:rPr>
                <w:rFonts w:ascii="Arial" w:cs="Arial" w:eastAsia="Arial" w:hAnsi="Arial"/>
                <w:sz w:val="18"/>
                <w:szCs w:val="18"/>
                <w:color w:val="auto"/>
              </w:rPr>
              <w:t>Stock Transfer Agreements</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6.6</w:t>
            </w:r>
          </w:p>
        </w:tc>
        <w:tc>
          <w:tcPr>
            <w:tcW w:w="8060" w:type="dxa"/>
            <w:vAlign w:val="bottom"/>
          </w:tcPr>
          <w:p>
            <w:pPr>
              <w:ind w:left="120"/>
              <w:spacing w:after="0"/>
              <w:rPr>
                <w:sz w:val="20"/>
                <w:szCs w:val="20"/>
                <w:color w:val="auto"/>
              </w:rPr>
            </w:pPr>
            <w:r>
              <w:rPr>
                <w:rFonts w:ascii="Arial" w:cs="Arial" w:eastAsia="Arial" w:hAnsi="Arial"/>
                <w:sz w:val="18"/>
                <w:szCs w:val="18"/>
                <w:color w:val="auto"/>
              </w:rPr>
              <w:t>Registered Stockholders</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6.7</w:t>
            </w:r>
          </w:p>
        </w:tc>
        <w:tc>
          <w:tcPr>
            <w:tcW w:w="8060" w:type="dxa"/>
            <w:vAlign w:val="bottom"/>
          </w:tcPr>
          <w:p>
            <w:pPr>
              <w:ind w:left="120"/>
              <w:spacing w:after="0"/>
              <w:rPr>
                <w:sz w:val="20"/>
                <w:szCs w:val="20"/>
                <w:color w:val="auto"/>
              </w:rPr>
            </w:pPr>
            <w:r>
              <w:rPr>
                <w:rFonts w:ascii="Arial" w:cs="Arial" w:eastAsia="Arial" w:hAnsi="Arial"/>
                <w:sz w:val="18"/>
                <w:szCs w:val="18"/>
                <w:color w:val="auto"/>
              </w:rPr>
              <w:t>Transfers</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60" w:type="dxa"/>
            <w:vAlign w:val="bottom"/>
          </w:tcPr>
          <w:p>
            <w:pPr>
              <w:ind w:left="540"/>
              <w:spacing w:after="0"/>
              <w:rPr>
                <w:sz w:val="20"/>
                <w:szCs w:val="20"/>
                <w:color w:val="auto"/>
              </w:rPr>
            </w:pPr>
            <w:r>
              <w:rPr>
                <w:rFonts w:ascii="Arial" w:cs="Arial" w:eastAsia="Arial" w:hAnsi="Arial"/>
                <w:sz w:val="18"/>
                <w:szCs w:val="18"/>
                <w:color w:val="auto"/>
              </w:rPr>
              <w:t>6.8</w:t>
            </w:r>
          </w:p>
        </w:tc>
        <w:tc>
          <w:tcPr>
            <w:tcW w:w="8060" w:type="dxa"/>
            <w:vAlign w:val="bottom"/>
          </w:tcPr>
          <w:p>
            <w:pPr>
              <w:ind w:left="120"/>
              <w:spacing w:after="0"/>
              <w:rPr>
                <w:sz w:val="20"/>
                <w:szCs w:val="20"/>
                <w:color w:val="auto"/>
              </w:rPr>
            </w:pPr>
            <w:r>
              <w:rPr>
                <w:rFonts w:ascii="Arial" w:cs="Arial" w:eastAsia="Arial" w:hAnsi="Arial"/>
                <w:sz w:val="18"/>
                <w:szCs w:val="18"/>
                <w:color w:val="auto"/>
              </w:rPr>
              <w:t>Transfer Restriction</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VII — MANNER OF GIVING NOTICE AND WAIVER</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960" w:type="dxa"/>
            <w:vAlign w:val="bottom"/>
          </w:tcPr>
          <w:p>
            <w:pPr>
              <w:ind w:left="540"/>
              <w:spacing w:after="0"/>
              <w:rPr>
                <w:sz w:val="20"/>
                <w:szCs w:val="20"/>
                <w:color w:val="auto"/>
              </w:rPr>
            </w:pPr>
            <w:r>
              <w:rPr>
                <w:rFonts w:ascii="Arial" w:cs="Arial" w:eastAsia="Arial" w:hAnsi="Arial"/>
                <w:sz w:val="18"/>
                <w:szCs w:val="18"/>
                <w:color w:val="auto"/>
              </w:rPr>
              <w:t>7.1</w:t>
            </w:r>
          </w:p>
        </w:tc>
        <w:tc>
          <w:tcPr>
            <w:tcW w:w="8060" w:type="dxa"/>
            <w:vAlign w:val="bottom"/>
          </w:tcPr>
          <w:p>
            <w:pPr>
              <w:ind w:left="120"/>
              <w:spacing w:after="0"/>
              <w:rPr>
                <w:sz w:val="20"/>
                <w:szCs w:val="20"/>
                <w:color w:val="auto"/>
              </w:rPr>
            </w:pPr>
            <w:r>
              <w:rPr>
                <w:rFonts w:ascii="Arial" w:cs="Arial" w:eastAsia="Arial" w:hAnsi="Arial"/>
                <w:sz w:val="18"/>
                <w:szCs w:val="18"/>
                <w:color w:val="auto"/>
              </w:rPr>
              <w:t>Delivery of Notice; Notice by Electronic Transmission</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7.2</w:t>
            </w:r>
          </w:p>
        </w:tc>
        <w:tc>
          <w:tcPr>
            <w:tcW w:w="8060" w:type="dxa"/>
            <w:vAlign w:val="bottom"/>
          </w:tcPr>
          <w:p>
            <w:pPr>
              <w:ind w:left="120"/>
              <w:spacing w:after="0"/>
              <w:rPr>
                <w:sz w:val="20"/>
                <w:szCs w:val="20"/>
                <w:color w:val="auto"/>
              </w:rPr>
            </w:pPr>
            <w:r>
              <w:rPr>
                <w:rFonts w:ascii="Arial" w:cs="Arial" w:eastAsia="Arial" w:hAnsi="Arial"/>
                <w:sz w:val="18"/>
                <w:szCs w:val="18"/>
                <w:color w:val="auto"/>
              </w:rPr>
              <w:t>Notice to Stockholders Sharing an Address</w:t>
            </w:r>
          </w:p>
        </w:tc>
        <w:tc>
          <w:tcPr>
            <w:tcW w:w="1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7.3</w:t>
            </w:r>
          </w:p>
        </w:tc>
        <w:tc>
          <w:tcPr>
            <w:tcW w:w="8060" w:type="dxa"/>
            <w:vAlign w:val="bottom"/>
          </w:tcPr>
          <w:p>
            <w:pPr>
              <w:ind w:left="120"/>
              <w:spacing w:after="0"/>
              <w:rPr>
                <w:sz w:val="20"/>
                <w:szCs w:val="20"/>
                <w:color w:val="auto"/>
              </w:rPr>
            </w:pPr>
            <w:r>
              <w:rPr>
                <w:rFonts w:ascii="Arial" w:cs="Arial" w:eastAsia="Arial" w:hAnsi="Arial"/>
                <w:sz w:val="18"/>
                <w:szCs w:val="18"/>
                <w:color w:val="auto"/>
              </w:rPr>
              <w:t>Notice to Person with Whom Communication is Unlawful</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60" w:type="dxa"/>
            <w:vAlign w:val="bottom"/>
          </w:tcPr>
          <w:p>
            <w:pPr>
              <w:ind w:left="540"/>
              <w:spacing w:after="0"/>
              <w:rPr>
                <w:sz w:val="20"/>
                <w:szCs w:val="20"/>
                <w:color w:val="auto"/>
              </w:rPr>
            </w:pPr>
            <w:r>
              <w:rPr>
                <w:rFonts w:ascii="Arial" w:cs="Arial" w:eastAsia="Arial" w:hAnsi="Arial"/>
                <w:sz w:val="18"/>
                <w:szCs w:val="18"/>
                <w:color w:val="auto"/>
              </w:rPr>
              <w:t>7.4</w:t>
            </w:r>
          </w:p>
        </w:tc>
        <w:tc>
          <w:tcPr>
            <w:tcW w:w="8060" w:type="dxa"/>
            <w:vAlign w:val="bottom"/>
          </w:tcPr>
          <w:p>
            <w:pPr>
              <w:ind w:left="120"/>
              <w:spacing w:after="0"/>
              <w:rPr>
                <w:sz w:val="20"/>
                <w:szCs w:val="20"/>
                <w:color w:val="auto"/>
              </w:rPr>
            </w:pPr>
            <w:r>
              <w:rPr>
                <w:rFonts w:ascii="Arial" w:cs="Arial" w:eastAsia="Arial" w:hAnsi="Arial"/>
                <w:sz w:val="18"/>
                <w:szCs w:val="18"/>
                <w:color w:val="auto"/>
              </w:rPr>
              <w:t>Waiver of Notice</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VIII — GENERAL MATTERS</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960" w:type="dxa"/>
            <w:vAlign w:val="bottom"/>
          </w:tcPr>
          <w:p>
            <w:pPr>
              <w:ind w:left="540"/>
              <w:spacing w:after="0"/>
              <w:rPr>
                <w:sz w:val="20"/>
                <w:szCs w:val="20"/>
                <w:color w:val="auto"/>
              </w:rPr>
            </w:pPr>
            <w:r>
              <w:rPr>
                <w:rFonts w:ascii="Arial" w:cs="Arial" w:eastAsia="Arial" w:hAnsi="Arial"/>
                <w:sz w:val="18"/>
                <w:szCs w:val="18"/>
                <w:color w:val="auto"/>
              </w:rPr>
              <w:t>8.1</w:t>
            </w:r>
          </w:p>
        </w:tc>
        <w:tc>
          <w:tcPr>
            <w:tcW w:w="8060" w:type="dxa"/>
            <w:vAlign w:val="bottom"/>
          </w:tcPr>
          <w:p>
            <w:pPr>
              <w:ind w:left="120"/>
              <w:spacing w:after="0"/>
              <w:rPr>
                <w:sz w:val="20"/>
                <w:szCs w:val="20"/>
                <w:color w:val="auto"/>
              </w:rPr>
            </w:pPr>
            <w:r>
              <w:rPr>
                <w:rFonts w:ascii="Arial" w:cs="Arial" w:eastAsia="Arial" w:hAnsi="Arial"/>
                <w:sz w:val="18"/>
                <w:szCs w:val="18"/>
                <w:color w:val="auto"/>
              </w:rPr>
              <w:t>Fiscal Year</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8.2</w:t>
            </w:r>
          </w:p>
        </w:tc>
        <w:tc>
          <w:tcPr>
            <w:tcW w:w="8060" w:type="dxa"/>
            <w:vAlign w:val="bottom"/>
          </w:tcPr>
          <w:p>
            <w:pPr>
              <w:ind w:left="120"/>
              <w:spacing w:after="0"/>
              <w:rPr>
                <w:sz w:val="20"/>
                <w:szCs w:val="20"/>
                <w:color w:val="auto"/>
              </w:rPr>
            </w:pPr>
            <w:r>
              <w:rPr>
                <w:rFonts w:ascii="Arial" w:cs="Arial" w:eastAsia="Arial" w:hAnsi="Arial"/>
                <w:sz w:val="18"/>
                <w:szCs w:val="18"/>
                <w:color w:val="auto"/>
              </w:rPr>
              <w:t>Seal</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8.3</w:t>
            </w:r>
          </w:p>
        </w:tc>
        <w:tc>
          <w:tcPr>
            <w:tcW w:w="8060" w:type="dxa"/>
            <w:vAlign w:val="bottom"/>
          </w:tcPr>
          <w:p>
            <w:pPr>
              <w:ind w:left="120"/>
              <w:spacing w:after="0"/>
              <w:rPr>
                <w:sz w:val="20"/>
                <w:szCs w:val="20"/>
                <w:color w:val="auto"/>
              </w:rPr>
            </w:pPr>
            <w:r>
              <w:rPr>
                <w:rFonts w:ascii="Arial" w:cs="Arial" w:eastAsia="Arial" w:hAnsi="Arial"/>
                <w:sz w:val="18"/>
                <w:szCs w:val="18"/>
                <w:color w:val="auto"/>
              </w:rPr>
              <w:t>Annual Report</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8.4</w:t>
            </w:r>
          </w:p>
        </w:tc>
        <w:tc>
          <w:tcPr>
            <w:tcW w:w="8060" w:type="dxa"/>
            <w:vAlign w:val="bottom"/>
          </w:tcPr>
          <w:p>
            <w:pPr>
              <w:ind w:left="120"/>
              <w:spacing w:after="0"/>
              <w:rPr>
                <w:sz w:val="20"/>
                <w:szCs w:val="20"/>
                <w:color w:val="auto"/>
              </w:rPr>
            </w:pPr>
            <w:r>
              <w:rPr>
                <w:rFonts w:ascii="Arial" w:cs="Arial" w:eastAsia="Arial" w:hAnsi="Arial"/>
                <w:sz w:val="18"/>
                <w:szCs w:val="18"/>
                <w:color w:val="auto"/>
              </w:rPr>
              <w:t>Construction; Definitions</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60" w:type="dxa"/>
            <w:vAlign w:val="bottom"/>
          </w:tcPr>
          <w:p>
            <w:pPr>
              <w:ind w:left="540"/>
              <w:spacing w:after="0"/>
              <w:rPr>
                <w:sz w:val="20"/>
                <w:szCs w:val="20"/>
                <w:color w:val="auto"/>
              </w:rPr>
            </w:pPr>
            <w:r>
              <w:rPr>
                <w:rFonts w:ascii="Arial" w:cs="Arial" w:eastAsia="Arial" w:hAnsi="Arial"/>
                <w:sz w:val="18"/>
                <w:szCs w:val="18"/>
                <w:color w:val="auto"/>
              </w:rPr>
              <w:t>8.5</w:t>
            </w:r>
          </w:p>
        </w:tc>
        <w:tc>
          <w:tcPr>
            <w:tcW w:w="8060" w:type="dxa"/>
            <w:vAlign w:val="bottom"/>
          </w:tcPr>
          <w:p>
            <w:pPr>
              <w:ind w:left="120"/>
              <w:spacing w:after="0"/>
              <w:rPr>
                <w:sz w:val="20"/>
                <w:szCs w:val="20"/>
                <w:color w:val="auto"/>
              </w:rPr>
            </w:pPr>
            <w:r>
              <w:rPr>
                <w:rFonts w:ascii="Arial" w:cs="Arial" w:eastAsia="Arial" w:hAnsi="Arial"/>
                <w:sz w:val="18"/>
                <w:szCs w:val="18"/>
                <w:color w:val="auto"/>
              </w:rPr>
              <w:t>Forum Selection</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ARTICLE IX — AMENDMENTS</w:t>
            </w:r>
          </w:p>
        </w:tc>
        <w:tc>
          <w:tcPr>
            <w:tcW w:w="1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64"/>
        </w:trPr>
        <w:tc>
          <w:tcPr>
            <w:tcW w:w="960" w:type="dxa"/>
            <w:vAlign w:val="bottom"/>
          </w:tcPr>
          <w:p>
            <w:pPr>
              <w:spacing w:after="0"/>
              <w:rPr>
                <w:sz w:val="24"/>
                <w:szCs w:val="24"/>
                <w:color w:val="auto"/>
              </w:rPr>
            </w:pPr>
          </w:p>
        </w:tc>
        <w:tc>
          <w:tcPr>
            <w:tcW w:w="8060" w:type="dxa"/>
            <w:vAlign w:val="bottom"/>
          </w:tcPr>
          <w:p>
            <w:pPr>
              <w:ind w:left="4500"/>
              <w:spacing w:after="0"/>
              <w:rPr>
                <w:sz w:val="20"/>
                <w:szCs w:val="20"/>
                <w:color w:val="auto"/>
              </w:rPr>
            </w:pPr>
            <w:r>
              <w:rPr>
                <w:rFonts w:ascii="Arial" w:cs="Arial" w:eastAsia="Arial" w:hAnsi="Arial"/>
                <w:sz w:val="18"/>
                <w:szCs w:val="18"/>
                <w:color w:val="auto"/>
              </w:rPr>
              <w:t>ii</w:t>
            </w:r>
          </w:p>
        </w:tc>
        <w:tc>
          <w:tcPr>
            <w:tcW w:w="194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268" w:name="page269"/>
    <w:bookmarkEnd w:id="26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BYLAWS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 — MEETINGS OF STOCKHOLDERS</w:t>
      </w:r>
    </w:p>
    <w:p>
      <w:pPr>
        <w:spacing w:after="0" w:line="225"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b w:val="1"/>
          <w:bCs w:val="1"/>
          <w:i w:val="1"/>
          <w:iCs w:val="1"/>
          <w:color w:val="auto"/>
        </w:rPr>
        <w:t>Place of Meetings</w:t>
      </w:r>
      <w:r>
        <w:rPr>
          <w:rFonts w:ascii="Arial" w:cs="Arial" w:eastAsia="Arial" w:hAnsi="Arial"/>
          <w:sz w:val="17"/>
          <w:szCs w:val="17"/>
          <w:color w:val="auto"/>
        </w:rPr>
        <w:t xml:space="preserve"> Meetings of stockholders of ALX Oncology Holdings Inc. (the “</w:t>
      </w:r>
      <w:r>
        <w:rPr>
          <w:rFonts w:ascii="Arial" w:cs="Arial" w:eastAsia="Arial" w:hAnsi="Arial"/>
          <w:sz w:val="17"/>
          <w:szCs w:val="17"/>
          <w:b w:val="1"/>
          <w:bCs w:val="1"/>
          <w:color w:val="auto"/>
        </w:rPr>
        <w:t>Company</w:t>
      </w:r>
      <w:r>
        <w:rPr>
          <w:rFonts w:ascii="Arial" w:cs="Arial" w:eastAsia="Arial" w:hAnsi="Arial"/>
          <w:sz w:val="17"/>
          <w:szCs w:val="17"/>
          <w:color w:val="auto"/>
        </w:rPr>
        <w:t>”) shall be held at any place, within or outside the State of Delaware, determined by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The Board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7"/>
          <w:szCs w:val="17"/>
          <w:b w:val="1"/>
          <w:bCs w:val="1"/>
          <w:color w:val="auto"/>
        </w:rPr>
        <w:t>DGCL</w:t>
      </w:r>
      <w:r>
        <w:rPr>
          <w:rFonts w:ascii="Arial" w:cs="Arial" w:eastAsia="Arial" w:hAnsi="Arial"/>
          <w:sz w:val="17"/>
          <w:szCs w:val="17"/>
          <w:color w:val="auto"/>
        </w:rPr>
        <w:t>”). In the absence of any such designation or determination, stockholders’ meetings shall be held at the Company’s principal executive office. The Board may cancel, postpone, or reschedule any previously scheduled meeting of stockholders at any time, before or after the notice for such meeting has been given to the stockholders.</w:t>
      </w:r>
    </w:p>
    <w:p>
      <w:pPr>
        <w:spacing w:after="0" w:line="17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xml:space="preserve"> Unless directors are elected by written consent in lieu of an annual meeting as permitted by Section 211(b) of the DGCL, an annual meeting of stockholders shall be held for the election of directors at such date and time as may be designated by resolution of the Board from time to time. Stockholders may, unless the certificate of incorporation otherwise provides, act by written consent to elect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such consent is less than unanimous, such action by written consent may be in lieu of holding an annual meeting only if all of the directorships to which directors could be elected at an annual meeting held at the effective time of such action are vacant and are filled by such action. Any other proper business may be transacted at the annual meeting.</w:t>
      </w:r>
    </w:p>
    <w:p>
      <w:pPr>
        <w:spacing w:after="0" w:line="192"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i w:val="1"/>
          <w:iCs w:val="1"/>
          <w:color w:val="auto"/>
        </w:rPr>
        <w:t>Special Meeting</w:t>
      </w:r>
      <w:r>
        <w:rPr>
          <w:rFonts w:ascii="Arial" w:cs="Arial" w:eastAsia="Arial" w:hAnsi="Arial"/>
          <w:sz w:val="18"/>
          <w:szCs w:val="18"/>
          <w:color w:val="auto"/>
        </w:rPr>
        <w:t xml:space="preserve"> A special meeting of the stockholders may be called at any time by the Board, Chairperson of the Board, Chief Executive Officer or President (in the absence of a Chief Executive Officer).</w:t>
      </w:r>
    </w:p>
    <w:p>
      <w:pPr>
        <w:spacing w:after="0" w:line="170"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If a special meeting of the stockholders has been called, the Company shall cause notice to be given to the stockholders entitled to vote at such meeting, in accordance with these bylaws, that a meeting will be held at the time requested by the person or persons calling the meeting. No business may be transacted at such special meeting other than the business specified in such notice to stockholders. Nothing contained in this paragraph of this </w:t>
      </w:r>
      <w:r>
        <w:rPr>
          <w:rFonts w:ascii="Arial" w:cs="Arial" w:eastAsia="Arial" w:hAnsi="Arial"/>
          <w:sz w:val="18"/>
          <w:szCs w:val="18"/>
          <w:b w:val="1"/>
          <w:bCs w:val="1"/>
          <w:color w:val="auto"/>
        </w:rPr>
        <w:t xml:space="preserve">section 1.3 </w:t>
      </w:r>
      <w:r>
        <w:rPr>
          <w:rFonts w:ascii="Arial" w:cs="Arial" w:eastAsia="Arial" w:hAnsi="Arial"/>
          <w:sz w:val="18"/>
          <w:szCs w:val="18"/>
          <w:color w:val="auto"/>
        </w:rPr>
        <w:t>shall be construed as limiting, fixing, or affecting the time when a meeting of stockholders called by action of the Board may be held or the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that may be transacted at such meeting.</w:t>
      </w:r>
    </w:p>
    <w:p>
      <w:pPr>
        <w:spacing w:after="0" w:line="188"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b w:val="1"/>
          <w:bCs w:val="1"/>
          <w:i w:val="1"/>
          <w:iCs w:val="1"/>
          <w:color w:val="auto"/>
        </w:rPr>
        <w:t>Notice of Stockholders’ Meetings</w:t>
      </w:r>
      <w:r>
        <w:rPr>
          <w:rFonts w:ascii="Arial" w:cs="Arial" w:eastAsia="Arial" w:hAnsi="Arial"/>
          <w:sz w:val="17"/>
          <w:szCs w:val="17"/>
          <w:color w:val="auto"/>
        </w:rPr>
        <w:t xml:space="preserve"> Whenever stockholders are required or permitted to take any action at a meeting, a notice of the meeting in the form of a writing or electronic transmission (as defined in </w:t>
      </w:r>
      <w:r>
        <w:rPr>
          <w:rFonts w:ascii="Arial" w:cs="Arial" w:eastAsia="Arial" w:hAnsi="Arial"/>
          <w:sz w:val="17"/>
          <w:szCs w:val="17"/>
          <w:b w:val="1"/>
          <w:bCs w:val="1"/>
          <w:color w:val="auto"/>
        </w:rPr>
        <w:t>section 7.1</w:t>
      </w:r>
      <w:r>
        <w:rPr>
          <w:rFonts w:ascii="Arial" w:cs="Arial" w:eastAsia="Arial" w:hAnsi="Arial"/>
          <w:sz w:val="17"/>
          <w:szCs w:val="17"/>
          <w:color w:val="auto"/>
        </w:rPr>
        <w:t xml:space="preserve"> of these bylaws)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ectPr>
          <w:pgSz w:w="11900" w:h="16838" w:orient="portrait"/>
          <w:cols w:equalWidth="0" w:num="1">
            <w:col w:w="11000"/>
          </w:cols>
          <w:pgMar w:left="440" w:top="270" w:right="459" w:bottom="1440" w:gutter="0" w:footer="0" w:header="0"/>
        </w:sectPr>
      </w:pPr>
    </w:p>
    <w:bookmarkStart w:id="269" w:name="page270"/>
    <w:bookmarkEnd w:id="269"/>
    <w:p>
      <w:pPr>
        <w:ind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1.5 </w:t>
      </w:r>
      <w:r>
        <w:rPr>
          <w:rFonts w:ascii="Arial" w:cs="Arial" w:eastAsia="Arial" w:hAnsi="Arial"/>
          <w:sz w:val="18"/>
          <w:szCs w:val="18"/>
          <w:b w:val="1"/>
          <w:bCs w:val="1"/>
          <w:i w:val="1"/>
          <w:iCs w:val="1"/>
          <w:color w:val="auto"/>
        </w:rPr>
        <w:t>Quorum</w:t>
      </w:r>
      <w:r>
        <w:rPr>
          <w:rFonts w:ascii="Arial" w:cs="Arial" w:eastAsia="Arial" w:hAnsi="Arial"/>
          <w:sz w:val="18"/>
          <w:szCs w:val="18"/>
          <w:color w:val="auto"/>
        </w:rPr>
        <w:t xml:space="preserve"> Except as otherwise provided by law, the certificate of incorporation or these bylaws, at each meeting of stockholders the presence in person or by proxy of the holders of shares of stock having a majority of the votes which could be cast by the holders of all outstanding shares of stock entitled to vote at the meeting shall be necessary and sufficient to constitute a quorum.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192"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If, however, such quorum is not present or represented at any meeting of the stockholders, then either (i) the chairperson of the meeting, or (ii) the stockholders entitled to vote at the meeting, present in person or represented by proxy, shall have the power to adjourn the meeting from time to time, in the manner provided in </w:t>
      </w:r>
      <w:r>
        <w:rPr>
          <w:rFonts w:ascii="Arial" w:cs="Arial" w:eastAsia="Arial" w:hAnsi="Arial"/>
          <w:sz w:val="18"/>
          <w:szCs w:val="18"/>
          <w:b w:val="1"/>
          <w:bCs w:val="1"/>
          <w:color w:val="auto"/>
        </w:rPr>
        <w:t>section 1.6</w:t>
      </w:r>
      <w:r>
        <w:rPr>
          <w:rFonts w:ascii="Arial" w:cs="Arial" w:eastAsia="Arial" w:hAnsi="Arial"/>
          <w:sz w:val="18"/>
          <w:szCs w:val="18"/>
          <w:color w:val="auto"/>
        </w:rPr>
        <w:t xml:space="preserve"> of these bylaws, until a quorum is present or represented.</w:t>
      </w:r>
    </w:p>
    <w:p>
      <w:pPr>
        <w:spacing w:after="0" w:line="184"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i w:val="1"/>
          <w:iCs w:val="1"/>
          <w:color w:val="auto"/>
        </w:rPr>
        <w:t>Adjourned Meeting; Notice</w:t>
      </w:r>
      <w:r>
        <w:rPr>
          <w:rFonts w:ascii="Arial" w:cs="Arial" w:eastAsia="Arial" w:hAnsi="Arial"/>
          <w:sz w:val="16"/>
          <w:szCs w:val="16"/>
          <w:color w:val="auto"/>
        </w:rPr>
        <w:t xml:space="preserve"> Any meeting of stockholders, annual or special, may adjourn from time to time to reconvene at the same or some other place, and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If the adjournment is for more than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Section 213(a) of the DGCL and </w:t>
      </w:r>
      <w:r>
        <w:rPr>
          <w:rFonts w:ascii="Arial" w:cs="Arial" w:eastAsia="Arial" w:hAnsi="Arial"/>
          <w:sz w:val="18"/>
          <w:szCs w:val="18"/>
          <w:b w:val="1"/>
          <w:bCs w:val="1"/>
          <w:color w:val="auto"/>
        </w:rPr>
        <w:t>section 1.10</w:t>
      </w:r>
      <w:r>
        <w:rPr>
          <w:rFonts w:ascii="Arial" w:cs="Arial" w:eastAsia="Arial" w:hAnsi="Arial"/>
          <w:sz w:val="18"/>
          <w:szCs w:val="18"/>
          <w:color w:val="auto"/>
        </w:rPr>
        <w:t xml:space="preserve"> of these bylaws, and shall give notice of the adjourned meeting to each stockholder of record entitled to vote at such adjourned meeting as of the record date fixed for notice of such adjourned meeting.</w:t>
      </w:r>
    </w:p>
    <w:p>
      <w:pPr>
        <w:spacing w:after="0" w:line="191" w:lineRule="exact"/>
        <w:rPr>
          <w:sz w:val="20"/>
          <w:szCs w:val="20"/>
          <w:color w:val="auto"/>
        </w:rPr>
      </w:pPr>
    </w:p>
    <w:p>
      <w:pPr>
        <w:ind w:right="180" w:firstLine="440"/>
        <w:spacing w:after="0" w:line="291"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b w:val="1"/>
          <w:bCs w:val="1"/>
          <w:i w:val="1"/>
          <w:iCs w:val="1"/>
          <w:color w:val="auto"/>
        </w:rPr>
        <w:t>Conduct of Business</w:t>
      </w:r>
      <w:r>
        <w:rPr>
          <w:rFonts w:ascii="Arial" w:cs="Arial" w:eastAsia="Arial" w:hAnsi="Arial"/>
          <w:sz w:val="16"/>
          <w:szCs w:val="16"/>
          <w:color w:val="auto"/>
        </w:rPr>
        <w:t xml:space="preserve"> Meetings of stockholders shall be presided over by the Chairperson of the Board, if any, or in his or her absence by the Vice Chairperson of the Board, if any, or in the absence of the foregoing persons by the Chief Executive Officer, or in the absence of the foregoing persons by the President, or in the absence of the foregoing persons by a Vice President,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 The chairperson of any meeting of stockholders shall determine the order of business and the procedure at the meeting, including such regulation of the manner of voting and the conduct of business, and shall have the power to adjourn the meeting to another place, if any, date or time, whether or not a quorum is present.</w:t>
      </w:r>
    </w:p>
    <w:p>
      <w:pPr>
        <w:spacing w:after="0" w:line="162"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i w:val="1"/>
          <w:iCs w:val="1"/>
          <w:color w:val="auto"/>
        </w:rPr>
        <w:t>Voting</w:t>
      </w:r>
      <w:r>
        <w:rPr>
          <w:rFonts w:ascii="Arial" w:cs="Arial" w:eastAsia="Arial" w:hAnsi="Arial"/>
          <w:sz w:val="18"/>
          <w:szCs w:val="18"/>
          <w:color w:val="auto"/>
        </w:rPr>
        <w:t xml:space="preserve"> The stockholders entitled to vote at any meeting of stockholders shall be determined in accordance with the provisions of </w:t>
      </w:r>
      <w:r>
        <w:rPr>
          <w:rFonts w:ascii="Arial" w:cs="Arial" w:eastAsia="Arial" w:hAnsi="Arial"/>
          <w:sz w:val="18"/>
          <w:szCs w:val="18"/>
          <w:b w:val="1"/>
          <w:bCs w:val="1"/>
          <w:color w:val="auto"/>
        </w:rPr>
        <w:t>section 1.10</w:t>
      </w:r>
      <w:r>
        <w:rPr>
          <w:rFonts w:ascii="Arial" w:cs="Arial" w:eastAsia="Arial" w:hAnsi="Arial"/>
          <w:sz w:val="18"/>
          <w:szCs w:val="18"/>
          <w:color w:val="auto"/>
        </w:rPr>
        <w:t xml:space="preserve"> of these bylaws, subject to Section 217 (relating to voting rights of fiduciaries, pledgors and joint owners of stock) and Section 218 (relating to voting trusts and other voting agreements) of the DGCL.</w:t>
      </w:r>
    </w:p>
    <w:p>
      <w:pPr>
        <w:spacing w:after="0" w:line="180"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Except as may be otherwise provided in the certificate of incorporation, each stockholder entitled to vote at any meeting of stockholders shall be entitled to one vote for each share of capital stock held by such stockholder as of the applicable record date which has voting power upon the matter in question. Voting at meetings of stockholders need not be by written ballot and, unless otherwise required by law,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If authorized by the Board, such</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70" w:name="page271"/>
    <w:bookmarkEnd w:id="270"/>
    <w:p>
      <w:pPr>
        <w:jc w:val="both"/>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requirement of a written ballot shall be satisfied by a ballot submitted by electronic transmission,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electronic transmission must either set forth or be submitted with information from which it can be determined that the electronic transmission was authorized by the stockholder or proxy holder.</w:t>
      </w:r>
    </w:p>
    <w:p>
      <w:pPr>
        <w:spacing w:after="0" w:line="184"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shares of such class or series or classes or series present in person or represented by proxy at the meeting shall be the act of such class or series or classes or series, except as otherwise provided by law, the certificate of incorporation or these bylaws.</w:t>
      </w:r>
    </w:p>
    <w:p>
      <w:pPr>
        <w:spacing w:after="0" w:line="166"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b w:val="1"/>
          <w:bCs w:val="1"/>
          <w:i w:val="1"/>
          <w:iCs w:val="1"/>
          <w:color w:val="auto"/>
        </w:rPr>
        <w:t>Stockholder Action by Written Consent Without a Meeting</w:t>
      </w:r>
      <w:r>
        <w:rPr>
          <w:rFonts w:ascii="Arial" w:cs="Arial" w:eastAsia="Arial" w:hAnsi="Arial"/>
          <w:sz w:val="17"/>
          <w:szCs w:val="17"/>
          <w:color w:val="auto"/>
        </w:rPr>
        <w:t xml:space="preserve"> Unless otherwise provided in the certificate of incorporation, any action required by the DGCL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76"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No written consent shall be effective to take the corporate action referred to therein unless written consents signed by a sufficient number of holders to take action are delivered to the Company in the manner required by Section 228 of the DGCL within 60 days of the first date on which a written consent is so delivered to the Company. Any person executing a consent may provide, whether through instruction to an agent or otherwise, that such a consent will be effective at a future time (including a time determined upon the happening of an event), no later than 60 days after such instruction is given or such provision is made, if evidence of such instruction or provision is provided to the Company. Unless otherwise provided, any such consent shall be revocable prior to its becoming effective.</w:t>
      </w:r>
    </w:p>
    <w:p>
      <w:pPr>
        <w:spacing w:after="0" w:line="192"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 xml:space="preserve">An electronic transmission consenting to an action to be taken and transmitted by a stockholder or proxy holder, or by a person or persons authorized to act for a stockholder or proxy holder, shall be deemed to be written and signed for purposes of this </w:t>
      </w:r>
      <w:r>
        <w:rPr>
          <w:rFonts w:ascii="Arial" w:cs="Arial" w:eastAsia="Arial" w:hAnsi="Arial"/>
          <w:sz w:val="17"/>
          <w:szCs w:val="17"/>
          <w:b w:val="1"/>
          <w:bCs w:val="1"/>
          <w:color w:val="auto"/>
        </w:rPr>
        <w:t>section 1.9</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electronic transmission sets forth or is delivered with information from which the Company can determine (i) that the electronic transmission was transmitted by the stockholder or proxy holder or by a person or persons authorized to act for the stockholder or proxy holder and (ii) the date on which such stockholder or proxy holder or authorized person or persons transmitted such electronic transmission.</w:t>
      </w:r>
    </w:p>
    <w:p>
      <w:pPr>
        <w:spacing w:after="0" w:line="176"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 xml:space="preserve">A consent given by electronic transmission is delivered to the Company upon the earliest of (i) when the consent enters an information processing system, if any, designated by the Company for receiving consents, so long as the electronic transmission is in a form capable of being processed by that system and the Company is able to retrieve that electronic transmission; (ii) when a paper reproduction of the consent is delivered to the Company’s principal place of business or an officer or agent of the Company having custody of the book in which proceedings of meetings of stockholders are recorded; (iii) when a paper reproduction of the consent is delivered to the Company’s registered office in the State of Delaware by hand or by certified or registered mail, return receipt requested; or (iv) when delivered in such other manner, if any, provided by resolution of the Board. A consent given by electronic transmission is delivered under this </w:t>
      </w:r>
      <w:r>
        <w:rPr>
          <w:rFonts w:ascii="Arial" w:cs="Arial" w:eastAsia="Arial" w:hAnsi="Arial"/>
          <w:sz w:val="17"/>
          <w:szCs w:val="17"/>
          <w:b w:val="1"/>
          <w:bCs w:val="1"/>
          <w:color w:val="auto"/>
        </w:rPr>
        <w:t>section 1.9</w:t>
      </w:r>
      <w:r>
        <w:rPr>
          <w:rFonts w:ascii="Arial" w:cs="Arial" w:eastAsia="Arial" w:hAnsi="Arial"/>
          <w:sz w:val="17"/>
          <w:szCs w:val="17"/>
          <w:color w:val="auto"/>
        </w:rPr>
        <w:t xml:space="preserve"> even if no person is aware of its receipt. Receipt of an electronic acknowledgement from an information processing system establishes that a consent given by electronic transmission was received but, by itself, does not establish that the content sent corresponds to the content received.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71" w:name="page272"/>
    <w:bookmarkEnd w:id="271"/>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the event that the Board shall have instructed the officers of the Company to solicit the vote or written consent of the stockholders of the Company, an electronic transmission of a stockholder written consent given pursuant to such solicitation, to be effective, must be delivered by electronic mail (as defined in </w:t>
      </w:r>
      <w:r>
        <w:rPr>
          <w:rFonts w:ascii="Arial" w:cs="Arial" w:eastAsia="Arial" w:hAnsi="Arial"/>
          <w:sz w:val="18"/>
          <w:szCs w:val="18"/>
          <w:b w:val="1"/>
          <w:bCs w:val="1"/>
          <w:color w:val="auto"/>
        </w:rPr>
        <w:t>section 7.1</w:t>
      </w:r>
      <w:r>
        <w:rPr>
          <w:rFonts w:ascii="Arial" w:cs="Arial" w:eastAsia="Arial" w:hAnsi="Arial"/>
          <w:sz w:val="18"/>
          <w:szCs w:val="18"/>
          <w:color w:val="auto"/>
        </w:rPr>
        <w:t xml:space="preserve"> of these bylaws) or facsimile telecommunications to the Secretary or the President of the Company or to a person designated by the Company for receiving such consent, or delivered to an information processing system designated by the Company for receiving such consent.</w:t>
      </w:r>
    </w:p>
    <w:p>
      <w:pPr>
        <w:spacing w:after="0" w:line="188"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Company as provided in Section 228 of the DGCL. In the event that the action which is consented to is such as would have required the filing of a certificate under any provision of the DGCL, if such action had been voted on by stockholders at a meeting thereof, the certificate filed under such provision shall state, in lieu of any statement required by such provision concerning any vote of stockholders, that written consent has been given in accordance with Section 228 of the DGCL.</w:t>
      </w:r>
    </w:p>
    <w:p>
      <w:pPr>
        <w:spacing w:after="0" w:line="195"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b w:val="1"/>
          <w:bCs w:val="1"/>
          <w:i w:val="1"/>
          <w:iCs w:val="1"/>
          <w:color w:val="auto"/>
        </w:rPr>
        <w:t>Record Dates</w:t>
      </w:r>
      <w:r>
        <w:rPr>
          <w:rFonts w:ascii="Arial" w:cs="Arial" w:eastAsia="Arial" w:hAnsi="Arial"/>
          <w:sz w:val="16"/>
          <w:szCs w:val="16"/>
          <w:color w:val="auto"/>
        </w:rPr>
        <w:t xml:space="preserve"> In order that the Company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w:t>
      </w:r>
    </w:p>
    <w:p>
      <w:pPr>
        <w:spacing w:after="0" w:line="16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If no record date is fixed by the Board,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w:t>
      </w:r>
      <w:r>
        <w:rPr>
          <w:rFonts w:ascii="Arial" w:cs="Arial" w:eastAsia="Arial" w:hAnsi="Arial"/>
          <w:sz w:val="18"/>
          <w:szCs w:val="18"/>
          <w:b w:val="1"/>
          <w:bCs w:val="1"/>
          <w:color w:val="auto"/>
        </w:rPr>
        <w:t>section 1.10</w:t>
      </w:r>
      <w:r>
        <w:rPr>
          <w:rFonts w:ascii="Arial" w:cs="Arial" w:eastAsia="Arial" w:hAnsi="Arial"/>
          <w:sz w:val="18"/>
          <w:szCs w:val="18"/>
          <w:color w:val="auto"/>
        </w:rPr>
        <w:t xml:space="preserve"> at the adjourned meeting.</w:t>
      </w:r>
    </w:p>
    <w:p>
      <w:pPr>
        <w:spacing w:after="0" w:line="18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In order that the Company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required by law, shall be the first date on which a signed written consent setting forth the action taken or proposed to be taken is delivered to the Company in accordance with applicable law. If no record date has been fixed by the Board and prior action by the Board is required by law, the record date for determining stockholders entitled to consent to corporate action in writing without a meeting shall be at the close of business on the day on which the Board adopts the resolution taking such prior action.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72" w:name="page273"/>
    <w:bookmarkEnd w:id="272"/>
    <w:p>
      <w:pPr>
        <w:ind w:right="2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7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i w:val="1"/>
          <w:iCs w:val="1"/>
          <w:color w:val="auto"/>
        </w:rPr>
        <w:t>Proxies</w:t>
      </w:r>
      <w:r>
        <w:rPr>
          <w:rFonts w:ascii="Arial" w:cs="Arial" w:eastAsia="Arial" w:hAnsi="Arial"/>
          <w:sz w:val="17"/>
          <w:szCs w:val="17"/>
          <w:color w:val="auto"/>
        </w:rPr>
        <w:t xml:space="preserve"> Each stockholder entitled to vote at a meeting of stockholders or to express consent or dissent to corporate action in writing without a meeting may authorize another person or persons to act for such stockholder by proxy authorized by a document (as defined in </w:t>
      </w:r>
      <w:r>
        <w:rPr>
          <w:rFonts w:ascii="Arial" w:cs="Arial" w:eastAsia="Arial" w:hAnsi="Arial"/>
          <w:sz w:val="17"/>
          <w:szCs w:val="17"/>
          <w:b w:val="1"/>
          <w:bCs w:val="1"/>
          <w:color w:val="auto"/>
        </w:rPr>
        <w:t>section 7.1</w:t>
      </w:r>
      <w:r>
        <w:rPr>
          <w:rFonts w:ascii="Arial" w:cs="Arial" w:eastAsia="Arial" w:hAnsi="Arial"/>
          <w:sz w:val="17"/>
          <w:szCs w:val="17"/>
          <w:color w:val="auto"/>
        </w:rPr>
        <w:t xml:space="preserve"> of these bylaws) or by an electronic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76" w:lineRule="exact"/>
        <w:rPr>
          <w:sz w:val="20"/>
          <w:szCs w:val="20"/>
          <w:color w:val="auto"/>
        </w:rPr>
      </w:pPr>
    </w:p>
    <w:p>
      <w:pPr>
        <w:ind w:right="160" w:firstLine="440"/>
        <w:spacing w:after="0" w:line="286"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i w:val="1"/>
          <w:iCs w:val="1"/>
          <w:color w:val="auto"/>
        </w:rPr>
        <w:t>List of Stockholders Entitled to Vote</w:t>
      </w:r>
      <w:r>
        <w:rPr>
          <w:rFonts w:ascii="Arial" w:cs="Arial" w:eastAsia="Arial" w:hAnsi="Arial"/>
          <w:sz w:val="16"/>
          <w:szCs w:val="16"/>
          <w:color w:val="auto"/>
        </w:rPr>
        <w:t xml:space="preserve"> The Company shall prepare, at least ten days before every meeting of stockholders, a complete list of the stockholders entitled to vote at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ten days prior to the meeting: (i)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the meeting, or (ii)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 — DIRECTORS</w:t>
      </w:r>
    </w:p>
    <w:p>
      <w:pPr>
        <w:spacing w:after="0" w:line="229"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Powers</w:t>
      </w:r>
      <w:r>
        <w:rPr>
          <w:rFonts w:ascii="Arial" w:cs="Arial" w:eastAsia="Arial" w:hAnsi="Arial"/>
          <w:sz w:val="18"/>
          <w:szCs w:val="18"/>
          <w:color w:val="auto"/>
        </w:rPr>
        <w:t xml:space="preserve"> The business and affairs of the Company shall be managed by or under the direction of the Board, except as may be otherwise provided in the DGCL or the certificate of incorporation.</w:t>
      </w:r>
    </w:p>
    <w:p>
      <w:pPr>
        <w:spacing w:after="0" w:line="170"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i w:val="1"/>
          <w:iCs w:val="1"/>
          <w:color w:val="auto"/>
        </w:rPr>
        <w:t>Number of Directors</w:t>
      </w:r>
      <w:r>
        <w:rPr>
          <w:rFonts w:ascii="Arial" w:cs="Arial" w:eastAsia="Arial" w:hAnsi="Arial"/>
          <w:sz w:val="16"/>
          <w:szCs w:val="16"/>
          <w:color w:val="auto"/>
        </w:rPr>
        <w:t xml:space="preserve"> The Board shall consist of one or more members, each of whom shall be a natural person. Unless the certificate of incorporation fixes the number of directors, the number of directors shall be determined from time to time by resolution of the Board. No reduction of the authorized number of directors shall have the effect of removing any director before that director’s term of office expires.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73" w:name="page274"/>
    <w:bookmarkEnd w:id="273"/>
    <w:p>
      <w:pPr>
        <w:ind w:right="20" w:firstLine="44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2.3 </w:t>
      </w:r>
      <w:r>
        <w:rPr>
          <w:rFonts w:ascii="Arial" w:cs="Arial" w:eastAsia="Arial" w:hAnsi="Arial"/>
          <w:sz w:val="16"/>
          <w:szCs w:val="16"/>
          <w:b w:val="1"/>
          <w:bCs w:val="1"/>
          <w:i w:val="1"/>
          <w:iCs w:val="1"/>
          <w:color w:val="auto"/>
        </w:rPr>
        <w:t>Election, Qualification and Term of Office of Directors</w:t>
      </w:r>
      <w:r>
        <w:rPr>
          <w:rFonts w:ascii="Arial" w:cs="Arial" w:eastAsia="Arial" w:hAnsi="Arial"/>
          <w:sz w:val="16"/>
          <w:szCs w:val="16"/>
          <w:color w:val="auto"/>
        </w:rPr>
        <w:t xml:space="preserve"> Except as provided in </w:t>
      </w:r>
      <w:r>
        <w:rPr>
          <w:rFonts w:ascii="Arial" w:cs="Arial" w:eastAsia="Arial" w:hAnsi="Arial"/>
          <w:sz w:val="16"/>
          <w:szCs w:val="16"/>
          <w:b w:val="1"/>
          <w:bCs w:val="1"/>
          <w:color w:val="auto"/>
        </w:rPr>
        <w:t>section 2.4</w:t>
      </w:r>
      <w:r>
        <w:rPr>
          <w:rFonts w:ascii="Arial" w:cs="Arial" w:eastAsia="Arial" w:hAnsi="Arial"/>
          <w:sz w:val="16"/>
          <w:szCs w:val="16"/>
          <w:color w:val="auto"/>
        </w:rPr>
        <w:t xml:space="preserve"> of these bylaws, and subject to </w:t>
      </w:r>
      <w:r>
        <w:rPr>
          <w:rFonts w:ascii="Arial" w:cs="Arial" w:eastAsia="Arial" w:hAnsi="Arial"/>
          <w:sz w:val="16"/>
          <w:szCs w:val="16"/>
          <w:b w:val="1"/>
          <w:bCs w:val="1"/>
          <w:color w:val="auto"/>
        </w:rPr>
        <w:t>sections 1.2</w:t>
      </w:r>
      <w:r>
        <w:rPr>
          <w:rFonts w:ascii="Arial" w:cs="Arial" w:eastAsia="Arial" w:hAnsi="Arial"/>
          <w:sz w:val="16"/>
          <w:szCs w:val="16"/>
          <w:color w:val="auto"/>
        </w:rPr>
        <w:t xml:space="preserve"> and </w:t>
      </w:r>
      <w:r>
        <w:rPr>
          <w:rFonts w:ascii="Arial" w:cs="Arial" w:eastAsia="Arial" w:hAnsi="Arial"/>
          <w:sz w:val="16"/>
          <w:szCs w:val="16"/>
          <w:b w:val="1"/>
          <w:bCs w:val="1"/>
          <w:color w:val="auto"/>
        </w:rPr>
        <w:t>1.9</w:t>
      </w:r>
      <w:r>
        <w:rPr>
          <w:rFonts w:ascii="Arial" w:cs="Arial" w:eastAsia="Arial" w:hAnsi="Arial"/>
          <w:sz w:val="16"/>
          <w:szCs w:val="16"/>
          <w:color w:val="auto"/>
        </w:rPr>
        <w:t xml:space="preserve"> of these bylaws, directors shall be elected at each annual meeting of stockholders. Directors need not be stockholders unless so required by the certificate of incorporation or these bylaws. The certificate of incorporation or these bylaws may prescribe other qualifications for directors. Each director shall hold office until such director’s successor is elected and qualified or until such director’s earlier death, resignation or removal.</w:t>
      </w:r>
    </w:p>
    <w:p>
      <w:pPr>
        <w:spacing w:after="0" w:line="15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i w:val="1"/>
          <w:iCs w:val="1"/>
          <w:color w:val="auto"/>
        </w:rPr>
        <w:t>Resignation and Vacancies</w:t>
      </w:r>
      <w:r>
        <w:rPr>
          <w:rFonts w:ascii="Arial" w:cs="Arial" w:eastAsia="Arial" w:hAnsi="Arial"/>
          <w:sz w:val="17"/>
          <w:szCs w:val="17"/>
          <w:color w:val="auto"/>
        </w:rPr>
        <w:t xml:space="preserve"> 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provided in the certificate of incorporation or these bylaws:</w:t>
      </w:r>
    </w:p>
    <w:p>
      <w:pPr>
        <w:spacing w:after="0" w:line="117" w:lineRule="exact"/>
        <w:rPr>
          <w:sz w:val="20"/>
          <w:szCs w:val="20"/>
          <w:color w:val="auto"/>
        </w:rPr>
      </w:pPr>
    </w:p>
    <w:p>
      <w:pPr>
        <w:ind w:firstLine="987"/>
        <w:spacing w:after="0" w:line="263" w:lineRule="auto"/>
        <w:tabs>
          <w:tab w:leader="none" w:pos="120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83" w:lineRule="exact"/>
        <w:rPr>
          <w:rFonts w:ascii="Arial" w:cs="Arial" w:eastAsia="Arial" w:hAnsi="Arial"/>
          <w:sz w:val="18"/>
          <w:szCs w:val="18"/>
          <w:color w:val="auto"/>
        </w:rPr>
      </w:pPr>
    </w:p>
    <w:p>
      <w:pPr>
        <w:jc w:val="both"/>
        <w:ind w:right="200" w:firstLine="987"/>
        <w:spacing w:after="0" w:line="263" w:lineRule="auto"/>
        <w:tabs>
          <w:tab w:leader="none" w:pos="125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84"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If at any time, by reason of death or resignation or other cause, the Company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7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If, at the time of filling any vacancy or any newly created directorship, the directors then in office constitute less than a majority of the whole Board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8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 director elected to fill a vacancy shall be elected for the unexpired term of his or her predecessor in office and until such director’s successor is elected and qualified, or until such director’s earlier death, resignation or removal.</w:t>
      </w:r>
    </w:p>
    <w:p>
      <w:pPr>
        <w:spacing w:after="0" w:line="170"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i w:val="1"/>
          <w:iCs w:val="1"/>
          <w:color w:val="auto"/>
        </w:rPr>
        <w:t>Place of Meetings; Meetings by Telephone</w:t>
      </w:r>
      <w:r>
        <w:rPr>
          <w:rFonts w:ascii="Arial" w:cs="Arial" w:eastAsia="Arial" w:hAnsi="Arial"/>
          <w:sz w:val="18"/>
          <w:szCs w:val="18"/>
          <w:color w:val="auto"/>
        </w:rPr>
        <w:t xml:space="preserve"> The Board may hold meetings, both regular and special, either within or outside the State of Delaware.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274" w:name="page275"/>
    <w:bookmarkEnd w:id="274"/>
    <w:p>
      <w:pPr>
        <w:ind w:right="1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Unless otherwise restricted by the certificate of incorporation or these bylaws, members of the Board, or any committee designated by the Board or any subcommittee, may participate in a meeting of the Board, or any such committee or subcommittee,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i w:val="1"/>
          <w:iCs w:val="1"/>
          <w:color w:val="auto"/>
        </w:rPr>
        <w:t>Conduct of Business</w:t>
      </w:r>
      <w:r>
        <w:rPr>
          <w:rFonts w:ascii="Arial" w:cs="Arial" w:eastAsia="Arial" w:hAnsi="Arial"/>
          <w:sz w:val="18"/>
          <w:szCs w:val="18"/>
          <w:color w:val="auto"/>
        </w:rPr>
        <w:t xml:space="preserve"> Meetings of the Board shall be presided over by the Chairperson of the Board, if any, or in his or her absence by the Vice Chairperson of the Board, if any,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8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i w:val="1"/>
          <w:iCs w:val="1"/>
          <w:color w:val="auto"/>
        </w:rPr>
        <w:t>Regular Meetings</w:t>
      </w:r>
      <w:r>
        <w:rPr>
          <w:rFonts w:ascii="Arial" w:cs="Arial" w:eastAsia="Arial" w:hAnsi="Arial"/>
          <w:sz w:val="18"/>
          <w:szCs w:val="18"/>
          <w:color w:val="auto"/>
        </w:rPr>
        <w:t xml:space="preserve"> Regular meetings of the Board may be held without notice at such time and at such place as shall from time to time be determined by the Board.</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i w:val="1"/>
          <w:iCs w:val="1"/>
          <w:color w:val="auto"/>
        </w:rPr>
        <w:t>Special Meetings; Notice</w:t>
      </w:r>
      <w:r>
        <w:rPr>
          <w:rFonts w:ascii="Arial" w:cs="Arial" w:eastAsia="Arial" w:hAnsi="Arial"/>
          <w:sz w:val="18"/>
          <w:szCs w:val="18"/>
          <w:color w:val="auto"/>
        </w:rPr>
        <w:t xml:space="preserve"> Special meetings of the Board for any purpose or purposes may be called at any time by the Chairperson of the Board, the Chief Executive Officer, the President, the Secretary or any two directors.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117" w:lineRule="exact"/>
        <w:rPr>
          <w:sz w:val="20"/>
          <w:szCs w:val="20"/>
          <w:color w:val="auto"/>
        </w:rPr>
      </w:pPr>
    </w:p>
    <w:p>
      <w:pPr>
        <w:ind w:left="1200" w:hanging="213"/>
        <w:spacing w:after="0"/>
        <w:tabs>
          <w:tab w:leader="none" w:pos="12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225" w:lineRule="exact"/>
        <w:rPr>
          <w:rFonts w:ascii="Arial" w:cs="Arial" w:eastAsia="Arial" w:hAnsi="Arial"/>
          <w:sz w:val="18"/>
          <w:szCs w:val="18"/>
          <w:color w:val="auto"/>
        </w:rPr>
      </w:pPr>
    </w:p>
    <w:p>
      <w:pPr>
        <w:ind w:left="1260" w:hanging="273"/>
        <w:spacing w:after="0"/>
        <w:tabs>
          <w:tab w:leader="none" w:pos="12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 or</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given by electronic transmission,</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directed to each director at that director’s address or telephone number, or by means of electronic transmission, as the case may be, as shown on the Company’s records.</w:t>
      </w:r>
    </w:p>
    <w:p>
      <w:pPr>
        <w:spacing w:after="0" w:line="170"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If the notice is delivered personally by hand, by courier, or by telephone, or given by means of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 to the fullest extent permitted by applicable law.</w:t>
      </w:r>
    </w:p>
    <w:p>
      <w:pPr>
        <w:spacing w:after="0" w:line="188"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i w:val="1"/>
          <w:iCs w:val="1"/>
          <w:color w:val="auto"/>
        </w:rPr>
        <w:t>Quorum; Voting</w:t>
      </w:r>
      <w:r>
        <w:rPr>
          <w:rFonts w:ascii="Arial" w:cs="Arial" w:eastAsia="Arial" w:hAnsi="Arial"/>
          <w:sz w:val="18"/>
          <w:szCs w:val="18"/>
          <w:color w:val="auto"/>
        </w:rPr>
        <w:t xml:space="preserve"> At all meetings of the Board, a majority of the total authorized number of directors shall constitute a quorum for the transaction of business. If a quorum is not present at any meeting of the Board, then the directors present thereat may adjourn the meeting from time to time, without notice other than announcement at the meeting, until a quorum is present.</w:t>
      </w:r>
    </w:p>
    <w:p>
      <w:pPr>
        <w:spacing w:after="0" w:line="184"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The vote of a majority of the directors present at any meeting at which a quorum is present shall be the act of the Board, except as may be otherwise specifically provided by statute, the certificate of incorporation or these bylaws.</w:t>
      </w:r>
    </w:p>
    <w:p>
      <w:pPr>
        <w:spacing w:after="0" w:line="170"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75" w:name="page276"/>
    <w:bookmarkEnd w:id="275"/>
    <w:p>
      <w:pPr>
        <w:ind w:left="4"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2.10 </w:t>
      </w:r>
      <w:r>
        <w:rPr>
          <w:rFonts w:ascii="Arial" w:cs="Arial" w:eastAsia="Arial" w:hAnsi="Arial"/>
          <w:sz w:val="17"/>
          <w:szCs w:val="17"/>
          <w:b w:val="1"/>
          <w:bCs w:val="1"/>
          <w:i w:val="1"/>
          <w:iCs w:val="1"/>
          <w:color w:val="auto"/>
        </w:rPr>
        <w:t>Board Action by Written Consent Without a Meeting</w:t>
      </w:r>
      <w:r>
        <w:rPr>
          <w:rFonts w:ascii="Arial" w:cs="Arial" w:eastAsia="Arial" w:hAnsi="Arial"/>
          <w:sz w:val="17"/>
          <w:szCs w:val="17"/>
          <w:color w:val="auto"/>
        </w:rPr>
        <w:t xml:space="preserve"> Unless otherwise restricted by the certificate of incorporation or these bylaws, any action required or permitted to be taken at any meeting of the Board, or of any committee or subcommittee thereof, may be taken without a meeting if all members of the Board or committee or subcommittee, as the case may be, consent thereto in writing or by electronic transmission.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w:t>
      </w:r>
      <w:r>
        <w:rPr>
          <w:rFonts w:ascii="Arial" w:cs="Arial" w:eastAsia="Arial" w:hAnsi="Arial"/>
          <w:sz w:val="17"/>
          <w:szCs w:val="17"/>
          <w:b w:val="1"/>
          <w:bCs w:val="1"/>
          <w:color w:val="auto"/>
        </w:rPr>
        <w:t>section 2.10</w:t>
      </w:r>
      <w:r>
        <w:rPr>
          <w:rFonts w:ascii="Arial" w:cs="Arial" w:eastAsia="Arial" w:hAnsi="Arial"/>
          <w:sz w:val="17"/>
          <w:szCs w:val="17"/>
          <w:color w:val="auto"/>
        </w:rPr>
        <w:t xml:space="preserve">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or the committee or subcommittee thereof, in the same paper or electronic form as the minutes are maintained.</w:t>
      </w:r>
    </w:p>
    <w:p>
      <w:pPr>
        <w:spacing w:after="0" w:line="181"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i w:val="1"/>
          <w:iCs w:val="1"/>
          <w:color w:val="auto"/>
        </w:rPr>
        <w:t>Fees and Compensation of Directors</w:t>
      </w:r>
      <w:r>
        <w:rPr>
          <w:rFonts w:ascii="Arial" w:cs="Arial" w:eastAsia="Arial" w:hAnsi="Arial"/>
          <w:sz w:val="18"/>
          <w:szCs w:val="18"/>
          <w:color w:val="auto"/>
        </w:rPr>
        <w:t xml:space="preserve"> Unless otherwise restricted by the certificate of incorporation or these bylaws, the Board shall have the authority to fix the compensation of directors.</w:t>
      </w:r>
    </w:p>
    <w:p>
      <w:pPr>
        <w:spacing w:after="0" w:line="170" w:lineRule="exact"/>
        <w:rPr>
          <w:sz w:val="20"/>
          <w:szCs w:val="20"/>
          <w:color w:val="auto"/>
        </w:rPr>
      </w:pPr>
    </w:p>
    <w:p>
      <w:pPr>
        <w:ind w:left="4" w:right="80" w:firstLine="440"/>
        <w:spacing w:after="0" w:line="308"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b w:val="1"/>
          <w:bCs w:val="1"/>
          <w:i w:val="1"/>
          <w:iCs w:val="1"/>
          <w:color w:val="auto"/>
        </w:rPr>
        <w:t>Removal of Directors</w:t>
      </w:r>
      <w:r>
        <w:rPr>
          <w:rFonts w:ascii="Arial" w:cs="Arial" w:eastAsia="Arial" w:hAnsi="Arial"/>
          <w:sz w:val="17"/>
          <w:szCs w:val="17"/>
          <w:color w:val="auto"/>
        </w:rPr>
        <w:t xml:space="preserve"> Unless otherwise restricted by statute, the certificate of incorporation or these bylaws, any director or the entire Board may be removed, with or without cause, by the holders of a majority of the shares then entitled to vote at an election of directors.</w:t>
      </w:r>
    </w:p>
    <w:p>
      <w:pPr>
        <w:spacing w:after="0" w:line="146"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No reduction of the authorized number of directors shall have the effect of removing any director prior to the expiration of such director’s term of office.</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III — COMMITTEES</w:t>
      </w:r>
    </w:p>
    <w:p>
      <w:pPr>
        <w:spacing w:after="0" w:line="229"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i w:val="1"/>
          <w:iCs w:val="1"/>
          <w:color w:val="auto"/>
        </w:rPr>
        <w:t>Committees of Directors</w:t>
      </w:r>
      <w:r>
        <w:rPr>
          <w:rFonts w:ascii="Arial" w:cs="Arial" w:eastAsia="Arial" w:hAnsi="Arial"/>
          <w:sz w:val="16"/>
          <w:szCs w:val="16"/>
          <w:color w:val="auto"/>
        </w:rPr>
        <w:t xml:space="preserve"> The Board may designate one or more committees, each committee to consist of one or more of the directors of the Company.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Company, and may authorize the seal of the Company to be affixed to all papers that may require it; but no such committee shall have the power or authority to</w:t>
      </w:r>
    </w:p>
    <w:p>
      <w:pPr>
        <w:spacing w:after="0" w:line="2" w:lineRule="exact"/>
        <w:rPr>
          <w:sz w:val="20"/>
          <w:szCs w:val="20"/>
          <w:color w:val="auto"/>
        </w:rPr>
      </w:pPr>
    </w:p>
    <w:p>
      <w:pPr>
        <w:ind w:left="4" w:right="160" w:hanging="4"/>
        <w:spacing w:after="0" w:line="260" w:lineRule="auto"/>
        <w:tabs>
          <w:tab w:leader="none" w:pos="21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approve or adopt, or recommend to the stockholders, any action or matter (other than the election or removal of directors) expressly required by the DGCL to be submitted to stockholders for approval or (ii) adopt, amend or repeal any bylaw of the Company.</w:t>
      </w:r>
    </w:p>
    <w:p>
      <w:pPr>
        <w:spacing w:after="0" w:line="185"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i w:val="1"/>
          <w:iCs w:val="1"/>
          <w:color w:val="auto"/>
        </w:rPr>
        <w:t>Committee Minutes</w:t>
      </w:r>
      <w:r>
        <w:rPr>
          <w:rFonts w:ascii="Arial" w:cs="Arial" w:eastAsia="Arial" w:hAnsi="Arial"/>
          <w:sz w:val="18"/>
          <w:szCs w:val="18"/>
          <w:color w:val="auto"/>
        </w:rPr>
        <w:t xml:space="preserve"> Each committee and subcommittee shall keep regular minutes of its meetings and report the same to the Board, or the committee, when required.</w:t>
      </w:r>
    </w:p>
    <w:p>
      <w:pPr>
        <w:spacing w:after="0" w:line="170"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i w:val="1"/>
          <w:iCs w:val="1"/>
          <w:color w:val="auto"/>
        </w:rPr>
        <w:t>Meetings and Actions of Committees</w:t>
      </w:r>
      <w:r>
        <w:rPr>
          <w:rFonts w:ascii="Arial" w:cs="Arial" w:eastAsia="Arial" w:hAnsi="Arial"/>
          <w:sz w:val="16"/>
          <w:szCs w:val="16"/>
          <w:color w:val="auto"/>
        </w:rPr>
        <w:t xml:space="preserve"> A majority of the directors then serving on a committee or subcommittee shall constitute a quorum for the transaction of business by the committee or subcommittee, unless the certificate of incorporation, these bylaws, a resolution of the Board or a resolution of a committee that created the subcommittee requires a greater or lesser number,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case shall a quorum be less than 1/3 of the directors then serving on the committee or subcommittee. The vote of the majority of the members of a committee or subcommittee present at a meeting at which a quorum is present shall be the act of the committee or subcommittee, unless the certificate of incorporation, these bylaws, a resolution of the Board or a resolution of a committee that created the subcommittee requires a greater number. Meetings and actions of committees and subcommittees shall otherwise be governed by, and held and taken in accordance with, the provisions of:</w:t>
      </w:r>
    </w:p>
    <w:p>
      <w:pPr>
        <w:spacing w:after="0" w:line="5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section 2.5</w:t>
      </w:r>
      <w:r>
        <w:rPr>
          <w:rFonts w:ascii="Arial" w:cs="Arial" w:eastAsia="Arial" w:hAnsi="Arial"/>
          <w:sz w:val="18"/>
          <w:szCs w:val="18"/>
          <w:color w:val="auto"/>
        </w:rPr>
        <w:t xml:space="preserve"> (Place of Meetings; Meetings by Telephone);</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276" w:name="page277"/>
    <w:bookmarkEnd w:id="276"/>
    <w:p>
      <w:pPr>
        <w:ind w:left="1260" w:hanging="273"/>
        <w:spacing w:after="0"/>
        <w:tabs>
          <w:tab w:leader="none" w:pos="1260"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2.7 </w:t>
      </w:r>
      <w:r>
        <w:rPr>
          <w:rFonts w:ascii="Arial" w:cs="Arial" w:eastAsia="Arial" w:hAnsi="Arial"/>
          <w:sz w:val="18"/>
          <w:szCs w:val="18"/>
          <w:color w:val="auto"/>
        </w:rPr>
        <w:t>(Regular Meetings);</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color w:val="auto"/>
        </w:rPr>
        <w:t>(Special Meetings; Notice);</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color w:val="auto"/>
        </w:rPr>
        <w:t>(Quorum; Voting);</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color w:val="auto"/>
        </w:rPr>
        <w:t>(Board Action by Written Consent Without a Meeting); and</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color w:val="auto"/>
        </w:rPr>
        <w:t>(Waiver of Notice)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with such changes in the context of those bylaws as are necessary to substitute the committee or subcommittee and its members for the Board and its members. </w:t>
      </w:r>
      <w:r>
        <w:rPr>
          <w:rFonts w:ascii="Arial" w:cs="Arial" w:eastAsia="Arial" w:hAnsi="Arial"/>
          <w:sz w:val="18"/>
          <w:szCs w:val="18"/>
          <w:i w:val="1"/>
          <w:iCs w:val="1"/>
          <w:color w:val="auto"/>
        </w:rPr>
        <w:t>However</w:t>
      </w:r>
      <w:r>
        <w:rPr>
          <w:rFonts w:ascii="Arial" w:cs="Arial" w:eastAsia="Arial" w:hAnsi="Arial"/>
          <w:sz w:val="18"/>
          <w:szCs w:val="18"/>
          <w:color w:val="auto"/>
        </w:rPr>
        <w:t>:</w:t>
      </w:r>
    </w:p>
    <w:p>
      <w:pPr>
        <w:spacing w:after="0" w:line="62" w:lineRule="exact"/>
        <w:rPr>
          <w:sz w:val="20"/>
          <w:szCs w:val="20"/>
          <w:color w:val="auto"/>
        </w:rPr>
      </w:pPr>
    </w:p>
    <w:p>
      <w:pPr>
        <w:ind w:right="220" w:firstLine="987"/>
        <w:spacing w:after="0" w:line="277" w:lineRule="auto"/>
        <w:tabs>
          <w:tab w:leader="none" w:pos="120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time and place of regular meetings of committees and subcommittees may be determined either by resolution of the Board or by resolution of the committee or subcommittee;</w:t>
      </w:r>
    </w:p>
    <w:p>
      <w:pPr>
        <w:spacing w:after="0" w:line="170" w:lineRule="exact"/>
        <w:rPr>
          <w:rFonts w:ascii="Arial" w:cs="Arial" w:eastAsia="Arial" w:hAnsi="Arial"/>
          <w:sz w:val="18"/>
          <w:szCs w:val="18"/>
          <w:color w:val="auto"/>
        </w:rPr>
      </w:pPr>
    </w:p>
    <w:p>
      <w:pPr>
        <w:ind w:left="1260" w:hanging="273"/>
        <w:spacing w:after="0"/>
        <w:tabs>
          <w:tab w:leader="none" w:pos="12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special meetings of committees and subcommittees may also be called by resolution of the Board or the committee or subcommittee;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firstLine="987"/>
        <w:spacing w:after="0" w:line="311" w:lineRule="auto"/>
        <w:tabs>
          <w:tab w:leader="none" w:pos="130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notice of special meetings of committees and subcommittees shall also be given to all alternate members, as applicable, who shall have the right to attend all meetings of the committee or subcommittee. The Board, or, in the absence of any such action by the Board, the committee or subcommittee, may adopt rules for the government of any committee or subcommittee not inconsistent with the provisions of these bylaws.</w:t>
      </w:r>
    </w:p>
    <w:p>
      <w:pPr>
        <w:spacing w:after="0" w:line="149"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2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i w:val="1"/>
          <w:iCs w:val="1"/>
          <w:color w:val="auto"/>
        </w:rPr>
        <w:t>Subcommittees</w:t>
      </w:r>
      <w:r>
        <w:rPr>
          <w:rFonts w:ascii="Arial" w:cs="Arial" w:eastAsia="Arial" w:hAnsi="Arial"/>
          <w:sz w:val="18"/>
          <w:szCs w:val="18"/>
          <w:color w:val="auto"/>
        </w:rPr>
        <w:t xml:space="preserve"> Unless otherwise provided in the certificate of incorporation, these bylaws or the resolutions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IV — OFFICERS</w:t>
      </w:r>
    </w:p>
    <w:p>
      <w:pPr>
        <w:spacing w:after="0" w:line="229"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i w:val="1"/>
          <w:iCs w:val="1"/>
          <w:color w:val="auto"/>
        </w:rPr>
        <w:t>Officers</w:t>
      </w:r>
      <w:r>
        <w:rPr>
          <w:rFonts w:ascii="Arial" w:cs="Arial" w:eastAsia="Arial" w:hAnsi="Arial"/>
          <w:sz w:val="18"/>
          <w:szCs w:val="18"/>
          <w:color w:val="auto"/>
        </w:rPr>
        <w:t xml:space="preserve"> The officers of the Company shall be a President and a Secretary. The Company may also have, at the discretion of the Board, a Chairperson of the Board, a Vice Chairperson of the Board, a Chief Executive Officer, one or more Vice Presidents, a Chief Financial Officer, a Treasurer, one or more Assistant Treasurers, one or more Assistant Secretaries and any such other officers as may be appointed in accordance with the provisions of these bylaws. Any number of offices may be held by the same person.</w:t>
      </w:r>
    </w:p>
    <w:p>
      <w:pPr>
        <w:spacing w:after="0" w:line="18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i w:val="1"/>
          <w:iCs w:val="1"/>
          <w:color w:val="auto"/>
        </w:rPr>
        <w:t>Appointment of Officers</w:t>
      </w:r>
      <w:r>
        <w:rPr>
          <w:rFonts w:ascii="Arial" w:cs="Arial" w:eastAsia="Arial" w:hAnsi="Arial"/>
          <w:sz w:val="18"/>
          <w:szCs w:val="18"/>
          <w:color w:val="auto"/>
        </w:rPr>
        <w:t xml:space="preserve"> The Board shall appoint the officers of the Company, except such officers as may be appointed in accordance with the provisions of </w:t>
      </w:r>
      <w:r>
        <w:rPr>
          <w:rFonts w:ascii="Arial" w:cs="Arial" w:eastAsia="Arial" w:hAnsi="Arial"/>
          <w:sz w:val="18"/>
          <w:szCs w:val="18"/>
          <w:b w:val="1"/>
          <w:bCs w:val="1"/>
          <w:color w:val="auto"/>
        </w:rPr>
        <w:t>section 4.3</w:t>
      </w:r>
      <w:r>
        <w:rPr>
          <w:rFonts w:ascii="Arial" w:cs="Arial" w:eastAsia="Arial" w:hAnsi="Arial"/>
          <w:sz w:val="18"/>
          <w:szCs w:val="18"/>
          <w:color w:val="auto"/>
        </w:rPr>
        <w:t xml:space="preserve"> of these bylaws.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40" w:top="270" w:right="539" w:bottom="1440" w:gutter="0" w:footer="0" w:header="0"/>
        </w:sectPr>
      </w:pPr>
    </w:p>
    <w:bookmarkStart w:id="277" w:name="page278"/>
    <w:bookmarkEnd w:id="277"/>
    <w:p>
      <w:pPr>
        <w:ind w:right="1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4.3 </w:t>
      </w:r>
      <w:r>
        <w:rPr>
          <w:rFonts w:ascii="Arial" w:cs="Arial" w:eastAsia="Arial" w:hAnsi="Arial"/>
          <w:sz w:val="16"/>
          <w:szCs w:val="16"/>
          <w:b w:val="1"/>
          <w:bCs w:val="1"/>
          <w:i w:val="1"/>
          <w:iCs w:val="1"/>
          <w:color w:val="auto"/>
        </w:rPr>
        <w:t>Subordinate Officers</w:t>
      </w:r>
      <w:r>
        <w:rPr>
          <w:rFonts w:ascii="Arial" w:cs="Arial" w:eastAsia="Arial" w:hAnsi="Arial"/>
          <w:sz w:val="16"/>
          <w:szCs w:val="16"/>
          <w:color w:val="auto"/>
        </w:rPr>
        <w:t xml:space="preserve"> The Board may appoint, or empower the Chief Executive Officer or, in the absence of a Chief Executive Officer, the President, to appoint, such other officers and agents as the business of the Company may require. Each of such officers and agents shall hold office for such period, have such authority and perform such duties as are provided in these bylaws or as the Board may from time to time determine.</w:t>
      </w:r>
    </w:p>
    <w:p>
      <w:pPr>
        <w:spacing w:after="0" w:line="14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i w:val="1"/>
          <w:iCs w:val="1"/>
          <w:color w:val="auto"/>
        </w:rPr>
        <w:t>Removal and Resignation of Officers</w:t>
      </w:r>
      <w:r>
        <w:rPr>
          <w:rFonts w:ascii="Arial" w:cs="Arial" w:eastAsia="Arial" w:hAnsi="Arial"/>
          <w:sz w:val="18"/>
          <w:szCs w:val="18"/>
          <w:color w:val="auto"/>
        </w:rPr>
        <w:t xml:space="preserve"> Any officer may be removed, either with or without cause, by the Board or, for the avoidance of doubt, any duly authorized committee or subcommittee thereof or by any officer upon whom such power of removal has been conferred by the Board or, for the avoidance of doubt, any duly authorized committee or subcommittee thereof.</w:t>
      </w:r>
    </w:p>
    <w:p>
      <w:pPr>
        <w:spacing w:after="0" w:line="18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Any officer may resign at any time by giving written notice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83"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i w:val="1"/>
          <w:iCs w:val="1"/>
          <w:color w:val="auto"/>
        </w:rPr>
        <w:t>Vacancies in Offices</w:t>
      </w:r>
      <w:r>
        <w:rPr>
          <w:rFonts w:ascii="Arial" w:cs="Arial" w:eastAsia="Arial" w:hAnsi="Arial"/>
          <w:sz w:val="18"/>
          <w:szCs w:val="18"/>
          <w:color w:val="auto"/>
        </w:rPr>
        <w:t xml:space="preserve"> Any vacancy occurring in any office of the Company shall be filled by the Board or as provided in </w:t>
      </w:r>
      <w:r>
        <w:rPr>
          <w:rFonts w:ascii="Arial" w:cs="Arial" w:eastAsia="Arial" w:hAnsi="Arial"/>
          <w:sz w:val="18"/>
          <w:szCs w:val="18"/>
          <w:b w:val="1"/>
          <w:bCs w:val="1"/>
          <w:color w:val="auto"/>
        </w:rPr>
        <w:t>section 4.3</w:t>
      </w:r>
      <w:r>
        <w:rPr>
          <w:rFonts w:ascii="Arial" w:cs="Arial" w:eastAsia="Arial" w:hAnsi="Arial"/>
          <w:sz w:val="18"/>
          <w:szCs w:val="18"/>
          <w:color w:val="auto"/>
        </w:rPr>
        <w:t xml:space="preserve"> of these bylaws.</w:t>
      </w:r>
    </w:p>
    <w:p>
      <w:pPr>
        <w:spacing w:after="0" w:line="166"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b w:val="1"/>
          <w:bCs w:val="1"/>
          <w:i w:val="1"/>
          <w:iCs w:val="1"/>
          <w:color w:val="auto"/>
        </w:rPr>
        <w:t>Representation of Securities of Other Corporations or Entities</w:t>
      </w:r>
      <w:r>
        <w:rPr>
          <w:rFonts w:ascii="Arial" w:cs="Arial" w:eastAsia="Arial" w:hAnsi="Arial"/>
          <w:sz w:val="17"/>
          <w:szCs w:val="17"/>
          <w:color w:val="auto"/>
        </w:rPr>
        <w:t xml:space="preserve"> Unless otherwise directed by the Board, the Chief Executive Officer or, in the absence of a Chief Executive Officer, the President or any other person authorized by the Board, the Chief Executive Officer or, in the absence of a Chief Executive Officer, the President is authorized to vote, represent and exercise on behalf of the Company all rights incident to any and all shares or other securities or interests in, or issued by, any other entity or entities, and all rights incident to any management authority conferred on the Company in accordance with the governing documents of any entity or entities, standing in the name of the Company, including the right to act by written consent in lieu of a meeting. The authority granted herein may be exercised either by such person directly or by any other person authorized to do so by proxy or power of attorney duly executed by such person having the authority.</w:t>
      </w:r>
    </w:p>
    <w:p>
      <w:pPr>
        <w:spacing w:after="0" w:line="17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i w:val="1"/>
          <w:iCs w:val="1"/>
          <w:color w:val="auto"/>
        </w:rPr>
        <w:t>Authority and Duties of Officers</w:t>
      </w:r>
      <w:r>
        <w:rPr>
          <w:rFonts w:ascii="Arial" w:cs="Arial" w:eastAsia="Arial" w:hAnsi="Arial"/>
          <w:sz w:val="18"/>
          <w:szCs w:val="18"/>
          <w:color w:val="auto"/>
        </w:rPr>
        <w:t xml:space="preserve"> Except as otherwise provided in these bylaws, the officers of the Company shall have such powers and duties in the management of the Company as may be designated from time to time by the Board and, to the extent not so provided, as generally pertain to their respective offices, subject to the control of the Board.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 INDEMNIFICATION</w:t>
      </w:r>
    </w:p>
    <w:p>
      <w:pPr>
        <w:spacing w:after="0" w:line="225"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i w:val="1"/>
          <w:iCs w:val="1"/>
          <w:color w:val="auto"/>
        </w:rPr>
        <w:t>Indemnification of Directors and Officers in Third Party Proceedings</w:t>
      </w:r>
      <w:r>
        <w:rPr>
          <w:rFonts w:ascii="Arial" w:cs="Arial" w:eastAsia="Arial" w:hAnsi="Arial"/>
          <w:sz w:val="16"/>
          <w:szCs w:val="16"/>
          <w:color w:val="auto"/>
        </w:rPr>
        <w:t xml:space="preserve"> Subject to the other provisions of this </w:t>
      </w:r>
      <w:r>
        <w:rPr>
          <w:rFonts w:ascii="Arial" w:cs="Arial" w:eastAsia="Arial" w:hAnsi="Arial"/>
          <w:sz w:val="16"/>
          <w:szCs w:val="16"/>
          <w:b w:val="1"/>
          <w:bCs w:val="1"/>
          <w:color w:val="auto"/>
        </w:rPr>
        <w:t>Article V</w:t>
      </w:r>
      <w:r>
        <w:rPr>
          <w:rFonts w:ascii="Arial" w:cs="Arial" w:eastAsia="Arial" w:hAnsi="Arial"/>
          <w:sz w:val="16"/>
          <w:szCs w:val="16"/>
          <w:color w:val="auto"/>
        </w:rPr>
        <w:t>,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78" w:name="page279"/>
    <w:bookmarkEnd w:id="278"/>
    <w:p>
      <w:pPr>
        <w:ind w:right="2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action or proceeding, had no reasonable cause to believe such person’s conduct was unlawful. The termination of any Proceeding by judgment, order, settlement,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6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i w:val="1"/>
          <w:iCs w:val="1"/>
          <w:color w:val="auto"/>
        </w:rPr>
        <w:t>Indemnification of Directors and Officers in Actions by or in the Right of the Company</w:t>
      </w:r>
      <w:r>
        <w:rPr>
          <w:rFonts w:ascii="Arial" w:cs="Arial" w:eastAsia="Arial" w:hAnsi="Arial"/>
          <w:sz w:val="17"/>
          <w:szCs w:val="17"/>
          <w:color w:val="auto"/>
        </w:rPr>
        <w:t xml:space="preserve"> Subject to the other provisions of this </w:t>
      </w:r>
      <w:r>
        <w:rPr>
          <w:rFonts w:ascii="Arial" w:cs="Arial" w:eastAsia="Arial" w:hAnsi="Arial"/>
          <w:sz w:val="17"/>
          <w:szCs w:val="17"/>
          <w:b w:val="1"/>
          <w:bCs w:val="1"/>
          <w:color w:val="auto"/>
        </w:rPr>
        <w:t>Article V</w:t>
      </w:r>
      <w:r>
        <w:rPr>
          <w:rFonts w:ascii="Arial" w:cs="Arial" w:eastAsia="Arial" w:hAnsi="Arial"/>
          <w:sz w:val="17"/>
          <w:szCs w:val="17"/>
          <w:color w:val="auto"/>
        </w:rPr>
        <w:t>, the Company shall indemnify, to the fullest extent permitted by the DGCL, as now or hereinafter in effect, any person who was or is a party or is threatened to be made a party to any threatened, pending or completed action or suit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6"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i w:val="1"/>
          <w:iCs w:val="1"/>
          <w:color w:val="auto"/>
        </w:rPr>
        <w:t>Successful Defense</w:t>
      </w:r>
      <w:r>
        <w:rPr>
          <w:rFonts w:ascii="Arial" w:cs="Arial" w:eastAsia="Arial" w:hAnsi="Arial"/>
          <w:sz w:val="16"/>
          <w:szCs w:val="16"/>
          <w:color w:val="auto"/>
        </w:rPr>
        <w:t xml:space="preserve"> To the extent that a present or former director or officer of the Company has been successful on the merits or otherwise in defense of any action, suit or proceeding described in </w:t>
      </w:r>
      <w:r>
        <w:rPr>
          <w:rFonts w:ascii="Arial" w:cs="Arial" w:eastAsia="Arial" w:hAnsi="Arial"/>
          <w:sz w:val="16"/>
          <w:szCs w:val="16"/>
          <w:b w:val="1"/>
          <w:bCs w:val="1"/>
          <w:color w:val="auto"/>
        </w:rPr>
        <w:t>section 5.1</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of these bylaws, or in defense of any claim, issue or matter therein, such person shall be indemnified against expenses (including attorneys’ fees) actually and reasonably incurred by such person in connection therewith.</w:t>
      </w:r>
    </w:p>
    <w:p>
      <w:pPr>
        <w:spacing w:after="0" w:line="145" w:lineRule="exact"/>
        <w:rPr>
          <w:sz w:val="20"/>
          <w:szCs w:val="20"/>
          <w:color w:val="auto"/>
        </w:rPr>
      </w:pPr>
    </w:p>
    <w:p>
      <w:pPr>
        <w:ind w:right="80" w:firstLine="440"/>
        <w:spacing w:after="0" w:line="314"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i w:val="1"/>
          <w:iCs w:val="1"/>
          <w:color w:val="auto"/>
        </w:rPr>
        <w:t>Indemnification of Others</w:t>
      </w:r>
      <w:r>
        <w:rPr>
          <w:rFonts w:ascii="Arial" w:cs="Arial" w:eastAsia="Arial" w:hAnsi="Arial"/>
          <w:sz w:val="16"/>
          <w:szCs w:val="16"/>
          <w:color w:val="auto"/>
        </w:rPr>
        <w:t xml:space="preserve"> Subject to the other provisions of this </w:t>
      </w:r>
      <w:r>
        <w:rPr>
          <w:rFonts w:ascii="Arial" w:cs="Arial" w:eastAsia="Arial" w:hAnsi="Arial"/>
          <w:sz w:val="16"/>
          <w:szCs w:val="16"/>
          <w:b w:val="1"/>
          <w:bCs w:val="1"/>
          <w:color w:val="auto"/>
        </w:rPr>
        <w:t>Article V</w:t>
      </w:r>
      <w:r>
        <w:rPr>
          <w:rFonts w:ascii="Arial" w:cs="Arial" w:eastAsia="Arial" w:hAnsi="Arial"/>
          <w:sz w:val="16"/>
          <w:szCs w:val="16"/>
          <w:color w:val="auto"/>
        </w:rPr>
        <w:t>, the Company shall have power to indemnify its employees and agents to the extent not prohibited by the DGCL or other applicable law. The Board shall have the power to delegate to any person or persons identified in subsections (1) through (4) of Section 145(d) of the DGCL the determination of whether employees or agents shall be indemnified.</w:t>
      </w:r>
    </w:p>
    <w:p>
      <w:pPr>
        <w:spacing w:after="0" w:line="14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b w:val="1"/>
          <w:bCs w:val="1"/>
          <w:i w:val="1"/>
          <w:iCs w:val="1"/>
          <w:color w:val="auto"/>
        </w:rPr>
        <w:t>Advanced Payment of Expenses</w:t>
      </w:r>
      <w:r>
        <w:rPr>
          <w:rFonts w:ascii="Arial" w:cs="Arial" w:eastAsia="Arial" w:hAnsi="Arial"/>
          <w:sz w:val="17"/>
          <w:szCs w:val="17"/>
          <w:color w:val="auto"/>
        </w:rPr>
        <w:t xml:space="preserve"> 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w:t>
      </w:r>
      <w:r>
        <w:rPr>
          <w:rFonts w:ascii="Arial" w:cs="Arial" w:eastAsia="Arial" w:hAnsi="Arial"/>
          <w:sz w:val="17"/>
          <w:szCs w:val="17"/>
          <w:b w:val="1"/>
          <w:bCs w:val="1"/>
          <w:color w:val="auto"/>
        </w:rPr>
        <w:t>section 5.6(ii)</w:t>
      </w:r>
      <w:r>
        <w:rPr>
          <w:rFonts w:ascii="Arial" w:cs="Arial" w:eastAsia="Arial" w:hAnsi="Arial"/>
          <w:sz w:val="17"/>
          <w:szCs w:val="17"/>
          <w:color w:val="auto"/>
        </w:rPr>
        <w:t xml:space="preserve"> or </w:t>
      </w:r>
      <w:r>
        <w:rPr>
          <w:rFonts w:ascii="Arial" w:cs="Arial" w:eastAsia="Arial" w:hAnsi="Arial"/>
          <w:sz w:val="17"/>
          <w:szCs w:val="17"/>
          <w:b w:val="1"/>
          <w:bCs w:val="1"/>
          <w:color w:val="auto"/>
        </w:rPr>
        <w:t>5.6(iii)</w:t>
      </w:r>
      <w:r>
        <w:rPr>
          <w:rFonts w:ascii="Arial" w:cs="Arial" w:eastAsia="Arial" w:hAnsi="Arial"/>
          <w:sz w:val="17"/>
          <w:szCs w:val="17"/>
          <w:color w:val="auto"/>
        </w:rPr>
        <w:t xml:space="preserve"> of these bylaws prior to a determination that the person is not entitled to be indemnified by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79" w:name="page280"/>
    <w:bookmarkEnd w:id="279"/>
    <w:p>
      <w:pPr>
        <w:ind w:left="4" w:right="8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5.6 </w:t>
      </w:r>
      <w:r>
        <w:rPr>
          <w:rFonts w:ascii="Arial" w:cs="Arial" w:eastAsia="Arial" w:hAnsi="Arial"/>
          <w:sz w:val="18"/>
          <w:szCs w:val="18"/>
          <w:b w:val="1"/>
          <w:bCs w:val="1"/>
          <w:i w:val="1"/>
          <w:iCs w:val="1"/>
          <w:color w:val="auto"/>
        </w:rPr>
        <w:t>Limitation on Indemnification</w:t>
      </w:r>
      <w:r>
        <w:rPr>
          <w:rFonts w:ascii="Arial" w:cs="Arial" w:eastAsia="Arial" w:hAnsi="Arial"/>
          <w:sz w:val="18"/>
          <w:szCs w:val="18"/>
          <w:color w:val="auto"/>
        </w:rPr>
        <w:t xml:space="preserve"> Subject to the requirements in </w:t>
      </w:r>
      <w:r>
        <w:rPr>
          <w:rFonts w:ascii="Arial" w:cs="Arial" w:eastAsia="Arial" w:hAnsi="Arial"/>
          <w:sz w:val="18"/>
          <w:szCs w:val="18"/>
          <w:b w:val="1"/>
          <w:bCs w:val="1"/>
          <w:color w:val="auto"/>
        </w:rPr>
        <w:t>section 5.3</w:t>
      </w:r>
      <w:r>
        <w:rPr>
          <w:rFonts w:ascii="Arial" w:cs="Arial" w:eastAsia="Arial" w:hAnsi="Arial"/>
          <w:sz w:val="18"/>
          <w:szCs w:val="18"/>
          <w:color w:val="auto"/>
        </w:rPr>
        <w:t xml:space="preserve"> of these bylaws and the DGCL, the Company shall not be obligated to indemnify any person pursuant to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in connection with any Proceeding (or any part of any Proceeding):</w:t>
      </w:r>
    </w:p>
    <w:p>
      <w:pPr>
        <w:spacing w:after="0" w:line="58" w:lineRule="exact"/>
        <w:rPr>
          <w:sz w:val="20"/>
          <w:szCs w:val="20"/>
          <w:color w:val="auto"/>
        </w:rPr>
      </w:pPr>
    </w:p>
    <w:p>
      <w:pPr>
        <w:ind w:left="4" w:right="40" w:firstLine="987"/>
        <w:spacing w:after="0" w:line="277" w:lineRule="auto"/>
        <w:tabs>
          <w:tab w:leader="none" w:pos="121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70" w:lineRule="exact"/>
        <w:rPr>
          <w:rFonts w:ascii="Arial" w:cs="Arial" w:eastAsia="Arial" w:hAnsi="Arial"/>
          <w:sz w:val="18"/>
          <w:szCs w:val="18"/>
          <w:color w:val="auto"/>
        </w:rPr>
      </w:pPr>
    </w:p>
    <w:p>
      <w:pPr>
        <w:ind w:left="4" w:right="100" w:firstLine="987"/>
        <w:spacing w:after="0" w:line="263" w:lineRule="auto"/>
        <w:tabs>
          <w:tab w:leader="none" w:pos="12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for an accounting or disgorgement of profits pursuant to Section 16(b) of the Securities Exchange Act of 1934, as amended, or similar provisions of federal, state or local statutory law or common law, if such person is held liable therefor (including pursuant to any settlement arrangements);</w:t>
      </w:r>
    </w:p>
    <w:p>
      <w:pPr>
        <w:spacing w:after="0" w:line="183" w:lineRule="exact"/>
        <w:rPr>
          <w:rFonts w:ascii="Arial" w:cs="Arial" w:eastAsia="Arial" w:hAnsi="Arial"/>
          <w:sz w:val="18"/>
          <w:szCs w:val="18"/>
          <w:color w:val="auto"/>
        </w:rPr>
      </w:pPr>
    </w:p>
    <w:p>
      <w:pPr>
        <w:ind w:left="4" w:right="80" w:firstLine="987"/>
        <w:spacing w:after="0" w:line="296" w:lineRule="auto"/>
        <w:tabs>
          <w:tab w:leader="none" w:pos="131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for any reimbursement of the Company by such person of any bonus or other incentive-based or equity-based compensation or of any profits realized by such person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16"/>
          <w:szCs w:val="16"/>
          <w:b w:val="1"/>
          <w:bCs w:val="1"/>
          <w:color w:val="auto"/>
        </w:rPr>
        <w:t>Sarbanes-Oxley Act</w:t>
      </w:r>
      <w:r>
        <w:rPr>
          <w:rFonts w:ascii="Arial" w:cs="Arial" w:eastAsia="Arial" w:hAnsi="Arial"/>
          <w:sz w:val="16"/>
          <w:szCs w:val="16"/>
          <w:color w:val="auto"/>
        </w:rPr>
        <w:t>”), or the payment to the Company of profits arising from the purchase and sale by such person of securities in violation of Section 306 of the Sarbanes-Oxley Act), if such person is held liable therefor (including pursuant to any settlement arrangements);</w:t>
      </w:r>
    </w:p>
    <w:p>
      <w:pPr>
        <w:spacing w:after="0" w:line="161" w:lineRule="exact"/>
        <w:rPr>
          <w:rFonts w:ascii="Arial" w:cs="Arial" w:eastAsia="Arial" w:hAnsi="Arial"/>
          <w:sz w:val="16"/>
          <w:szCs w:val="16"/>
          <w:color w:val="auto"/>
        </w:rPr>
      </w:pPr>
    </w:p>
    <w:p>
      <w:pPr>
        <w:ind w:left="4" w:firstLine="987"/>
        <w:spacing w:after="0" w:line="287" w:lineRule="auto"/>
        <w:tabs>
          <w:tab w:leader="none" w:pos="130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initiated by such person, including any Proceeding (or any part of any Proceeding) initiated by such person against the Company or its directors, officers, employees, agents or other indemnitees, unless (a) the Board authorized the Proceeding (or the relevant part of the Proceeding) prior to its initiation, (b) the Company provides the indemnification, in its sole discretion, pursuant to the powers vested in the Company under applicable law,</w:t>
      </w:r>
    </w:p>
    <w:p>
      <w:pPr>
        <w:spacing w:after="0" w:line="2" w:lineRule="exact"/>
        <w:rPr>
          <w:rFonts w:ascii="Arial" w:cs="Arial" w:eastAsia="Arial" w:hAnsi="Arial"/>
          <w:sz w:val="16"/>
          <w:szCs w:val="16"/>
          <w:color w:val="auto"/>
        </w:rPr>
      </w:pPr>
    </w:p>
    <w:p>
      <w:pPr>
        <w:ind w:left="244" w:hanging="244"/>
        <w:spacing w:after="0"/>
        <w:tabs>
          <w:tab w:leader="none" w:pos="24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otherwise required to be made under </w:t>
      </w:r>
      <w:r>
        <w:rPr>
          <w:rFonts w:ascii="Arial" w:cs="Arial" w:eastAsia="Arial" w:hAnsi="Arial"/>
          <w:sz w:val="18"/>
          <w:szCs w:val="18"/>
          <w:b w:val="1"/>
          <w:bCs w:val="1"/>
          <w:color w:val="auto"/>
        </w:rPr>
        <w:t>section 5.7</w:t>
      </w:r>
      <w:r>
        <w:rPr>
          <w:rFonts w:ascii="Arial" w:cs="Arial" w:eastAsia="Arial" w:hAnsi="Arial"/>
          <w:sz w:val="18"/>
          <w:szCs w:val="18"/>
          <w:color w:val="auto"/>
        </w:rPr>
        <w:t xml:space="preserve"> of these bylaws or (d) otherwise required by applicable law; or</w:t>
      </w:r>
    </w:p>
    <w:p>
      <w:pPr>
        <w:spacing w:after="0" w:line="210" w:lineRule="exact"/>
        <w:rPr>
          <w:rFonts w:ascii="Arial" w:cs="Arial" w:eastAsia="Arial" w:hAnsi="Arial"/>
          <w:sz w:val="18"/>
          <w:szCs w:val="18"/>
          <w:color w:val="auto"/>
        </w:rPr>
      </w:pPr>
    </w:p>
    <w:p>
      <w:pPr>
        <w:ind w:left="1244" w:hanging="253"/>
        <w:spacing w:after="0"/>
        <w:tabs>
          <w:tab w:leader="none" w:pos="124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221"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i w:val="1"/>
          <w:iCs w:val="1"/>
          <w:color w:val="auto"/>
        </w:rPr>
        <w:t>Determination; Claim</w:t>
      </w:r>
      <w:r>
        <w:rPr>
          <w:rFonts w:ascii="Arial" w:cs="Arial" w:eastAsia="Arial" w:hAnsi="Arial"/>
          <w:sz w:val="18"/>
          <w:szCs w:val="18"/>
          <w:color w:val="auto"/>
        </w:rPr>
        <w:t xml:space="preserve"> If a claim for indemnification or advancement of expenses under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is not paid by the Company or on its behalf within 90 days after receipt by the Company of a written request therefor, the claimant shall be entitled to an adjudication by a court of competent jurisdiction of his or her entitlement to such indemnification or advancement of expenses. To the extent not prohibited by law, the Company shall indemnify such person against all expenses actually and reasonably incurred by such person in connection with any action for indemnification or advancement of expenses from the Company under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to the extent such person is successful in such action, and, if requested by such person, shall advance such expenses to such person, subject to the provisions of </w:t>
      </w:r>
      <w:r>
        <w:rPr>
          <w:rFonts w:ascii="Arial" w:cs="Arial" w:eastAsia="Arial" w:hAnsi="Arial"/>
          <w:sz w:val="18"/>
          <w:szCs w:val="18"/>
          <w:b w:val="1"/>
          <w:bCs w:val="1"/>
          <w:color w:val="auto"/>
        </w:rPr>
        <w:t>section 5.5</w:t>
      </w:r>
      <w:r>
        <w:rPr>
          <w:rFonts w:ascii="Arial" w:cs="Arial" w:eastAsia="Arial" w:hAnsi="Arial"/>
          <w:sz w:val="18"/>
          <w:szCs w:val="18"/>
          <w:color w:val="auto"/>
        </w:rPr>
        <w:t xml:space="preserve"> of these bylaws. In any such suit, the Company shall, to the fullest extent not prohibited by law, have the burden of proving that the claimant is not entitled to the requested indemnification or advancement of expenses.</w:t>
      </w:r>
    </w:p>
    <w:p>
      <w:pPr>
        <w:spacing w:after="0" w:line="192" w:lineRule="exact"/>
        <w:rPr>
          <w:sz w:val="20"/>
          <w:szCs w:val="20"/>
          <w:color w:val="auto"/>
        </w:rPr>
      </w:pPr>
    </w:p>
    <w:p>
      <w:pPr>
        <w:ind w:left="4" w:right="120" w:firstLine="440"/>
        <w:spacing w:after="0" w:line="25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i w:val="1"/>
          <w:iCs w:val="1"/>
          <w:color w:val="auto"/>
        </w:rPr>
        <w:t>Non-Exclusivity of Rights</w:t>
      </w:r>
      <w:r>
        <w:rPr>
          <w:rFonts w:ascii="Arial" w:cs="Arial" w:eastAsia="Arial" w:hAnsi="Arial"/>
          <w:sz w:val="18"/>
          <w:szCs w:val="18"/>
          <w:color w:val="auto"/>
        </w:rPr>
        <w:t xml:space="preserve"> The indemnification and advancement of expenses provided by, or granted pursuant to,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280" w:name="page281"/>
    <w:bookmarkEnd w:id="280"/>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5.9 </w:t>
      </w:r>
      <w:r>
        <w:rPr>
          <w:rFonts w:ascii="Arial" w:cs="Arial" w:eastAsia="Arial" w:hAnsi="Arial"/>
          <w:sz w:val="18"/>
          <w:szCs w:val="18"/>
          <w:b w:val="1"/>
          <w:bCs w:val="1"/>
          <w:i w:val="1"/>
          <w:iCs w:val="1"/>
          <w:color w:val="auto"/>
        </w:rPr>
        <w:t>Insurance</w:t>
      </w:r>
      <w:r>
        <w:rPr>
          <w:rFonts w:ascii="Arial" w:cs="Arial" w:eastAsia="Arial" w:hAnsi="Arial"/>
          <w:sz w:val="18"/>
          <w:szCs w:val="18"/>
          <w:color w:val="auto"/>
        </w:rPr>
        <w:t xml:space="preserve">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84"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b w:val="1"/>
          <w:bCs w:val="1"/>
          <w:i w:val="1"/>
          <w:iCs w:val="1"/>
          <w:color w:val="auto"/>
        </w:rPr>
        <w:t>Survival</w:t>
      </w:r>
      <w:r>
        <w:rPr>
          <w:rFonts w:ascii="Arial" w:cs="Arial" w:eastAsia="Arial" w:hAnsi="Arial"/>
          <w:sz w:val="17"/>
          <w:szCs w:val="17"/>
          <w:color w:val="auto"/>
        </w:rPr>
        <w:t xml:space="preserve"> The rights to indemnification and advancement of expenses conferred by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shall continue as to a person who has ceased to be a director, officer, employee or agent and shall inure to the benefit of the heirs, executors and administrators of such a person.</w:t>
      </w:r>
    </w:p>
    <w:p>
      <w:pPr>
        <w:spacing w:after="0" w:line="144"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i w:val="1"/>
          <w:iCs w:val="1"/>
          <w:color w:val="auto"/>
        </w:rPr>
        <w:t>Effect of Repeal or Modification</w:t>
      </w:r>
      <w:r>
        <w:rPr>
          <w:rFonts w:ascii="Arial" w:cs="Arial" w:eastAsia="Arial" w:hAnsi="Arial"/>
          <w:sz w:val="18"/>
          <w:szCs w:val="18"/>
          <w:color w:val="auto"/>
        </w:rPr>
        <w:t xml:space="preserve"> A right to indemnification or to advancement of expenses arising under a provision of the certificate of incorporation or a bylaw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84"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b w:val="1"/>
          <w:bCs w:val="1"/>
          <w:i w:val="1"/>
          <w:iCs w:val="1"/>
          <w:color w:val="auto"/>
        </w:rPr>
        <w:t>Certain Definitions</w:t>
      </w:r>
      <w:r>
        <w:rPr>
          <w:rFonts w:ascii="Arial" w:cs="Arial" w:eastAsia="Arial" w:hAnsi="Arial"/>
          <w:sz w:val="16"/>
          <w:szCs w:val="16"/>
          <w:color w:val="auto"/>
        </w:rPr>
        <w:t xml:space="preserve"> For purposes of this </w:t>
      </w:r>
      <w:r>
        <w:rPr>
          <w:rFonts w:ascii="Arial" w:cs="Arial" w:eastAsia="Arial" w:hAnsi="Arial"/>
          <w:sz w:val="16"/>
          <w:szCs w:val="16"/>
          <w:b w:val="1"/>
          <w:bCs w:val="1"/>
          <w:color w:val="auto"/>
        </w:rPr>
        <w:t>Article V</w:t>
      </w:r>
      <w:r>
        <w:rPr>
          <w:rFonts w:ascii="Arial" w:cs="Arial" w:eastAsia="Arial" w:hAnsi="Arial"/>
          <w:sz w:val="16"/>
          <w:szCs w:val="16"/>
          <w:color w:val="auto"/>
        </w:rPr>
        <w:t>, references to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with respect to the resulting or surviving corporation as such person would have with respect to such constituent corporation if its separate existence had continued. For purposes of this </w:t>
      </w:r>
      <w:r>
        <w:rPr>
          <w:rFonts w:ascii="Arial" w:cs="Arial" w:eastAsia="Arial" w:hAnsi="Arial"/>
          <w:sz w:val="16"/>
          <w:szCs w:val="16"/>
          <w:b w:val="1"/>
          <w:bCs w:val="1"/>
          <w:color w:val="auto"/>
        </w:rPr>
        <w:t>Article V</w:t>
      </w:r>
      <w:r>
        <w:rPr>
          <w:rFonts w:ascii="Arial" w:cs="Arial" w:eastAsia="Arial" w:hAnsi="Arial"/>
          <w:sz w:val="16"/>
          <w:szCs w:val="16"/>
          <w:color w:val="auto"/>
        </w:rPr>
        <w:t>, references to “</w:t>
      </w:r>
      <w:r>
        <w:rPr>
          <w:rFonts w:ascii="Arial" w:cs="Arial" w:eastAsia="Arial" w:hAnsi="Arial"/>
          <w:sz w:val="16"/>
          <w:szCs w:val="16"/>
          <w:b w:val="1"/>
          <w:bCs w:val="1"/>
          <w:color w:val="auto"/>
        </w:rPr>
        <w:t>other enterprises</w:t>
      </w:r>
      <w:r>
        <w:rPr>
          <w:rFonts w:ascii="Arial" w:cs="Arial" w:eastAsia="Arial" w:hAnsi="Arial"/>
          <w:sz w:val="16"/>
          <w:szCs w:val="16"/>
          <w:color w:val="auto"/>
        </w:rPr>
        <w:t>” shall include employee benefit plans; references to “</w:t>
      </w:r>
      <w:r>
        <w:rPr>
          <w:rFonts w:ascii="Arial" w:cs="Arial" w:eastAsia="Arial" w:hAnsi="Arial"/>
          <w:sz w:val="16"/>
          <w:szCs w:val="16"/>
          <w:b w:val="1"/>
          <w:bCs w:val="1"/>
          <w:color w:val="auto"/>
        </w:rPr>
        <w:t>fines</w:t>
      </w:r>
      <w:r>
        <w:rPr>
          <w:rFonts w:ascii="Arial" w:cs="Arial" w:eastAsia="Arial" w:hAnsi="Arial"/>
          <w:sz w:val="16"/>
          <w:szCs w:val="16"/>
          <w:color w:val="auto"/>
        </w:rPr>
        <w:t>” shall include any excise taxes assessed on a person with respect to an employee benefit plan; references to “</w:t>
      </w:r>
      <w:r>
        <w:rPr>
          <w:rFonts w:ascii="Arial" w:cs="Arial" w:eastAsia="Arial" w:hAnsi="Arial"/>
          <w:sz w:val="16"/>
          <w:szCs w:val="16"/>
          <w:b w:val="1"/>
          <w:bCs w:val="1"/>
          <w:color w:val="auto"/>
        </w:rPr>
        <w:t>serving at the request of the Company</w:t>
      </w:r>
      <w:r>
        <w:rPr>
          <w:rFonts w:ascii="Arial" w:cs="Arial" w:eastAsia="Arial" w:hAnsi="Arial"/>
          <w:sz w:val="16"/>
          <w:szCs w:val="16"/>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6"/>
          <w:szCs w:val="16"/>
          <w:b w:val="1"/>
          <w:bCs w:val="1"/>
          <w:color w:val="auto"/>
        </w:rPr>
        <w:t>not</w:t>
      </w:r>
      <w:r>
        <w:rPr>
          <w:rFonts w:ascii="Arial" w:cs="Arial" w:eastAsia="Arial" w:hAnsi="Arial"/>
          <w:sz w:val="16"/>
          <w:szCs w:val="16"/>
          <w:color w:val="auto"/>
        </w:rPr>
        <w:t xml:space="preserve"> </w:t>
      </w:r>
      <w:r>
        <w:rPr>
          <w:rFonts w:ascii="Arial" w:cs="Arial" w:eastAsia="Arial" w:hAnsi="Arial"/>
          <w:sz w:val="16"/>
          <w:szCs w:val="16"/>
          <w:b w:val="1"/>
          <w:bCs w:val="1"/>
          <w:color w:val="auto"/>
        </w:rPr>
        <w:t>opposed to the best interests of the Company</w:t>
      </w:r>
      <w:r>
        <w:rPr>
          <w:rFonts w:ascii="Arial" w:cs="Arial" w:eastAsia="Arial" w:hAnsi="Arial"/>
          <w:sz w:val="16"/>
          <w:szCs w:val="16"/>
          <w:color w:val="auto"/>
        </w:rPr>
        <w:t>” as referred to in this</w:t>
      </w:r>
      <w:r>
        <w:rPr>
          <w:rFonts w:ascii="Arial" w:cs="Arial" w:eastAsia="Arial" w:hAnsi="Arial"/>
          <w:sz w:val="16"/>
          <w:szCs w:val="16"/>
          <w:b w:val="1"/>
          <w:bCs w:val="1"/>
          <w:color w:val="auto"/>
        </w:rPr>
        <w:t xml:space="preserve"> Article V</w:t>
      </w:r>
      <w:r>
        <w:rPr>
          <w:rFonts w:ascii="Arial" w:cs="Arial" w:eastAsia="Arial" w:hAnsi="Arial"/>
          <w:sz w:val="16"/>
          <w:szCs w:val="16"/>
          <w:color w:val="auto"/>
        </w:rPr>
        <w: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 STOCK</w:t>
      </w:r>
    </w:p>
    <w:p>
      <w:pPr>
        <w:spacing w:after="0" w:line="229"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i w:val="1"/>
          <w:iCs w:val="1"/>
          <w:color w:val="auto"/>
        </w:rPr>
        <w:t>Stock Certificates; Partly Paid Shares</w:t>
      </w:r>
      <w:r>
        <w:rPr>
          <w:rFonts w:ascii="Arial" w:cs="Arial" w:eastAsia="Arial" w:hAnsi="Arial"/>
          <w:sz w:val="17"/>
          <w:szCs w:val="17"/>
          <w:color w:val="auto"/>
        </w:rPr>
        <w:t xml:space="preserve"> The shares of the Company shall be represented by uncertificated shares or by certificates if provided by a resolution of the Board. Any such resolution shall not apply to outstanding shares represented by a certificate until such certificate is surrendered to the Company. Unless otherwise provided by resolution of the Board,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81" w:name="page282"/>
    <w:bookmarkEnd w:id="281"/>
    <w:p>
      <w:pPr>
        <w:ind w:right="1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may issue the whole or any part of its shares as partly paid and subject to call for the remainder of the consideration to be paid therefor. Upon the face or back of each stock certificate issued to represent any such partly paid shares, or upon the books and records of the Company in the case of uncertificated partly paid shares, the total amount of the consideration to be paid therefor and the amount paid thereon shall be stated. Upon the declaration of any dividend on fully paid shares, the Company shall declare a dividend upon partly paid shares of the same class, but only upon the basis of the percentage of the consideration actually paid thereon.</w:t>
      </w:r>
    </w:p>
    <w:p>
      <w:pPr>
        <w:spacing w:after="0" w:line="188"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i w:val="1"/>
          <w:iCs w:val="1"/>
          <w:color w:val="auto"/>
        </w:rPr>
        <w:t>Special Designation on Certificates</w:t>
      </w:r>
      <w:r>
        <w:rPr>
          <w:rFonts w:ascii="Arial" w:cs="Arial" w:eastAsia="Arial" w:hAnsi="Arial"/>
          <w:sz w:val="17"/>
          <w:szCs w:val="17"/>
          <w:color w:val="auto"/>
        </w:rPr>
        <w:t xml:space="preserve"> If the Company is authorized to issue more than one class of stock or more than one series of any class, then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w:t>
      </w:r>
      <w:r>
        <w:rPr>
          <w:rFonts w:ascii="Arial" w:cs="Arial" w:eastAsia="Arial" w:hAnsi="Arial"/>
          <w:sz w:val="17"/>
          <w:szCs w:val="17"/>
          <w:b w:val="1"/>
          <w:bCs w:val="1"/>
          <w:color w:val="auto"/>
        </w:rPr>
        <w:t>section 6.2</w:t>
      </w:r>
      <w:r>
        <w:rPr>
          <w:rFonts w:ascii="Arial" w:cs="Arial" w:eastAsia="Arial" w:hAnsi="Arial"/>
          <w:sz w:val="17"/>
          <w:szCs w:val="17"/>
          <w:color w:val="auto"/>
        </w:rPr>
        <w:t xml:space="preserve"> or Sections 156, 202(a), 218(a) or 364 of the DGCL or with respect to this </w:t>
      </w:r>
      <w:r>
        <w:rPr>
          <w:rFonts w:ascii="Arial" w:cs="Arial" w:eastAsia="Arial" w:hAnsi="Arial"/>
          <w:sz w:val="17"/>
          <w:szCs w:val="17"/>
          <w:b w:val="1"/>
          <w:bCs w:val="1"/>
          <w:color w:val="auto"/>
        </w:rPr>
        <w:t>section 6.2</w:t>
      </w:r>
      <w:r>
        <w:rPr>
          <w:rFonts w:ascii="Arial" w:cs="Arial" w:eastAsia="Arial" w:hAnsi="Arial"/>
          <w:sz w:val="17"/>
          <w:szCs w:val="17"/>
          <w:color w:val="auto"/>
        </w:rPr>
        <w:t xml:space="preserve">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80"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i w:val="1"/>
          <w:iCs w:val="1"/>
          <w:color w:val="auto"/>
        </w:rPr>
        <w:t>Lost Certificates</w:t>
      </w:r>
      <w:r>
        <w:rPr>
          <w:rFonts w:ascii="Arial" w:cs="Arial" w:eastAsia="Arial" w:hAnsi="Arial"/>
          <w:sz w:val="18"/>
          <w:szCs w:val="18"/>
          <w:color w:val="auto"/>
        </w:rPr>
        <w:t xml:space="preserve"> Except as provided in this </w:t>
      </w:r>
      <w:r>
        <w:rPr>
          <w:rFonts w:ascii="Arial" w:cs="Arial" w:eastAsia="Arial" w:hAnsi="Arial"/>
          <w:sz w:val="18"/>
          <w:szCs w:val="18"/>
          <w:b w:val="1"/>
          <w:bCs w:val="1"/>
          <w:color w:val="auto"/>
        </w:rPr>
        <w:t>section 6.3</w:t>
      </w:r>
      <w:r>
        <w:rPr>
          <w:rFonts w:ascii="Arial" w:cs="Arial" w:eastAsia="Arial" w:hAnsi="Arial"/>
          <w:sz w:val="18"/>
          <w:szCs w:val="18"/>
          <w:color w:val="auto"/>
        </w:rPr>
        <w:t>,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9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xml:space="preserve"> The Board,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w:t>
      </w:r>
    </w:p>
    <w:p>
      <w:pPr>
        <w:spacing w:after="0" w:line="184"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The Board may set apart out of any of the funds of the Company available for dividends a reserve or reserves for any proper purpose and may abolish any such reserve.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82" w:name="page283"/>
    <w:bookmarkEnd w:id="282"/>
    <w:p>
      <w:pPr>
        <w:ind w:left="4"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6.5 </w:t>
      </w:r>
      <w:r>
        <w:rPr>
          <w:rFonts w:ascii="Arial" w:cs="Arial" w:eastAsia="Arial" w:hAnsi="Arial"/>
          <w:sz w:val="18"/>
          <w:szCs w:val="18"/>
          <w:b w:val="1"/>
          <w:bCs w:val="1"/>
          <w:i w:val="1"/>
          <w:iCs w:val="1"/>
          <w:color w:val="auto"/>
        </w:rPr>
        <w:t>Stock Transfer Agreements</w:t>
      </w:r>
      <w:r>
        <w:rPr>
          <w:rFonts w:ascii="Arial" w:cs="Arial" w:eastAsia="Arial" w:hAnsi="Arial"/>
          <w:sz w:val="18"/>
          <w:szCs w:val="18"/>
          <w:color w:val="auto"/>
        </w:rPr>
        <w:t xml:space="preserve"> 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i w:val="1"/>
          <w:iCs w:val="1"/>
          <w:color w:val="auto"/>
        </w:rPr>
        <w:t>Registered Stockholders</w:t>
      </w:r>
      <w:r>
        <w:rPr>
          <w:rFonts w:ascii="Arial" w:cs="Arial" w:eastAsia="Arial" w:hAnsi="Arial"/>
          <w:sz w:val="18"/>
          <w:szCs w:val="18"/>
          <w:color w:val="auto"/>
        </w:rPr>
        <w:t xml:space="preserve"> The Company:</w:t>
      </w:r>
    </w:p>
    <w:p>
      <w:pPr>
        <w:spacing w:after="0" w:line="117" w:lineRule="exact"/>
        <w:rPr>
          <w:sz w:val="20"/>
          <w:szCs w:val="20"/>
          <w:color w:val="auto"/>
        </w:rPr>
      </w:pPr>
    </w:p>
    <w:p>
      <w:pPr>
        <w:ind w:left="4" w:right="460" w:firstLine="987"/>
        <w:spacing w:after="0" w:line="342" w:lineRule="auto"/>
        <w:tabs>
          <w:tab w:leader="none" w:pos="121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shall be entitled to treat the person registered on its books as the owner of any share or shares as the person exclusively entitled to receive dividends, vote, receive notifications and otherwise exercise all the rights and powers of an owner of such share or shares; and</w:t>
      </w:r>
    </w:p>
    <w:p>
      <w:pPr>
        <w:spacing w:after="0" w:line="123" w:lineRule="exact"/>
        <w:rPr>
          <w:rFonts w:ascii="Arial" w:cs="Arial" w:eastAsia="Arial" w:hAnsi="Arial"/>
          <w:sz w:val="16"/>
          <w:szCs w:val="16"/>
          <w:color w:val="auto"/>
        </w:rPr>
      </w:pPr>
    </w:p>
    <w:p>
      <w:pPr>
        <w:ind w:left="4" w:right="20" w:firstLine="987"/>
        <w:spacing w:after="0" w:line="277" w:lineRule="auto"/>
        <w:tabs>
          <w:tab w:leader="none" w:pos="12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0"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i w:val="1"/>
          <w:iCs w:val="1"/>
          <w:color w:val="auto"/>
        </w:rPr>
        <w:t>Transfers</w:t>
      </w:r>
      <w:r>
        <w:rPr>
          <w:rFonts w:ascii="Arial" w:cs="Arial" w:eastAsia="Arial" w:hAnsi="Arial"/>
          <w:sz w:val="18"/>
          <w:szCs w:val="18"/>
          <w:color w:val="auto"/>
        </w:rPr>
        <w:t xml:space="preserve"> 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84"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b w:val="1"/>
          <w:bCs w:val="1"/>
          <w:i w:val="1"/>
          <w:iCs w:val="1"/>
          <w:color w:val="auto"/>
        </w:rPr>
        <w:t>Transfer Restriction</w:t>
      </w:r>
      <w:r>
        <w:rPr>
          <w:rFonts w:ascii="Arial" w:cs="Arial" w:eastAsia="Arial" w:hAnsi="Arial"/>
          <w:sz w:val="17"/>
          <w:szCs w:val="17"/>
          <w:color w:val="auto"/>
        </w:rPr>
        <w:t xml:space="preserve"> A stockholder shall not transfer (including, but not limited to, transfers by sale, gift, devise, bequest, descent, merger, operation of law or otherwise, assignments, pledges, encumbrances, hypothecations or other dispositions) Restricted Shares (as such term is defined below) to any person unless such transfer has been approved by the Board or a duly authorized committee thereof, which approval may be granted or withheld in the sole and absolute discretion of the Board or such committee; </w:t>
      </w:r>
      <w:r>
        <w:rPr>
          <w:rFonts w:ascii="Arial" w:cs="Arial" w:eastAsia="Arial" w:hAnsi="Arial"/>
          <w:sz w:val="17"/>
          <w:szCs w:val="17"/>
          <w:i w:val="1"/>
          <w:iCs w:val="1"/>
          <w:color w:val="auto"/>
        </w:rPr>
        <w:t>provided</w:t>
      </w:r>
      <w:r>
        <w:rPr>
          <w:rFonts w:ascii="Arial" w:cs="Arial" w:eastAsia="Arial" w:hAnsi="Arial"/>
          <w:sz w:val="17"/>
          <w:szCs w:val="17"/>
          <w:color w:val="auto"/>
        </w:rPr>
        <w:t>, that the Board or such committee may not withhold its approval if such refusal would result in a breach of an agreement entered into by the Company. “</w:t>
      </w:r>
      <w:r>
        <w:rPr>
          <w:rFonts w:ascii="Arial" w:cs="Arial" w:eastAsia="Arial" w:hAnsi="Arial"/>
          <w:sz w:val="17"/>
          <w:szCs w:val="17"/>
          <w:b w:val="1"/>
          <w:bCs w:val="1"/>
          <w:color w:val="auto"/>
        </w:rPr>
        <w:t>Restricted Shares</w:t>
      </w:r>
      <w:r>
        <w:rPr>
          <w:rFonts w:ascii="Arial" w:cs="Arial" w:eastAsia="Arial" w:hAnsi="Arial"/>
          <w:sz w:val="17"/>
          <w:szCs w:val="17"/>
          <w:color w:val="auto"/>
        </w:rPr>
        <w:t xml:space="preserve">” are shares of common stock and preferred stock of the Company, excluding in each case shares of common stock issued upon conversion of any preferred stock of the Company. Any purported transfer of Restricted Shares that violates this </w:t>
      </w:r>
      <w:r>
        <w:rPr>
          <w:rFonts w:ascii="Arial" w:cs="Arial" w:eastAsia="Arial" w:hAnsi="Arial"/>
          <w:sz w:val="17"/>
          <w:szCs w:val="17"/>
          <w:b w:val="1"/>
          <w:bCs w:val="1"/>
          <w:color w:val="auto"/>
        </w:rPr>
        <w:t>section 6.8</w:t>
      </w:r>
      <w:r>
        <w:rPr>
          <w:rFonts w:ascii="Arial" w:cs="Arial" w:eastAsia="Arial" w:hAnsi="Arial"/>
          <w:sz w:val="17"/>
          <w:szCs w:val="17"/>
          <w:color w:val="auto"/>
        </w:rPr>
        <w:t xml:space="preserve"> shall be null and void and shall have no force and effect, and the Company shall not register any such purported transfer.</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VII — MANNER OF GIVING NOTICE AND WAIVER</w:t>
      </w:r>
    </w:p>
    <w:p>
      <w:pPr>
        <w:spacing w:after="0" w:line="229"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i w:val="1"/>
          <w:iCs w:val="1"/>
          <w:color w:val="auto"/>
        </w:rPr>
        <w:t>Delivery of Notice; Notice by Electronic Transmission</w:t>
      </w:r>
      <w:r>
        <w:rPr>
          <w:rFonts w:ascii="Arial" w:cs="Arial" w:eastAsia="Arial" w:hAnsi="Arial"/>
          <w:sz w:val="16"/>
          <w:szCs w:val="16"/>
          <w:color w:val="auto"/>
        </w:rPr>
        <w:t xml:space="preserve"> (a) Without limiting the manner by which notice otherwise may be given effectively to stockholders, any notice to stockholders given by the Company under any provision of the DGCL, the certificate of incorporation or these bylaws may be given in writing directed to the stockholder’s mailing address (or by electronic transmission directed to the stockholder’s electronic mail address, as applicable) as it appears on the records of the Company and shall be given (i) if mailed, when the notice is deposited in the U.S. mail, postage prepaid,</w:t>
      </w:r>
    </w:p>
    <w:p>
      <w:pPr>
        <w:spacing w:after="0" w:line="1" w:lineRule="exact"/>
        <w:rPr>
          <w:sz w:val="20"/>
          <w:szCs w:val="20"/>
          <w:color w:val="auto"/>
        </w:rPr>
      </w:pPr>
    </w:p>
    <w:p>
      <w:pPr>
        <w:ind w:left="4" w:right="20" w:hanging="4"/>
        <w:spacing w:after="0" w:line="273" w:lineRule="auto"/>
        <w:tabs>
          <w:tab w:leader="none" w:pos="269"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if delivered by courier service, the earlier of when the notice is received or left at such stockholder’s address or (iii) if given by electronic mail, when directed to such stockholder’s electronic mail address unless the stockholder has notified the Company in writing or by electronic transmission of an objection to receiving notice by electronic mail or such notice is prohibited by </w:t>
      </w:r>
      <w:r>
        <w:rPr>
          <w:rFonts w:ascii="Arial" w:cs="Arial" w:eastAsia="Arial" w:hAnsi="Arial"/>
          <w:sz w:val="17"/>
          <w:szCs w:val="17"/>
          <w:b w:val="1"/>
          <w:bCs w:val="1"/>
          <w:color w:val="auto"/>
        </w:rPr>
        <w:t>section 7.1(e)</w:t>
      </w:r>
      <w:r>
        <w:rPr>
          <w:rFonts w:ascii="Arial" w:cs="Arial" w:eastAsia="Arial" w:hAnsi="Arial"/>
          <w:sz w:val="17"/>
          <w:szCs w:val="17"/>
          <w:color w:val="auto"/>
        </w:rPr>
        <w:t xml:space="preserve"> of these bylaws. A notice by electronic mail must include a prominent legend that the communication is an important notice regarding the Company.</w:t>
      </w:r>
    </w:p>
    <w:p>
      <w:pPr>
        <w:spacing w:after="0" w:line="176" w:lineRule="exact"/>
        <w:rPr>
          <w:rFonts w:ascii="Arial" w:cs="Arial" w:eastAsia="Arial" w:hAnsi="Arial"/>
          <w:sz w:val="17"/>
          <w:szCs w:val="17"/>
          <w:color w:val="auto"/>
        </w:rPr>
      </w:pPr>
    </w:p>
    <w:p>
      <w:pPr>
        <w:ind w:left="4" w:right="160" w:firstLine="987"/>
        <w:spacing w:after="0" w:line="259" w:lineRule="auto"/>
        <w:tabs>
          <w:tab w:leader="none" w:pos="125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Without limiting the manner by which notice otherwise may be given effectively to stockholders, any notice to stockholders given by the Company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Company.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83" w:name="page284"/>
    <w:bookmarkEnd w:id="283"/>
    <w:p>
      <w:pPr>
        <w:ind w:left="1240" w:hanging="253"/>
        <w:spacing w:after="0"/>
        <w:tabs>
          <w:tab w:leader="none" w:pos="12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Notice given pursuant to </w:t>
      </w:r>
      <w:r>
        <w:rPr>
          <w:rFonts w:ascii="Arial" w:cs="Arial" w:eastAsia="Arial" w:hAnsi="Arial"/>
          <w:sz w:val="18"/>
          <w:szCs w:val="18"/>
          <w:b w:val="1"/>
          <w:bCs w:val="1"/>
          <w:color w:val="auto"/>
        </w:rPr>
        <w:t>section 7.1(b)</w:t>
      </w:r>
      <w:r>
        <w:rPr>
          <w:rFonts w:ascii="Arial" w:cs="Arial" w:eastAsia="Arial" w:hAnsi="Arial"/>
          <w:sz w:val="18"/>
          <w:szCs w:val="18"/>
          <w:color w:val="auto"/>
        </w:rPr>
        <w:t xml:space="preserve"> of these bylaws shall be deemed given:</w:t>
      </w:r>
    </w:p>
    <w:p>
      <w:pPr>
        <w:spacing w:after="0" w:line="121" w:lineRule="exact"/>
        <w:rPr>
          <w:rFonts w:ascii="Arial" w:cs="Arial" w:eastAsia="Arial" w:hAnsi="Arial"/>
          <w:sz w:val="18"/>
          <w:szCs w:val="18"/>
          <w:color w:val="auto"/>
        </w:rPr>
      </w:pPr>
    </w:p>
    <w:p>
      <w:pPr>
        <w:ind w:left="1640" w:hanging="212"/>
        <w:spacing w:after="0"/>
        <w:tabs>
          <w:tab w:leader="none" w:pos="164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if by facsimile telecommunication, when directed to a number at which the stockholder has consented to receive notice;</w:t>
      </w:r>
    </w:p>
    <w:p>
      <w:pPr>
        <w:spacing w:after="0" w:line="236" w:lineRule="exact"/>
        <w:rPr>
          <w:rFonts w:ascii="Arial" w:cs="Arial" w:eastAsia="Arial" w:hAnsi="Arial"/>
          <w:sz w:val="17"/>
          <w:szCs w:val="17"/>
          <w:color w:val="auto"/>
        </w:rPr>
      </w:pPr>
    </w:p>
    <w:p>
      <w:pPr>
        <w:ind w:right="140" w:firstLine="1428"/>
        <w:spacing w:after="0" w:line="277" w:lineRule="auto"/>
        <w:tabs>
          <w:tab w:leader="none" w:pos="1697"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if by a posting on an electronic network together with separate notice to the stockholder of such specific posting, upon the later of (A) such posting and (B) the giving of such separate notice; and</w:t>
      </w:r>
    </w:p>
    <w:p>
      <w:pPr>
        <w:spacing w:after="0" w:line="170" w:lineRule="exact"/>
        <w:rPr>
          <w:rFonts w:ascii="Arial" w:cs="Arial" w:eastAsia="Arial" w:hAnsi="Arial"/>
          <w:sz w:val="18"/>
          <w:szCs w:val="18"/>
          <w:color w:val="auto"/>
        </w:rPr>
      </w:pPr>
    </w:p>
    <w:p>
      <w:pPr>
        <w:ind w:left="1740" w:hanging="312"/>
        <w:spacing w:after="0"/>
        <w:tabs>
          <w:tab w:leader="none" w:pos="17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1" w:lineRule="exact"/>
        <w:rPr>
          <w:rFonts w:ascii="Arial" w:cs="Arial" w:eastAsia="Arial" w:hAnsi="Arial"/>
          <w:sz w:val="18"/>
          <w:szCs w:val="18"/>
          <w:color w:val="auto"/>
        </w:rPr>
      </w:pPr>
    </w:p>
    <w:p>
      <w:pPr>
        <w:ind w:right="20" w:firstLine="987"/>
        <w:spacing w:after="0" w:line="269" w:lineRule="auto"/>
        <w:tabs>
          <w:tab w:leader="none" w:pos="1246" w:val="left"/>
        </w:tabs>
        <w:numPr>
          <w:ilvl w:val="0"/>
          <w:numId w:val="190"/>
        </w:numPr>
        <w:rPr>
          <w:rFonts w:ascii="Arial" w:cs="Arial" w:eastAsia="Arial" w:hAnsi="Arial"/>
          <w:sz w:val="17"/>
          <w:szCs w:val="17"/>
          <w:color w:val="auto"/>
        </w:rPr>
      </w:pPr>
      <w:r>
        <w:rPr>
          <w:rFonts w:ascii="Arial" w:cs="Arial" w:eastAsia="Arial" w:hAnsi="Arial"/>
          <w:sz w:val="17"/>
          <w:szCs w:val="17"/>
          <w:color w:val="auto"/>
        </w:rPr>
        <w:t>For purposes of the DGCL, the certificate of incorporation and these bylaws, (i) “</w:t>
      </w:r>
      <w:r>
        <w:rPr>
          <w:rFonts w:ascii="Arial" w:cs="Arial" w:eastAsia="Arial" w:hAnsi="Arial"/>
          <w:sz w:val="17"/>
          <w:szCs w:val="17"/>
          <w:b w:val="1"/>
          <w:bCs w:val="1"/>
          <w:color w:val="auto"/>
        </w:rPr>
        <w:t>electronic transmission</w:t>
      </w:r>
      <w:r>
        <w:rPr>
          <w:rFonts w:ascii="Arial" w:cs="Arial" w:eastAsia="Arial" w:hAnsi="Arial"/>
          <w:sz w:val="17"/>
          <w:szCs w:val="17"/>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(ii) “</w:t>
      </w:r>
      <w:r>
        <w:rPr>
          <w:rFonts w:ascii="Arial" w:cs="Arial" w:eastAsia="Arial" w:hAnsi="Arial"/>
          <w:sz w:val="17"/>
          <w:szCs w:val="17"/>
          <w:b w:val="1"/>
          <w:bCs w:val="1"/>
          <w:color w:val="auto"/>
        </w:rPr>
        <w:t>electronic mail</w:t>
      </w:r>
      <w:r>
        <w:rPr>
          <w:rFonts w:ascii="Arial" w:cs="Arial" w:eastAsia="Arial" w:hAnsi="Arial"/>
          <w:sz w:val="17"/>
          <w:szCs w:val="17"/>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Company who is available to assist with accessing such files and information), (iii) “</w:t>
      </w:r>
      <w:r>
        <w:rPr>
          <w:rFonts w:ascii="Arial" w:cs="Arial" w:eastAsia="Arial" w:hAnsi="Arial"/>
          <w:sz w:val="17"/>
          <w:szCs w:val="17"/>
          <w:b w:val="1"/>
          <w:bCs w:val="1"/>
          <w:color w:val="auto"/>
        </w:rPr>
        <w:t>electronic mail address</w:t>
      </w:r>
      <w:r>
        <w:rPr>
          <w:rFonts w:ascii="Arial" w:cs="Arial" w:eastAsia="Arial" w:hAnsi="Arial"/>
          <w:sz w:val="17"/>
          <w:szCs w:val="17"/>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 and (iv) “</w:t>
      </w:r>
      <w:r>
        <w:rPr>
          <w:rFonts w:ascii="Arial" w:cs="Arial" w:eastAsia="Arial" w:hAnsi="Arial"/>
          <w:sz w:val="17"/>
          <w:szCs w:val="17"/>
          <w:b w:val="1"/>
          <w:bCs w:val="1"/>
          <w:color w:val="auto"/>
        </w:rPr>
        <w:t>document</w:t>
      </w:r>
      <w:r>
        <w:rPr>
          <w:rFonts w:ascii="Arial" w:cs="Arial" w:eastAsia="Arial" w:hAnsi="Arial"/>
          <w:sz w:val="17"/>
          <w:szCs w:val="17"/>
          <w:color w:val="auto"/>
        </w:rPr>
        <w:t>” means any tangible medium on which information is inscribed, and includes handwritten, typed, printed or similar instruments, and copies of such instruments and an electronic transmission.</w:t>
      </w:r>
    </w:p>
    <w:p>
      <w:pPr>
        <w:spacing w:after="0" w:line="185" w:lineRule="exact"/>
        <w:rPr>
          <w:rFonts w:ascii="Arial" w:cs="Arial" w:eastAsia="Arial" w:hAnsi="Arial"/>
          <w:sz w:val="17"/>
          <w:szCs w:val="17"/>
          <w:color w:val="auto"/>
        </w:rPr>
      </w:pPr>
    </w:p>
    <w:p>
      <w:pPr>
        <w:jc w:val="both"/>
        <w:ind w:firstLine="987"/>
        <w:spacing w:after="0" w:line="259" w:lineRule="auto"/>
        <w:tabs>
          <w:tab w:leader="none" w:pos="123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Notwithstanding the foregoing, a notice may not be given by an electronic transmission from and after the time that (i) the Company is unable to deliver by such electronic transmission two consecutive notices given by the Company and (ii) such inability becomes known to the Secretary or an Assistant Secretary of the Company or to the transfer agent, or other person responsible for the giving of notice;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the inadvertent failure to discover such inability shall not invalidate any meeting or other action.</w:t>
      </w:r>
    </w:p>
    <w:p>
      <w:pPr>
        <w:spacing w:after="0" w:line="186" w:lineRule="exact"/>
        <w:rPr>
          <w:rFonts w:ascii="Arial" w:cs="Arial" w:eastAsia="Arial" w:hAnsi="Arial"/>
          <w:sz w:val="18"/>
          <w:szCs w:val="18"/>
          <w:color w:val="auto"/>
        </w:rPr>
      </w:pPr>
    </w:p>
    <w:p>
      <w:pPr>
        <w:ind w:right="20" w:firstLine="987"/>
        <w:spacing w:after="0" w:line="277" w:lineRule="auto"/>
        <w:tabs>
          <w:tab w:leader="none" w:pos="121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An affidavit of the Secretary or an Assistant Secretary or of the transfer agent or other agent of the Company that notice has been given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66" w:lineRule="exact"/>
        <w:rPr>
          <w:rFonts w:ascii="Arial" w:cs="Arial" w:eastAsia="Arial" w:hAnsi="Arial"/>
          <w:sz w:val="18"/>
          <w:szCs w:val="18"/>
          <w:color w:val="auto"/>
        </w:rPr>
      </w:pPr>
    </w:p>
    <w:p>
      <w:pPr>
        <w:ind w:right="120" w:firstLine="987"/>
        <w:spacing w:after="0" w:line="282" w:lineRule="auto"/>
        <w:tabs>
          <w:tab w:leader="none" w:pos="124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No provision of this </w:t>
      </w:r>
      <w:r>
        <w:rPr>
          <w:rFonts w:ascii="Arial" w:cs="Arial" w:eastAsia="Arial" w:hAnsi="Arial"/>
          <w:sz w:val="18"/>
          <w:szCs w:val="18"/>
          <w:b w:val="1"/>
          <w:bCs w:val="1"/>
          <w:color w:val="auto"/>
        </w:rPr>
        <w:t>section 7.1</w:t>
      </w:r>
      <w:r>
        <w:rPr>
          <w:rFonts w:ascii="Arial" w:cs="Arial" w:eastAsia="Arial" w:hAnsi="Arial"/>
          <w:sz w:val="18"/>
          <w:szCs w:val="18"/>
          <w:color w:val="auto"/>
        </w:rPr>
        <w:t xml:space="preserve">, except for </w:t>
      </w:r>
      <w:r>
        <w:rPr>
          <w:rFonts w:ascii="Arial" w:cs="Arial" w:eastAsia="Arial" w:hAnsi="Arial"/>
          <w:sz w:val="18"/>
          <w:szCs w:val="18"/>
          <w:b w:val="1"/>
          <w:bCs w:val="1"/>
          <w:color w:val="auto"/>
        </w:rPr>
        <w:t>subsections 7.1(a)(i), 7.1(d)(ii) and 7.1(d)(iii)</w:t>
      </w:r>
      <w:r>
        <w:rPr>
          <w:rFonts w:ascii="Arial" w:cs="Arial" w:eastAsia="Arial" w:hAnsi="Arial"/>
          <w:sz w:val="18"/>
          <w:szCs w:val="18"/>
          <w:color w:val="auto"/>
        </w:rPr>
        <w:t>, shall apply to Sections 164, 296, 311, 312 or 324 of the DGCL.</w:t>
      </w:r>
    </w:p>
    <w:p>
      <w:pPr>
        <w:spacing w:after="0" w:line="166"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i w:val="1"/>
          <w:iCs w:val="1"/>
          <w:color w:val="auto"/>
        </w:rPr>
        <w:t>Notice to Stockholders Sharing an Address</w:t>
      </w:r>
      <w:r>
        <w:rPr>
          <w:rFonts w:ascii="Arial" w:cs="Arial" w:eastAsia="Arial" w:hAnsi="Arial"/>
          <w:sz w:val="18"/>
          <w:szCs w:val="18"/>
          <w:color w:val="auto"/>
        </w:rPr>
        <w:t xml:space="preserve"> 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0" w:right="479" w:bottom="1440" w:gutter="0" w:footer="0" w:header="0"/>
        </w:sectPr>
      </w:pPr>
    </w:p>
    <w:bookmarkStart w:id="284" w:name="page285"/>
    <w:bookmarkEnd w:id="284"/>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w:t>
      </w:r>
    </w:p>
    <w:p>
      <w:pPr>
        <w:spacing w:after="0" w:line="184"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i w:val="1"/>
          <w:iCs w:val="1"/>
          <w:color w:val="auto"/>
        </w:rPr>
        <w:t>Notice to Person with Whom Communication is Unlawful</w:t>
      </w:r>
      <w:r>
        <w:rPr>
          <w:rFonts w:ascii="Arial" w:cs="Arial" w:eastAsia="Arial" w:hAnsi="Arial"/>
          <w:sz w:val="18"/>
          <w:szCs w:val="18"/>
          <w:color w:val="auto"/>
        </w:rPr>
        <w:t xml:space="preserve">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9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b w:val="1"/>
          <w:bCs w:val="1"/>
          <w:i w:val="1"/>
          <w:iCs w:val="1"/>
          <w:color w:val="auto"/>
        </w:rPr>
        <w:t>Waiver of Notice</w:t>
      </w:r>
      <w:r>
        <w:rPr>
          <w:rFonts w:ascii="Arial" w:cs="Arial" w:eastAsia="Arial" w:hAnsi="Arial"/>
          <w:sz w:val="17"/>
          <w:szCs w:val="17"/>
          <w:color w:val="auto"/>
        </w:rPr>
        <w:t xml:space="preserve">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 — GENERAL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xml:space="preserve"> The fiscal year of the Company shall be fixed by resolution of the Board and may be changed by the Board.</w:t>
      </w:r>
    </w:p>
    <w:p>
      <w:pPr>
        <w:spacing w:after="0" w:line="225" w:lineRule="exact"/>
        <w:rPr>
          <w:sz w:val="20"/>
          <w:szCs w:val="20"/>
          <w:color w:val="auto"/>
        </w:rPr>
      </w:pPr>
    </w:p>
    <w:p>
      <w:pPr>
        <w:ind w:right="700" w:firstLine="440"/>
        <w:spacing w:after="0" w:line="34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i w:val="1"/>
          <w:iCs w:val="1"/>
          <w:color w:val="auto"/>
        </w:rPr>
        <w:t>Seal</w:t>
      </w:r>
      <w:r>
        <w:rPr>
          <w:rFonts w:ascii="Arial" w:cs="Arial" w:eastAsia="Arial" w:hAnsi="Arial"/>
          <w:sz w:val="16"/>
          <w:szCs w:val="16"/>
          <w:color w:val="auto"/>
        </w:rPr>
        <w:t xml:space="preserve"> The Company may adopt a corporate seal, which shall be in such form as may be approved from time to time by the Board. The Company may use the corporate seal by causing it or a facsimile thereof to be impressed or affixed or in any other manner reproduced.</w:t>
      </w:r>
    </w:p>
    <w:p>
      <w:pPr>
        <w:spacing w:after="0" w:line="12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i w:val="1"/>
          <w:iCs w:val="1"/>
          <w:color w:val="auto"/>
        </w:rPr>
        <w:t>Annual Report</w:t>
      </w:r>
      <w:r>
        <w:rPr>
          <w:rFonts w:ascii="Arial" w:cs="Arial" w:eastAsia="Arial" w:hAnsi="Arial"/>
          <w:sz w:val="18"/>
          <w:szCs w:val="18"/>
          <w:color w:val="auto"/>
        </w:rPr>
        <w:t xml:space="preserve"> The Company shall cause an annual report to be sent to the stockholders of the Company to the extent required by applicable law. If and so long as there are fewer than 100 holders of record of the Company’s shares, the requirement of sending an annual report to the stockholders of the Company is expressly waived (to the extent permitted under applicable law).</w:t>
      </w:r>
    </w:p>
    <w:p>
      <w:pPr>
        <w:spacing w:after="0" w:line="184"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i w:val="1"/>
          <w:iCs w:val="1"/>
          <w:color w:val="auto"/>
        </w:rPr>
        <w:t>Construction; Definitions</w:t>
      </w:r>
      <w:r>
        <w:rPr>
          <w:rFonts w:ascii="Arial" w:cs="Arial" w:eastAsia="Arial" w:hAnsi="Arial"/>
          <w:sz w:val="17"/>
          <w:szCs w:val="17"/>
          <w:color w:val="auto"/>
        </w:rPr>
        <w:t xml:space="preserve">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a corporation, any other entity and a natural person.</w:t>
      </w:r>
    </w:p>
    <w:p>
      <w:pPr>
        <w:spacing w:after="0" w:line="165" w:lineRule="exact"/>
        <w:rPr>
          <w:sz w:val="20"/>
          <w:szCs w:val="20"/>
          <w:color w:val="auto"/>
        </w:rPr>
      </w:pPr>
    </w:p>
    <w:p>
      <w:pPr>
        <w:jc w:val="both"/>
        <w:ind w:right="200" w:firstLine="440"/>
        <w:spacing w:after="0" w:line="286"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b w:val="1"/>
          <w:bCs w:val="1"/>
          <w:i w:val="1"/>
          <w:iCs w:val="1"/>
          <w:color w:val="auto"/>
        </w:rPr>
        <w:t>Forum Selection</w:t>
      </w:r>
      <w:r>
        <w:rPr>
          <w:rFonts w:ascii="Arial" w:cs="Arial" w:eastAsia="Arial" w:hAnsi="Arial"/>
          <w:sz w:val="17"/>
          <w:szCs w:val="17"/>
          <w:color w:val="auto"/>
        </w:rPr>
        <w:t xml:space="preserve"> To the fullest extent permitted by applicable law, 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85" w:name="page286"/>
    <w:bookmarkEnd w:id="28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 To the fullest extent permitted by applicable law, unless the company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or holding any interest in any security of the Company shall be deemed to have notice of and consented to the provisions of this </w:t>
      </w:r>
      <w:r>
        <w:rPr>
          <w:rFonts w:ascii="Arial" w:cs="Arial" w:eastAsia="Arial" w:hAnsi="Arial"/>
          <w:sz w:val="16"/>
          <w:szCs w:val="16"/>
          <w:b w:val="1"/>
          <w:bCs w:val="1"/>
          <w:color w:val="auto"/>
        </w:rPr>
        <w:t>section 8.5</w:t>
      </w:r>
      <w:r>
        <w:rPr>
          <w:rFonts w:ascii="Arial" w:cs="Arial" w:eastAsia="Arial" w:hAnsi="Arial"/>
          <w:sz w:val="16"/>
          <w:szCs w:val="16"/>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 AMENDMENTS</w:t>
      </w:r>
    </w:p>
    <w:p>
      <w:pPr>
        <w:spacing w:after="0" w:line="229"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These bylaws may be adopted, amended or repealed by the stockholders entitled to vote. However, the Company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84"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A bylaw amendment adopted by stockholders which specifies the votes that shall be necessary for the election of directors shall not be further amended or repealed by the Board.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3.4</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AMENDED AND RESTATED BYLAWS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(initially adopted on April 1, 2020)</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(as amended on ____________ __, 2020 and effective as of the</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closing of the corporation’s initial public offering)</w:t>
      </w:r>
    </w:p>
    <w:p>
      <w:pPr>
        <w:sectPr>
          <w:pgSz w:w="11900" w:h="16838" w:orient="portrait"/>
          <w:cols w:equalWidth="0" w:num="1">
            <w:col w:w="10020"/>
          </w:cols>
          <w:pgMar w:left="1440" w:top="121" w:right="439" w:bottom="1440" w:gutter="0" w:footer="0" w:header="0"/>
        </w:sectPr>
      </w:pPr>
    </w:p>
    <w:bookmarkStart w:id="287" w:name="page288"/>
    <w:bookmarkEnd w:id="287"/>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7980" w:type="dxa"/>
            <w:vAlign w:val="bottom"/>
          </w:tcPr>
          <w:p>
            <w:pPr>
              <w:ind w:left="372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r>
      <w:tr>
        <w:trPr>
          <w:trHeight w:val="377"/>
        </w:trPr>
        <w:tc>
          <w:tcPr>
            <w:tcW w:w="8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4"/>
                <w:szCs w:val="14"/>
                <w:i w:val="1"/>
                <w:iCs w:val="1"/>
                <w:color w:val="auto"/>
              </w:rPr>
              <w:t>Page</w:t>
            </w:r>
          </w:p>
        </w:tc>
      </w:tr>
      <w:tr>
        <w:trPr>
          <w:trHeight w:val="230"/>
        </w:trPr>
        <w:tc>
          <w:tcPr>
            <w:tcW w:w="8800" w:type="dxa"/>
            <w:vAlign w:val="bottom"/>
            <w:gridSpan w:val="2"/>
          </w:tcPr>
          <w:p>
            <w:pPr>
              <w:spacing w:after="0"/>
              <w:rPr>
                <w:sz w:val="20"/>
                <w:szCs w:val="20"/>
                <w:color w:val="auto"/>
              </w:rPr>
            </w:pPr>
            <w:r>
              <w:rPr>
                <w:rFonts w:ascii="Arial" w:cs="Arial" w:eastAsia="Arial" w:hAnsi="Arial"/>
                <w:sz w:val="18"/>
                <w:szCs w:val="18"/>
                <w:color w:val="auto"/>
              </w:rPr>
              <w:t>ARTICLE I - CORPORATE OFFICES</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1.1</w:t>
            </w:r>
          </w:p>
        </w:tc>
        <w:tc>
          <w:tcPr>
            <w:tcW w:w="7980" w:type="dxa"/>
            <w:vAlign w:val="bottom"/>
          </w:tcPr>
          <w:p>
            <w:pPr>
              <w:ind w:left="140"/>
              <w:spacing w:after="0"/>
              <w:rPr>
                <w:sz w:val="20"/>
                <w:szCs w:val="20"/>
                <w:color w:val="auto"/>
              </w:rPr>
            </w:pPr>
            <w:r>
              <w:rPr>
                <w:rFonts w:ascii="Arial" w:cs="Arial" w:eastAsia="Arial" w:hAnsi="Arial"/>
                <w:sz w:val="18"/>
                <w:szCs w:val="18"/>
                <w:color w:val="auto"/>
              </w:rPr>
              <w:t>REGISTERED OFFICE</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1.2</w:t>
            </w:r>
          </w:p>
        </w:tc>
        <w:tc>
          <w:tcPr>
            <w:tcW w:w="7980" w:type="dxa"/>
            <w:vAlign w:val="bottom"/>
          </w:tcPr>
          <w:p>
            <w:pPr>
              <w:ind w:left="140"/>
              <w:spacing w:after="0"/>
              <w:rPr>
                <w:sz w:val="20"/>
                <w:szCs w:val="20"/>
                <w:color w:val="auto"/>
              </w:rPr>
            </w:pPr>
            <w:r>
              <w:rPr>
                <w:rFonts w:ascii="Arial" w:cs="Arial" w:eastAsia="Arial" w:hAnsi="Arial"/>
                <w:sz w:val="18"/>
                <w:szCs w:val="18"/>
                <w:color w:val="auto"/>
              </w:rPr>
              <w:t>OTHER OFFICES</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ARTICLE II - MEETINGS OF STOCKHOLDERS</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2.1</w:t>
            </w:r>
          </w:p>
        </w:tc>
        <w:tc>
          <w:tcPr>
            <w:tcW w:w="7980" w:type="dxa"/>
            <w:vAlign w:val="bottom"/>
          </w:tcPr>
          <w:p>
            <w:pPr>
              <w:ind w:left="140"/>
              <w:spacing w:after="0"/>
              <w:rPr>
                <w:sz w:val="20"/>
                <w:szCs w:val="20"/>
                <w:color w:val="auto"/>
              </w:rPr>
            </w:pPr>
            <w:r>
              <w:rPr>
                <w:rFonts w:ascii="Arial" w:cs="Arial" w:eastAsia="Arial" w:hAnsi="Arial"/>
                <w:sz w:val="18"/>
                <w:szCs w:val="18"/>
                <w:color w:val="auto"/>
              </w:rPr>
              <w:t>PLACE OF MEETINGS</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2.2</w:t>
            </w:r>
          </w:p>
        </w:tc>
        <w:tc>
          <w:tcPr>
            <w:tcW w:w="7980" w:type="dxa"/>
            <w:vAlign w:val="bottom"/>
          </w:tcPr>
          <w:p>
            <w:pPr>
              <w:ind w:left="140"/>
              <w:spacing w:after="0"/>
              <w:rPr>
                <w:sz w:val="20"/>
                <w:szCs w:val="20"/>
                <w:color w:val="auto"/>
              </w:rPr>
            </w:pPr>
            <w:r>
              <w:rPr>
                <w:rFonts w:ascii="Arial" w:cs="Arial" w:eastAsia="Arial" w:hAnsi="Arial"/>
                <w:sz w:val="18"/>
                <w:szCs w:val="18"/>
                <w:color w:val="auto"/>
              </w:rPr>
              <w:t>ANNUAL MEETING</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2.3</w:t>
            </w:r>
          </w:p>
        </w:tc>
        <w:tc>
          <w:tcPr>
            <w:tcW w:w="7980" w:type="dxa"/>
            <w:vAlign w:val="bottom"/>
          </w:tcPr>
          <w:p>
            <w:pPr>
              <w:ind w:left="140"/>
              <w:spacing w:after="0"/>
              <w:rPr>
                <w:sz w:val="20"/>
                <w:szCs w:val="20"/>
                <w:color w:val="auto"/>
              </w:rPr>
            </w:pPr>
            <w:r>
              <w:rPr>
                <w:rFonts w:ascii="Arial" w:cs="Arial" w:eastAsia="Arial" w:hAnsi="Arial"/>
                <w:sz w:val="18"/>
                <w:szCs w:val="18"/>
                <w:color w:val="auto"/>
              </w:rPr>
              <w:t>SPECIAL MEETING</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2.4</w:t>
            </w:r>
          </w:p>
        </w:tc>
        <w:tc>
          <w:tcPr>
            <w:tcW w:w="7980" w:type="dxa"/>
            <w:vAlign w:val="bottom"/>
          </w:tcPr>
          <w:p>
            <w:pPr>
              <w:ind w:left="140"/>
              <w:spacing w:after="0"/>
              <w:rPr>
                <w:sz w:val="20"/>
                <w:szCs w:val="20"/>
                <w:color w:val="auto"/>
              </w:rPr>
            </w:pPr>
            <w:r>
              <w:rPr>
                <w:rFonts w:ascii="Arial" w:cs="Arial" w:eastAsia="Arial" w:hAnsi="Arial"/>
                <w:sz w:val="18"/>
                <w:szCs w:val="18"/>
                <w:color w:val="auto"/>
              </w:rPr>
              <w:t>ADVANCE NOTICE PROCEDURES</w:t>
            </w:r>
          </w:p>
        </w:tc>
        <w:tc>
          <w:tcPr>
            <w:tcW w:w="2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2.5</w:t>
            </w:r>
          </w:p>
        </w:tc>
        <w:tc>
          <w:tcPr>
            <w:tcW w:w="7980" w:type="dxa"/>
            <w:vAlign w:val="bottom"/>
          </w:tcPr>
          <w:p>
            <w:pPr>
              <w:ind w:left="140"/>
              <w:spacing w:after="0"/>
              <w:rPr>
                <w:sz w:val="20"/>
                <w:szCs w:val="20"/>
                <w:color w:val="auto"/>
              </w:rPr>
            </w:pPr>
            <w:r>
              <w:rPr>
                <w:rFonts w:ascii="Arial" w:cs="Arial" w:eastAsia="Arial" w:hAnsi="Arial"/>
                <w:sz w:val="18"/>
                <w:szCs w:val="18"/>
                <w:color w:val="auto"/>
              </w:rPr>
              <w:t>NOTICE OF STOCKHOLDERS’ MEETINGS</w:t>
            </w:r>
          </w:p>
        </w:tc>
        <w:tc>
          <w:tcPr>
            <w:tcW w:w="2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2.6</w:t>
            </w:r>
          </w:p>
        </w:tc>
        <w:tc>
          <w:tcPr>
            <w:tcW w:w="7980" w:type="dxa"/>
            <w:vAlign w:val="bottom"/>
          </w:tcPr>
          <w:p>
            <w:pPr>
              <w:ind w:left="140"/>
              <w:spacing w:after="0"/>
              <w:rPr>
                <w:sz w:val="20"/>
                <w:szCs w:val="20"/>
                <w:color w:val="auto"/>
              </w:rPr>
            </w:pPr>
            <w:r>
              <w:rPr>
                <w:rFonts w:ascii="Arial" w:cs="Arial" w:eastAsia="Arial" w:hAnsi="Arial"/>
                <w:sz w:val="18"/>
                <w:szCs w:val="18"/>
                <w:color w:val="auto"/>
              </w:rPr>
              <w:t>QUORUM</w:t>
            </w:r>
          </w:p>
        </w:tc>
        <w:tc>
          <w:tcPr>
            <w:tcW w:w="2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2.7</w:t>
            </w:r>
          </w:p>
        </w:tc>
        <w:tc>
          <w:tcPr>
            <w:tcW w:w="7980" w:type="dxa"/>
            <w:vAlign w:val="bottom"/>
          </w:tcPr>
          <w:p>
            <w:pPr>
              <w:ind w:left="140"/>
              <w:spacing w:after="0"/>
              <w:rPr>
                <w:sz w:val="20"/>
                <w:szCs w:val="20"/>
                <w:color w:val="auto"/>
              </w:rPr>
            </w:pPr>
            <w:r>
              <w:rPr>
                <w:rFonts w:ascii="Arial" w:cs="Arial" w:eastAsia="Arial" w:hAnsi="Arial"/>
                <w:sz w:val="18"/>
                <w:szCs w:val="18"/>
                <w:color w:val="auto"/>
              </w:rPr>
              <w:t>ADJOURNED MEETING; NOTICE</w:t>
            </w:r>
          </w:p>
        </w:tc>
        <w:tc>
          <w:tcPr>
            <w:tcW w:w="2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2.8</w:t>
            </w:r>
          </w:p>
        </w:tc>
        <w:tc>
          <w:tcPr>
            <w:tcW w:w="7980" w:type="dxa"/>
            <w:vAlign w:val="bottom"/>
          </w:tcPr>
          <w:p>
            <w:pPr>
              <w:ind w:left="140"/>
              <w:spacing w:after="0"/>
              <w:rPr>
                <w:sz w:val="20"/>
                <w:szCs w:val="20"/>
                <w:color w:val="auto"/>
              </w:rPr>
            </w:pPr>
            <w:r>
              <w:rPr>
                <w:rFonts w:ascii="Arial" w:cs="Arial" w:eastAsia="Arial" w:hAnsi="Arial"/>
                <w:sz w:val="18"/>
                <w:szCs w:val="18"/>
                <w:color w:val="auto"/>
              </w:rPr>
              <w:t>CONDUCT OF BUSINESS</w:t>
            </w:r>
          </w:p>
        </w:tc>
        <w:tc>
          <w:tcPr>
            <w:tcW w:w="2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2.9</w:t>
            </w:r>
          </w:p>
        </w:tc>
        <w:tc>
          <w:tcPr>
            <w:tcW w:w="7980" w:type="dxa"/>
            <w:vAlign w:val="bottom"/>
          </w:tcPr>
          <w:p>
            <w:pPr>
              <w:ind w:left="140"/>
              <w:spacing w:after="0"/>
              <w:rPr>
                <w:sz w:val="20"/>
                <w:szCs w:val="20"/>
                <w:color w:val="auto"/>
              </w:rPr>
            </w:pPr>
            <w:r>
              <w:rPr>
                <w:rFonts w:ascii="Arial" w:cs="Arial" w:eastAsia="Arial" w:hAnsi="Arial"/>
                <w:sz w:val="18"/>
                <w:szCs w:val="18"/>
                <w:color w:val="auto"/>
              </w:rPr>
              <w:t>VOTING</w:t>
            </w:r>
          </w:p>
        </w:tc>
        <w:tc>
          <w:tcPr>
            <w:tcW w:w="2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2.10</w:t>
            </w:r>
          </w:p>
        </w:tc>
        <w:tc>
          <w:tcPr>
            <w:tcW w:w="7980" w:type="dxa"/>
            <w:vAlign w:val="bottom"/>
          </w:tcPr>
          <w:p>
            <w:pPr>
              <w:ind w:left="140"/>
              <w:spacing w:after="0"/>
              <w:rPr>
                <w:sz w:val="20"/>
                <w:szCs w:val="20"/>
                <w:color w:val="auto"/>
              </w:rPr>
            </w:pPr>
            <w:r>
              <w:rPr>
                <w:rFonts w:ascii="Arial" w:cs="Arial" w:eastAsia="Arial" w:hAnsi="Arial"/>
                <w:sz w:val="18"/>
                <w:szCs w:val="18"/>
                <w:color w:val="auto"/>
              </w:rPr>
              <w:t>STOCKHOLDER ACTION BY WRITTEN CONSENT WITHOUT A MEETING</w:t>
            </w:r>
          </w:p>
        </w:tc>
        <w:tc>
          <w:tcPr>
            <w:tcW w:w="2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2.11</w:t>
            </w:r>
          </w:p>
        </w:tc>
        <w:tc>
          <w:tcPr>
            <w:tcW w:w="7980" w:type="dxa"/>
            <w:vAlign w:val="bottom"/>
          </w:tcPr>
          <w:p>
            <w:pPr>
              <w:ind w:left="140"/>
              <w:spacing w:after="0"/>
              <w:rPr>
                <w:sz w:val="20"/>
                <w:szCs w:val="20"/>
                <w:color w:val="auto"/>
              </w:rPr>
            </w:pPr>
            <w:r>
              <w:rPr>
                <w:rFonts w:ascii="Arial" w:cs="Arial" w:eastAsia="Arial" w:hAnsi="Arial"/>
                <w:sz w:val="18"/>
                <w:szCs w:val="18"/>
                <w:color w:val="auto"/>
              </w:rPr>
              <w:t>RECORD DATES</w:t>
            </w:r>
          </w:p>
        </w:tc>
        <w:tc>
          <w:tcPr>
            <w:tcW w:w="2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2.12</w:t>
            </w:r>
          </w:p>
        </w:tc>
        <w:tc>
          <w:tcPr>
            <w:tcW w:w="7980" w:type="dxa"/>
            <w:vAlign w:val="bottom"/>
          </w:tcPr>
          <w:p>
            <w:pPr>
              <w:ind w:left="140"/>
              <w:spacing w:after="0"/>
              <w:rPr>
                <w:sz w:val="20"/>
                <w:szCs w:val="20"/>
                <w:color w:val="auto"/>
              </w:rPr>
            </w:pPr>
            <w:r>
              <w:rPr>
                <w:rFonts w:ascii="Arial" w:cs="Arial" w:eastAsia="Arial" w:hAnsi="Arial"/>
                <w:sz w:val="18"/>
                <w:szCs w:val="18"/>
                <w:color w:val="auto"/>
              </w:rPr>
              <w:t>PROXIES</w:t>
            </w:r>
          </w:p>
        </w:tc>
        <w:tc>
          <w:tcPr>
            <w:tcW w:w="2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2.13</w:t>
            </w:r>
          </w:p>
        </w:tc>
        <w:tc>
          <w:tcPr>
            <w:tcW w:w="7980" w:type="dxa"/>
            <w:vAlign w:val="bottom"/>
          </w:tcPr>
          <w:p>
            <w:pPr>
              <w:ind w:left="140"/>
              <w:spacing w:after="0"/>
              <w:rPr>
                <w:sz w:val="20"/>
                <w:szCs w:val="20"/>
                <w:color w:val="auto"/>
              </w:rPr>
            </w:pPr>
            <w:r>
              <w:rPr>
                <w:rFonts w:ascii="Arial" w:cs="Arial" w:eastAsia="Arial" w:hAnsi="Arial"/>
                <w:sz w:val="18"/>
                <w:szCs w:val="18"/>
                <w:color w:val="auto"/>
              </w:rPr>
              <w:t>LIST OF STOCKHOLDERS ENTITLED TO VOTE</w:t>
            </w:r>
          </w:p>
        </w:tc>
        <w:tc>
          <w:tcPr>
            <w:tcW w:w="2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2.14</w:t>
            </w:r>
          </w:p>
        </w:tc>
        <w:tc>
          <w:tcPr>
            <w:tcW w:w="7980" w:type="dxa"/>
            <w:vAlign w:val="bottom"/>
          </w:tcPr>
          <w:p>
            <w:pPr>
              <w:ind w:left="140"/>
              <w:spacing w:after="0"/>
              <w:rPr>
                <w:sz w:val="20"/>
                <w:szCs w:val="20"/>
                <w:color w:val="auto"/>
              </w:rPr>
            </w:pPr>
            <w:r>
              <w:rPr>
                <w:rFonts w:ascii="Arial" w:cs="Arial" w:eastAsia="Arial" w:hAnsi="Arial"/>
                <w:sz w:val="18"/>
                <w:szCs w:val="18"/>
                <w:color w:val="auto"/>
              </w:rPr>
              <w:t>INSPECTORS OF ELECTION</w:t>
            </w:r>
          </w:p>
        </w:tc>
        <w:tc>
          <w:tcPr>
            <w:tcW w:w="2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ARTICLE III - DIRECTORS</w:t>
            </w:r>
          </w:p>
        </w:tc>
        <w:tc>
          <w:tcPr>
            <w:tcW w:w="2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3.1</w:t>
            </w:r>
          </w:p>
        </w:tc>
        <w:tc>
          <w:tcPr>
            <w:tcW w:w="7980" w:type="dxa"/>
            <w:vAlign w:val="bottom"/>
          </w:tcPr>
          <w:p>
            <w:pPr>
              <w:ind w:left="140"/>
              <w:spacing w:after="0"/>
              <w:rPr>
                <w:sz w:val="20"/>
                <w:szCs w:val="20"/>
                <w:color w:val="auto"/>
              </w:rPr>
            </w:pPr>
            <w:r>
              <w:rPr>
                <w:rFonts w:ascii="Arial" w:cs="Arial" w:eastAsia="Arial" w:hAnsi="Arial"/>
                <w:sz w:val="18"/>
                <w:szCs w:val="18"/>
                <w:color w:val="auto"/>
              </w:rPr>
              <w:t>POWERS</w:t>
            </w:r>
          </w:p>
        </w:tc>
        <w:tc>
          <w:tcPr>
            <w:tcW w:w="2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3.2</w:t>
            </w:r>
          </w:p>
        </w:tc>
        <w:tc>
          <w:tcPr>
            <w:tcW w:w="7980" w:type="dxa"/>
            <w:vAlign w:val="bottom"/>
          </w:tcPr>
          <w:p>
            <w:pPr>
              <w:ind w:left="140"/>
              <w:spacing w:after="0"/>
              <w:rPr>
                <w:sz w:val="20"/>
                <w:szCs w:val="20"/>
                <w:color w:val="auto"/>
              </w:rPr>
            </w:pPr>
            <w:r>
              <w:rPr>
                <w:rFonts w:ascii="Arial" w:cs="Arial" w:eastAsia="Arial" w:hAnsi="Arial"/>
                <w:sz w:val="18"/>
                <w:szCs w:val="18"/>
                <w:color w:val="auto"/>
              </w:rPr>
              <w:t>NUMBER OF DIRECTORS</w:t>
            </w:r>
          </w:p>
        </w:tc>
        <w:tc>
          <w:tcPr>
            <w:tcW w:w="2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3.3</w:t>
            </w:r>
          </w:p>
        </w:tc>
        <w:tc>
          <w:tcPr>
            <w:tcW w:w="7980" w:type="dxa"/>
            <w:vAlign w:val="bottom"/>
          </w:tcPr>
          <w:p>
            <w:pPr>
              <w:ind w:left="140"/>
              <w:spacing w:after="0"/>
              <w:rPr>
                <w:sz w:val="20"/>
                <w:szCs w:val="20"/>
                <w:color w:val="auto"/>
              </w:rPr>
            </w:pPr>
            <w:r>
              <w:rPr>
                <w:rFonts w:ascii="Arial" w:cs="Arial" w:eastAsia="Arial" w:hAnsi="Arial"/>
                <w:sz w:val="18"/>
                <w:szCs w:val="18"/>
                <w:color w:val="auto"/>
              </w:rPr>
              <w:t>ELECTION, QUALIFICATION AND TERM OF OFFICE OF DIRECTORS</w:t>
            </w:r>
          </w:p>
        </w:tc>
        <w:tc>
          <w:tcPr>
            <w:tcW w:w="2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3.4</w:t>
            </w:r>
          </w:p>
        </w:tc>
        <w:tc>
          <w:tcPr>
            <w:tcW w:w="7980" w:type="dxa"/>
            <w:vAlign w:val="bottom"/>
          </w:tcPr>
          <w:p>
            <w:pPr>
              <w:ind w:left="140"/>
              <w:spacing w:after="0"/>
              <w:rPr>
                <w:sz w:val="20"/>
                <w:szCs w:val="20"/>
                <w:color w:val="auto"/>
              </w:rPr>
            </w:pPr>
            <w:r>
              <w:rPr>
                <w:rFonts w:ascii="Arial" w:cs="Arial" w:eastAsia="Arial" w:hAnsi="Arial"/>
                <w:sz w:val="18"/>
                <w:szCs w:val="18"/>
                <w:color w:val="auto"/>
              </w:rPr>
              <w:t>RESIGNATION AND VACANCIES</w:t>
            </w:r>
          </w:p>
        </w:tc>
        <w:tc>
          <w:tcPr>
            <w:tcW w:w="2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3.5</w:t>
            </w:r>
          </w:p>
        </w:tc>
        <w:tc>
          <w:tcPr>
            <w:tcW w:w="7980" w:type="dxa"/>
            <w:vAlign w:val="bottom"/>
          </w:tcPr>
          <w:p>
            <w:pPr>
              <w:ind w:left="140"/>
              <w:spacing w:after="0"/>
              <w:rPr>
                <w:sz w:val="20"/>
                <w:szCs w:val="20"/>
                <w:color w:val="auto"/>
              </w:rPr>
            </w:pPr>
            <w:r>
              <w:rPr>
                <w:rFonts w:ascii="Arial" w:cs="Arial" w:eastAsia="Arial" w:hAnsi="Arial"/>
                <w:sz w:val="18"/>
                <w:szCs w:val="18"/>
                <w:color w:val="auto"/>
              </w:rPr>
              <w:t>PLACE OF MEETINGS; MEETINGS BY TELEPHONE</w:t>
            </w:r>
          </w:p>
        </w:tc>
        <w:tc>
          <w:tcPr>
            <w:tcW w:w="2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3.6</w:t>
            </w:r>
          </w:p>
        </w:tc>
        <w:tc>
          <w:tcPr>
            <w:tcW w:w="7980" w:type="dxa"/>
            <w:vAlign w:val="bottom"/>
          </w:tcPr>
          <w:p>
            <w:pPr>
              <w:ind w:left="140"/>
              <w:spacing w:after="0"/>
              <w:rPr>
                <w:sz w:val="20"/>
                <w:szCs w:val="20"/>
                <w:color w:val="auto"/>
              </w:rPr>
            </w:pPr>
            <w:r>
              <w:rPr>
                <w:rFonts w:ascii="Arial" w:cs="Arial" w:eastAsia="Arial" w:hAnsi="Arial"/>
                <w:sz w:val="18"/>
                <w:szCs w:val="18"/>
                <w:color w:val="auto"/>
              </w:rPr>
              <w:t>REGULAR MEETINGS</w:t>
            </w:r>
          </w:p>
        </w:tc>
        <w:tc>
          <w:tcPr>
            <w:tcW w:w="2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3.7</w:t>
            </w:r>
          </w:p>
        </w:tc>
        <w:tc>
          <w:tcPr>
            <w:tcW w:w="7980" w:type="dxa"/>
            <w:vAlign w:val="bottom"/>
          </w:tcPr>
          <w:p>
            <w:pPr>
              <w:ind w:left="140"/>
              <w:spacing w:after="0"/>
              <w:rPr>
                <w:sz w:val="20"/>
                <w:szCs w:val="20"/>
                <w:color w:val="auto"/>
              </w:rPr>
            </w:pPr>
            <w:r>
              <w:rPr>
                <w:rFonts w:ascii="Arial" w:cs="Arial" w:eastAsia="Arial" w:hAnsi="Arial"/>
                <w:sz w:val="18"/>
                <w:szCs w:val="18"/>
                <w:color w:val="auto"/>
              </w:rPr>
              <w:t>SPECIAL MEETINGS; NOTICE</w:t>
            </w:r>
          </w:p>
        </w:tc>
        <w:tc>
          <w:tcPr>
            <w:tcW w:w="2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3.8</w:t>
            </w:r>
          </w:p>
        </w:tc>
        <w:tc>
          <w:tcPr>
            <w:tcW w:w="7980" w:type="dxa"/>
            <w:vAlign w:val="bottom"/>
          </w:tcPr>
          <w:p>
            <w:pPr>
              <w:ind w:left="140"/>
              <w:spacing w:after="0"/>
              <w:rPr>
                <w:sz w:val="20"/>
                <w:szCs w:val="20"/>
                <w:color w:val="auto"/>
              </w:rPr>
            </w:pPr>
            <w:r>
              <w:rPr>
                <w:rFonts w:ascii="Arial" w:cs="Arial" w:eastAsia="Arial" w:hAnsi="Arial"/>
                <w:sz w:val="18"/>
                <w:szCs w:val="18"/>
                <w:color w:val="auto"/>
              </w:rPr>
              <w:t>QUORUM; VOTING</w:t>
            </w:r>
          </w:p>
        </w:tc>
        <w:tc>
          <w:tcPr>
            <w:tcW w:w="2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3.9</w:t>
            </w:r>
          </w:p>
        </w:tc>
        <w:tc>
          <w:tcPr>
            <w:tcW w:w="7980" w:type="dxa"/>
            <w:vAlign w:val="bottom"/>
          </w:tcPr>
          <w:p>
            <w:pPr>
              <w:ind w:left="140"/>
              <w:spacing w:after="0"/>
              <w:rPr>
                <w:sz w:val="20"/>
                <w:szCs w:val="20"/>
                <w:color w:val="auto"/>
              </w:rPr>
            </w:pPr>
            <w:r>
              <w:rPr>
                <w:rFonts w:ascii="Arial" w:cs="Arial" w:eastAsia="Arial" w:hAnsi="Arial"/>
                <w:sz w:val="18"/>
                <w:szCs w:val="18"/>
                <w:color w:val="auto"/>
              </w:rPr>
              <w:t>BOARD ACTION BY WRITTEN CONSENT WITHOUT A MEETING</w:t>
            </w:r>
          </w:p>
        </w:tc>
        <w:tc>
          <w:tcPr>
            <w:tcW w:w="2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3.10</w:t>
            </w:r>
          </w:p>
        </w:tc>
        <w:tc>
          <w:tcPr>
            <w:tcW w:w="7980" w:type="dxa"/>
            <w:vAlign w:val="bottom"/>
          </w:tcPr>
          <w:p>
            <w:pPr>
              <w:ind w:left="140"/>
              <w:spacing w:after="0"/>
              <w:rPr>
                <w:sz w:val="20"/>
                <w:szCs w:val="20"/>
                <w:color w:val="auto"/>
              </w:rPr>
            </w:pPr>
            <w:r>
              <w:rPr>
                <w:rFonts w:ascii="Arial" w:cs="Arial" w:eastAsia="Arial" w:hAnsi="Arial"/>
                <w:sz w:val="18"/>
                <w:szCs w:val="18"/>
                <w:color w:val="auto"/>
              </w:rPr>
              <w:t>FEES AND COMPENSATION OF DIRECTORS</w:t>
            </w:r>
          </w:p>
        </w:tc>
        <w:tc>
          <w:tcPr>
            <w:tcW w:w="2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3.11</w:t>
            </w:r>
          </w:p>
        </w:tc>
        <w:tc>
          <w:tcPr>
            <w:tcW w:w="7980" w:type="dxa"/>
            <w:vAlign w:val="bottom"/>
          </w:tcPr>
          <w:p>
            <w:pPr>
              <w:ind w:left="140"/>
              <w:spacing w:after="0"/>
              <w:rPr>
                <w:sz w:val="20"/>
                <w:szCs w:val="20"/>
                <w:color w:val="auto"/>
              </w:rPr>
            </w:pPr>
            <w:r>
              <w:rPr>
                <w:rFonts w:ascii="Arial" w:cs="Arial" w:eastAsia="Arial" w:hAnsi="Arial"/>
                <w:sz w:val="18"/>
                <w:szCs w:val="18"/>
                <w:color w:val="auto"/>
              </w:rPr>
              <w:t>REMOVAL OF DIRECTORS</w:t>
            </w:r>
          </w:p>
        </w:tc>
        <w:tc>
          <w:tcPr>
            <w:tcW w:w="2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ARTICLE IV - COMMITTEES</w:t>
            </w:r>
          </w:p>
        </w:tc>
        <w:tc>
          <w:tcPr>
            <w:tcW w:w="2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4.1</w:t>
            </w:r>
          </w:p>
        </w:tc>
        <w:tc>
          <w:tcPr>
            <w:tcW w:w="7980" w:type="dxa"/>
            <w:vAlign w:val="bottom"/>
          </w:tcPr>
          <w:p>
            <w:pPr>
              <w:ind w:left="140"/>
              <w:spacing w:after="0"/>
              <w:rPr>
                <w:sz w:val="20"/>
                <w:szCs w:val="20"/>
                <w:color w:val="auto"/>
              </w:rPr>
            </w:pPr>
            <w:r>
              <w:rPr>
                <w:rFonts w:ascii="Arial" w:cs="Arial" w:eastAsia="Arial" w:hAnsi="Arial"/>
                <w:sz w:val="18"/>
                <w:szCs w:val="18"/>
                <w:color w:val="auto"/>
              </w:rPr>
              <w:t>COMMITTEES OF DIRECTORS</w:t>
            </w:r>
          </w:p>
        </w:tc>
        <w:tc>
          <w:tcPr>
            <w:tcW w:w="2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4.2</w:t>
            </w:r>
          </w:p>
        </w:tc>
        <w:tc>
          <w:tcPr>
            <w:tcW w:w="7980" w:type="dxa"/>
            <w:vAlign w:val="bottom"/>
          </w:tcPr>
          <w:p>
            <w:pPr>
              <w:ind w:left="140"/>
              <w:spacing w:after="0"/>
              <w:rPr>
                <w:sz w:val="20"/>
                <w:szCs w:val="20"/>
                <w:color w:val="auto"/>
              </w:rPr>
            </w:pPr>
            <w:r>
              <w:rPr>
                <w:rFonts w:ascii="Arial" w:cs="Arial" w:eastAsia="Arial" w:hAnsi="Arial"/>
                <w:sz w:val="18"/>
                <w:szCs w:val="18"/>
                <w:color w:val="auto"/>
              </w:rPr>
              <w:t>COMMITTEE MINUTES</w:t>
            </w:r>
          </w:p>
        </w:tc>
        <w:tc>
          <w:tcPr>
            <w:tcW w:w="2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4.3</w:t>
            </w:r>
          </w:p>
        </w:tc>
        <w:tc>
          <w:tcPr>
            <w:tcW w:w="7980" w:type="dxa"/>
            <w:vAlign w:val="bottom"/>
          </w:tcPr>
          <w:p>
            <w:pPr>
              <w:ind w:left="140"/>
              <w:spacing w:after="0"/>
              <w:rPr>
                <w:sz w:val="20"/>
                <w:szCs w:val="20"/>
                <w:color w:val="auto"/>
              </w:rPr>
            </w:pPr>
            <w:r>
              <w:rPr>
                <w:rFonts w:ascii="Arial" w:cs="Arial" w:eastAsia="Arial" w:hAnsi="Arial"/>
                <w:sz w:val="18"/>
                <w:szCs w:val="18"/>
                <w:color w:val="auto"/>
              </w:rPr>
              <w:t>MEETINGS AND ACTION OF COMMITTEES</w:t>
            </w:r>
          </w:p>
        </w:tc>
        <w:tc>
          <w:tcPr>
            <w:tcW w:w="2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4.4</w:t>
            </w:r>
          </w:p>
        </w:tc>
        <w:tc>
          <w:tcPr>
            <w:tcW w:w="7980" w:type="dxa"/>
            <w:vAlign w:val="bottom"/>
          </w:tcPr>
          <w:p>
            <w:pPr>
              <w:ind w:left="140"/>
              <w:spacing w:after="0"/>
              <w:rPr>
                <w:sz w:val="20"/>
                <w:szCs w:val="20"/>
                <w:color w:val="auto"/>
              </w:rPr>
            </w:pPr>
            <w:r>
              <w:rPr>
                <w:rFonts w:ascii="Arial" w:cs="Arial" w:eastAsia="Arial" w:hAnsi="Arial"/>
                <w:sz w:val="18"/>
                <w:szCs w:val="18"/>
                <w:color w:val="auto"/>
              </w:rPr>
              <w:t>SUBCOMMITTEES</w:t>
            </w:r>
          </w:p>
        </w:tc>
        <w:tc>
          <w:tcPr>
            <w:tcW w:w="2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ARTICLE V - OFFICERS</w:t>
            </w:r>
          </w:p>
        </w:tc>
        <w:tc>
          <w:tcPr>
            <w:tcW w:w="2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5.1</w:t>
            </w:r>
          </w:p>
        </w:tc>
        <w:tc>
          <w:tcPr>
            <w:tcW w:w="7980" w:type="dxa"/>
            <w:vAlign w:val="bottom"/>
          </w:tcPr>
          <w:p>
            <w:pPr>
              <w:ind w:left="140"/>
              <w:spacing w:after="0"/>
              <w:rPr>
                <w:sz w:val="20"/>
                <w:szCs w:val="20"/>
                <w:color w:val="auto"/>
              </w:rPr>
            </w:pPr>
            <w:r>
              <w:rPr>
                <w:rFonts w:ascii="Arial" w:cs="Arial" w:eastAsia="Arial" w:hAnsi="Arial"/>
                <w:sz w:val="18"/>
                <w:szCs w:val="18"/>
                <w:color w:val="auto"/>
              </w:rPr>
              <w:t>OFFICERS</w:t>
            </w:r>
          </w:p>
        </w:tc>
        <w:tc>
          <w:tcPr>
            <w:tcW w:w="2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5.2</w:t>
            </w:r>
          </w:p>
        </w:tc>
        <w:tc>
          <w:tcPr>
            <w:tcW w:w="7980" w:type="dxa"/>
            <w:vAlign w:val="bottom"/>
          </w:tcPr>
          <w:p>
            <w:pPr>
              <w:ind w:left="140"/>
              <w:spacing w:after="0"/>
              <w:rPr>
                <w:sz w:val="20"/>
                <w:szCs w:val="20"/>
                <w:color w:val="auto"/>
              </w:rPr>
            </w:pPr>
            <w:r>
              <w:rPr>
                <w:rFonts w:ascii="Arial" w:cs="Arial" w:eastAsia="Arial" w:hAnsi="Arial"/>
                <w:sz w:val="18"/>
                <w:szCs w:val="18"/>
                <w:color w:val="auto"/>
              </w:rPr>
              <w:t>APPOINTMENT OF OFFICERS</w:t>
            </w:r>
          </w:p>
        </w:tc>
        <w:tc>
          <w:tcPr>
            <w:tcW w:w="2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5.3</w:t>
            </w:r>
          </w:p>
        </w:tc>
        <w:tc>
          <w:tcPr>
            <w:tcW w:w="7980" w:type="dxa"/>
            <w:vAlign w:val="bottom"/>
          </w:tcPr>
          <w:p>
            <w:pPr>
              <w:ind w:left="140"/>
              <w:spacing w:after="0"/>
              <w:rPr>
                <w:sz w:val="20"/>
                <w:szCs w:val="20"/>
                <w:color w:val="auto"/>
              </w:rPr>
            </w:pPr>
            <w:r>
              <w:rPr>
                <w:rFonts w:ascii="Arial" w:cs="Arial" w:eastAsia="Arial" w:hAnsi="Arial"/>
                <w:sz w:val="18"/>
                <w:szCs w:val="18"/>
                <w:color w:val="auto"/>
              </w:rPr>
              <w:t>SUBORDINATE OFFICERS</w:t>
            </w:r>
          </w:p>
        </w:tc>
        <w:tc>
          <w:tcPr>
            <w:tcW w:w="2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5.4</w:t>
            </w:r>
          </w:p>
        </w:tc>
        <w:tc>
          <w:tcPr>
            <w:tcW w:w="7980" w:type="dxa"/>
            <w:vAlign w:val="bottom"/>
          </w:tcPr>
          <w:p>
            <w:pPr>
              <w:ind w:left="140"/>
              <w:spacing w:after="0"/>
              <w:rPr>
                <w:sz w:val="20"/>
                <w:szCs w:val="20"/>
                <w:color w:val="auto"/>
              </w:rPr>
            </w:pPr>
            <w:r>
              <w:rPr>
                <w:rFonts w:ascii="Arial" w:cs="Arial" w:eastAsia="Arial" w:hAnsi="Arial"/>
                <w:sz w:val="18"/>
                <w:szCs w:val="18"/>
                <w:color w:val="auto"/>
              </w:rPr>
              <w:t>REMOVAL AND RESIGNATION OF OFFICERS</w:t>
            </w:r>
          </w:p>
        </w:tc>
        <w:tc>
          <w:tcPr>
            <w:tcW w:w="216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288" w:name="page289"/>
    <w:bookmarkEnd w:id="28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i w:val="1"/>
                <w:iCs w:val="1"/>
                <w:color w:val="auto"/>
              </w:rPr>
              <w:t>Page</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5.5</w:t>
            </w:r>
          </w:p>
        </w:tc>
        <w:tc>
          <w:tcPr>
            <w:tcW w:w="9540" w:type="dxa"/>
            <w:vAlign w:val="bottom"/>
          </w:tcPr>
          <w:p>
            <w:pPr>
              <w:ind w:left="140"/>
              <w:spacing w:after="0"/>
              <w:rPr>
                <w:sz w:val="20"/>
                <w:szCs w:val="20"/>
                <w:color w:val="auto"/>
              </w:rPr>
            </w:pPr>
            <w:r>
              <w:rPr>
                <w:rFonts w:ascii="Arial" w:cs="Arial" w:eastAsia="Arial" w:hAnsi="Arial"/>
                <w:sz w:val="18"/>
                <w:szCs w:val="18"/>
                <w:color w:val="auto"/>
              </w:rPr>
              <w:t>VACANCIES IN OFFICES</w:t>
            </w: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5.6</w:t>
            </w:r>
          </w:p>
        </w:tc>
        <w:tc>
          <w:tcPr>
            <w:tcW w:w="9540" w:type="dxa"/>
            <w:vAlign w:val="bottom"/>
          </w:tcPr>
          <w:p>
            <w:pPr>
              <w:ind w:left="140"/>
              <w:spacing w:after="0"/>
              <w:rPr>
                <w:sz w:val="20"/>
                <w:szCs w:val="20"/>
                <w:color w:val="auto"/>
              </w:rPr>
            </w:pPr>
            <w:r>
              <w:rPr>
                <w:rFonts w:ascii="Arial" w:cs="Arial" w:eastAsia="Arial" w:hAnsi="Arial"/>
                <w:sz w:val="18"/>
                <w:szCs w:val="18"/>
                <w:color w:val="auto"/>
              </w:rPr>
              <w:t>REPRESENTATION OF SHARES OF OTHER CORPORATIONS</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5.7</w:t>
            </w:r>
          </w:p>
        </w:tc>
        <w:tc>
          <w:tcPr>
            <w:tcW w:w="9540" w:type="dxa"/>
            <w:vAlign w:val="bottom"/>
          </w:tcPr>
          <w:p>
            <w:pPr>
              <w:ind w:left="140"/>
              <w:spacing w:after="0"/>
              <w:rPr>
                <w:sz w:val="20"/>
                <w:szCs w:val="20"/>
                <w:color w:val="auto"/>
              </w:rPr>
            </w:pPr>
            <w:r>
              <w:rPr>
                <w:rFonts w:ascii="Arial" w:cs="Arial" w:eastAsia="Arial" w:hAnsi="Arial"/>
                <w:sz w:val="18"/>
                <w:szCs w:val="18"/>
                <w:color w:val="auto"/>
              </w:rPr>
              <w:t>AUTHORITY AND DUTIES OF OFFICERS</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ARTICLE VI - STOCK</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6.1</w:t>
            </w:r>
          </w:p>
        </w:tc>
        <w:tc>
          <w:tcPr>
            <w:tcW w:w="9540" w:type="dxa"/>
            <w:vAlign w:val="bottom"/>
          </w:tcPr>
          <w:p>
            <w:pPr>
              <w:ind w:left="140"/>
              <w:spacing w:after="0"/>
              <w:rPr>
                <w:sz w:val="20"/>
                <w:szCs w:val="20"/>
                <w:color w:val="auto"/>
              </w:rPr>
            </w:pPr>
            <w:r>
              <w:rPr>
                <w:rFonts w:ascii="Arial" w:cs="Arial" w:eastAsia="Arial" w:hAnsi="Arial"/>
                <w:sz w:val="18"/>
                <w:szCs w:val="18"/>
                <w:color w:val="auto"/>
              </w:rPr>
              <w:t>STOCK CERTIFICATES; PARTLY PAID SHARES</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6.2</w:t>
            </w:r>
          </w:p>
        </w:tc>
        <w:tc>
          <w:tcPr>
            <w:tcW w:w="9540" w:type="dxa"/>
            <w:vAlign w:val="bottom"/>
          </w:tcPr>
          <w:p>
            <w:pPr>
              <w:ind w:left="140"/>
              <w:spacing w:after="0"/>
              <w:rPr>
                <w:sz w:val="20"/>
                <w:szCs w:val="20"/>
                <w:color w:val="auto"/>
              </w:rPr>
            </w:pPr>
            <w:r>
              <w:rPr>
                <w:rFonts w:ascii="Arial" w:cs="Arial" w:eastAsia="Arial" w:hAnsi="Arial"/>
                <w:sz w:val="18"/>
                <w:szCs w:val="18"/>
                <w:color w:val="auto"/>
              </w:rPr>
              <w:t>SPECIAL DESIGNATION ON CERTIFICATES</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6.3</w:t>
            </w:r>
          </w:p>
        </w:tc>
        <w:tc>
          <w:tcPr>
            <w:tcW w:w="9540" w:type="dxa"/>
            <w:vAlign w:val="bottom"/>
          </w:tcPr>
          <w:p>
            <w:pPr>
              <w:ind w:left="140"/>
              <w:spacing w:after="0"/>
              <w:rPr>
                <w:sz w:val="20"/>
                <w:szCs w:val="20"/>
                <w:color w:val="auto"/>
              </w:rPr>
            </w:pPr>
            <w:r>
              <w:rPr>
                <w:rFonts w:ascii="Arial" w:cs="Arial" w:eastAsia="Arial" w:hAnsi="Arial"/>
                <w:sz w:val="18"/>
                <w:szCs w:val="18"/>
                <w:color w:val="auto"/>
              </w:rPr>
              <w:t>LOST CERTIFICATES</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6.4</w:t>
            </w:r>
          </w:p>
        </w:tc>
        <w:tc>
          <w:tcPr>
            <w:tcW w:w="954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6.5</w:t>
            </w:r>
          </w:p>
        </w:tc>
        <w:tc>
          <w:tcPr>
            <w:tcW w:w="9540" w:type="dxa"/>
            <w:vAlign w:val="bottom"/>
          </w:tcPr>
          <w:p>
            <w:pPr>
              <w:ind w:left="140"/>
              <w:spacing w:after="0"/>
              <w:rPr>
                <w:sz w:val="20"/>
                <w:szCs w:val="20"/>
                <w:color w:val="auto"/>
              </w:rPr>
            </w:pPr>
            <w:r>
              <w:rPr>
                <w:rFonts w:ascii="Arial" w:cs="Arial" w:eastAsia="Arial" w:hAnsi="Arial"/>
                <w:sz w:val="18"/>
                <w:szCs w:val="18"/>
                <w:color w:val="auto"/>
              </w:rPr>
              <w:t>TRANSFER OF STOCK</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6.6</w:t>
            </w:r>
          </w:p>
        </w:tc>
        <w:tc>
          <w:tcPr>
            <w:tcW w:w="9540" w:type="dxa"/>
            <w:vAlign w:val="bottom"/>
          </w:tcPr>
          <w:p>
            <w:pPr>
              <w:ind w:left="140"/>
              <w:spacing w:after="0"/>
              <w:rPr>
                <w:sz w:val="20"/>
                <w:szCs w:val="20"/>
                <w:color w:val="auto"/>
              </w:rPr>
            </w:pPr>
            <w:r>
              <w:rPr>
                <w:rFonts w:ascii="Arial" w:cs="Arial" w:eastAsia="Arial" w:hAnsi="Arial"/>
                <w:sz w:val="18"/>
                <w:szCs w:val="18"/>
                <w:color w:val="auto"/>
              </w:rPr>
              <w:t>STOCK TRANSFER AGREEMENTS</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6.7</w:t>
            </w:r>
          </w:p>
        </w:tc>
        <w:tc>
          <w:tcPr>
            <w:tcW w:w="9540" w:type="dxa"/>
            <w:vAlign w:val="bottom"/>
          </w:tcPr>
          <w:p>
            <w:pPr>
              <w:ind w:left="140"/>
              <w:spacing w:after="0"/>
              <w:rPr>
                <w:sz w:val="20"/>
                <w:szCs w:val="20"/>
                <w:color w:val="auto"/>
              </w:rPr>
            </w:pPr>
            <w:r>
              <w:rPr>
                <w:rFonts w:ascii="Arial" w:cs="Arial" w:eastAsia="Arial" w:hAnsi="Arial"/>
                <w:sz w:val="18"/>
                <w:szCs w:val="18"/>
                <w:color w:val="auto"/>
              </w:rPr>
              <w:t>REGISTERED STOCKHOLDERS</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ARTICLE VII - MANNER OF GIVING NOTICE AND WAIVER</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7.1</w:t>
            </w:r>
          </w:p>
        </w:tc>
        <w:tc>
          <w:tcPr>
            <w:tcW w:w="9540" w:type="dxa"/>
            <w:vAlign w:val="bottom"/>
          </w:tcPr>
          <w:p>
            <w:pPr>
              <w:ind w:left="140"/>
              <w:spacing w:after="0"/>
              <w:rPr>
                <w:sz w:val="20"/>
                <w:szCs w:val="20"/>
                <w:color w:val="auto"/>
              </w:rPr>
            </w:pPr>
            <w:r>
              <w:rPr>
                <w:rFonts w:ascii="Arial" w:cs="Arial" w:eastAsia="Arial" w:hAnsi="Arial"/>
                <w:sz w:val="18"/>
                <w:szCs w:val="18"/>
                <w:color w:val="auto"/>
              </w:rPr>
              <w:t>NOTICE OF STOCKHOLDERS’ MEETINGS</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7.2</w:t>
            </w:r>
          </w:p>
        </w:tc>
        <w:tc>
          <w:tcPr>
            <w:tcW w:w="9540" w:type="dxa"/>
            <w:vAlign w:val="bottom"/>
          </w:tcPr>
          <w:p>
            <w:pPr>
              <w:ind w:left="140"/>
              <w:spacing w:after="0"/>
              <w:rPr>
                <w:sz w:val="20"/>
                <w:szCs w:val="20"/>
                <w:color w:val="auto"/>
              </w:rPr>
            </w:pPr>
            <w:r>
              <w:rPr>
                <w:rFonts w:ascii="Arial" w:cs="Arial" w:eastAsia="Arial" w:hAnsi="Arial"/>
                <w:sz w:val="18"/>
                <w:szCs w:val="18"/>
                <w:color w:val="auto"/>
              </w:rPr>
              <w:t>NOTICE BY ELECTRONIC TRANSMISSION</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7.3</w:t>
            </w:r>
          </w:p>
        </w:tc>
        <w:tc>
          <w:tcPr>
            <w:tcW w:w="9540" w:type="dxa"/>
            <w:vAlign w:val="bottom"/>
          </w:tcPr>
          <w:p>
            <w:pPr>
              <w:ind w:left="140"/>
              <w:spacing w:after="0"/>
              <w:rPr>
                <w:sz w:val="20"/>
                <w:szCs w:val="20"/>
                <w:color w:val="auto"/>
              </w:rPr>
            </w:pPr>
            <w:r>
              <w:rPr>
                <w:rFonts w:ascii="Arial" w:cs="Arial" w:eastAsia="Arial" w:hAnsi="Arial"/>
                <w:sz w:val="18"/>
                <w:szCs w:val="18"/>
                <w:color w:val="auto"/>
              </w:rPr>
              <w:t>NOTICE TO STOCKHOLDERS SHARING AN ADDRESS</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7.4</w:t>
            </w:r>
          </w:p>
        </w:tc>
        <w:tc>
          <w:tcPr>
            <w:tcW w:w="9540" w:type="dxa"/>
            <w:vAlign w:val="bottom"/>
          </w:tcPr>
          <w:p>
            <w:pPr>
              <w:ind w:left="140"/>
              <w:spacing w:after="0"/>
              <w:rPr>
                <w:sz w:val="20"/>
                <w:szCs w:val="20"/>
                <w:color w:val="auto"/>
              </w:rPr>
            </w:pPr>
            <w:r>
              <w:rPr>
                <w:rFonts w:ascii="Arial" w:cs="Arial" w:eastAsia="Arial" w:hAnsi="Arial"/>
                <w:sz w:val="18"/>
                <w:szCs w:val="18"/>
                <w:color w:val="auto"/>
              </w:rPr>
              <w:t>NOTICE TO PERSON WITH WHOM COMMUNICATION IS UNLAWFUL</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7.5</w:t>
            </w:r>
          </w:p>
        </w:tc>
        <w:tc>
          <w:tcPr>
            <w:tcW w:w="9540" w:type="dxa"/>
            <w:vAlign w:val="bottom"/>
          </w:tcPr>
          <w:p>
            <w:pPr>
              <w:ind w:left="140"/>
              <w:spacing w:after="0"/>
              <w:rPr>
                <w:sz w:val="20"/>
                <w:szCs w:val="20"/>
                <w:color w:val="auto"/>
              </w:rPr>
            </w:pPr>
            <w:r>
              <w:rPr>
                <w:rFonts w:ascii="Arial" w:cs="Arial" w:eastAsia="Arial" w:hAnsi="Arial"/>
                <w:sz w:val="18"/>
                <w:szCs w:val="18"/>
                <w:color w:val="auto"/>
              </w:rPr>
              <w:t>WAIVER OF NOTICE</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ARTICLE VIII - INDEMNIFICATION</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8.1</w:t>
            </w:r>
          </w:p>
        </w:tc>
        <w:tc>
          <w:tcPr>
            <w:tcW w:w="9540" w:type="dxa"/>
            <w:vAlign w:val="bottom"/>
          </w:tcPr>
          <w:p>
            <w:pPr>
              <w:ind w:left="140"/>
              <w:spacing w:after="0"/>
              <w:rPr>
                <w:sz w:val="20"/>
                <w:szCs w:val="20"/>
                <w:color w:val="auto"/>
              </w:rPr>
            </w:pPr>
            <w:r>
              <w:rPr>
                <w:rFonts w:ascii="Arial" w:cs="Arial" w:eastAsia="Arial" w:hAnsi="Arial"/>
                <w:sz w:val="18"/>
                <w:szCs w:val="18"/>
                <w:color w:val="auto"/>
              </w:rPr>
              <w:t>INDEMNIFICATION OF DIRECTORS AND OFFICERS IN THIRD PARTY PROCEEDINGS</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8.2</w:t>
            </w:r>
          </w:p>
        </w:tc>
        <w:tc>
          <w:tcPr>
            <w:tcW w:w="9540" w:type="dxa"/>
            <w:vAlign w:val="bottom"/>
          </w:tcPr>
          <w:p>
            <w:pPr>
              <w:ind w:left="140"/>
              <w:spacing w:after="0"/>
              <w:rPr>
                <w:sz w:val="20"/>
                <w:szCs w:val="20"/>
                <w:color w:val="auto"/>
              </w:rPr>
            </w:pPr>
            <w:r>
              <w:rPr>
                <w:rFonts w:ascii="Arial" w:cs="Arial" w:eastAsia="Arial" w:hAnsi="Arial"/>
                <w:sz w:val="18"/>
                <w:szCs w:val="18"/>
                <w:color w:val="auto"/>
                <w:w w:val="99"/>
              </w:rPr>
              <w:t>INDEMNIFICATION OF DIRECTORS AND OFFICERS IN ACTIONS BY OR IN THE RIGHT OF THE CORPORATION</w:t>
            </w: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8.3</w:t>
            </w:r>
          </w:p>
        </w:tc>
        <w:tc>
          <w:tcPr>
            <w:tcW w:w="9540" w:type="dxa"/>
            <w:vAlign w:val="bottom"/>
          </w:tcPr>
          <w:p>
            <w:pPr>
              <w:ind w:left="140"/>
              <w:spacing w:after="0"/>
              <w:rPr>
                <w:sz w:val="20"/>
                <w:szCs w:val="20"/>
                <w:color w:val="auto"/>
              </w:rPr>
            </w:pPr>
            <w:r>
              <w:rPr>
                <w:rFonts w:ascii="Arial" w:cs="Arial" w:eastAsia="Arial" w:hAnsi="Arial"/>
                <w:sz w:val="18"/>
                <w:szCs w:val="18"/>
                <w:color w:val="auto"/>
              </w:rPr>
              <w:t>SUCCESSFUL DEFENSE</w:t>
            </w: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8.4</w:t>
            </w:r>
          </w:p>
        </w:tc>
        <w:tc>
          <w:tcPr>
            <w:tcW w:w="9540" w:type="dxa"/>
            <w:vAlign w:val="bottom"/>
          </w:tcPr>
          <w:p>
            <w:pPr>
              <w:ind w:left="140"/>
              <w:spacing w:after="0"/>
              <w:rPr>
                <w:sz w:val="20"/>
                <w:szCs w:val="20"/>
                <w:color w:val="auto"/>
              </w:rPr>
            </w:pPr>
            <w:r>
              <w:rPr>
                <w:rFonts w:ascii="Arial" w:cs="Arial" w:eastAsia="Arial" w:hAnsi="Arial"/>
                <w:sz w:val="18"/>
                <w:szCs w:val="18"/>
                <w:color w:val="auto"/>
              </w:rPr>
              <w:t>INDEMNIFICATION OF OTHERS</w:t>
            </w: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8.5</w:t>
            </w:r>
          </w:p>
        </w:tc>
        <w:tc>
          <w:tcPr>
            <w:tcW w:w="9540" w:type="dxa"/>
            <w:vAlign w:val="bottom"/>
          </w:tcPr>
          <w:p>
            <w:pPr>
              <w:ind w:left="140"/>
              <w:spacing w:after="0"/>
              <w:rPr>
                <w:sz w:val="20"/>
                <w:szCs w:val="20"/>
                <w:color w:val="auto"/>
              </w:rPr>
            </w:pPr>
            <w:r>
              <w:rPr>
                <w:rFonts w:ascii="Arial" w:cs="Arial" w:eastAsia="Arial" w:hAnsi="Arial"/>
                <w:sz w:val="18"/>
                <w:szCs w:val="18"/>
                <w:color w:val="auto"/>
              </w:rPr>
              <w:t>ADVANCED PAYMENT OF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8.6</w:t>
            </w:r>
          </w:p>
        </w:tc>
        <w:tc>
          <w:tcPr>
            <w:tcW w:w="9540" w:type="dxa"/>
            <w:vAlign w:val="bottom"/>
          </w:tcPr>
          <w:p>
            <w:pPr>
              <w:ind w:left="140"/>
              <w:spacing w:after="0"/>
              <w:rPr>
                <w:sz w:val="20"/>
                <w:szCs w:val="20"/>
                <w:color w:val="auto"/>
              </w:rPr>
            </w:pPr>
            <w:r>
              <w:rPr>
                <w:rFonts w:ascii="Arial" w:cs="Arial" w:eastAsia="Arial" w:hAnsi="Arial"/>
                <w:sz w:val="18"/>
                <w:szCs w:val="18"/>
                <w:color w:val="auto"/>
              </w:rPr>
              <w:t>LIMITATION ON INDEMNIFICATION</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8.7</w:t>
            </w:r>
          </w:p>
        </w:tc>
        <w:tc>
          <w:tcPr>
            <w:tcW w:w="9540" w:type="dxa"/>
            <w:vAlign w:val="bottom"/>
          </w:tcPr>
          <w:p>
            <w:pPr>
              <w:ind w:left="140"/>
              <w:spacing w:after="0"/>
              <w:rPr>
                <w:sz w:val="20"/>
                <w:szCs w:val="20"/>
                <w:color w:val="auto"/>
              </w:rPr>
            </w:pPr>
            <w:r>
              <w:rPr>
                <w:rFonts w:ascii="Arial" w:cs="Arial" w:eastAsia="Arial" w:hAnsi="Arial"/>
                <w:sz w:val="18"/>
                <w:szCs w:val="18"/>
                <w:color w:val="auto"/>
              </w:rPr>
              <w:t>DETERMINATION; CLAIM</w:t>
            </w: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8.8</w:t>
            </w:r>
          </w:p>
        </w:tc>
        <w:tc>
          <w:tcPr>
            <w:tcW w:w="9540" w:type="dxa"/>
            <w:vAlign w:val="bottom"/>
          </w:tcPr>
          <w:p>
            <w:pPr>
              <w:ind w:left="140"/>
              <w:spacing w:after="0"/>
              <w:rPr>
                <w:sz w:val="20"/>
                <w:szCs w:val="20"/>
                <w:color w:val="auto"/>
              </w:rPr>
            </w:pPr>
            <w:r>
              <w:rPr>
                <w:rFonts w:ascii="Arial" w:cs="Arial" w:eastAsia="Arial" w:hAnsi="Arial"/>
                <w:sz w:val="18"/>
                <w:szCs w:val="18"/>
                <w:color w:val="auto"/>
              </w:rPr>
              <w:t>NON-EXCLUSIVITY OF RIGHTS</w:t>
            </w: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8.9</w:t>
            </w:r>
          </w:p>
        </w:tc>
        <w:tc>
          <w:tcPr>
            <w:tcW w:w="954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8.10</w:t>
            </w:r>
          </w:p>
        </w:tc>
        <w:tc>
          <w:tcPr>
            <w:tcW w:w="9540" w:type="dxa"/>
            <w:vAlign w:val="bottom"/>
          </w:tcPr>
          <w:p>
            <w:pPr>
              <w:ind w:left="140"/>
              <w:spacing w:after="0"/>
              <w:rPr>
                <w:sz w:val="20"/>
                <w:szCs w:val="20"/>
                <w:color w:val="auto"/>
              </w:rPr>
            </w:pPr>
            <w:r>
              <w:rPr>
                <w:rFonts w:ascii="Arial" w:cs="Arial" w:eastAsia="Arial" w:hAnsi="Arial"/>
                <w:sz w:val="18"/>
                <w:szCs w:val="18"/>
                <w:color w:val="auto"/>
              </w:rPr>
              <w:t>SURVIVAL</w:t>
            </w: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8.11</w:t>
            </w:r>
          </w:p>
        </w:tc>
        <w:tc>
          <w:tcPr>
            <w:tcW w:w="9540" w:type="dxa"/>
            <w:vAlign w:val="bottom"/>
          </w:tcPr>
          <w:p>
            <w:pPr>
              <w:ind w:left="140"/>
              <w:spacing w:after="0"/>
              <w:rPr>
                <w:sz w:val="20"/>
                <w:szCs w:val="20"/>
                <w:color w:val="auto"/>
              </w:rPr>
            </w:pPr>
            <w:r>
              <w:rPr>
                <w:rFonts w:ascii="Arial" w:cs="Arial" w:eastAsia="Arial" w:hAnsi="Arial"/>
                <w:sz w:val="18"/>
                <w:szCs w:val="18"/>
                <w:color w:val="auto"/>
              </w:rPr>
              <w:t>EFFECT OF REPEAL OR MODIFICATION</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8.12</w:t>
            </w:r>
          </w:p>
        </w:tc>
        <w:tc>
          <w:tcPr>
            <w:tcW w:w="9540" w:type="dxa"/>
            <w:vAlign w:val="bottom"/>
          </w:tcPr>
          <w:p>
            <w:pPr>
              <w:ind w:left="140"/>
              <w:spacing w:after="0"/>
              <w:rPr>
                <w:sz w:val="20"/>
                <w:szCs w:val="20"/>
                <w:color w:val="auto"/>
              </w:rPr>
            </w:pPr>
            <w:r>
              <w:rPr>
                <w:rFonts w:ascii="Arial" w:cs="Arial" w:eastAsia="Arial" w:hAnsi="Arial"/>
                <w:sz w:val="18"/>
                <w:szCs w:val="18"/>
                <w:color w:val="auto"/>
              </w:rPr>
              <w:t>CERTAIN DEFINITIONS</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ARTICLE IX - GENERAL MATTERS</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9.1</w:t>
            </w:r>
          </w:p>
        </w:tc>
        <w:tc>
          <w:tcPr>
            <w:tcW w:w="9540" w:type="dxa"/>
            <w:vAlign w:val="bottom"/>
          </w:tcPr>
          <w:p>
            <w:pPr>
              <w:ind w:left="140"/>
              <w:spacing w:after="0"/>
              <w:rPr>
                <w:sz w:val="20"/>
                <w:szCs w:val="20"/>
                <w:color w:val="auto"/>
              </w:rPr>
            </w:pPr>
            <w:r>
              <w:rPr>
                <w:rFonts w:ascii="Arial" w:cs="Arial" w:eastAsia="Arial" w:hAnsi="Arial"/>
                <w:sz w:val="18"/>
                <w:szCs w:val="18"/>
                <w:color w:val="auto"/>
              </w:rPr>
              <w:t>EXECUTION OF CORPORATE CONTRACTS AND INSTRUMENTS</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9.2</w:t>
            </w:r>
          </w:p>
        </w:tc>
        <w:tc>
          <w:tcPr>
            <w:tcW w:w="9540" w:type="dxa"/>
            <w:vAlign w:val="bottom"/>
          </w:tcPr>
          <w:p>
            <w:pPr>
              <w:ind w:left="140"/>
              <w:spacing w:after="0"/>
              <w:rPr>
                <w:sz w:val="20"/>
                <w:szCs w:val="20"/>
                <w:color w:val="auto"/>
              </w:rPr>
            </w:pPr>
            <w:r>
              <w:rPr>
                <w:rFonts w:ascii="Arial" w:cs="Arial" w:eastAsia="Arial" w:hAnsi="Arial"/>
                <w:sz w:val="18"/>
                <w:szCs w:val="18"/>
                <w:color w:val="auto"/>
              </w:rPr>
              <w:t>FISCAL YEAR</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9.3</w:t>
            </w:r>
          </w:p>
        </w:tc>
        <w:tc>
          <w:tcPr>
            <w:tcW w:w="9540" w:type="dxa"/>
            <w:vAlign w:val="bottom"/>
          </w:tcPr>
          <w:p>
            <w:pPr>
              <w:ind w:left="140"/>
              <w:spacing w:after="0"/>
              <w:rPr>
                <w:sz w:val="20"/>
                <w:szCs w:val="20"/>
                <w:color w:val="auto"/>
              </w:rPr>
            </w:pPr>
            <w:r>
              <w:rPr>
                <w:rFonts w:ascii="Arial" w:cs="Arial" w:eastAsia="Arial" w:hAnsi="Arial"/>
                <w:sz w:val="18"/>
                <w:szCs w:val="18"/>
                <w:color w:val="auto"/>
              </w:rPr>
              <w:t>SEAL</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9.4</w:t>
            </w:r>
          </w:p>
        </w:tc>
        <w:tc>
          <w:tcPr>
            <w:tcW w:w="9540" w:type="dxa"/>
            <w:vAlign w:val="bottom"/>
          </w:tcPr>
          <w:p>
            <w:pPr>
              <w:ind w:left="140"/>
              <w:spacing w:after="0"/>
              <w:rPr>
                <w:sz w:val="20"/>
                <w:szCs w:val="20"/>
                <w:color w:val="auto"/>
              </w:rPr>
            </w:pPr>
            <w:r>
              <w:rPr>
                <w:rFonts w:ascii="Arial" w:cs="Arial" w:eastAsia="Arial" w:hAnsi="Arial"/>
                <w:sz w:val="18"/>
                <w:szCs w:val="18"/>
                <w:color w:val="auto"/>
              </w:rPr>
              <w:t>CONSTRUCTION; DEFINITIONS</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289" w:name="page290"/>
    <w:bookmarkEnd w:id="289"/>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39" w:lineRule="exact"/>
        <w:rPr>
          <w:sz w:val="20"/>
          <w:szCs w:val="20"/>
          <w:color w:val="auto"/>
        </w:rPr>
      </w:pPr>
    </w:p>
    <w:p>
      <w:pPr>
        <w:ind w:left="10660"/>
        <w:spacing w:after="0"/>
        <w:rPr>
          <w:sz w:val="20"/>
          <w:szCs w:val="20"/>
          <w:color w:val="auto"/>
        </w:rPr>
      </w:pPr>
      <w:r>
        <w:rPr>
          <w:rFonts w:ascii="Arial" w:cs="Arial" w:eastAsia="Arial" w:hAnsi="Arial"/>
          <w:sz w:val="12"/>
          <w:szCs w:val="12"/>
          <w:i w:val="1"/>
          <w:iCs w:val="1"/>
          <w:color w:val="auto"/>
        </w:rPr>
        <w:t>Page</w:t>
      </w:r>
    </w:p>
    <w:p>
      <w:pPr>
        <w:sectPr>
          <w:pgSz w:w="11900" w:h="16838" w:orient="portrait"/>
          <w:cols w:equalWidth="0" w:num="1">
            <w:col w:w="10960"/>
          </w:cols>
          <w:pgMar w:left="440" w:top="270" w:right="499" w:bottom="1440" w:gutter="0" w:footer="0" w:header="0"/>
        </w:sectPr>
      </w:pP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ARTICLE X - AMENDMENTS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110" w:lineRule="exact"/>
        <w:rPr>
          <w:sz w:val="20"/>
          <w:szCs w:val="20"/>
          <w:color w:val="auto"/>
        </w:rPr>
      </w:pPr>
    </w:p>
    <w:p>
      <w:pPr>
        <w:sectPr>
          <w:pgSz w:w="11900" w:h="16838" w:orient="portrait"/>
          <w:cols w:equalWidth="0" w:num="2">
            <w:col w:w="10060" w:space="720"/>
            <w:col w:w="180"/>
          </w:cols>
          <w:pgMar w:left="440" w:top="270" w:right="499" w:bottom="1440" w:gutter="0" w:footer="0" w:header="0"/>
          <w:type w:val="continuous"/>
        </w:sectPr>
      </w:pPr>
    </w:p>
    <w:p>
      <w:pPr>
        <w:spacing w:after="0"/>
        <w:rPr>
          <w:sz w:val="20"/>
          <w:szCs w:val="20"/>
          <w:color w:val="auto"/>
        </w:rPr>
      </w:pPr>
      <w:r>
        <w:rPr>
          <w:rFonts w:ascii="Arial" w:cs="Arial" w:eastAsia="Arial" w:hAnsi="Arial"/>
          <w:sz w:val="17"/>
          <w:szCs w:val="17"/>
          <w:color w:val="auto"/>
        </w:rPr>
        <w:t>ARTICLE XI - EXCLUSIVE FORUM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26</w:t>
      </w:r>
    </w:p>
    <w:p>
      <w:pPr>
        <w:spacing w:after="0" w:line="180" w:lineRule="exact"/>
        <w:rPr>
          <w:sz w:val="20"/>
          <w:szCs w:val="20"/>
          <w:color w:val="auto"/>
        </w:rPr>
      </w:pPr>
    </w:p>
    <w:p>
      <w:pPr>
        <w:sectPr>
          <w:pgSz w:w="11900" w:h="16838" w:orient="portrait"/>
          <w:cols w:equalWidth="0" w:num="2">
            <w:col w:w="10060" w:space="720"/>
            <w:col w:w="180"/>
          </w:cols>
          <w:pgMar w:left="440" w:top="270" w:right="499" w:bottom="1440" w:gutter="0" w:footer="0" w:header="0"/>
          <w:type w:val="continuous"/>
        </w:sect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type w:val="continuous"/>
        </w:sectPr>
      </w:pPr>
    </w:p>
    <w:bookmarkStart w:id="290" w:name="page291"/>
    <w:bookmarkEnd w:id="290"/>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BYLAWS OF ALX ONCOLOGY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ARTICLE I - CORPORATE OFFICES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 REGISTERED OFFICE</w:t>
      </w:r>
    </w:p>
    <w:p>
      <w:pPr>
        <w:spacing w:after="0" w:line="11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The registered office of ALX Oncology Holdings Inc. shall be fixed in the corporation’s certificate of incorporation, as the same may be amended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 OTHER OFFICES</w:t>
      </w:r>
    </w:p>
    <w:p>
      <w:pPr>
        <w:spacing w:after="0" w:line="117" w:lineRule="exact"/>
        <w:rPr>
          <w:sz w:val="20"/>
          <w:szCs w:val="20"/>
          <w:color w:val="auto"/>
        </w:rPr>
      </w:pPr>
    </w:p>
    <w:p>
      <w:pPr>
        <w:ind w:left="4" w:right="600" w:firstLine="440"/>
        <w:spacing w:after="0" w:line="277" w:lineRule="auto"/>
        <w:rPr>
          <w:sz w:val="20"/>
          <w:szCs w:val="20"/>
          <w:color w:val="auto"/>
        </w:rPr>
      </w:pPr>
      <w:r>
        <w:rPr>
          <w:rFonts w:ascii="Arial" w:cs="Arial" w:eastAsia="Arial" w:hAnsi="Arial"/>
          <w:sz w:val="18"/>
          <w:szCs w:val="18"/>
          <w:color w:val="auto"/>
        </w:rPr>
        <w:t>The corporation’s board of directors may at any time establish other offices at any place or places where the corporation is qualified to do business.</w:t>
      </w:r>
    </w:p>
    <w:p>
      <w:pPr>
        <w:spacing w:after="0" w:line="382"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ARTICLE II - MEETINGS OF STOCKHOLDERS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2.1 PLACE OF MEETINGS</w:t>
      </w:r>
    </w:p>
    <w:p>
      <w:pPr>
        <w:spacing w:after="0" w:line="117" w:lineRule="exact"/>
        <w:rPr>
          <w:sz w:val="20"/>
          <w:szCs w:val="20"/>
          <w:color w:val="auto"/>
        </w:rPr>
      </w:pPr>
    </w:p>
    <w:p>
      <w:pPr>
        <w:ind w:left="4" w:right="80" w:firstLine="440"/>
        <w:spacing w:after="0" w:line="279" w:lineRule="auto"/>
        <w:rPr>
          <w:sz w:val="20"/>
          <w:szCs w:val="20"/>
          <w:color w:val="auto"/>
        </w:rPr>
      </w:pPr>
      <w:r>
        <w:rPr>
          <w:rFonts w:ascii="Arial" w:cs="Arial" w:eastAsia="Arial" w:hAnsi="Arial"/>
          <w:sz w:val="17"/>
          <w:szCs w:val="17"/>
          <w:color w:val="auto"/>
        </w:rPr>
        <w:t>Meetings of stockholders shall be held at any place, within or outside the State of Delaware, determined by the board of directors.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7"/>
          <w:szCs w:val="17"/>
          <w:b w:val="1"/>
          <w:bCs w:val="1"/>
          <w:color w:val="auto"/>
        </w:rPr>
        <w:t>DGCL</w:t>
      </w:r>
      <w:r>
        <w:rPr>
          <w:rFonts w:ascii="Arial" w:cs="Arial" w:eastAsia="Arial" w:hAnsi="Arial"/>
          <w:sz w:val="17"/>
          <w:szCs w:val="17"/>
          <w:color w:val="auto"/>
        </w:rPr>
        <w:t>”). In the absence of any such designation or determination, stockholders’ meetings shall be held at the corporation’s principal executive office.</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2.2 ANNUAL MEETING</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annual meeting of stockholders shall be held at such place, on such day and at such time as may be fixed by the board of directors each year.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At the annual meeting, directors shall be elected and any other proper business may be transacted.</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2.3 SPECIAL MEETING</w:t>
      </w:r>
    </w:p>
    <w:p>
      <w:pPr>
        <w:spacing w:after="0" w:line="117" w:lineRule="exact"/>
        <w:rPr>
          <w:sz w:val="20"/>
          <w:szCs w:val="20"/>
          <w:color w:val="auto"/>
        </w:rPr>
      </w:pPr>
    </w:p>
    <w:p>
      <w:pPr>
        <w:ind w:left="1204" w:hanging="213"/>
        <w:spacing w:after="0"/>
        <w:tabs>
          <w:tab w:leader="none" w:pos="1204"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 special meeting of the stockholders, other than those required by statute, may be called at any time by (A) the board of directors,</w:t>
      </w:r>
    </w:p>
    <w:p>
      <w:pPr>
        <w:spacing w:after="0" w:line="46" w:lineRule="exact"/>
        <w:rPr>
          <w:rFonts w:ascii="Arial" w:cs="Arial" w:eastAsia="Arial" w:hAnsi="Arial"/>
          <w:sz w:val="16"/>
          <w:szCs w:val="16"/>
          <w:color w:val="auto"/>
        </w:rPr>
      </w:pPr>
    </w:p>
    <w:p>
      <w:pPr>
        <w:ind w:left="4" w:right="60" w:hanging="4"/>
        <w:spacing w:after="0" w:line="277" w:lineRule="auto"/>
        <w:tabs>
          <w:tab w:leader="none" w:pos="289"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chairperson of the board of directors, (C) the chief executive officer or (D) the president (in the absence of a chief executive officer), but a special meeting may not be called by any other person or persons. The board of directors may cancel, postpone or reschedule any previously scheduled special meeting at any time, before or after the notice for such meeting has been sent to the stockholders.</w:t>
      </w:r>
    </w:p>
    <w:p>
      <w:pPr>
        <w:sectPr>
          <w:pgSz w:w="11900" w:h="16838" w:orient="portrait"/>
          <w:cols w:equalWidth="0" w:num="1">
            <w:col w:w="10944"/>
          </w:cols>
          <w:pgMar w:left="436" w:top="270" w:right="519" w:bottom="1440" w:gutter="0" w:footer="0" w:header="0"/>
        </w:sectPr>
      </w:pPr>
    </w:p>
    <w:bookmarkStart w:id="291" w:name="page292"/>
    <w:bookmarkEnd w:id="291"/>
    <w:p>
      <w:pPr>
        <w:ind w:right="20" w:firstLine="987"/>
        <w:spacing w:after="0" w:line="279" w:lineRule="auto"/>
        <w:tabs>
          <w:tab w:leader="none" w:pos="1256" w:val="left"/>
        </w:tabs>
        <w:numPr>
          <w:ilvl w:val="0"/>
          <w:numId w:val="1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notice of a special meeting shall include the purpose for which the meeting is called. Only such business shall be conducted at a special meeting of stockholders as shall have been brought before the meeting by or at the direction of the board of directors, chairperson of the board of directors, chief executive officer or president (in the absence of a chief executive officer). Nothing contained in this Section 2.3(ii) shall be construed as limiting, fixing or affecting the time when a meeting of stockholders called by action of the board of directors may be held.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 ADVANCE NOTICE PROCEDURES</w:t>
      </w:r>
    </w:p>
    <w:p>
      <w:pPr>
        <w:spacing w:after="0" w:line="117" w:lineRule="exact"/>
        <w:rPr>
          <w:sz w:val="20"/>
          <w:szCs w:val="20"/>
          <w:color w:val="auto"/>
        </w:rPr>
      </w:pPr>
    </w:p>
    <w:p>
      <w:pPr>
        <w:ind w:firstLine="987"/>
        <w:spacing w:after="0" w:line="269" w:lineRule="auto"/>
        <w:tabs>
          <w:tab w:leader="none" w:pos="1206" w:val="left"/>
        </w:tabs>
        <w:numPr>
          <w:ilvl w:val="0"/>
          <w:numId w:val="194"/>
        </w:numPr>
        <w:rPr>
          <w:rFonts w:ascii="Arial" w:cs="Arial" w:eastAsia="Arial" w:hAnsi="Arial"/>
          <w:sz w:val="17"/>
          <w:szCs w:val="17"/>
          <w:color w:val="auto"/>
        </w:rPr>
      </w:pPr>
      <w:r>
        <w:rPr>
          <w:rFonts w:ascii="Arial" w:cs="Arial" w:eastAsia="Arial" w:hAnsi="Arial"/>
          <w:sz w:val="17"/>
          <w:szCs w:val="17"/>
          <w:i w:val="1"/>
          <w:iCs w:val="1"/>
          <w:color w:val="auto"/>
        </w:rPr>
        <w:t xml:space="preserve">Advance Notice of Stockholder Business. </w:t>
      </w:r>
      <w:r>
        <w:rPr>
          <w:rFonts w:ascii="Arial" w:cs="Arial" w:eastAsia="Arial" w:hAnsi="Arial"/>
          <w:sz w:val="17"/>
          <w:szCs w:val="17"/>
          <w:color w:val="auto"/>
        </w:rPr>
        <w:t>At an annual meeting of the stockholders, only such business shall be conducted as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been properly brought before the meeting. To be properly brought before an annual meeting, business must be brought (A) pursuant to the corporation’s proxy materials with respect to such meeting, (B) by or at the direction of the board of directors, or (C) by a stockholder of the corporation who (1) is a stockholder of record at the time of the giving of the notice required by this Section 2.4(i) and on the record date for the determination of stockholders entitled to vote at the annual meeting and (2) has timely complied in proper written form with the notice procedures set forth in this Section 2.4(i). In addition, for business to be properly brought before an annual meeting by a stockholder, such business must be a proper matter for stockholder action pursuant to these bylaws and applicable law. Except for proposals properly made in accordance with Rule 14a-8 under the Securities Exchange Act of 1934, as amended (the “</w:t>
      </w:r>
      <w:r>
        <w:rPr>
          <w:rFonts w:ascii="Arial" w:cs="Arial" w:eastAsia="Arial" w:hAnsi="Arial"/>
          <w:sz w:val="17"/>
          <w:szCs w:val="17"/>
          <w:b w:val="1"/>
          <w:bCs w:val="1"/>
          <w:color w:val="auto"/>
        </w:rPr>
        <w:t>1934 Act</w:t>
      </w:r>
      <w:r>
        <w:rPr>
          <w:rFonts w:ascii="Arial" w:cs="Arial" w:eastAsia="Arial" w:hAnsi="Arial"/>
          <w:sz w:val="17"/>
          <w:szCs w:val="17"/>
          <w:color w:val="auto"/>
        </w:rPr>
        <w:t>”) and the rules and regulations thereunder (as so amended and inclusive of such rules and regulations), and included in the notice of meeting given by or at the direction of the board of directors, for the avoidance of doubt, clause (C) above shall be the exclusive means for a stockholder to bring business before an annual meeting of stockholders.</w:t>
      </w:r>
    </w:p>
    <w:p>
      <w:pPr>
        <w:spacing w:after="0" w:line="77" w:lineRule="exact"/>
        <w:rPr>
          <w:rFonts w:ascii="Arial" w:cs="Arial" w:eastAsia="Arial" w:hAnsi="Arial"/>
          <w:sz w:val="17"/>
          <w:szCs w:val="17"/>
          <w:color w:val="auto"/>
        </w:rPr>
      </w:pPr>
    </w:p>
    <w:p>
      <w:pPr>
        <w:ind w:right="60" w:firstLine="1428"/>
        <w:spacing w:after="0" w:line="283" w:lineRule="auto"/>
        <w:tabs>
          <w:tab w:leader="none" w:pos="1677"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To comply with clause (C) of Section 2.4(i) above, a stockholder’s notice must set forth all information required under this Section 2.4(i) and must be timely received by the secretary of the corporation. To be timely, a stockholder’s notice must be received by the secretary at the principal executive offices of the corporation not later than the 45th day nor earlier than the 75th day before the one-year anniversary of the date on which the corporation first mailed its proxy materials or a notice of availability of proxy materials (whichever is earlier) for the preceding year’s annual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no annual meeting was held in the previous year or if the date of the annual meeting is advanced 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(as defined below) of the date of such annual meeting is first made. In no event shall any adjournment or postponement of an annual meeting or the announcement thereof commence a new time period for the giving of a stockholder’s notice as described in this Section 2.4(i)</w:t>
      </w:r>
    </w:p>
    <w:p>
      <w:pPr>
        <w:spacing w:after="0" w:line="4" w:lineRule="exact"/>
        <w:rPr>
          <w:rFonts w:ascii="Arial" w:cs="Arial" w:eastAsia="Arial" w:hAnsi="Arial"/>
          <w:sz w:val="16"/>
          <w:szCs w:val="16"/>
          <w:color w:val="auto"/>
        </w:rPr>
      </w:pPr>
    </w:p>
    <w:p>
      <w:pPr>
        <w:ind w:right="640"/>
        <w:spacing w:after="0" w:line="290" w:lineRule="auto"/>
        <w:rPr>
          <w:rFonts w:ascii="Arial" w:cs="Arial" w:eastAsia="Arial" w:hAnsi="Arial"/>
          <w:sz w:val="16"/>
          <w:szCs w:val="16"/>
          <w:color w:val="auto"/>
        </w:rPr>
      </w:pPr>
      <w:r>
        <w:rPr>
          <w:rFonts w:ascii="Arial" w:cs="Arial" w:eastAsia="Arial" w:hAnsi="Arial"/>
          <w:sz w:val="17"/>
          <w:szCs w:val="17"/>
          <w:color w:val="auto"/>
        </w:rPr>
        <w:t>(a). “</w:t>
      </w:r>
      <w:r>
        <w:rPr>
          <w:rFonts w:ascii="Arial" w:cs="Arial" w:eastAsia="Arial" w:hAnsi="Arial"/>
          <w:sz w:val="17"/>
          <w:szCs w:val="17"/>
          <w:b w:val="1"/>
          <w:bCs w:val="1"/>
          <w:color w:val="auto"/>
        </w:rPr>
        <w:t>Public Announcement</w:t>
      </w:r>
      <w:r>
        <w:rPr>
          <w:rFonts w:ascii="Arial" w:cs="Arial" w:eastAsia="Arial" w:hAnsi="Arial"/>
          <w:sz w:val="17"/>
          <w:szCs w:val="17"/>
          <w:color w:val="auto"/>
        </w:rPr>
        <w:t>” shall mean disclosure in a press release reported by a national news service or in a document publicly filed by the corporation with the Securities and Exchange Commission pursuant to Section 13, 14 or 15(d) of the 1934 Act.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92" w:name="page293"/>
    <w:bookmarkEnd w:id="292"/>
    <w:p>
      <w:pPr>
        <w:ind w:left="-40" w:right="20" w:firstLine="1428"/>
        <w:spacing w:after="0" w:line="285" w:lineRule="auto"/>
        <w:tabs>
          <w:tab w:leader="none" w:pos="1647" w:val="left"/>
        </w:tabs>
        <w:numPr>
          <w:ilvl w:val="1"/>
          <w:numId w:val="1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in proper written form, a stockholder’s notice to the secretary must set forth as to each matter of business the stockholder intends to bring before the annual meeting: (1) a brief description of the business intended to be brought before the annual meeting and the reasons for conducting such business at the annual meeting, (2) the name and address, as they appear on the corporation’s books, of the stockholder proposing such business and any Stockholder Associated Person (as defined below), (3) the class and number of shares of the corporation that are held of record or are beneficially owned by the stockholder or any Stockholder Associated Person and any derivative positions held or beneficially held by the stockholder or any Stockholder Associated Person, (4) whether and the extent to which any hedging or other transaction or series of transactions has been entered into by or on behalf of such stockholder or any 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such stockholder or any Stockholder Associated Person with respect to any securities of the corporation, (5) any material interest of the stockholder or a Stockholder Associated Person in such business, and (6) a statement whether either such stockholder or any Stockholder Associated Person will deliver a proxy statement and form of proxy to holders of at least the percentage of the corporation’s voting shares required under applicable law to carry the proposal (such information provided and statements made as required by clauses (1) through (6), a “</w:t>
      </w:r>
      <w:r>
        <w:rPr>
          <w:rFonts w:ascii="Arial" w:cs="Arial" w:eastAsia="Arial" w:hAnsi="Arial"/>
          <w:sz w:val="16"/>
          <w:szCs w:val="16"/>
          <w:b w:val="1"/>
          <w:bCs w:val="1"/>
          <w:color w:val="auto"/>
        </w:rPr>
        <w:t>Business Solicitation Statement</w:t>
      </w:r>
      <w:r>
        <w:rPr>
          <w:rFonts w:ascii="Arial" w:cs="Arial" w:eastAsia="Arial" w:hAnsi="Arial"/>
          <w:sz w:val="16"/>
          <w:szCs w:val="16"/>
          <w:color w:val="auto"/>
        </w:rPr>
        <w:t>”). In addition, to be in proper written form, a stockholder’s notice to the secretary must be supplemented not later than ten days following the record date for notice of the meeting to disclose the information contained in clauses (3) and (4) above as of the record date for notice of the meeting. For purposes of this Section 2.4, a “</w:t>
      </w:r>
      <w:r>
        <w:rPr>
          <w:rFonts w:ascii="Arial" w:cs="Arial" w:eastAsia="Arial" w:hAnsi="Arial"/>
          <w:sz w:val="16"/>
          <w:szCs w:val="16"/>
          <w:b w:val="1"/>
          <w:bCs w:val="1"/>
          <w:color w:val="auto"/>
        </w:rPr>
        <w:t>Stockholder Associated Person</w:t>
      </w:r>
      <w:r>
        <w:rPr>
          <w:rFonts w:ascii="Arial" w:cs="Arial" w:eastAsia="Arial" w:hAnsi="Arial"/>
          <w:sz w:val="16"/>
          <w:szCs w:val="16"/>
          <w:color w:val="auto"/>
        </w:rPr>
        <w:t>” of any stockholder shall mean (i) any person controlling, directly or indirectly, or 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279" w:lineRule="exact"/>
        <w:rPr>
          <w:rFonts w:ascii="Arial" w:cs="Arial" w:eastAsia="Arial" w:hAnsi="Arial"/>
          <w:sz w:val="16"/>
          <w:szCs w:val="16"/>
          <w:color w:val="auto"/>
        </w:rPr>
      </w:pPr>
    </w:p>
    <w:p>
      <w:pPr>
        <w:ind w:left="-40" w:firstLine="1428"/>
        <w:spacing w:after="0" w:line="271" w:lineRule="auto"/>
        <w:tabs>
          <w:tab w:leader="none" w:pos="1637" w:val="left"/>
        </w:tabs>
        <w:numPr>
          <w:ilvl w:val="1"/>
          <w:numId w:val="195"/>
        </w:numPr>
        <w:rPr>
          <w:rFonts w:ascii="Arial" w:cs="Arial" w:eastAsia="Arial" w:hAnsi="Arial"/>
          <w:sz w:val="17"/>
          <w:szCs w:val="17"/>
          <w:color w:val="auto"/>
        </w:rPr>
      </w:pPr>
      <w:r>
        <w:rPr>
          <w:rFonts w:ascii="Arial" w:cs="Arial" w:eastAsia="Arial" w:hAnsi="Arial"/>
          <w:sz w:val="17"/>
          <w:szCs w:val="17"/>
          <w:color w:val="auto"/>
        </w:rPr>
        <w:t>Without exception, no business shall be conducted at any annual meeting except in accordance with the provisions set forth in this Section 2.4(i) and, if applicable, Section 2.4(ii).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the annual meeting shall, if the facts warrant, determine and declare at the annual meeting that business was not properly brought before the annual meeting and in accordance with the provisions of this Section 2.4(i), and, if the chairperson should so determine, he or she shall so declare at the annual meeting that any such business not properly brought before the annual meeting shall not be conducted.</w:t>
      </w:r>
    </w:p>
    <w:p>
      <w:pPr>
        <w:spacing w:after="0" w:line="70" w:lineRule="exact"/>
        <w:rPr>
          <w:rFonts w:ascii="Arial" w:cs="Arial" w:eastAsia="Arial" w:hAnsi="Arial"/>
          <w:sz w:val="17"/>
          <w:szCs w:val="17"/>
          <w:color w:val="auto"/>
        </w:rPr>
      </w:pPr>
    </w:p>
    <w:p>
      <w:pPr>
        <w:ind w:left="-40" w:right="60" w:firstLine="987"/>
        <w:spacing w:after="0" w:line="263" w:lineRule="auto"/>
        <w:tabs>
          <w:tab w:leader="none" w:pos="1216"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of Director Nominations at Annual Meetings. </w:t>
      </w:r>
      <w:r>
        <w:rPr>
          <w:rFonts w:ascii="Arial" w:cs="Arial" w:eastAsia="Arial" w:hAnsi="Arial"/>
          <w:sz w:val="18"/>
          <w:szCs w:val="18"/>
          <w:color w:val="auto"/>
        </w:rPr>
        <w:t>Notwithstanding anything in these bylaws to the contrary, only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who are nominated in accordance with the procedures set forth in this Section 2.4(ii) shall be eligible for election or re-election as directors at an annual meeting of stockholders. Nominations of persons for election to the board of directors of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80" w:top="274" w:right="479" w:bottom="1440" w:gutter="0" w:footer="0" w:header="0"/>
        </w:sectPr>
      </w:pPr>
    </w:p>
    <w:bookmarkStart w:id="293" w:name="page294"/>
    <w:bookmarkEnd w:id="293"/>
    <w:p>
      <w:pPr>
        <w:ind w:left="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corporation shall be made at an annual meeting of stockholders only (A) by or at the direction of the board of directors or (B) by a stockholder of the corporation who (1) was a stockholder of record at the time of the giving of the notice required by this Section 2.4(ii), on the record date for the determination of stockholders entitled to notice of the annual meeting and on the record date for the determination of stockholders entitled to vote at the annual meeting and (2) has complied with the notice procedures set forth in this Section 2.4(ii). In addition to any other applicable requirements, for a nomination to be made by a stockholder, the stockholder must have given timely notice thereof in proper written form to the secretary of the corporation.</w:t>
      </w:r>
    </w:p>
    <w:p>
      <w:pPr>
        <w:spacing w:after="0" w:line="53" w:lineRule="exact"/>
        <w:rPr>
          <w:sz w:val="20"/>
          <w:szCs w:val="20"/>
          <w:color w:val="auto"/>
        </w:rPr>
      </w:pPr>
    </w:p>
    <w:p>
      <w:pPr>
        <w:ind w:left="4" w:right="340" w:firstLine="1428"/>
        <w:spacing w:after="0" w:line="263" w:lineRule="auto"/>
        <w:tabs>
          <w:tab w:leader="none" w:pos="168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To comply with clause (B) of Section 2.4(ii) above, a nomination to be made by a stockholder must set forth all information required under this Section 2.4(ii) and must be received by the secretary of the corporation at the principal executive offices of the corporation at the time set forth in, and in accordance with, the final three sentences of Section 2.4(i)(a) above.</w:t>
      </w:r>
    </w:p>
    <w:p>
      <w:pPr>
        <w:spacing w:after="0" w:line="75" w:lineRule="exact"/>
        <w:rPr>
          <w:rFonts w:ascii="Arial" w:cs="Arial" w:eastAsia="Arial" w:hAnsi="Arial"/>
          <w:sz w:val="18"/>
          <w:szCs w:val="18"/>
          <w:color w:val="auto"/>
        </w:rPr>
      </w:pPr>
    </w:p>
    <w:p>
      <w:pPr>
        <w:ind w:left="1684" w:hanging="252"/>
        <w:spacing w:after="0"/>
        <w:tabs>
          <w:tab w:leader="none" w:pos="1684"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To be in proper written form, such stockholder’s notice to the secretary must set forth:</w:t>
      </w:r>
    </w:p>
    <w:p>
      <w:pPr>
        <w:spacing w:after="0" w:line="113" w:lineRule="exact"/>
        <w:rPr>
          <w:rFonts w:ascii="Arial" w:cs="Arial" w:eastAsia="Arial" w:hAnsi="Arial"/>
          <w:sz w:val="18"/>
          <w:szCs w:val="18"/>
          <w:color w:val="auto"/>
        </w:rPr>
      </w:pPr>
    </w:p>
    <w:p>
      <w:pPr>
        <w:ind w:left="2244" w:hanging="261"/>
        <w:spacing w:after="0"/>
        <w:tabs>
          <w:tab w:leader="none" w:pos="2244" w:val="left"/>
        </w:tabs>
        <w:numPr>
          <w:ilvl w:val="2"/>
          <w:numId w:val="197"/>
        </w:numPr>
        <w:rPr>
          <w:rFonts w:ascii="Arial" w:cs="Arial" w:eastAsia="Arial" w:hAnsi="Arial"/>
          <w:sz w:val="16"/>
          <w:szCs w:val="16"/>
          <w:color w:val="auto"/>
        </w:rPr>
      </w:pPr>
      <w:r>
        <w:rPr>
          <w:rFonts w:ascii="Arial" w:cs="Arial" w:eastAsia="Arial" w:hAnsi="Arial"/>
          <w:sz w:val="16"/>
          <w:szCs w:val="16"/>
          <w:color w:val="auto"/>
        </w:rPr>
        <w:t>as to each person (a “</w:t>
      </w:r>
      <w:r>
        <w:rPr>
          <w:rFonts w:ascii="Arial" w:cs="Arial" w:eastAsia="Arial" w:hAnsi="Arial"/>
          <w:sz w:val="16"/>
          <w:szCs w:val="16"/>
          <w:b w:val="1"/>
          <w:bCs w:val="1"/>
          <w:color w:val="auto"/>
        </w:rPr>
        <w:t>nominee</w:t>
      </w:r>
      <w:r>
        <w:rPr>
          <w:rFonts w:ascii="Arial" w:cs="Arial" w:eastAsia="Arial" w:hAnsi="Arial"/>
          <w:sz w:val="16"/>
          <w:szCs w:val="16"/>
          <w:color w:val="auto"/>
        </w:rPr>
        <w:t>”) whom the stockholder proposes to nominate for election or re-election as a director:</w:t>
      </w:r>
    </w:p>
    <w:p>
      <w:pPr>
        <w:spacing w:after="0" w:line="50" w:lineRule="exact"/>
        <w:rPr>
          <w:rFonts w:ascii="Arial" w:cs="Arial" w:eastAsia="Arial" w:hAnsi="Arial"/>
          <w:sz w:val="16"/>
          <w:szCs w:val="16"/>
          <w:color w:val="auto"/>
        </w:rPr>
      </w:pPr>
    </w:p>
    <w:p>
      <w:pPr>
        <w:ind w:left="4" w:right="40" w:hanging="4"/>
        <w:spacing w:after="0" w:line="267" w:lineRule="auto"/>
        <w:tabs>
          <w:tab w:leader="none" w:pos="299"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name, age, business address and residence address of the nominee, (B) the principal occupation or employment of the nominee, (C) the class and number of shares of the corporation that are held of record or are beneficially owned by the nominee and any derivative positions held or beneficially held by the nominee, (D)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(E) a description of all arrangements or understandings between the stockholder and each nominee and any other person or persons (naming such person or persons) pursuant to which the nominations are to be made by the stockholder, (F) a written statement executed by the nominee acknowledging that as a director of the corporation, the nominee will owe a fiduciary duty under Delaware law with respect to the corporation and its stockholders, and (G) any other information relating to the nominee that would be required to be disclosed about such nominee if proxies were being solicited for the election of the nominee as a director, or that is otherwise required, in each case pursuant to Regulation 14A under the 1934 Act (including without limitation the nominee’s written consent to being named in the proxy statement, if any, as a nominee and to serving as a director if elected); and</w:t>
      </w:r>
    </w:p>
    <w:p>
      <w:pPr>
        <w:spacing w:after="0" w:line="76" w:lineRule="exact"/>
        <w:rPr>
          <w:rFonts w:ascii="Arial" w:cs="Arial" w:eastAsia="Arial" w:hAnsi="Arial"/>
          <w:sz w:val="17"/>
          <w:szCs w:val="17"/>
          <w:color w:val="auto"/>
        </w:rPr>
      </w:pPr>
    </w:p>
    <w:p>
      <w:pPr>
        <w:ind w:left="4" w:right="260" w:firstLine="1979"/>
        <w:spacing w:after="0" w:line="273" w:lineRule="auto"/>
        <w:tabs>
          <w:tab w:leader="none" w:pos="2242" w:val="left"/>
        </w:tabs>
        <w:numPr>
          <w:ilvl w:val="2"/>
          <w:numId w:val="198"/>
        </w:numPr>
        <w:rPr>
          <w:rFonts w:ascii="Arial" w:cs="Arial" w:eastAsia="Arial" w:hAnsi="Arial"/>
          <w:sz w:val="17"/>
          <w:szCs w:val="17"/>
          <w:color w:val="auto"/>
        </w:rPr>
      </w:pPr>
      <w:r>
        <w:rPr>
          <w:rFonts w:ascii="Arial" w:cs="Arial" w:eastAsia="Arial" w:hAnsi="Arial"/>
          <w:sz w:val="17"/>
          <w:szCs w:val="17"/>
          <w:color w:val="auto"/>
        </w:rPr>
        <w:t>as to such stockholder giving notice, (A) the information required to be provided pursuant to clauses (2) through (5) of Section 2.4(i)(b) above, and the supplement referenced in the second sentence of Section 2.4(i)(b) above (except that the references to “business” in such clauses shall instead refer to nominations of directors for purposes of this paragraph), and (B) a statement whether either such stockholder or Stockholder Associated Person will deliver a proxy statement and form of proxy to holders of a number of the corporation’s voting shares reasonably believed by such stockholder or Stockholder Associated Person to be necessary to elect such nominee(s) (such information provided and statements made as required by clauses (A) and (B) above, a “</w:t>
      </w:r>
      <w:r>
        <w:rPr>
          <w:rFonts w:ascii="Arial" w:cs="Arial" w:eastAsia="Arial" w:hAnsi="Arial"/>
          <w:sz w:val="17"/>
          <w:szCs w:val="17"/>
          <w:b w:val="1"/>
          <w:bCs w:val="1"/>
          <w:color w:val="auto"/>
        </w:rPr>
        <w:t>Nominee Solicitation Statement</w:t>
      </w:r>
      <w:r>
        <w:rPr>
          <w:rFonts w:ascii="Arial" w:cs="Arial" w:eastAsia="Arial" w:hAnsi="Arial"/>
          <w:sz w:val="17"/>
          <w:szCs w:val="17"/>
          <w:color w:val="auto"/>
        </w:rPr>
        <w:t>”).</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294" w:name="page295"/>
    <w:bookmarkEnd w:id="294"/>
    <w:p>
      <w:pPr>
        <w:ind w:left="4" w:firstLine="1428"/>
        <w:spacing w:after="0" w:line="273" w:lineRule="auto"/>
        <w:tabs>
          <w:tab w:leader="none" w:pos="1681" w:val="left"/>
        </w:tabs>
        <w:numPr>
          <w:ilvl w:val="2"/>
          <w:numId w:val="1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the request of the board of directors, any person nominated by a stockholder for election as a director must furnish to the secretary of the corporation (1) that information required to be set forth in the stockholder’s notice of nomination of such person as a director as of a date subsequent to the date on which the notice of such person’s nomination was given and (2)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in the absence of the furnishing of such information if requested, such stockholder’s nomination shall not be considered in proper form pursuant to this Section 2.4(ii).</w:t>
      </w:r>
    </w:p>
    <w:p>
      <w:pPr>
        <w:spacing w:after="0" w:line="69" w:lineRule="exact"/>
        <w:rPr>
          <w:rFonts w:ascii="Arial" w:cs="Arial" w:eastAsia="Arial" w:hAnsi="Arial"/>
          <w:sz w:val="17"/>
          <w:szCs w:val="17"/>
          <w:color w:val="auto"/>
        </w:rPr>
      </w:pPr>
    </w:p>
    <w:p>
      <w:pPr>
        <w:ind w:left="4" w:right="20" w:firstLine="1428"/>
        <w:spacing w:after="0" w:line="291" w:lineRule="auto"/>
        <w:tabs>
          <w:tab w:leader="none" w:pos="1691" w:val="left"/>
        </w:tabs>
        <w:numPr>
          <w:ilvl w:val="2"/>
          <w:numId w:val="199"/>
        </w:numPr>
        <w:rPr>
          <w:rFonts w:ascii="Arial" w:cs="Arial" w:eastAsia="Arial" w:hAnsi="Arial"/>
          <w:sz w:val="16"/>
          <w:szCs w:val="16"/>
          <w:color w:val="auto"/>
        </w:rPr>
      </w:pPr>
      <w:r>
        <w:rPr>
          <w:rFonts w:ascii="Arial" w:cs="Arial" w:eastAsia="Arial" w:hAnsi="Arial"/>
          <w:sz w:val="16"/>
          <w:szCs w:val="16"/>
          <w:color w:val="auto"/>
        </w:rPr>
        <w:t>Without exception, no person shall be eligible for election or re-election as a director of the corporation at an annual meeting of stockholders unless nominated in accordance with the provisions set forth in this Section 2.4(ii).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 The chairperson of the annual meeting shall, if the facts warrant, determine and declare at the annual meeting that a nomination was not made in accordance with the provisions prescribed by these bylaws, and if the chairperson should so determine, he or she shall so declare at the annual meeting, and the defective nomination shall be disregarded.</w:t>
      </w:r>
    </w:p>
    <w:p>
      <w:pPr>
        <w:spacing w:after="0" w:line="58" w:lineRule="exact"/>
        <w:rPr>
          <w:rFonts w:ascii="Arial" w:cs="Arial" w:eastAsia="Arial" w:hAnsi="Arial"/>
          <w:sz w:val="16"/>
          <w:szCs w:val="16"/>
          <w:color w:val="auto"/>
        </w:rPr>
      </w:pPr>
    </w:p>
    <w:p>
      <w:pPr>
        <w:ind w:left="1304" w:hanging="313"/>
        <w:spacing w:after="0"/>
        <w:tabs>
          <w:tab w:leader="none" w:pos="1304" w:val="left"/>
        </w:tabs>
        <w:numPr>
          <w:ilvl w:val="1"/>
          <w:numId w:val="200"/>
        </w:numPr>
        <w:rPr>
          <w:rFonts w:ascii="Arial" w:cs="Arial" w:eastAsia="Arial" w:hAnsi="Arial"/>
          <w:sz w:val="18"/>
          <w:szCs w:val="18"/>
          <w:color w:val="auto"/>
        </w:rPr>
      </w:pPr>
      <w:r>
        <w:rPr>
          <w:rFonts w:ascii="Arial" w:cs="Arial" w:eastAsia="Arial" w:hAnsi="Arial"/>
          <w:sz w:val="18"/>
          <w:szCs w:val="18"/>
          <w:i w:val="1"/>
          <w:iCs w:val="1"/>
          <w:color w:val="auto"/>
        </w:rPr>
        <w:t>Advance Notice of Director Nominations for Special Meetings.</w:t>
      </w:r>
    </w:p>
    <w:p>
      <w:pPr>
        <w:spacing w:after="0" w:line="117" w:lineRule="exact"/>
        <w:rPr>
          <w:rFonts w:ascii="Arial" w:cs="Arial" w:eastAsia="Arial" w:hAnsi="Arial"/>
          <w:sz w:val="18"/>
          <w:szCs w:val="18"/>
          <w:color w:val="auto"/>
        </w:rPr>
      </w:pPr>
    </w:p>
    <w:p>
      <w:pPr>
        <w:ind w:left="4" w:right="120" w:firstLine="1428"/>
        <w:spacing w:after="0" w:line="291" w:lineRule="auto"/>
        <w:tabs>
          <w:tab w:leader="none" w:pos="1681" w:val="left"/>
        </w:tabs>
        <w:numPr>
          <w:ilvl w:val="2"/>
          <w:numId w:val="200"/>
        </w:numPr>
        <w:rPr>
          <w:rFonts w:ascii="Arial" w:cs="Arial" w:eastAsia="Arial" w:hAnsi="Arial"/>
          <w:sz w:val="16"/>
          <w:szCs w:val="16"/>
          <w:color w:val="auto"/>
        </w:rPr>
      </w:pPr>
      <w:r>
        <w:rPr>
          <w:rFonts w:ascii="Arial" w:cs="Arial" w:eastAsia="Arial" w:hAnsi="Arial"/>
          <w:sz w:val="16"/>
          <w:szCs w:val="16"/>
          <w:color w:val="auto"/>
        </w:rPr>
        <w:t>For a special meeting of stockholders at which directors are to be elected pursuant to Section 2.3, nominations of persons for election to the board of directors shall be made only (1) by or at the direction of the board of directors or (2) by any stockholder of the corporation who</w:t>
      </w:r>
    </w:p>
    <w:p>
      <w:pPr>
        <w:ind w:left="4" w:right="20" w:hanging="4"/>
        <w:spacing w:after="0" w:line="285" w:lineRule="auto"/>
        <w:tabs>
          <w:tab w:leader="none" w:pos="299"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is a stockholder of record at the time of the giving of the notice required by this Section 2.4(iii), on the record date for the determination of stockholders entitled to notice of the special meeting and on the record date for the determination of stockholders entitled to vote at the special meeting and (B) delivers a timely written notice of the nomination to the secretary of the corporation that includes the information set forth in Sections 2.4(ii)(b) and (ii)(c) above. To be timely, such notice must be received by the secretary at the principal executive offices of the corporation not later than the close of business on the later of the 90th day prior to such special meeting or the tenth day following the day on which Public Announcement is first made of the date of the special meeting and of the nominees proposed by the board of directors to be elected at such meeting. A person shall not be eligible for election or re-election as a director at a special meeting unless the person is nominated (i) by or at the direction of the board of directors or (ii) by a stockholder in accordance with the notice procedures set forth in this Section 2.4(iii).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95" w:name="page296"/>
    <w:bookmarkEnd w:id="295"/>
    <w:p>
      <w:pPr>
        <w:ind w:right="400" w:firstLine="1428"/>
        <w:spacing w:after="0" w:line="263" w:lineRule="auto"/>
        <w:tabs>
          <w:tab w:leader="none" w:pos="1687" w:val="left"/>
        </w:tabs>
        <w:numPr>
          <w:ilvl w:val="1"/>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chairperson of the special meeting shall, if the facts warrant, determine and declare at the meeting that a nomination or business was not made in accordance with the procedures prescribed by these bylaws, and if the chairperson should so determine, he or she shall so declare at the meeting, and the defective nomination or business shall be disregarded.</w:t>
      </w:r>
    </w:p>
    <w:p>
      <w:pPr>
        <w:spacing w:after="0" w:line="75" w:lineRule="exact"/>
        <w:rPr>
          <w:rFonts w:ascii="Arial" w:cs="Arial" w:eastAsia="Arial" w:hAnsi="Arial"/>
          <w:sz w:val="18"/>
          <w:szCs w:val="18"/>
          <w:color w:val="auto"/>
        </w:rPr>
      </w:pPr>
    </w:p>
    <w:p>
      <w:pPr>
        <w:ind w:right="20" w:firstLine="987"/>
        <w:spacing w:after="0" w:line="255" w:lineRule="auto"/>
        <w:tabs>
          <w:tab w:leader="none" w:pos="1296"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 xml:space="preserve">Other Requirements and Rights. </w:t>
      </w:r>
      <w:r>
        <w:rPr>
          <w:rFonts w:ascii="Arial" w:cs="Arial" w:eastAsia="Arial" w:hAnsi="Arial"/>
          <w:sz w:val="18"/>
          <w:szCs w:val="18"/>
          <w:color w:val="auto"/>
        </w:rPr>
        <w:t>In addition to the foregoing provisions of this Section 2.4, a stockholder must also comply with all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requirements of state law and of the 1934 Act and the rules and regulations thereunder with respect to the matters set forth in this Section 2.4, including, with respect to business such stockholder intends to bring before the annual meeting that involves a proposal that such stockholder requests to be included in the corporation’s proxy statement, the requirements of Rule 14a-8 (or any successor provision) under the 1934 Act. Nothing in this Section 2.4 shall be deemed to affect any right of the corporation to omit a proposal from the corporation’s proxy statement pursuant to Rule 14a-8 (or any successor provision) under the 1934 Act.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 NOTICE OF STOCKHOLDERS’ MEETINGS</w:t>
      </w:r>
    </w:p>
    <w:p>
      <w:pPr>
        <w:spacing w:after="0" w:line="11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 QUORUM</w:t>
      </w:r>
    </w:p>
    <w:p>
      <w:pPr>
        <w:spacing w:after="0" w:line="11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holders of a majority of the stock issued and outstanding and entitled to vote, present in person or represented by proxy, shall constitute a quorum for the transaction of business at all meetings of the stockholders.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49"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If, however, such quorum is not present or represented at any meeting of the stockholders,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96" w:name="page297"/>
    <w:bookmarkEnd w:id="29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2.7 ADJOURNED MEETING; NOTICE</w:t>
      </w:r>
    </w:p>
    <w:p>
      <w:pPr>
        <w:spacing w:after="0" w:line="11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2.8 CONDUCT OF BUSINESS</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chairperson of any meeting of stockholders shall determine the order of business and the procedure at the meeting, including such regulation of the manner of voting and the conduct of business. The chairperson of any meeting of stockholders shall be designated by the board of directors; in the absence of such designation, the chairperson of the board, if any, the chief executive officer (in the absence of the chairperson) or the president (in the absence of the chairperson of the board and the chief executive officer), or in their absence any other executive officer of the corporation, shall serve as chairperson of the stockholder meeting.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2.9 VOTING</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8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Except as may be otherwise provided in the certificate of incorporation or these bylaws, each stockholder shall be entitled to one vote for each share of capital stock held by such stockholder.</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97" w:name="page298"/>
    <w:bookmarkEnd w:id="297"/>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directors. Where a separate vote by a class or series or classes or series is required, in all matters other than the election of directors, the affirmative vote of the majority of shares of such class or series or classes or series present in person or represented by proxy at the meeting shall be the act of such class or series or classes or series, except as otherwise provided by law, the certificate of incorporation or these bylaws.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2.10 STOCKHOLDER ACTION BY WRITTEN CONSENT WITHOUT A MEETING</w:t>
      </w:r>
    </w:p>
    <w:p>
      <w:pPr>
        <w:spacing w:after="0" w:line="117"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Subject to the rights of the holders of the shares of any series of preferred stock or any other class of stock or series thereof having a preference over the common stock as dividend or upon liquidation,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2.11 RECORD DATES</w:t>
      </w:r>
    </w:p>
    <w:p>
      <w:pPr>
        <w:spacing w:after="0" w:line="117"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6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88"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298" w:name="page299"/>
    <w:bookmarkEnd w:id="29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2.12 PROXIES</w:t>
      </w:r>
    </w:p>
    <w:p>
      <w:pPr>
        <w:spacing w:after="0" w:line="117"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 A written proxy may be in the form of a telegram, cablegram, or other means of electronic transmission which sets forth or is submitted with information from which it can be determined that the telegram, cablegram, or other means of electronic transmission was authorized by the person.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2.13 LIST OF STOCKHOLDERS ENTITLED TO VOTE</w:t>
      </w:r>
    </w:p>
    <w:p>
      <w:pPr>
        <w:spacing w:after="0" w:line="11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The corporation shall prepare, at least 10 days before every meeting of stockholders, a complete list of the stockholders entitled to vote at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INSPECTORS OF ELECTION</w:t>
      </w:r>
    </w:p>
    <w:p>
      <w:pPr>
        <w:spacing w:after="0" w:line="117"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Before any meeting of stockholders, the board of directors shall appoint an inspector or inspectors of election to act at the meeting or its adjournment.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99" w:name="page300"/>
    <w:bookmarkEnd w:id="29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inspectors shall:</w:t>
      </w:r>
    </w:p>
    <w:p>
      <w:pPr>
        <w:spacing w:after="0" w:line="117" w:lineRule="exact"/>
        <w:rPr>
          <w:sz w:val="20"/>
          <w:szCs w:val="20"/>
          <w:color w:val="auto"/>
        </w:rPr>
      </w:pPr>
    </w:p>
    <w:p>
      <w:pPr>
        <w:ind w:left="1200" w:hanging="213"/>
        <w:spacing w:after="0"/>
        <w:tabs>
          <w:tab w:leader="none" w:pos="12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ascertain the number of shares outstanding and the voting power of each;</w:t>
      </w:r>
    </w:p>
    <w:p>
      <w:pPr>
        <w:spacing w:after="0" w:line="117" w:lineRule="exact"/>
        <w:rPr>
          <w:rFonts w:ascii="Arial" w:cs="Arial" w:eastAsia="Arial" w:hAnsi="Arial"/>
          <w:sz w:val="18"/>
          <w:szCs w:val="18"/>
          <w:color w:val="auto"/>
        </w:rPr>
      </w:pPr>
    </w:p>
    <w:p>
      <w:pPr>
        <w:ind w:left="1260" w:hanging="273"/>
        <w:spacing w:after="0"/>
        <w:tabs>
          <w:tab w:leader="none" w:pos="12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determine the shares represented at the meeting and the validity of proxies and ballots;</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count all votes and ballots;</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determine and retain for a reasonable period a record of the disposition of any challenges made to any determination by the inspectors;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 certify their determination of the number of shares represented at the meeting, and their count of all votes and ballots.</w:t>
      </w:r>
    </w:p>
    <w:p>
      <w:pPr>
        <w:spacing w:after="0" w:line="225" w:lineRule="exact"/>
        <w:rPr>
          <w:sz w:val="20"/>
          <w:szCs w:val="20"/>
          <w:color w:val="auto"/>
        </w:rPr>
      </w:pPr>
    </w:p>
    <w:p>
      <w:pPr>
        <w:ind w:right="240" w:firstLine="440"/>
        <w:spacing w:after="0" w:line="286" w:lineRule="auto"/>
        <w:rPr>
          <w:sz w:val="20"/>
          <w:szCs w:val="20"/>
          <w:color w:val="auto"/>
        </w:rPr>
      </w:pPr>
      <w:r>
        <w:rPr>
          <w:rFonts w:ascii="Arial" w:cs="Arial" w:eastAsia="Arial" w:hAnsi="Arial"/>
          <w:sz w:val="17"/>
          <w:szCs w:val="17"/>
          <w:color w:val="auto"/>
        </w:rPr>
        <w:t xml:space="preserve">The inspectors of election shall perform their duties impartially, in good faith, to the best of their ability and as expeditiously as is practical. If there are three (3) inspectors of election, the decision, act or certificate of a majority is effective in all respects as the decision, act or certificate of all. Any report or certificate made by the inspectors of election is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facts stated therein.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 DIRECTORS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3.1 POWERS</w:t>
      </w:r>
    </w:p>
    <w:p>
      <w:pPr>
        <w:spacing w:after="0" w:line="117"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The business and affairs of the corporation shall be managed by or under the direction of the board of directors, except as may be otherwise provided in the DGCL or the certificate of incorporation.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3.2 NUMBER OF DIRECTORS</w:t>
      </w:r>
    </w:p>
    <w:p>
      <w:pPr>
        <w:spacing w:after="0" w:line="117"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The board of directors shall consist of one or more members, each of whom shall be a natural person. Unless the certificate of incorporation fixes the number of directors, the number of directors shall be determined from time to time by resolution of the board of directors. No reduction of the authorized number of directors shall have the effect of removing any director before that director’s term of office expires.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3.3 ELECTION, QUALIFICATION AND TERM OF OFFICE OF DIRECTORS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00" w:name="page301"/>
    <w:bookmarkEnd w:id="30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so provided in the certificate of incorporation, the directors of the corporation shall be divided into three classes.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3.4 RESIGNATION AND VACANCIES</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Any director may resign at any time upon notice given in writing or by electronic transmission to the corporation.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78"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Unless otherwise provided in the certificate of incorporation or these bylaws,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elected by the directors then in office to fill a vacancy or newly created directorship shall hold office until the next election of the class for which such director shall have been chosen and until his or her successor shall have been duly elected and qualified.</w:t>
      </w:r>
    </w:p>
    <w:p>
      <w:pPr>
        <w:spacing w:after="0" w:line="161"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71"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If, at the time of filling any vacancy or any newly created directorship, the directors then in office constitute less than a majority of the whole board of directors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301" w:name="page302"/>
    <w:bookmarkEnd w:id="30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3.5 PLACE OF MEETINGS; MEETINGS BY TELEPHONE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may hold meetings, both regular and special, either within or outside the State of Delaware.</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or any committee designated by the board of directors or any subcommittee, may participate in a meeting of the board of directors, or any such committee or subcommittee,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3.6 REGULAR MEETINGS</w:t>
      </w:r>
    </w:p>
    <w:p>
      <w:pPr>
        <w:spacing w:after="0" w:line="11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3.7 SPECIAL MEETINGS; NOTICE</w:t>
      </w:r>
    </w:p>
    <w:p>
      <w:pPr>
        <w:spacing w:after="0" w:line="11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Special meetings of the board of directors for any purpose or purposes may be called at any time by the chairperson of the board of directors, the chief executive officer, the president, the secretary or a majority of the authorized number of directors.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117" w:lineRule="exact"/>
        <w:rPr>
          <w:sz w:val="20"/>
          <w:szCs w:val="20"/>
          <w:color w:val="auto"/>
        </w:rPr>
      </w:pPr>
    </w:p>
    <w:p>
      <w:pPr>
        <w:ind w:left="1200" w:hanging="213"/>
        <w:spacing w:after="0"/>
        <w:tabs>
          <w:tab w:leader="none" w:pos="12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117" w:lineRule="exact"/>
        <w:rPr>
          <w:rFonts w:ascii="Arial" w:cs="Arial" w:eastAsia="Arial" w:hAnsi="Arial"/>
          <w:sz w:val="18"/>
          <w:szCs w:val="18"/>
          <w:color w:val="auto"/>
        </w:rPr>
      </w:pPr>
    </w:p>
    <w:p>
      <w:pPr>
        <w:ind w:left="1260" w:hanging="273"/>
        <w:spacing w:after="0"/>
        <w:tabs>
          <w:tab w:leader="none" w:pos="12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sent by facsimile;</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sent by electronic mail; or</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otherwise given by electronic transmission (as defined in Section 7.2),</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electronic mail address or other contact for notice by electronic transmission, as the case may be, as shown on the corporation’s records.</w:t>
      </w:r>
    </w:p>
    <w:p>
      <w:pPr>
        <w:spacing w:after="0" w:line="170"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302" w:name="page303"/>
    <w:bookmarkEnd w:id="30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3.8 QUORUM; VOTING</w:t>
      </w:r>
    </w:p>
    <w:p>
      <w:pPr>
        <w:spacing w:after="0" w:line="117"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At all meetings of the board of directors, a majority of the total authorized number of directors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88"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70"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3.9 BOARD ACTION BY WRITTEN CONSENT WITHOUT A MEETING</w:t>
      </w:r>
    </w:p>
    <w:p>
      <w:pPr>
        <w:spacing w:after="0" w:line="11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Unless otherwise restricted by the certificate of incorporation or these bylaws, any action required or permitted to be taken at any meeting of the board of directors, or of any committee or subcommittee thereof, may be taken without a meeting if all members of the board of directors or committee or subcommittee, as the case may be, consent thereto in writing or by electronic transmission and the writing or writings or electronic transmission or transmissions are filed with the minutes of proceedings of the board of directors or committee or subcommittee. Such filing shall be in paper form if the minutes are maintained in paper form and shall be in electronic form if the minutes are maintained in electronic form.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3.10 FEES AND COMPENSATION OF DIRECTORS</w:t>
      </w:r>
    </w:p>
    <w:p>
      <w:pPr>
        <w:spacing w:after="0" w:line="117" w:lineRule="exact"/>
        <w:rPr>
          <w:sz w:val="20"/>
          <w:szCs w:val="20"/>
          <w:color w:val="auto"/>
        </w:rPr>
      </w:pPr>
    </w:p>
    <w:p>
      <w:pPr>
        <w:ind w:right="940" w:firstLine="440"/>
        <w:spacing w:after="0" w:line="277"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03" w:name="page304"/>
    <w:bookmarkEnd w:id="3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3.11 REMOVAL OF DIRECTORS</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Consistent with Section 141(k) of the DGCL, so long as the board of directors remains classified as provided in Section 141(d) of the DGCL, any director may be removed from office by the stockholders of the corporation only for cause.</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No reduction of the authorized number of directors shall have the effect of removing any director prior to the expiration of such director’s term of office.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 - COMMITTEES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4.1 COMMITTEES OF DIRECTORS</w:t>
      </w:r>
    </w:p>
    <w:p>
      <w:pPr>
        <w:spacing w:after="0" w:line="117"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4.2 COMMITTEE MINUTES</w:t>
      </w:r>
    </w:p>
    <w:p>
      <w:pPr>
        <w:spacing w:after="0" w:line="11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Each committee and subcommittee shall keep regular minutes of its meetings and report the same to the board of directors, or the committee, when required.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4.3 MEETINGS AND ACTION OF COMMITTEES</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A majority of the directors then serving on a committee or subcommittee shall constitute a quorum for the transaction of business by the committee or subcommittee, unless the certificate of incorporation, these bylaws, a resolution of the board of directors or a resolution of a committee that created the subcommittee requires a greater or lesser number,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case shall a quorum be less than 1/3 of the directors then serving on the committee or subcommittee. The vote of the majority of the members of a committee or subcommittee present at a meeting at which a quorum is present shall be the act of the committee or subcommittee, unless the certificate of incorporation, these bylaws, a resolution of the board of directors or a resolution of a committee that created the subcommittee requires a greater number. Meetings and actions of committees and subcommittees shall otherwise be governed by, and held and taken in accordance with, the provisions 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304" w:name="page305"/>
    <w:bookmarkEnd w:id="304"/>
    <w:p>
      <w:pPr>
        <w:ind w:left="1200" w:hanging="213"/>
        <w:spacing w:after="0"/>
        <w:tabs>
          <w:tab w:leader="none" w:pos="12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3.5 (place of meetings and meetings by telephone);</w:t>
      </w:r>
    </w:p>
    <w:p>
      <w:pPr>
        <w:spacing w:after="0" w:line="117" w:lineRule="exact"/>
        <w:rPr>
          <w:rFonts w:ascii="Arial" w:cs="Arial" w:eastAsia="Arial" w:hAnsi="Arial"/>
          <w:sz w:val="18"/>
          <w:szCs w:val="18"/>
          <w:color w:val="auto"/>
        </w:rPr>
      </w:pPr>
    </w:p>
    <w:p>
      <w:pPr>
        <w:ind w:left="1260" w:hanging="273"/>
        <w:spacing w:after="0"/>
        <w:tabs>
          <w:tab w:leader="none" w:pos="12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Section 3.6 (regular meetings);</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Section 3.7 (special meetings and notice);</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Section 3.8 (quorum; voting);</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Section 7.5 (waiver of notice); and</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Section 3.9 (action without a meeting)</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 xml:space="preserve">with such changes in the context of those bylaws as are necessary to substitute the committee or subcommittee and its members for the board of directors and its members. </w:t>
      </w:r>
      <w:r>
        <w:rPr>
          <w:rFonts w:ascii="Arial" w:cs="Arial" w:eastAsia="Arial" w:hAnsi="Arial"/>
          <w:sz w:val="18"/>
          <w:szCs w:val="18"/>
          <w:i w:val="1"/>
          <w:iCs w:val="1"/>
          <w:color w:val="auto"/>
        </w:rPr>
        <w:t>However</w:t>
      </w:r>
      <w:r>
        <w:rPr>
          <w:rFonts w:ascii="Arial" w:cs="Arial" w:eastAsia="Arial" w:hAnsi="Arial"/>
          <w:sz w:val="18"/>
          <w:szCs w:val="18"/>
          <w:color w:val="auto"/>
        </w:rPr>
        <w:t>:</w:t>
      </w:r>
    </w:p>
    <w:p>
      <w:pPr>
        <w:spacing w:after="0" w:line="62" w:lineRule="exact"/>
        <w:rPr>
          <w:sz w:val="20"/>
          <w:szCs w:val="20"/>
          <w:color w:val="auto"/>
        </w:rPr>
      </w:pPr>
    </w:p>
    <w:p>
      <w:pPr>
        <w:ind w:right="560" w:firstLine="987"/>
        <w:spacing w:after="0" w:line="277" w:lineRule="auto"/>
        <w:tabs>
          <w:tab w:leader="none" w:pos="120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time and place of regular meetings of committees and subcommittees may be determined either by resolution of the board of directors or by resolution of the committee or subcommittee;</w:t>
      </w:r>
    </w:p>
    <w:p>
      <w:pPr>
        <w:spacing w:after="0" w:line="62" w:lineRule="exact"/>
        <w:rPr>
          <w:rFonts w:ascii="Arial" w:cs="Arial" w:eastAsia="Arial" w:hAnsi="Arial"/>
          <w:sz w:val="18"/>
          <w:szCs w:val="18"/>
          <w:color w:val="auto"/>
        </w:rPr>
      </w:pPr>
    </w:p>
    <w:p>
      <w:pPr>
        <w:ind w:right="440" w:firstLine="987"/>
        <w:spacing w:after="0" w:line="277" w:lineRule="auto"/>
        <w:tabs>
          <w:tab w:leader="none" w:pos="125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special meetings of committees and subcommittees may also be called by resolution of the board of directors or the committee or subcommittee; and</w:t>
      </w:r>
    </w:p>
    <w:p>
      <w:pPr>
        <w:spacing w:after="0" w:line="62" w:lineRule="exact"/>
        <w:rPr>
          <w:rFonts w:ascii="Arial" w:cs="Arial" w:eastAsia="Arial" w:hAnsi="Arial"/>
          <w:sz w:val="18"/>
          <w:szCs w:val="18"/>
          <w:color w:val="auto"/>
        </w:rPr>
      </w:pPr>
    </w:p>
    <w:p>
      <w:pPr>
        <w:jc w:val="both"/>
        <w:ind w:firstLine="987"/>
        <w:spacing w:after="0" w:line="259" w:lineRule="auto"/>
        <w:tabs>
          <w:tab w:leader="none" w:pos="130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notice of special meetings of committees and subcommittees shall also be given to all alternate members, as applicable, who shall have the right to attend all meetings of the committee or subcommittee. The board of directors, or, in the absence of any such action by the board of directors, the committee or subcommittee, may adopt rules for the government of any committee or subcommittee not inconsistent with the provisions of these bylaws.</w:t>
      </w:r>
    </w:p>
    <w:p>
      <w:pPr>
        <w:spacing w:after="0" w:line="187" w:lineRule="exact"/>
        <w:rPr>
          <w:sz w:val="20"/>
          <w:szCs w:val="20"/>
          <w:color w:val="auto"/>
        </w:rPr>
      </w:pPr>
    </w:p>
    <w:p>
      <w:pPr>
        <w:ind w:right="340" w:firstLine="440"/>
        <w:spacing w:after="0" w:line="342" w:lineRule="auto"/>
        <w:rPr>
          <w:sz w:val="20"/>
          <w:szCs w:val="20"/>
          <w:color w:val="auto"/>
        </w:rPr>
      </w:pPr>
      <w:r>
        <w:rPr>
          <w:rFonts w:ascii="Arial" w:cs="Arial" w:eastAsia="Arial" w:hAnsi="Arial"/>
          <w:sz w:val="16"/>
          <w:szCs w:val="16"/>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4.4 SUBCOMMITTEES</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05" w:name="page306"/>
    <w:bookmarkEnd w:id="3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 - OFFICERS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5.1 OFFICERS</w:t>
      </w:r>
    </w:p>
    <w:p>
      <w:pPr>
        <w:spacing w:after="0" w:line="117" w:lineRule="exact"/>
        <w:rPr>
          <w:sz w:val="20"/>
          <w:szCs w:val="20"/>
          <w:color w:val="auto"/>
        </w:rPr>
      </w:pPr>
    </w:p>
    <w:p>
      <w:pPr>
        <w:ind w:right="200" w:firstLine="440"/>
        <w:spacing w:after="0" w:line="301" w:lineRule="auto"/>
        <w:rPr>
          <w:sz w:val="20"/>
          <w:szCs w:val="20"/>
          <w:color w:val="auto"/>
        </w:rPr>
      </w:pPr>
      <w:r>
        <w:rPr>
          <w:rFonts w:ascii="Arial" w:cs="Arial" w:eastAsia="Arial" w:hAnsi="Arial"/>
          <w:sz w:val="16"/>
          <w:szCs w:val="16"/>
          <w:color w:val="auto"/>
        </w:rPr>
        <w:t>The officers of the corporation shall be a president and a secretary. The corporation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 APPOINTMENT OF OFFICERS</w:t>
      </w:r>
    </w:p>
    <w:p>
      <w:pPr>
        <w:spacing w:after="0" w:line="11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board of directors shall appoint the officers of the corporation, except such officers as may be appointed in accordance with the provisions of Sections 5.3 of these bylaws, subject to the rights, if any, of an officer under any contract of employment.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5.3 SUBORDINATE OFFICERS</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The board of directors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of directors may from time to time determine.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5.4 REMOVAL AND RESIGNATION OF OFFICERS</w:t>
      </w:r>
    </w:p>
    <w:p>
      <w:pPr>
        <w:spacing w:after="0" w:line="117"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Subject to the rights, if any, of an officer under any contract of employment, any officer may be removed, either with or without 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w:t>
      </w:r>
    </w:p>
    <w:p>
      <w:pPr>
        <w:spacing w:after="0" w:line="165" w:lineRule="exact"/>
        <w:rPr>
          <w:sz w:val="20"/>
          <w:szCs w:val="20"/>
          <w:color w:val="auto"/>
        </w:rPr>
      </w:pPr>
    </w:p>
    <w:p>
      <w:pPr>
        <w:jc w:val="both"/>
        <w:ind w:right="160" w:firstLine="440"/>
        <w:spacing w:after="0" w:line="259" w:lineRule="auto"/>
        <w:rPr>
          <w:sz w:val="20"/>
          <w:szCs w:val="20"/>
          <w:color w:val="auto"/>
        </w:rPr>
      </w:pPr>
      <w:r>
        <w:rPr>
          <w:rFonts w:ascii="Arial" w:cs="Arial" w:eastAsia="Arial" w:hAnsi="Arial"/>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5.5 VACANCIES IN OFFICES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 or as provided in Section 5.3.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306" w:name="page307"/>
    <w:bookmarkEnd w:id="30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5.6 REPRESENTATION OF SHARES OF OTHER CORPORATIONS</w:t>
      </w:r>
    </w:p>
    <w:p>
      <w:pPr>
        <w:spacing w:after="0" w:line="11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The chairperson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5.7 AUTHORITY AND DUTIES OF OFFICERS</w:t>
      </w:r>
    </w:p>
    <w:p>
      <w:pPr>
        <w:spacing w:after="0" w:line="11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All officers of the corporation shall respectively have such authority and perform such duties in the management of the business of the corporation as may be designated from time to time by the board of directors and, to the extent not so provided, as generally pertain to their respective offices, subject to the control of the board of directors.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 STOCK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6.1 STOCK CERTIFICATES; PARTLY PAID SHARES</w:t>
      </w:r>
    </w:p>
    <w:p>
      <w:pPr>
        <w:spacing w:after="0" w:line="11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Unless otherwise provided by resolution of the board of directors, every holder of stock represented by certificates shall be entitled to have a certificate signed by, or in the name of, the corporation by any two authorized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165"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307" w:name="page308"/>
    <w:bookmarkEnd w:id="30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6.2 SPECIAL DESIGNATION ON CERTIFICATES</w:t>
      </w:r>
    </w:p>
    <w:p>
      <w:pPr>
        <w:spacing w:after="0" w:line="117"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6.3 LOST CERTIFICATES</w:t>
      </w:r>
    </w:p>
    <w:p>
      <w:pPr>
        <w:spacing w:after="0" w:line="11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Except as provided in this Section 6.3,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6.4 DIVIDENDS</w:t>
      </w:r>
    </w:p>
    <w:p>
      <w:pPr>
        <w:spacing w:after="0" w:line="117"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The board of directors, subject to any restrictions contained in the certificate of incorporation or applicable law, may declare and pay dividends upon the shares of the corporation’s capital stock. Dividends may be paid in cash, in property, or in shares of the corporation’s capital stock, subject to the provisions of the certificate of incorporation.</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308" w:name="page309"/>
    <w:bookmarkEnd w:id="30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6.5 TRANSFER OF STOCK</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Transfers of record of shares of stock of the corporation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6.6 STOCK TRANSFER AGREEMENTS</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6.7 REGISTERED STOCKHOLDERS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corporation:</w:t>
      </w:r>
    </w:p>
    <w:p>
      <w:pPr>
        <w:spacing w:after="0" w:line="117" w:lineRule="exact"/>
        <w:rPr>
          <w:sz w:val="20"/>
          <w:szCs w:val="20"/>
          <w:color w:val="auto"/>
        </w:rPr>
      </w:pPr>
    </w:p>
    <w:p>
      <w:pPr>
        <w:ind w:right="440" w:firstLine="987"/>
        <w:spacing w:after="0" w:line="342" w:lineRule="auto"/>
        <w:tabs>
          <w:tab w:leader="none" w:pos="1206" w:val="left"/>
        </w:tabs>
        <w:numPr>
          <w:ilvl w:val="0"/>
          <w:numId w:val="208"/>
        </w:numPr>
        <w:rPr>
          <w:rFonts w:ascii="Arial" w:cs="Arial" w:eastAsia="Arial" w:hAnsi="Arial"/>
          <w:sz w:val="16"/>
          <w:szCs w:val="16"/>
          <w:color w:val="auto"/>
        </w:rPr>
      </w:pPr>
      <w:r>
        <w:rPr>
          <w:rFonts w:ascii="Arial" w:cs="Arial" w:eastAsia="Arial" w:hAnsi="Arial"/>
          <w:sz w:val="16"/>
          <w:szCs w:val="16"/>
          <w:color w:val="auto"/>
        </w:rPr>
        <w:t>shall be entitled to treat the person registered on its books as the owner of any share or shares as the person exclusively entitled to receive dividends, vote, receive notifications and otherwise exercise all the rights and powers of an owner of such share or shares; and</w:t>
      </w:r>
    </w:p>
    <w:p>
      <w:pPr>
        <w:spacing w:after="0" w:line="15" w:lineRule="exact"/>
        <w:rPr>
          <w:rFonts w:ascii="Arial" w:cs="Arial" w:eastAsia="Arial" w:hAnsi="Arial"/>
          <w:sz w:val="16"/>
          <w:szCs w:val="16"/>
          <w:color w:val="auto"/>
        </w:rPr>
      </w:pPr>
    </w:p>
    <w:p>
      <w:pPr>
        <w:ind w:firstLine="987"/>
        <w:spacing w:after="0" w:line="277" w:lineRule="auto"/>
        <w:tabs>
          <w:tab w:leader="none" w:pos="125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82"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ARTICLE VII - MANNER OF GIVING NOTICE AND WAIVER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7.1 NOTICE OF STOCKHOLDERS’ MEETINGS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Notice of any meeting of stockholders, if mailed, is given when deposited in the United States mail, postage prepaid, directed to the stockholder at such stockholder’s address as it appears on the corporation’s records. An affidavit of the secretary or an assistant secretary of the corporation or of the transfer agent or other agent of the corporation that the notice has been given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7.2 NOTICE BY ELECTRONIC TRANSMISSION</w:t>
      </w:r>
    </w:p>
    <w:p>
      <w:pPr>
        <w:spacing w:after="0" w:line="117"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309" w:name="page310"/>
    <w:bookmarkEnd w:id="309"/>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the corporation is unable to deliver by electronic transmission two consecutive notices given by the corporation in accordance with such</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consent; and</w:t>
      </w:r>
    </w:p>
    <w:p>
      <w:pPr>
        <w:spacing w:after="0" w:line="103" w:lineRule="exact"/>
        <w:rPr>
          <w:sz w:val="20"/>
          <w:szCs w:val="20"/>
          <w:color w:val="auto"/>
        </w:rPr>
      </w:pPr>
    </w:p>
    <w:p>
      <w:pPr>
        <w:ind w:left="4" w:right="480" w:firstLine="987"/>
        <w:spacing w:after="0" w:line="277" w:lineRule="auto"/>
        <w:tabs>
          <w:tab w:leader="none" w:pos="12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corporation or to the transfer agent, or other person responsible for the giving of notice.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117" w:lineRule="exact"/>
        <w:rPr>
          <w:sz w:val="20"/>
          <w:szCs w:val="20"/>
          <w:color w:val="auto"/>
        </w:rPr>
      </w:pPr>
    </w:p>
    <w:p>
      <w:pPr>
        <w:ind w:left="1204" w:hanging="213"/>
        <w:spacing w:after="0"/>
        <w:tabs>
          <w:tab w:leader="none" w:pos="1204"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117" w:lineRule="exact"/>
        <w:rPr>
          <w:rFonts w:ascii="Arial" w:cs="Arial" w:eastAsia="Arial" w:hAnsi="Arial"/>
          <w:sz w:val="18"/>
          <w:szCs w:val="18"/>
          <w:color w:val="auto"/>
        </w:rPr>
      </w:pPr>
    </w:p>
    <w:p>
      <w:pPr>
        <w:ind w:left="1264" w:hanging="273"/>
        <w:spacing w:after="0"/>
        <w:tabs>
          <w:tab w:leader="none" w:pos="1264"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if by electronic mail, when directed to an electronic mail address at which the stockholder has consented to receive notice;</w:t>
      </w:r>
    </w:p>
    <w:p>
      <w:pPr>
        <w:spacing w:after="0" w:line="117" w:lineRule="exact"/>
        <w:rPr>
          <w:rFonts w:ascii="Arial" w:cs="Arial" w:eastAsia="Arial" w:hAnsi="Arial"/>
          <w:sz w:val="18"/>
          <w:szCs w:val="18"/>
          <w:color w:val="auto"/>
        </w:rPr>
      </w:pPr>
    </w:p>
    <w:p>
      <w:pPr>
        <w:ind w:left="1304" w:hanging="313"/>
        <w:spacing w:after="0"/>
        <w:tabs>
          <w:tab w:leader="none" w:pos="1304" w:val="left"/>
        </w:tabs>
        <w:numPr>
          <w:ilvl w:val="1"/>
          <w:numId w:val="210"/>
        </w:numPr>
        <w:rPr>
          <w:rFonts w:ascii="Arial" w:cs="Arial" w:eastAsia="Arial" w:hAnsi="Arial"/>
          <w:sz w:val="17"/>
          <w:szCs w:val="17"/>
          <w:color w:val="auto"/>
        </w:rPr>
      </w:pPr>
      <w:r>
        <w:rPr>
          <w:rFonts w:ascii="Arial" w:cs="Arial" w:eastAsia="Arial" w:hAnsi="Arial"/>
          <w:sz w:val="17"/>
          <w:szCs w:val="17"/>
          <w:color w:val="auto"/>
        </w:rPr>
        <w:t>if by a posting on an electronic network together with separate notice to the stockholder of such specific posting, upon the later of</w:t>
      </w:r>
    </w:p>
    <w:p>
      <w:pPr>
        <w:spacing w:after="0" w:line="34" w:lineRule="exact"/>
        <w:rPr>
          <w:rFonts w:ascii="Arial" w:cs="Arial" w:eastAsia="Arial" w:hAnsi="Arial"/>
          <w:sz w:val="17"/>
          <w:szCs w:val="17"/>
          <w:color w:val="auto"/>
        </w:rPr>
      </w:pPr>
    </w:p>
    <w:p>
      <w:pPr>
        <w:ind w:left="304" w:hanging="304"/>
        <w:spacing w:after="0"/>
        <w:tabs>
          <w:tab w:leader="none" w:pos="30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such posting and (B) the giving of such separate notice; and</w:t>
      </w:r>
    </w:p>
    <w:p>
      <w:pPr>
        <w:spacing w:after="0" w:line="102" w:lineRule="exact"/>
        <w:rPr>
          <w:rFonts w:ascii="Arial" w:cs="Arial" w:eastAsia="Arial" w:hAnsi="Arial"/>
          <w:sz w:val="18"/>
          <w:szCs w:val="18"/>
          <w:color w:val="auto"/>
        </w:rPr>
      </w:pPr>
    </w:p>
    <w:p>
      <w:pPr>
        <w:ind w:left="1304" w:hanging="313"/>
        <w:spacing w:after="0"/>
        <w:tabs>
          <w:tab w:leader="none" w:pos="130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 xml:space="preserve">An affidavit of the secretary or an assistant secretary or of the transfer agent or other agent of the corporation that the notice has been given by a form of electronic transmission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66" w:lineRule="exact"/>
        <w:rPr>
          <w:sz w:val="20"/>
          <w:szCs w:val="20"/>
          <w:color w:val="auto"/>
        </w:rPr>
      </w:pPr>
    </w:p>
    <w:p>
      <w:pPr>
        <w:ind w:left="4" w:right="100" w:firstLine="440"/>
        <w:spacing w:after="0" w:line="261" w:lineRule="auto"/>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color w:val="auto"/>
        </w:rPr>
        <w:t>electronic transmission</w:t>
      </w:r>
      <w:r>
        <w:rPr>
          <w:rFonts w:ascii="Arial" w:cs="Arial" w:eastAsia="Arial" w:hAnsi="Arial"/>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Notice by a form of electronic transmission shall not apply to Sections 164, 296, 311, 312 or 324 of the DGCL.</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310" w:name="page311"/>
    <w:bookmarkEnd w:id="31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7.3 NOTICE TO STOCKHOLDERS SHARING AN ADDRESS</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7.4 NOTICE TO PERSON WITH WHOM COMMUNICATION IS UNLAWFUL</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7.5 WAIVER OF NOTICE</w:t>
      </w:r>
    </w:p>
    <w:p>
      <w:pPr>
        <w:spacing w:after="0" w:line="117" w:lineRule="exact"/>
        <w:rPr>
          <w:sz w:val="20"/>
          <w:szCs w:val="20"/>
          <w:color w:val="auto"/>
        </w:rPr>
      </w:pPr>
    </w:p>
    <w:p>
      <w:pPr>
        <w:ind w:right="220" w:firstLine="440"/>
        <w:spacing w:after="0" w:line="272" w:lineRule="auto"/>
        <w:rPr>
          <w:sz w:val="20"/>
          <w:szCs w:val="20"/>
          <w:color w:val="auto"/>
        </w:rPr>
      </w:pPr>
      <w:r>
        <w:rPr>
          <w:rFonts w:ascii="Arial" w:cs="Arial" w:eastAsia="Arial" w:hAnsi="Arial"/>
          <w:sz w:val="17"/>
          <w:szCs w:val="17"/>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 - INDEMNIFICATION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8.1 INDEMNIFICATION OF DIRECTORS AND OFFICERS IN THIRD PARTY PROCEEDINGS</w:t>
      </w:r>
    </w:p>
    <w:p>
      <w:pPr>
        <w:spacing w:after="0" w:line="117" w:lineRule="exact"/>
        <w:rPr>
          <w:sz w:val="20"/>
          <w:szCs w:val="20"/>
          <w:color w:val="auto"/>
        </w:rPr>
      </w:pPr>
    </w:p>
    <w:p>
      <w:pPr>
        <w:ind w:right="360" w:firstLine="440"/>
        <w:spacing w:after="0" w:line="257" w:lineRule="auto"/>
        <w:rPr>
          <w:sz w:val="20"/>
          <w:szCs w:val="20"/>
          <w:color w:val="auto"/>
        </w:rPr>
      </w:pPr>
      <w:r>
        <w:rPr>
          <w:rFonts w:ascii="Arial" w:cs="Arial" w:eastAsia="Arial" w:hAnsi="Arial"/>
          <w:sz w:val="18"/>
          <w:szCs w:val="18"/>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(other than an action by or in the right of the corporation) by reason of the fact that such person is or was a director or officer of the corporation, or is or was a director or officer of the corporation serving at the request of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11" w:name="page312"/>
    <w:bookmarkEnd w:id="31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8.2 INDEMNIFICATION OF DIRECTORS AND OFFICERS IN ACTIONS BY OR IN THE RIGHT OF THE CORPORATION</w:t>
      </w:r>
    </w:p>
    <w:p>
      <w:pPr>
        <w:spacing w:after="0" w:line="11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8.3 SUCCESSFUL DEFENSE</w:t>
      </w:r>
    </w:p>
    <w:p>
      <w:pPr>
        <w:spacing w:after="0" w:line="117"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To the extent that a present or former director or officer of the corporation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8.4 INDEMNIFICATION OF OTHERS</w:t>
      </w:r>
    </w:p>
    <w:p>
      <w:pPr>
        <w:spacing w:after="0" w:line="117"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Subject to the other provisions of this Article VIII, the corporation shall have power to indemnify its employees and agents to the extent not prohibited by the DGCL or other applicable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312" w:name="page313"/>
    <w:bookmarkEnd w:id="312"/>
    <w:p>
      <w:pPr>
        <w:ind w:right="8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board of directors shall have the power to delegate to such person or persons the determination of whether employees or agents shall be indemnified.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8.5 ADVANCED PAYMENT OF EXPENSES</w:t>
      </w:r>
    </w:p>
    <w:p>
      <w:pPr>
        <w:spacing w:after="0" w:line="117"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Proceeding (or any part of any Proceeding) for which indemnity is excluded pursuant to these bylaws, but shall apply to any Proceeding (or any part of any Proceeding) referenced in Section 8.6(ii) or 8.6(iii) prior to a determination that the person is not entitled to be indemnified by the corporation.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8.6 LIMITATION ON INDEMNIFICATION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Subject to the requirements in Section 8.3 and the DGCL, the corporation shall not be obligated to indemnify any person pursuant to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Article VIII in connection with any Proceeding (or any part of any Proceeding):</w:t>
      </w:r>
    </w:p>
    <w:p>
      <w:pPr>
        <w:spacing w:after="0" w:line="103" w:lineRule="exact"/>
        <w:rPr>
          <w:sz w:val="20"/>
          <w:szCs w:val="20"/>
          <w:color w:val="auto"/>
        </w:rPr>
      </w:pPr>
    </w:p>
    <w:p>
      <w:pPr>
        <w:ind w:firstLine="987"/>
        <w:spacing w:after="0" w:line="277" w:lineRule="auto"/>
        <w:tabs>
          <w:tab w:leader="none" w:pos="120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62" w:lineRule="exact"/>
        <w:rPr>
          <w:rFonts w:ascii="Arial" w:cs="Arial" w:eastAsia="Arial" w:hAnsi="Arial"/>
          <w:sz w:val="18"/>
          <w:szCs w:val="18"/>
          <w:color w:val="auto"/>
        </w:rPr>
      </w:pPr>
    </w:p>
    <w:p>
      <w:pPr>
        <w:ind w:right="160" w:firstLine="987"/>
        <w:spacing w:after="0" w:line="277" w:lineRule="auto"/>
        <w:tabs>
          <w:tab w:leader="none" w:pos="125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62" w:lineRule="exact"/>
        <w:rPr>
          <w:rFonts w:ascii="Arial" w:cs="Arial" w:eastAsia="Arial" w:hAnsi="Arial"/>
          <w:sz w:val="18"/>
          <w:szCs w:val="18"/>
          <w:color w:val="auto"/>
        </w:rPr>
      </w:pPr>
    </w:p>
    <w:p>
      <w:pPr>
        <w:ind w:right="200" w:firstLine="987"/>
        <w:spacing w:after="0" w:line="296" w:lineRule="auto"/>
        <w:tabs>
          <w:tab w:leader="none" w:pos="1306" w:val="left"/>
        </w:tabs>
        <w:numPr>
          <w:ilvl w:val="0"/>
          <w:numId w:val="212"/>
        </w:numPr>
        <w:rPr>
          <w:rFonts w:ascii="Arial" w:cs="Arial" w:eastAsia="Arial" w:hAnsi="Arial"/>
          <w:sz w:val="16"/>
          <w:szCs w:val="16"/>
          <w:color w:val="auto"/>
        </w:rPr>
      </w:pPr>
      <w:r>
        <w:rPr>
          <w:rFonts w:ascii="Arial" w:cs="Arial" w:eastAsia="Arial" w:hAnsi="Arial"/>
          <w:sz w:val="16"/>
          <w:szCs w:val="16"/>
          <w:color w:val="auto"/>
        </w:rPr>
        <w:t>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w:t>
      </w:r>
      <w:r>
        <w:rPr>
          <w:rFonts w:ascii="Arial" w:cs="Arial" w:eastAsia="Arial" w:hAnsi="Arial"/>
          <w:sz w:val="16"/>
          <w:szCs w:val="16"/>
          <w:b w:val="1"/>
          <w:bCs w:val="1"/>
          <w:color w:val="auto"/>
        </w:rPr>
        <w:t>Sarbanes-Oxley Act</w:t>
      </w:r>
      <w:r>
        <w:rPr>
          <w:rFonts w:ascii="Arial" w:cs="Arial" w:eastAsia="Arial" w:hAnsi="Arial"/>
          <w:sz w:val="16"/>
          <w:szCs w:val="16"/>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313" w:name="page314"/>
    <w:bookmarkEnd w:id="313"/>
    <w:p>
      <w:pPr>
        <w:ind w:firstLine="987"/>
        <w:spacing w:after="0" w:line="279" w:lineRule="auto"/>
        <w:tabs>
          <w:tab w:leader="none" w:pos="1296" w:val="left"/>
        </w:tabs>
        <w:numPr>
          <w:ilvl w:val="0"/>
          <w:numId w:val="2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initiated by such person, including any Proceeding (or any part of any Proceeding) initiated by such person against the corporation or its directors, officers, employees, agents or other indemnitees, unless (a) the board of directors authorized the Proceeding (or the relevant part of the Proceeding) prior to its initiation, (b) the corporation provides the indemnification, in its sole discretion, pursuant to the powers vested in the corporation under applicable law, (c) otherwise required to be made under Section 8.7 or (d) otherwise required by applicable law; or</w:t>
      </w:r>
    </w:p>
    <w:p>
      <w:pPr>
        <w:spacing w:after="0" w:line="63" w:lineRule="exact"/>
        <w:rPr>
          <w:rFonts w:ascii="Arial" w:cs="Arial" w:eastAsia="Arial" w:hAnsi="Arial"/>
          <w:sz w:val="17"/>
          <w:szCs w:val="17"/>
          <w:color w:val="auto"/>
        </w:rPr>
      </w:pPr>
    </w:p>
    <w:p>
      <w:pPr>
        <w:ind w:left="1240" w:hanging="253"/>
        <w:spacing w:after="0"/>
        <w:tabs>
          <w:tab w:leader="none" w:pos="12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8.7 DETERMINATION; CLAIM</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If a claim for indemnification or advancement of expenses under this Article VIII is not paid in full within 90 days after receipt by the corporation of the written request therefor, the claimant shall be entitled to an adjudication by a court of competent jurisdiction of his or her entitlement to such indemnification or advancement of expenses. The corporation shall indemnify such person against any and all expenses that are actually and reasonably incurred by such person in connection with any action for indemnification or advancement of expenses from the corporation under this Article VIII,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8.8 NON-EXCLUSIVITY OF RIGHTS</w:t>
      </w:r>
    </w:p>
    <w:p>
      <w:pPr>
        <w:spacing w:after="0" w:line="117" w:lineRule="exact"/>
        <w:rPr>
          <w:sz w:val="20"/>
          <w:szCs w:val="20"/>
          <w:color w:val="auto"/>
        </w:rPr>
      </w:pPr>
    </w:p>
    <w:p>
      <w:pPr>
        <w:ind w:right="260" w:firstLine="440"/>
        <w:spacing w:after="0" w:line="255" w:lineRule="auto"/>
        <w:rPr>
          <w:sz w:val="20"/>
          <w:szCs w:val="20"/>
          <w:color w:val="auto"/>
        </w:rPr>
      </w:pPr>
      <w:r>
        <w:rPr>
          <w:rFonts w:ascii="Arial" w:cs="Arial" w:eastAsia="Arial" w:hAnsi="Arial"/>
          <w:sz w:val="18"/>
          <w:szCs w:val="18"/>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8.9 INSURANCE</w:t>
      </w:r>
    </w:p>
    <w:p>
      <w:pPr>
        <w:spacing w:after="0" w:line="117"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8.10 SURVIVAL</w:t>
      </w:r>
    </w:p>
    <w:p>
      <w:pPr>
        <w:spacing w:after="0" w:line="117"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14" w:name="page315"/>
    <w:bookmarkEnd w:id="31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8.11 EFFECT OF REPEAL OR MODIFICATION</w:t>
      </w:r>
    </w:p>
    <w:p>
      <w:pPr>
        <w:spacing w:after="0" w:line="11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A right to indemnification or to advancement of expenses arising under a provision of the certificate of incorporation or a bylaw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8.12 CERTAIN DEFINITIONS</w:t>
      </w:r>
    </w:p>
    <w:p>
      <w:pPr>
        <w:spacing w:after="0" w:line="113"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For purposes of this Article VIII, references to the “</w:t>
      </w:r>
      <w:r>
        <w:rPr>
          <w:rFonts w:ascii="Arial" w:cs="Arial" w:eastAsia="Arial" w:hAnsi="Arial"/>
          <w:sz w:val="16"/>
          <w:szCs w:val="16"/>
          <w:b w:val="1"/>
          <w:bCs w:val="1"/>
          <w:color w:val="auto"/>
        </w:rPr>
        <w:t>corporation</w:t>
      </w:r>
      <w:r>
        <w:rPr>
          <w:rFonts w:ascii="Arial" w:cs="Arial" w:eastAsia="Arial" w:hAnsi="Arial"/>
          <w:sz w:val="16"/>
          <w:szCs w:val="16"/>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For purposes of this Article VIII, references to “</w:t>
      </w:r>
      <w:r>
        <w:rPr>
          <w:rFonts w:ascii="Arial" w:cs="Arial" w:eastAsia="Arial" w:hAnsi="Arial"/>
          <w:sz w:val="16"/>
          <w:szCs w:val="16"/>
          <w:b w:val="1"/>
          <w:bCs w:val="1"/>
          <w:color w:val="auto"/>
        </w:rPr>
        <w:t>other enterprises</w:t>
      </w:r>
      <w:r>
        <w:rPr>
          <w:rFonts w:ascii="Arial" w:cs="Arial" w:eastAsia="Arial" w:hAnsi="Arial"/>
          <w:sz w:val="16"/>
          <w:szCs w:val="16"/>
          <w:color w:val="auto"/>
        </w:rPr>
        <w:t>” shall include employee benefit plans; references to “</w:t>
      </w:r>
      <w:r>
        <w:rPr>
          <w:rFonts w:ascii="Arial" w:cs="Arial" w:eastAsia="Arial" w:hAnsi="Arial"/>
          <w:sz w:val="16"/>
          <w:szCs w:val="16"/>
          <w:b w:val="1"/>
          <w:bCs w:val="1"/>
          <w:color w:val="auto"/>
        </w:rPr>
        <w:t>fines</w:t>
      </w:r>
      <w:r>
        <w:rPr>
          <w:rFonts w:ascii="Arial" w:cs="Arial" w:eastAsia="Arial" w:hAnsi="Arial"/>
          <w:sz w:val="16"/>
          <w:szCs w:val="16"/>
          <w:color w:val="auto"/>
        </w:rPr>
        <w:t>” shall include any excise taxes assessed on a person with respect to an employee benefit plan; and references to “</w:t>
      </w:r>
      <w:r>
        <w:rPr>
          <w:rFonts w:ascii="Arial" w:cs="Arial" w:eastAsia="Arial" w:hAnsi="Arial"/>
          <w:sz w:val="16"/>
          <w:szCs w:val="16"/>
          <w:b w:val="1"/>
          <w:bCs w:val="1"/>
          <w:color w:val="auto"/>
        </w:rPr>
        <w:t>serving at the request of the corporation</w:t>
      </w:r>
      <w:r>
        <w:rPr>
          <w:rFonts w:ascii="Arial" w:cs="Arial" w:eastAsia="Arial" w:hAnsi="Arial"/>
          <w:sz w:val="16"/>
          <w:szCs w:val="16"/>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6"/>
          <w:szCs w:val="16"/>
          <w:b w:val="1"/>
          <w:bCs w:val="1"/>
          <w:color w:val="auto"/>
        </w:rPr>
        <w:t>not opposed</w:t>
      </w:r>
      <w:r>
        <w:rPr>
          <w:rFonts w:ascii="Arial" w:cs="Arial" w:eastAsia="Arial" w:hAnsi="Arial"/>
          <w:sz w:val="16"/>
          <w:szCs w:val="16"/>
          <w:color w:val="auto"/>
        </w:rPr>
        <w:t xml:space="preserve"> </w:t>
      </w:r>
      <w:r>
        <w:rPr>
          <w:rFonts w:ascii="Arial" w:cs="Arial" w:eastAsia="Arial" w:hAnsi="Arial"/>
          <w:sz w:val="16"/>
          <w:szCs w:val="16"/>
          <w:b w:val="1"/>
          <w:bCs w:val="1"/>
          <w:color w:val="auto"/>
        </w:rPr>
        <w:t>to the best interests of the corporation</w:t>
      </w:r>
      <w:r>
        <w:rPr>
          <w:rFonts w:ascii="Arial" w:cs="Arial" w:eastAsia="Arial" w:hAnsi="Arial"/>
          <w:sz w:val="16"/>
          <w:szCs w:val="16"/>
          <w:color w:val="auto"/>
        </w:rPr>
        <w:t>” as referred to in this Article VIII.</w:t>
      </w:r>
    </w:p>
    <w:p>
      <w:pPr>
        <w:spacing w:after="0" w:line="384"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ARTICLE IX - GENERAL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9.1 EXECUTION OF CORPORATE CONTRACTS AND INSTRUMENTS</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315" w:name="page316"/>
    <w:bookmarkEnd w:id="31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9.2 FISCAL YEAR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fiscal year of the corporation shall be fixed by resolution of the board of directors and may be changed by the board of directors.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9.3 SEAL</w:t>
      </w:r>
    </w:p>
    <w:p>
      <w:pPr>
        <w:spacing w:after="0" w:line="11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corporation may adopt a corporate seal, which shall be adopted and which may be altered by the board of directors. The corporation may use the corporate seal by causing it or a facsimile thereof to be impressed or affixed or in any other manner reproduced.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9.4 CONSTRUCTION; DEFINITIONS</w:t>
      </w:r>
    </w:p>
    <w:p>
      <w:pPr>
        <w:spacing w:after="0" w:line="117"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Arial" w:cs="Arial" w:eastAsia="Arial" w:hAnsi="Arial"/>
          <w:sz w:val="18"/>
          <w:szCs w:val="18"/>
          <w:b w:val="1"/>
          <w:bCs w:val="1"/>
          <w:color w:val="auto"/>
        </w:rPr>
        <w:t>person</w:t>
      </w:r>
      <w:r>
        <w:rPr>
          <w:rFonts w:ascii="Arial" w:cs="Arial" w:eastAsia="Arial" w:hAnsi="Arial"/>
          <w:sz w:val="18"/>
          <w:szCs w:val="18"/>
          <w:color w:val="auto"/>
        </w:rPr>
        <w:t>” includes both a corporation and a natural person.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 AMENDMENTS</w:t>
      </w:r>
    </w:p>
    <w:p>
      <w:pPr>
        <w:spacing w:after="0" w:line="229"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corporation to alter, amend or repeal, or adopt any bylaw inconsistent with, the following provisions of these bylaws: Article II, Sections 3.1, 3.2, 3.4 and 3.11 of Article III, Article VIII and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 - EXCLUSIVE FORUM</w:t>
      </w:r>
    </w:p>
    <w:p>
      <w:pPr>
        <w:spacing w:after="0" w:line="229"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Unless the corporation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(i) any derivative action or proceeding under Delaware statutory or common law brought on behalf of the corporation, (ii) any action asserting a claim of breach of a fiduciary duty owed by any director, officer or other employee of the corporation to the corporation or the corporation’s stockholders, (iii) any action arising pursuant to any provision of the DGCL or the corporation’s certificate of incorporation or these bylaws (as either may be amended from time to time), or (iv) any action asserting a claim governed by the internal affairs doctrine, except for, as to each of (i) through (iv) above, any claim (A) as to which such court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16" w:name="page317"/>
    <w:bookmarkEnd w:id="316"/>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determines that there is an indispensable party not subject to the jurisdiction of such court (and the indispensable party does not consent to the personal jurisdiction of such court within ten (10) days following such determination), (B) which is vested in the exclusive jurisdiction of a court or forum other than such court, or (C) for which such court does not have subject matter jurisdiction. Nothing herein contained shall be construed to preclude stockholders that assert claims under the 1934 Act or any successor thereto, from bringing such claims in state or federal court, subject to applicable law.</w:t>
      </w:r>
    </w:p>
    <w:p>
      <w:pPr>
        <w:spacing w:after="0" w:line="157"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w:t>
      </w:r>
    </w:p>
    <w:p>
      <w:pPr>
        <w:spacing w:after="0" w:line="146"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Any person or entity purchasing or otherwise acquiring any interest in any security of the corporation shall be deemed to have notice of and consented to the provisions of this Article XI.</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17" w:name="page318"/>
    <w:bookmarkEnd w:id="31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ALX ONCOLOGY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CERTIFICATE OF AMENDMENT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undersigned hereby certifies that he or she is the duly elected, qualified, and acting Secretary or Assistant Secretary of ALX Oncology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Holdings Inc., a Delaware corporation and that the foregoing bylaws were amended and restated on ____________ __, 2020 by the corporation’s board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directors.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hereunto set his or her hand this ___ day of __________ 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177800</wp:posOffset>
            </wp:positionV>
            <wp:extent cx="27946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0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900"/>
          </w:cols>
          <w:pgMar w:left="440" w:top="270" w:right="55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5" w:lineRule="exact"/>
        <w:rPr>
          <w:sz w:val="20"/>
          <w:szCs w:val="20"/>
          <w:color w:val="auto"/>
        </w:rPr>
      </w:pPr>
    </w:p>
    <w:p>
      <w:pPr>
        <w:jc w:val="both"/>
        <w:ind w:right="280" w:firstLine="991"/>
        <w:spacing w:after="0" w:line="289" w:lineRule="auto"/>
        <w:rPr>
          <w:sz w:val="20"/>
          <w:szCs w:val="20"/>
          <w:color w:val="auto"/>
        </w:rPr>
      </w:pPr>
      <w:r>
        <w:rPr>
          <w:rFonts w:ascii="Arial" w:cs="Arial" w:eastAsia="Arial" w:hAnsi="Arial"/>
          <w:sz w:val="17"/>
          <w:szCs w:val="17"/>
          <w:color w:val="auto"/>
        </w:rPr>
        <w:t>THIS AMENDED AND RESTATED INVESTORS’ RIGHTS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made as of April 1, 2020, by and among ALX Oncology Holdings,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ALX Oncology Limited, a private Irish company limited by shares (the “</w:t>
      </w:r>
      <w:r>
        <w:rPr>
          <w:rFonts w:ascii="Arial" w:cs="Arial" w:eastAsia="Arial" w:hAnsi="Arial"/>
          <w:sz w:val="17"/>
          <w:szCs w:val="17"/>
          <w:b w:val="1"/>
          <w:bCs w:val="1"/>
          <w:color w:val="auto"/>
        </w:rPr>
        <w:t>ALX</w:t>
      </w:r>
      <w:r>
        <w:rPr>
          <w:rFonts w:ascii="Arial" w:cs="Arial" w:eastAsia="Arial" w:hAnsi="Arial"/>
          <w:sz w:val="17"/>
          <w:szCs w:val="17"/>
          <w:color w:val="auto"/>
        </w:rPr>
        <w:t xml:space="preserve">”) and each of the investors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each of which is referred to in this Agreement as an “</w:t>
      </w:r>
      <w:r>
        <w:rPr>
          <w:rFonts w:ascii="Arial" w:cs="Arial" w:eastAsia="Arial" w:hAnsi="Arial"/>
          <w:sz w:val="17"/>
          <w:szCs w:val="17"/>
          <w:b w:val="1"/>
          <w:bCs w:val="1"/>
          <w:color w:val="auto"/>
        </w:rPr>
        <w:t>Investor</w:t>
      </w:r>
      <w:r>
        <w:rPr>
          <w:rFonts w:ascii="Arial" w:cs="Arial" w:eastAsia="Arial" w:hAnsi="Arial"/>
          <w:sz w:val="17"/>
          <w:szCs w:val="17"/>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400" w:firstLine="991"/>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ALX and certain of the Investors have previously entered into an Investors’ Rights Agreement dated as of May 8, 2015,</w:t>
      </w:r>
      <w:r>
        <w:rPr>
          <w:rFonts w:ascii="Arial" w:cs="Arial" w:eastAsia="Arial" w:hAnsi="Arial"/>
          <w:sz w:val="17"/>
          <w:szCs w:val="17"/>
          <w:b w:val="1"/>
          <w:bCs w:val="1"/>
          <w:color w:val="auto"/>
        </w:rPr>
        <w:t xml:space="preserve"> </w:t>
      </w:r>
      <w:r>
        <w:rPr>
          <w:rFonts w:ascii="Arial" w:cs="Arial" w:eastAsia="Arial" w:hAnsi="Arial"/>
          <w:sz w:val="17"/>
          <w:szCs w:val="17"/>
          <w:color w:val="auto"/>
        </w:rPr>
        <w:t>which was amended and restated on May 16, 2019 and February 6, 2020 (as amended and restated, the “</w:t>
      </w:r>
      <w:r>
        <w:rPr>
          <w:rFonts w:ascii="Arial" w:cs="Arial" w:eastAsia="Arial" w:hAnsi="Arial"/>
          <w:sz w:val="17"/>
          <w:szCs w:val="17"/>
          <w:b w:val="1"/>
          <w:bCs w:val="1"/>
          <w:color w:val="auto"/>
        </w:rPr>
        <w:t>Prior Agreement</w:t>
      </w:r>
      <w:r>
        <w:rPr>
          <w:rFonts w:ascii="Arial" w:cs="Arial" w:eastAsia="Arial" w:hAnsi="Arial"/>
          <w:sz w:val="17"/>
          <w:szCs w:val="17"/>
          <w:color w:val="auto"/>
        </w:rPr>
        <w:t>”);</w:t>
      </w:r>
    </w:p>
    <w:p>
      <w:pPr>
        <w:spacing w:after="0" w:line="140" w:lineRule="exact"/>
        <w:rPr>
          <w:sz w:val="20"/>
          <w:szCs w:val="20"/>
          <w:color w:val="auto"/>
        </w:rPr>
      </w:pPr>
    </w:p>
    <w:p>
      <w:pPr>
        <w:ind w:right="320" w:firstLine="99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ALX is effectuating a reorganization through which the shareholders of ALX (including the Investors) would cease to be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of ALX and become shareholders of the Company (the “</w:t>
      </w:r>
      <w:r>
        <w:rPr>
          <w:rFonts w:ascii="Arial" w:cs="Arial" w:eastAsia="Arial" w:hAnsi="Arial"/>
          <w:sz w:val="18"/>
          <w:szCs w:val="18"/>
          <w:b w:val="1"/>
          <w:bCs w:val="1"/>
          <w:color w:val="auto"/>
        </w:rPr>
        <w:t>Reorganization</w:t>
      </w:r>
      <w:r>
        <w:rPr>
          <w:rFonts w:ascii="Arial" w:cs="Arial" w:eastAsia="Arial" w:hAnsi="Arial"/>
          <w:sz w:val="18"/>
          <w:szCs w:val="18"/>
          <w:color w:val="auto"/>
        </w:rPr>
        <w:t>”); and</w:t>
      </w:r>
    </w:p>
    <w:p>
      <w:pPr>
        <w:spacing w:after="0" w:line="162" w:lineRule="exact"/>
        <w:rPr>
          <w:sz w:val="20"/>
          <w:szCs w:val="20"/>
          <w:color w:val="auto"/>
        </w:rPr>
      </w:pPr>
    </w:p>
    <w:p>
      <w:pPr>
        <w:ind w:right="240" w:firstLine="991"/>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as part of the Reorganization, the parties desire to amend and restate the Prior Agreement in order to provide the Investors</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rights and obligations that are substantially equivalent to the rights and obligations held by such Investors immediately prior to the Reorganization under the Prior Agreement.</w:t>
      </w:r>
    </w:p>
    <w:p>
      <w:pPr>
        <w:spacing w:after="0" w:line="176" w:lineRule="exact"/>
        <w:rPr>
          <w:sz w:val="20"/>
          <w:szCs w:val="20"/>
          <w:color w:val="auto"/>
        </w:rPr>
      </w:pPr>
    </w:p>
    <w:p>
      <w:pPr>
        <w:ind w:right="220" w:firstLine="99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Company, ALX and the Investors hereby agree that the Prior Agreement shall be amended and restated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by this Agreement, and the parties to this Agreement further agree as follows: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13" w:lineRule="exact"/>
        <w:rPr>
          <w:sz w:val="20"/>
          <w:szCs w:val="20"/>
          <w:color w:val="auto"/>
        </w:rPr>
      </w:pPr>
    </w:p>
    <w:p>
      <w:pPr>
        <w:ind w:right="180" w:firstLine="991"/>
        <w:spacing w:after="0" w:line="261"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 par value $0.001 per share.</w:t>
      </w:r>
    </w:p>
    <w:p>
      <w:pPr>
        <w:spacing w:after="0" w:line="225" w:lineRule="exact"/>
        <w:rPr>
          <w:sz w:val="20"/>
          <w:szCs w:val="20"/>
          <w:color w:val="auto"/>
        </w:rPr>
      </w:pPr>
    </w:p>
    <w:p>
      <w:pPr>
        <w:ind w:right="20" w:firstLine="991"/>
        <w:spacing w:after="0" w:line="258" w:lineRule="auto"/>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Damages</w:t>
      </w:r>
      <w:r>
        <w:rPr>
          <w:rFonts w:ascii="Arial" w:cs="Arial" w:eastAsia="Arial" w:hAnsi="Arial"/>
          <w:sz w:val="18"/>
          <w:szCs w:val="18"/>
          <w:color w:val="auto"/>
        </w:rPr>
        <w:t>” means any loss, damage, claim or liability (joint or several) to which a party hereto may become subject under the Securities Act, the Exchange Act, or other federal or state law or laws of any jurisdiction,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w:t>
      </w:r>
    </w:p>
    <w:p>
      <w:pPr>
        <w:sectPr>
          <w:pgSz w:w="11900" w:h="16838" w:orient="portrait"/>
          <w:cols w:equalWidth="0" w:num="1">
            <w:col w:w="11020"/>
          </w:cols>
          <w:pgMar w:left="440" w:top="121" w:right="439" w:bottom="1440" w:gutter="0" w:footer="0" w:header="0"/>
        </w:sectPr>
      </w:pPr>
    </w:p>
    <w:bookmarkStart w:id="319" w:name="page320"/>
    <w:bookmarkEnd w:id="319"/>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80"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Common Stock, including options and warrants.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1.6 “</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48"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of securities to employees of the Company or a subsidiary pursuant to a share option, share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are the Common Stock issuable upon conversion of debt securities that are also being registered.</w:t>
      </w:r>
    </w:p>
    <w:p>
      <w:pPr>
        <w:spacing w:after="0" w:line="183" w:lineRule="exact"/>
        <w:rPr>
          <w:sz w:val="20"/>
          <w:szCs w:val="20"/>
          <w:color w:val="auto"/>
        </w:rPr>
      </w:pPr>
    </w:p>
    <w:p>
      <w:pPr>
        <w:ind w:right="360" w:firstLine="991"/>
        <w:spacing w:after="0" w:line="282"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2" w:lineRule="exact"/>
        <w:rPr>
          <w:sz w:val="20"/>
          <w:szCs w:val="20"/>
          <w:color w:val="auto"/>
        </w:rPr>
      </w:pPr>
    </w:p>
    <w:p>
      <w:pPr>
        <w:jc w:val="both"/>
        <w:ind w:right="40" w:firstLine="991"/>
        <w:spacing w:after="0" w:line="266"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Holder</w:t>
      </w:r>
      <w:r>
        <w:rPr>
          <w:rFonts w:ascii="Arial" w:cs="Arial" w:eastAsia="Arial" w:hAnsi="Arial"/>
          <w:sz w:val="18"/>
          <w:szCs w:val="18"/>
          <w:color w:val="auto"/>
        </w:rPr>
        <w:t>” means any holder of Registrable Securities who is a party to this Agreement.</w:t>
      </w:r>
    </w:p>
    <w:p>
      <w:pPr>
        <w:spacing w:after="0" w:line="225" w:lineRule="exact"/>
        <w:rPr>
          <w:sz w:val="20"/>
          <w:szCs w:val="20"/>
          <w:color w:val="auto"/>
        </w:rPr>
      </w:pPr>
    </w:p>
    <w:p>
      <w:pPr>
        <w:jc w:val="both"/>
        <w:ind w:right="60" w:firstLine="991"/>
        <w:spacing w:after="0" w:line="347"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b w:val="1"/>
          <w:bCs w:val="1"/>
          <w:color w:val="auto"/>
        </w:rPr>
        <w:t>Immediate Family Member</w:t>
      </w:r>
      <w:r>
        <w:rPr>
          <w:rFonts w:ascii="Arial" w:cs="Arial" w:eastAsia="Arial" w:hAnsi="Arial"/>
          <w:sz w:val="16"/>
          <w:szCs w:val="16"/>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225" w:lineRule="exact"/>
        <w:rPr>
          <w:sz w:val="20"/>
          <w:szCs w:val="20"/>
          <w:color w:val="auto"/>
        </w:rPr>
      </w:pPr>
    </w:p>
    <w:p>
      <w:pPr>
        <w:jc w:val="both"/>
        <w:ind w:right="60" w:firstLine="991"/>
        <w:spacing w:after="0" w:line="266"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Common Stock under the Securities Act or comparable foreign securities laws applicable to an underwritten registration of securities on the NASDAQ Stock Market, the New York Stock Exchange or London Stock Exchange.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320" w:name="page321"/>
    <w:bookmarkEnd w:id="320"/>
    <w:p>
      <w:pPr>
        <w:ind w:firstLine="99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1.15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Preferred Directors</w:t>
      </w:r>
      <w:r>
        <w:rPr>
          <w:rFonts w:ascii="Arial" w:cs="Arial" w:eastAsia="Arial" w:hAnsi="Arial"/>
          <w:sz w:val="18"/>
          <w:szCs w:val="18"/>
          <w:color w:val="auto"/>
        </w:rPr>
        <w:t>” means the Series A Directors, the Series B Directors and Series C Directors.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Preferred Stock</w:t>
      </w:r>
      <w:r>
        <w:rPr>
          <w:rFonts w:ascii="Arial" w:cs="Arial" w:eastAsia="Arial" w:hAnsi="Arial"/>
          <w:sz w:val="18"/>
          <w:szCs w:val="18"/>
          <w:color w:val="auto"/>
        </w:rPr>
        <w:t>” means the Series A Preferred Stock, the Series B Preferred Stock and the Series C Preferred Stock.</w:t>
      </w:r>
    </w:p>
    <w:p>
      <w:pPr>
        <w:spacing w:after="0" w:line="225" w:lineRule="exact"/>
        <w:rPr>
          <w:sz w:val="20"/>
          <w:szCs w:val="20"/>
          <w:color w:val="auto"/>
        </w:rPr>
      </w:pPr>
    </w:p>
    <w:p>
      <w:pPr>
        <w:ind w:right="40" w:firstLine="991"/>
        <w:spacing w:after="0" w:line="258"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Qualified IPO</w:t>
      </w:r>
      <w:r>
        <w:rPr>
          <w:rFonts w:ascii="Arial" w:cs="Arial" w:eastAsia="Arial" w:hAnsi="Arial"/>
          <w:sz w:val="18"/>
          <w:szCs w:val="18"/>
          <w:color w:val="auto"/>
        </w:rPr>
        <w:t>” means the Company’s first underwritten public offering of its Common Stock under the Securities Act or pursuant to a corresponding securities issuance application process in any non-U.S. jurisdiction, covering the offer and sale of the Common Stock for the account of the Company in which the proceeds to the Company (net of the underwriting discount and commissions and offering expenses) are in excess of $50,000,000 in the aggregate and the Common Stock are listed for trading on the London Stock Exchange, the New York Stock Exchange or the NASDAQ Stock Market.</w:t>
      </w:r>
    </w:p>
    <w:p>
      <w:pPr>
        <w:spacing w:after="0" w:line="183"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1.20 “</w:t>
      </w:r>
      <w:r>
        <w:rPr>
          <w:rFonts w:ascii="Arial" w:cs="Arial" w:eastAsia="Arial" w:hAnsi="Arial"/>
          <w:sz w:val="17"/>
          <w:szCs w:val="17"/>
          <w:b w:val="1"/>
          <w:bCs w:val="1"/>
          <w:color w:val="auto"/>
        </w:rPr>
        <w:t>Registrable Securities</w:t>
      </w:r>
      <w:r>
        <w:rPr>
          <w:rFonts w:ascii="Arial" w:cs="Arial" w:eastAsia="Arial" w:hAnsi="Arial"/>
          <w:sz w:val="17"/>
          <w:szCs w:val="17"/>
          <w:color w:val="auto"/>
        </w:rPr>
        <w:t>” means (i) the Common Stock issuable or issued upon conversion of the Preferred Stock; (ii) any Common Stock issued or issuable (directly or indirectly) upon conversion and/or exercise of any other securities of the Company</w:t>
      </w:r>
      <w:r>
        <w:rPr>
          <w:rFonts w:ascii="Arial" w:cs="Arial" w:eastAsia="Arial" w:hAnsi="Arial"/>
          <w:sz w:val="17"/>
          <w:szCs w:val="17"/>
          <w:b w:val="1"/>
          <w:bCs w:val="1"/>
          <w:color w:val="auto"/>
        </w:rPr>
        <w:t>,</w:t>
      </w:r>
      <w:r>
        <w:rPr>
          <w:rFonts w:ascii="Arial" w:cs="Arial" w:eastAsia="Arial" w:hAnsi="Arial"/>
          <w:sz w:val="17"/>
          <w:szCs w:val="17"/>
          <w:color w:val="auto"/>
        </w:rPr>
        <w:t xml:space="preserve"> acquired by the Investors after the date hereof; (iii) any Common Stock issued as (or issuable upon the conversion or exercise of any warrant, right, or other security that is issued as) a dividend or other distribution with respect to, or in exchange for or in replacement of, the shares referenced in clauses (i) and (ii) above; and (iv) with respect to clause (y) of Subsection 2.1(a), clause (ii) of Subsection 2.1(b) and Subsection 2.2, the Common Stock held by Stanford that are not issuable or issued upon conversion of Preferred Stock; excluding in all cases, however, any Registrable Securities sold by a Person in a transaction in which the applicable rights under this Agreement are not assigned pursuant to </w:t>
      </w:r>
      <w:r>
        <w:rPr>
          <w:rFonts w:ascii="Arial" w:cs="Arial" w:eastAsia="Arial" w:hAnsi="Arial"/>
          <w:sz w:val="17"/>
          <w:szCs w:val="17"/>
          <w:u w:val="single" w:color="auto"/>
          <w:color w:val="auto"/>
        </w:rPr>
        <w:t>Subsection 6.1</w:t>
      </w:r>
      <w:r>
        <w:rPr>
          <w:rFonts w:ascii="Arial" w:cs="Arial" w:eastAsia="Arial" w:hAnsi="Arial"/>
          <w:sz w:val="17"/>
          <w:szCs w:val="17"/>
          <w:color w:val="auto"/>
        </w:rPr>
        <w:t xml:space="preserve">, and excluding for purposes of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any shares for which registration rights have terminated pursuant to Subsection 2.13 of this Agreement.</w:t>
      </w:r>
    </w:p>
    <w:p>
      <w:pPr>
        <w:spacing w:after="0" w:line="172" w:lineRule="exact"/>
        <w:rPr>
          <w:sz w:val="20"/>
          <w:szCs w:val="20"/>
          <w:color w:val="auto"/>
        </w:rPr>
      </w:pPr>
    </w:p>
    <w:p>
      <w:pPr>
        <w:ind w:right="100" w:firstLine="991"/>
        <w:spacing w:after="0" w:line="266"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issued Common Stock that are Registrable Securities and the number of Common Stock issuable (directly or indirectly) pursuant to then exercisable and/or convertible securities that are Registrable Securities.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1.22 “</w:t>
      </w:r>
      <w:r>
        <w:rPr>
          <w:rFonts w:ascii="Arial" w:cs="Arial" w:eastAsia="Arial" w:hAnsi="Arial"/>
          <w:sz w:val="16"/>
          <w:szCs w:val="16"/>
          <w:b w:val="1"/>
          <w:bCs w:val="1"/>
          <w:color w:val="auto"/>
        </w:rPr>
        <w:t>Restricted Securities</w:t>
      </w:r>
      <w:r>
        <w:rPr>
          <w:rFonts w:ascii="Arial" w:cs="Arial" w:eastAsia="Arial" w:hAnsi="Arial"/>
          <w:sz w:val="16"/>
          <w:szCs w:val="16"/>
          <w:color w:val="auto"/>
        </w:rPr>
        <w:t>” means the securities of the Company required to be notated with the legend set forth in Subsection 2.12(b)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21" w:name="page322"/>
    <w:bookmarkEnd w:id="32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1.25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60" w:firstLine="991"/>
        <w:spacing w:after="0" w:line="266"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Selling Expenses</w:t>
      </w:r>
      <w:r>
        <w:rPr>
          <w:rFonts w:ascii="Arial" w:cs="Arial" w:eastAsia="Arial" w:hAnsi="Arial"/>
          <w:sz w:val="18"/>
          <w:szCs w:val="18"/>
          <w:color w:val="auto"/>
        </w:rPr>
        <w:t>” means all underwriting discounts, selling commissions, and share transfer taxes applicable to the sale of Registrable Securities, and fees and disbursements of counsel for any Holder, except for the fees and disbursements of the Selling Holder Counsel borne and paid by the Company as provided in Subsection 2.6.</w:t>
      </w:r>
    </w:p>
    <w:p>
      <w:pPr>
        <w:spacing w:after="0" w:line="176"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Series A Director</w:t>
      </w:r>
      <w:r>
        <w:rPr>
          <w:rFonts w:ascii="Arial" w:cs="Arial" w:eastAsia="Arial" w:hAnsi="Arial"/>
          <w:sz w:val="18"/>
          <w:szCs w:val="18"/>
          <w:color w:val="auto"/>
        </w:rPr>
        <w:t>” means any director of the Company appointed to the Board of Directors pursuant to Section 1.2(a) or 1.2(b) of the Voting Agreement.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means the Company’s Series A Preferred Stock, par value $0.001 per share.</w:t>
      </w:r>
    </w:p>
    <w:p>
      <w:pPr>
        <w:spacing w:after="0" w:line="225"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Series B Director</w:t>
      </w:r>
      <w:r>
        <w:rPr>
          <w:rFonts w:ascii="Arial" w:cs="Arial" w:eastAsia="Arial" w:hAnsi="Arial"/>
          <w:sz w:val="18"/>
          <w:szCs w:val="18"/>
          <w:color w:val="auto"/>
        </w:rPr>
        <w:t>” means any director of the Company appointed to the Board of Directors pursuant to Section 1.2(a) or 1.2(b) of the Voting Agreement.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means the Company’s Series B Preferred Stock, par value $0.001 per share.</w:t>
      </w:r>
    </w:p>
    <w:p>
      <w:pPr>
        <w:spacing w:after="0" w:line="225"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Series C Director</w:t>
      </w:r>
      <w:r>
        <w:rPr>
          <w:rFonts w:ascii="Arial" w:cs="Arial" w:eastAsia="Arial" w:hAnsi="Arial"/>
          <w:sz w:val="18"/>
          <w:szCs w:val="18"/>
          <w:color w:val="auto"/>
        </w:rPr>
        <w:t>” means any director of the Company appointed to the Board of Directors pursuant to Section 1.2(c) or 1.2(d) of the Voting Agreement.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Series C Preferred Stock</w:t>
      </w:r>
      <w:r>
        <w:rPr>
          <w:rFonts w:ascii="Arial" w:cs="Arial" w:eastAsia="Arial" w:hAnsi="Arial"/>
          <w:sz w:val="18"/>
          <w:szCs w:val="18"/>
          <w:color w:val="auto"/>
        </w:rPr>
        <w:t>” means the Company’s Series C Preferred Stock, par value $0.001 per share.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Stanford</w:t>
      </w:r>
      <w:r>
        <w:rPr>
          <w:rFonts w:ascii="Arial" w:cs="Arial" w:eastAsia="Arial" w:hAnsi="Arial"/>
          <w:sz w:val="18"/>
          <w:szCs w:val="18"/>
          <w:color w:val="auto"/>
        </w:rPr>
        <w:t>” means The President and Trustees of Leland Stanford Junior University.</w:t>
      </w:r>
    </w:p>
    <w:p>
      <w:pPr>
        <w:spacing w:after="0" w:line="225" w:lineRule="exact"/>
        <w:rPr>
          <w:sz w:val="20"/>
          <w:szCs w:val="20"/>
          <w:color w:val="auto"/>
        </w:rPr>
      </w:pPr>
    </w:p>
    <w:p>
      <w:pPr>
        <w:ind w:right="640" w:firstLine="991"/>
        <w:spacing w:after="0" w:line="282"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b w:val="1"/>
          <w:bCs w:val="1"/>
          <w:color w:val="auto"/>
        </w:rPr>
        <w:t>Stanford License</w:t>
      </w:r>
      <w:r>
        <w:rPr>
          <w:rFonts w:ascii="Arial" w:cs="Arial" w:eastAsia="Arial" w:hAnsi="Arial"/>
          <w:sz w:val="18"/>
          <w:szCs w:val="18"/>
          <w:color w:val="auto"/>
        </w:rPr>
        <w:t>” shall mean the Exclusive (Equity) Agreement, dated March 24, 2015, by and among Alexo Therapeutics International, a Cayman Islands exempted company, Stanford University and Howard Hughes Medical Institute.</w:t>
      </w:r>
    </w:p>
    <w:p>
      <w:pPr>
        <w:spacing w:after="0" w:line="162"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b w:val="1"/>
          <w:bCs w:val="1"/>
          <w:color w:val="auto"/>
        </w:rPr>
        <w:t>Voting Agreement</w:t>
      </w:r>
      <w:r>
        <w:rPr>
          <w:rFonts w:ascii="Arial" w:cs="Arial" w:eastAsia="Arial" w:hAnsi="Arial"/>
          <w:sz w:val="18"/>
          <w:szCs w:val="18"/>
          <w:color w:val="auto"/>
        </w:rPr>
        <w:t>” means the Amended and Restated Voting Agreement among the Company, ALX, the Investors and certain other shareholders of the Company, dated as of the date hereof.</w:t>
      </w:r>
    </w:p>
    <w:p>
      <w:pPr>
        <w:spacing w:after="0" w:line="166" w:lineRule="exact"/>
        <w:rPr>
          <w:sz w:val="20"/>
          <w:szCs w:val="20"/>
          <w:color w:val="auto"/>
        </w:rPr>
      </w:pPr>
    </w:p>
    <w:p>
      <w:pPr>
        <w:ind w:right="120" w:firstLine="436"/>
        <w:spacing w:after="0" w:line="301" w:lineRule="auto"/>
        <w:tabs>
          <w:tab w:leader="none" w:pos="620"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 If the Company closes an IPO in the United States, the provisions of this Section 2 shall apply with respect to the registration rights held by the Holders. If the Company closes an IPO in a country other than the United States then prior to the closing of such IPO, the Company and the Holders shall enter into an amendment of Section 2 of this Agreement to bring the provisions of this Section 2 into conformity with the applicable laws and market practice for registration rights in the applicable country. The Company covenants and agrees as follows: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322" w:name="page323"/>
    <w:bookmarkEnd w:id="322"/>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ind w:left="1684" w:hanging="252"/>
        <w:spacing w:after="0"/>
        <w:tabs>
          <w:tab w:leader="none" w:pos="1684" w:val="left"/>
        </w:tabs>
        <w:numPr>
          <w:ilvl w:val="1"/>
          <w:numId w:val="215"/>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(i) three (3) years after the date of this Agreement or (ii) one hundred eighty</w:t>
      </w:r>
    </w:p>
    <w:p>
      <w:pPr>
        <w:spacing w:after="0" w:line="46" w:lineRule="exact"/>
        <w:rPr>
          <w:rFonts w:ascii="Arial" w:cs="Arial" w:eastAsia="Arial" w:hAnsi="Arial"/>
          <w:sz w:val="16"/>
          <w:szCs w:val="16"/>
          <w:color w:val="auto"/>
        </w:rPr>
      </w:pPr>
    </w:p>
    <w:p>
      <w:pPr>
        <w:ind w:left="4" w:hanging="4"/>
        <w:spacing w:after="0" w:line="268" w:lineRule="auto"/>
        <w:tabs>
          <w:tab w:leader="none" w:pos="439" w:val="left"/>
        </w:tabs>
        <w:numPr>
          <w:ilvl w:val="0"/>
          <w:numId w:val="216"/>
        </w:numPr>
        <w:rPr>
          <w:rFonts w:ascii="Arial" w:cs="Arial" w:eastAsia="Arial" w:hAnsi="Arial"/>
          <w:sz w:val="17"/>
          <w:szCs w:val="17"/>
          <w:color w:val="auto"/>
        </w:rPr>
      </w:pPr>
      <w:r>
        <w:rPr>
          <w:rFonts w:ascii="Arial" w:cs="Arial" w:eastAsia="Arial" w:hAnsi="Arial"/>
          <w:sz w:val="17"/>
          <w:szCs w:val="17"/>
          <w:color w:val="auto"/>
        </w:rPr>
        <w:t>days after the effective date of the registration statement for the IPO, the Company receives a request from Holders of fifty percent (50%) of the Registrable Securities then outstanding that the Company file a Form S-1 registration statement with respect to at least forty percent (40%) of the Registrable Securities then outstanding (or a lesser percent if the anticipated aggregate offering price, net of Selling Expenses, would exceed $15 million dollars ($15,000,000), then the Company shall (x) within ten (10) days after the date such request is given, give notice thereof (the “</w:t>
      </w:r>
      <w:r>
        <w:rPr>
          <w:rFonts w:ascii="Arial" w:cs="Arial" w:eastAsia="Arial" w:hAnsi="Arial"/>
          <w:sz w:val="17"/>
          <w:szCs w:val="17"/>
          <w:b w:val="1"/>
          <w:bCs w:val="1"/>
          <w:color w:val="auto"/>
        </w:rPr>
        <w:t>Demand Notice</w:t>
      </w:r>
      <w:r>
        <w:rPr>
          <w:rFonts w:ascii="Arial" w:cs="Arial" w:eastAsia="Arial" w:hAnsi="Arial"/>
          <w:sz w:val="17"/>
          <w:szCs w:val="17"/>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Subsections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w:t>
      </w:r>
    </w:p>
    <w:p>
      <w:pPr>
        <w:spacing w:after="0" w:line="181" w:lineRule="exact"/>
        <w:rPr>
          <w:rFonts w:ascii="Arial" w:cs="Arial" w:eastAsia="Arial" w:hAnsi="Arial"/>
          <w:sz w:val="17"/>
          <w:szCs w:val="17"/>
          <w:color w:val="auto"/>
        </w:rPr>
      </w:pPr>
    </w:p>
    <w:p>
      <w:pPr>
        <w:ind w:left="4" w:right="20" w:firstLine="1428"/>
        <w:spacing w:after="0" w:line="271" w:lineRule="auto"/>
        <w:tabs>
          <w:tab w:leader="none" w:pos="1691" w:val="left"/>
        </w:tabs>
        <w:numPr>
          <w:ilvl w:val="1"/>
          <w:numId w:val="216"/>
        </w:numPr>
        <w:rPr>
          <w:rFonts w:ascii="Arial" w:cs="Arial" w:eastAsia="Arial" w:hAnsi="Arial"/>
          <w:sz w:val="17"/>
          <w:szCs w:val="17"/>
          <w:color w:val="auto"/>
        </w:rPr>
      </w:pPr>
      <w:r>
        <w:rPr>
          <w:rFonts w:ascii="Arial" w:cs="Arial" w:eastAsia="Arial" w:hAnsi="Arial"/>
          <w:sz w:val="17"/>
          <w:szCs w:val="17"/>
          <w:u w:val="single" w:color="auto"/>
          <w:color w:val="auto"/>
        </w:rPr>
        <w:t>Form S-3 Demand</w:t>
      </w:r>
      <w:r>
        <w:rPr>
          <w:rFonts w:ascii="Arial" w:cs="Arial" w:eastAsia="Arial" w:hAnsi="Arial"/>
          <w:sz w:val="17"/>
          <w:szCs w:val="17"/>
          <w:color w:val="auto"/>
        </w:rPr>
        <w:t xml:space="preserve">. If at any time when it is eligible to use a Form S-3 registration statement, the Company receives a request from Holders of at least ten percent (10%) of the Registrable Securities then outstanding that the Company file a Form S-3 registration statement with respect to issued Registrable Securities of such Holders having an anticipated aggregate offering price, net of Selling Expenses, of at least $1 million dollars ($1,000,000),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Subsections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w:t>
      </w:r>
    </w:p>
    <w:p>
      <w:pPr>
        <w:spacing w:after="0" w:line="178" w:lineRule="exact"/>
        <w:rPr>
          <w:rFonts w:ascii="Arial" w:cs="Arial" w:eastAsia="Arial" w:hAnsi="Arial"/>
          <w:sz w:val="17"/>
          <w:szCs w:val="17"/>
          <w:color w:val="auto"/>
        </w:rPr>
      </w:pPr>
    </w:p>
    <w:p>
      <w:pPr>
        <w:ind w:left="4" w:right="20" w:firstLine="1428"/>
        <w:spacing w:after="0" w:line="283" w:lineRule="auto"/>
        <w:tabs>
          <w:tab w:leader="none" w:pos="1681" w:val="left"/>
        </w:tabs>
        <w:numPr>
          <w:ilvl w:val="1"/>
          <w:numId w:val="216"/>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 certificate signed by the Company’s chief executive officer stating that in the good faith judgment of the Board of Directors it would be materially detrimental to the Company and its shareholders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one hundred twenty (120) days after the request of the Initiating Holders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not invoke this right more than once in any twelve (12) month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its own account or that of any other shareholder during such one hundred twenty</w:t>
      </w:r>
    </w:p>
    <w:p>
      <w:pPr>
        <w:spacing w:after="0" w:line="4" w:lineRule="exact"/>
        <w:rPr>
          <w:rFonts w:ascii="Arial" w:cs="Arial" w:eastAsia="Arial" w:hAnsi="Arial"/>
          <w:sz w:val="16"/>
          <w:szCs w:val="16"/>
          <w:color w:val="auto"/>
        </w:rPr>
      </w:pPr>
    </w:p>
    <w:p>
      <w:pPr>
        <w:ind w:left="444" w:hanging="444"/>
        <w:spacing w:after="0"/>
        <w:tabs>
          <w:tab w:leader="none" w:pos="44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day period other than an Excluded Registration.</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23" w:name="page324"/>
    <w:bookmarkEnd w:id="323"/>
    <w:p>
      <w:pPr>
        <w:ind w:left="4" w:firstLine="1428"/>
        <w:spacing w:after="0" w:line="291" w:lineRule="auto"/>
        <w:tabs>
          <w:tab w:leader="none" w:pos="1691" w:val="left"/>
        </w:tabs>
        <w:numPr>
          <w:ilvl w:val="1"/>
          <w:numId w:val="2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 shall not be obligated to effect, or to take any action to effect, any registration pursuant to </w:t>
      </w:r>
      <w:r>
        <w:rPr>
          <w:rFonts w:ascii="Arial" w:cs="Arial" w:eastAsia="Arial" w:hAnsi="Arial"/>
          <w:sz w:val="16"/>
          <w:szCs w:val="16"/>
          <w:u w:val="single" w:color="auto"/>
          <w:color w:val="auto"/>
        </w:rPr>
        <w:t>Subsection 2.1(a)</w:t>
      </w:r>
      <w:r>
        <w:rPr>
          <w:rFonts w:ascii="Arial" w:cs="Arial" w:eastAsia="Arial" w:hAnsi="Arial"/>
          <w:sz w:val="16"/>
          <w:szCs w:val="16"/>
          <w:color w:val="auto"/>
        </w:rPr>
        <w:t>: (i) during the period that is sixty (60) days before the Company’s good faith estimate of the date of filing of, and ending on a date that is one hundred eighty</w:t>
      </w:r>
    </w:p>
    <w:p>
      <w:pPr>
        <w:ind w:left="4" w:hanging="4"/>
        <w:spacing w:after="0" w:line="281" w:lineRule="auto"/>
        <w:tabs>
          <w:tab w:leader="none" w:pos="43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(ii) after the Company has effected two registrations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2.1(a)</w:t>
      </w:r>
      <w:r>
        <w:rPr>
          <w:rFonts w:ascii="Arial" w:cs="Arial" w:eastAsia="Arial" w:hAnsi="Arial"/>
          <w:sz w:val="16"/>
          <w:szCs w:val="16"/>
          <w:color w:val="auto"/>
        </w:rPr>
        <w:t xml:space="preserve">; or (iii) if the Initiating Holders propose to dispose of Registrable Securities that may be immediately registered on Form S-3 pursuant to a request made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The Company shall not be obligated to effect, or to take any action to effect, any registration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2.1(b)</w:t>
      </w:r>
      <w:r>
        <w:rPr>
          <w:rFonts w:ascii="Arial" w:cs="Arial" w:eastAsia="Arial" w:hAnsi="Arial"/>
          <w:sz w:val="16"/>
          <w:szCs w:val="16"/>
          <w:color w:val="auto"/>
        </w:rPr>
        <w:t xml:space="preserve"> (i) during the period that is thirty (30) days before the Company’s good faith estimate of the date of filing of, and ending on a date that is ninety</w:t>
      </w:r>
    </w:p>
    <w:p>
      <w:pPr>
        <w:spacing w:after="0" w:line="2" w:lineRule="exact"/>
        <w:rPr>
          <w:rFonts w:ascii="Arial" w:cs="Arial" w:eastAsia="Arial" w:hAnsi="Arial"/>
          <w:sz w:val="16"/>
          <w:szCs w:val="16"/>
          <w:color w:val="auto"/>
        </w:rPr>
      </w:pPr>
    </w:p>
    <w:p>
      <w:pPr>
        <w:ind w:left="4" w:right="140" w:hanging="4"/>
        <w:spacing w:after="0" w:line="281" w:lineRule="auto"/>
        <w:tabs>
          <w:tab w:leader="none" w:pos="34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6"/>
          <w:szCs w:val="16"/>
          <w:u w:val="single" w:color="auto"/>
          <w:color w:val="auto"/>
        </w:rPr>
        <w:t>Subsection</w:t>
      </w:r>
    </w:p>
    <w:p>
      <w:pPr>
        <w:spacing w:after="0" w:line="1" w:lineRule="exact"/>
        <w:rPr>
          <w:rFonts w:ascii="Arial" w:cs="Arial" w:eastAsia="Arial" w:hAnsi="Arial"/>
          <w:sz w:val="16"/>
          <w:szCs w:val="16"/>
          <w:color w:val="auto"/>
        </w:rPr>
      </w:pPr>
    </w:p>
    <w:p>
      <w:pPr>
        <w:ind w:left="4"/>
        <w:spacing w:after="0" w:line="290" w:lineRule="auto"/>
        <w:rPr>
          <w:rFonts w:ascii="Arial" w:cs="Arial" w:eastAsia="Arial" w:hAnsi="Arial"/>
          <w:sz w:val="16"/>
          <w:szCs w:val="16"/>
          <w:color w:val="auto"/>
        </w:rPr>
      </w:pPr>
      <w:r>
        <w:rPr>
          <w:rFonts w:ascii="Arial" w:cs="Arial" w:eastAsia="Arial" w:hAnsi="Arial"/>
          <w:sz w:val="16"/>
          <w:szCs w:val="16"/>
          <w:u w:val="single" w:color="auto"/>
          <w:color w:val="auto"/>
        </w:rPr>
        <w:t>2.1(b)</w:t>
      </w:r>
      <w:r>
        <w:rPr>
          <w:rFonts w:ascii="Arial" w:cs="Arial" w:eastAsia="Arial" w:hAnsi="Arial"/>
          <w:sz w:val="16"/>
          <w:szCs w:val="16"/>
          <w:color w:val="auto"/>
        </w:rPr>
        <w:t xml:space="preserve"> within the twelve (12) month period immediately preceding the date of such request. A registration shall not be counted as “effected” for purposes of this </w:t>
      </w:r>
      <w:r>
        <w:rPr>
          <w:rFonts w:ascii="Arial" w:cs="Arial" w:eastAsia="Arial" w:hAnsi="Arial"/>
          <w:sz w:val="16"/>
          <w:szCs w:val="16"/>
          <w:u w:val="single" w:color="auto"/>
          <w:color w:val="auto"/>
        </w:rPr>
        <w:t>Subsection 2.1(d)</w:t>
      </w:r>
      <w:r>
        <w:rPr>
          <w:rFonts w:ascii="Arial" w:cs="Arial" w:eastAsia="Arial" w:hAnsi="Arial"/>
          <w:sz w:val="16"/>
          <w:szCs w:val="16"/>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6"/>
          <w:szCs w:val="16"/>
          <w:u w:val="single" w:color="auto"/>
          <w:color w:val="auto"/>
        </w:rPr>
        <w:t>Subsection 2.6</w:t>
      </w:r>
      <w:r>
        <w:rPr>
          <w:rFonts w:ascii="Arial" w:cs="Arial" w:eastAsia="Arial" w:hAnsi="Arial"/>
          <w:sz w:val="16"/>
          <w:szCs w:val="16"/>
          <w:color w:val="auto"/>
        </w:rPr>
        <w:t xml:space="preserve">, in which case such withdrawn registration statement shall be counted as “effected” for purposes of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2.1(d) provided</w:t>
      </w:r>
      <w:r>
        <w:rPr>
          <w:rFonts w:ascii="Arial" w:cs="Arial" w:eastAsia="Arial" w:hAnsi="Arial"/>
          <w:sz w:val="16"/>
          <w:szCs w:val="16"/>
          <w:color w:val="auto"/>
        </w:rPr>
        <w:t xml:space="preserve">, that if such withdrawal is during a period the Company has deferred taking action pursuant to </w:t>
      </w:r>
      <w:r>
        <w:rPr>
          <w:rFonts w:ascii="Arial" w:cs="Arial" w:eastAsia="Arial" w:hAnsi="Arial"/>
          <w:sz w:val="16"/>
          <w:szCs w:val="16"/>
          <w:u w:val="single" w:color="auto"/>
          <w:color w:val="auto"/>
        </w:rPr>
        <w:t>Subsection 2.1(c)</w:t>
      </w:r>
      <w:r>
        <w:rPr>
          <w:rFonts w:ascii="Arial" w:cs="Arial" w:eastAsia="Arial" w:hAnsi="Arial"/>
          <w:sz w:val="16"/>
          <w:szCs w:val="16"/>
          <w:color w:val="auto"/>
        </w:rPr>
        <w:t xml:space="preserve">, then the Initiating Holders may withdraw their request for registration and such registration will not be counted as “effected” for purposes of this </w:t>
      </w:r>
      <w:r>
        <w:rPr>
          <w:rFonts w:ascii="Arial" w:cs="Arial" w:eastAsia="Arial" w:hAnsi="Arial"/>
          <w:sz w:val="16"/>
          <w:szCs w:val="16"/>
          <w:u w:val="single" w:color="auto"/>
          <w:color w:val="auto"/>
        </w:rPr>
        <w:t>Subsection 2.1(d)</w:t>
      </w:r>
      <w:r>
        <w:rPr>
          <w:rFonts w:ascii="Arial" w:cs="Arial" w:eastAsia="Arial" w:hAnsi="Arial"/>
          <w:sz w:val="16"/>
          <w:szCs w:val="16"/>
          <w:color w:val="auto"/>
        </w:rPr>
        <w:t>.</w:t>
      </w:r>
    </w:p>
    <w:p>
      <w:pPr>
        <w:spacing w:after="0" w:line="164" w:lineRule="exact"/>
        <w:rPr>
          <w:sz w:val="20"/>
          <w:szCs w:val="20"/>
          <w:color w:val="auto"/>
        </w:rPr>
      </w:pPr>
    </w:p>
    <w:p>
      <w:pPr>
        <w:ind w:left="4" w:right="20" w:firstLine="991"/>
        <w:spacing w:after="0" w:line="290"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Company Registration</w:t>
      </w:r>
      <w:r>
        <w:rPr>
          <w:rFonts w:ascii="Arial" w:cs="Arial" w:eastAsia="Arial" w:hAnsi="Arial"/>
          <w:sz w:val="16"/>
          <w:szCs w:val="16"/>
          <w:color w:val="auto"/>
        </w:rPr>
        <w:t xml:space="preserve">. If the Company proposes to register (including, for this purpose, a registration effected by the Company for shareholders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before the effective date of such registration, whether or not any Holder has elected to include Registrable Securities in such registration. The expenses (other than Selling Expenses) of such withdrawn registration shall, subject always to compliance with applicable law, be borne by the Company in accordance with </w:t>
      </w:r>
      <w:r>
        <w:rPr>
          <w:rFonts w:ascii="Arial" w:cs="Arial" w:eastAsia="Arial" w:hAnsi="Arial"/>
          <w:sz w:val="16"/>
          <w:szCs w:val="16"/>
          <w:u w:val="single" w:color="auto"/>
          <w:color w:val="auto"/>
        </w:rPr>
        <w:t>Subsection 2.6</w:t>
      </w:r>
      <w:r>
        <w:rPr>
          <w:rFonts w:ascii="Arial" w:cs="Arial" w:eastAsia="Arial" w:hAnsi="Arial"/>
          <w:sz w:val="16"/>
          <w:szCs w:val="16"/>
          <w:color w:val="auto"/>
        </w:rPr>
        <w: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324" w:name="page325"/>
    <w:bookmarkEnd w:id="32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2.3 </w:t>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225" w:lineRule="exact"/>
        <w:rPr>
          <w:sz w:val="20"/>
          <w:szCs w:val="20"/>
          <w:color w:val="auto"/>
        </w:rPr>
      </w:pPr>
    </w:p>
    <w:p>
      <w:pPr>
        <w:ind w:firstLine="1428"/>
        <w:spacing w:after="0" w:line="268" w:lineRule="auto"/>
        <w:tabs>
          <w:tab w:leader="none" w:pos="1677"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If, pursuant to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and the Company shall include such information in the Demand Notice. The underwriter(s) will be selected by the Initiating Holders, subject only to the reasonable approval of the Company.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7"/>
          <w:szCs w:val="17"/>
          <w:u w:val="single" w:color="auto"/>
          <w:color w:val="auto"/>
        </w:rPr>
        <w:t>Subsection 2.4(e)</w:t>
      </w:r>
      <w:r>
        <w:rPr>
          <w:rFonts w:ascii="Arial" w:cs="Arial" w:eastAsia="Arial" w:hAnsi="Arial"/>
          <w:sz w:val="17"/>
          <w:szCs w:val="17"/>
          <w:color w:val="auto"/>
        </w:rPr>
        <w:t xml:space="preserve">) enter into an underwriting agreement in customary form with the underwriter(s) selected for such underwriting. Notwithstanding any other provision of this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number of Registrable Securities held by the Holders to be included in such underwriting shall not be reduced unless all other securities are first entirely excluded from the underwriting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number of Registrable Securities held by the Holders to be included in such underwriting shall not be reduced below 25% of the total offering by the underwriters.</w:t>
      </w:r>
    </w:p>
    <w:p>
      <w:pPr>
        <w:spacing w:after="0" w:line="181" w:lineRule="exact"/>
        <w:rPr>
          <w:rFonts w:ascii="Arial" w:cs="Arial" w:eastAsia="Arial" w:hAnsi="Arial"/>
          <w:sz w:val="17"/>
          <w:szCs w:val="17"/>
          <w:color w:val="auto"/>
        </w:rPr>
      </w:pPr>
    </w:p>
    <w:p>
      <w:pPr>
        <w:ind w:firstLine="1428"/>
        <w:spacing w:after="0" w:line="268" w:lineRule="auto"/>
        <w:tabs>
          <w:tab w:leader="none" w:pos="1687"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In connection with any offering involving an underwriting of shares of the Company’s capital stock pursuant to </w:t>
      </w:r>
      <w:r>
        <w:rPr>
          <w:rFonts w:ascii="Arial" w:cs="Arial" w:eastAsia="Arial" w:hAnsi="Arial"/>
          <w:sz w:val="17"/>
          <w:szCs w:val="17"/>
          <w:u w:val="single" w:color="auto"/>
          <w:color w:val="auto"/>
        </w:rPr>
        <w:t>Subsection 2.2</w:t>
      </w:r>
      <w:r>
        <w:rPr>
          <w:rFonts w:ascii="Arial" w:cs="Arial" w:eastAsia="Arial" w:hAnsi="Arial"/>
          <w:sz w:val="17"/>
          <w:szCs w:val="17"/>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shareholders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twenty-five percent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25" w:name="page326"/>
    <w:bookmarkEnd w:id="325"/>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(25%) of the total number of securities included in such offering, unless such offering is the Qualified IPO, in which case the selling Holders may be excluded further if the underwriters make the determination described above and no other shareholder’s securities are included in such offering. For purposes of the provision in this </w:t>
      </w:r>
      <w:r>
        <w:rPr>
          <w:rFonts w:ascii="Arial" w:cs="Arial" w:eastAsia="Arial" w:hAnsi="Arial"/>
          <w:sz w:val="16"/>
          <w:szCs w:val="16"/>
          <w:u w:val="single" w:color="auto"/>
          <w:color w:val="auto"/>
        </w:rPr>
        <w:t>Subsection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shareholders, and Affiliates of such Holder, or the estates and Immediate Family Members of any such partners, retired partners, members, and retired members and any trusts for the benefit of any of the foregoing Persons, shall be deemed to be a single “selling Holder,” and any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reduction with respect to such “selling Holder” shall be based upon the aggregate number of Registrable Securities owned by all Persons included in such “selling Holder,” as defined in this sentence.</w:t>
      </w:r>
    </w:p>
    <w:p>
      <w:pPr>
        <w:spacing w:after="0" w:line="166" w:lineRule="exact"/>
        <w:rPr>
          <w:sz w:val="20"/>
          <w:szCs w:val="20"/>
          <w:color w:val="auto"/>
        </w:rPr>
      </w:pPr>
    </w:p>
    <w:p>
      <w:pPr>
        <w:ind w:right="20" w:firstLine="1428"/>
        <w:spacing w:after="0" w:line="263" w:lineRule="auto"/>
        <w:tabs>
          <w:tab w:leader="none" w:pos="167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Subsection 2.3(a)</w:t>
      </w:r>
      <w:r>
        <w:rPr>
          <w:rFonts w:ascii="Arial" w:cs="Arial" w:eastAsia="Arial" w:hAnsi="Arial"/>
          <w:sz w:val="18"/>
          <w:szCs w:val="18"/>
          <w:color w:val="auto"/>
        </w:rPr>
        <w:t>, fewer than fifty percent (50%) of the total number of Registrable Securities that Holders have requested to be included in such registration statement are actually included.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Obligations of the Company</w:t>
      </w:r>
      <w:r>
        <w:rPr>
          <w:rFonts w:ascii="Arial" w:cs="Arial" w:eastAsia="Arial" w:hAnsi="Arial"/>
          <w:sz w:val="17"/>
          <w:szCs w:val="17"/>
          <w:color w:val="auto"/>
        </w:rPr>
        <w:t xml:space="preserve">. Whenever required under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to effect the registration of any Registrable Securities,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103" w:lineRule="exact"/>
        <w:rPr>
          <w:sz w:val="20"/>
          <w:szCs w:val="20"/>
          <w:color w:val="auto"/>
        </w:rPr>
      </w:pPr>
    </w:p>
    <w:p>
      <w:pPr>
        <w:ind w:firstLine="1428"/>
        <w:spacing w:after="0" w:line="290" w:lineRule="auto"/>
        <w:tabs>
          <w:tab w:leader="none" w:pos="167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if necessary, to keep the registration statement effective until all such Registrable Securities are sold;</w:t>
      </w:r>
    </w:p>
    <w:p>
      <w:pPr>
        <w:spacing w:after="0" w:line="165" w:lineRule="exact"/>
        <w:rPr>
          <w:rFonts w:ascii="Arial" w:cs="Arial" w:eastAsia="Arial" w:hAnsi="Arial"/>
          <w:sz w:val="16"/>
          <w:szCs w:val="16"/>
          <w:color w:val="auto"/>
        </w:rPr>
      </w:pPr>
    </w:p>
    <w:p>
      <w:pPr>
        <w:ind w:right="220" w:firstLine="1428"/>
        <w:spacing w:after="0" w:line="263" w:lineRule="auto"/>
        <w:tabs>
          <w:tab w:leader="none" w:pos="168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3" w:lineRule="exact"/>
        <w:rPr>
          <w:rFonts w:ascii="Arial" w:cs="Arial" w:eastAsia="Arial" w:hAnsi="Arial"/>
          <w:sz w:val="18"/>
          <w:szCs w:val="18"/>
          <w:color w:val="auto"/>
        </w:rPr>
      </w:pPr>
    </w:p>
    <w:p>
      <w:pPr>
        <w:ind w:right="200" w:firstLine="1428"/>
        <w:spacing w:after="0" w:line="342" w:lineRule="auto"/>
        <w:tabs>
          <w:tab w:leader="none" w:pos="167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40" w:top="274" w:right="559" w:bottom="1440" w:gutter="0" w:footer="0" w:header="0"/>
        </w:sectPr>
      </w:pPr>
    </w:p>
    <w:bookmarkStart w:id="326" w:name="page327"/>
    <w:bookmarkEnd w:id="326"/>
    <w:p>
      <w:pPr>
        <w:jc w:val="both"/>
        <w:ind w:right="200" w:firstLine="1428"/>
        <w:spacing w:after="0" w:line="279" w:lineRule="auto"/>
        <w:tabs>
          <w:tab w:leader="none" w:pos="1687" w:val="left"/>
        </w:tabs>
        <w:numPr>
          <w:ilvl w:val="0"/>
          <w:numId w:val="2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1" w:lineRule="exact"/>
        <w:rPr>
          <w:rFonts w:ascii="Arial" w:cs="Arial" w:eastAsia="Arial" w:hAnsi="Arial"/>
          <w:sz w:val="17"/>
          <w:szCs w:val="17"/>
          <w:color w:val="auto"/>
        </w:rPr>
      </w:pPr>
    </w:p>
    <w:p>
      <w:pPr>
        <w:ind w:right="20" w:firstLine="1428"/>
        <w:spacing w:after="0" w:line="277" w:lineRule="auto"/>
        <w:tabs>
          <w:tab w:leader="none" w:pos="167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70" w:lineRule="exact"/>
        <w:rPr>
          <w:rFonts w:ascii="Arial" w:cs="Arial" w:eastAsia="Arial" w:hAnsi="Arial"/>
          <w:sz w:val="18"/>
          <w:szCs w:val="18"/>
          <w:color w:val="auto"/>
        </w:rPr>
      </w:pPr>
    </w:p>
    <w:p>
      <w:pPr>
        <w:ind w:firstLine="1428"/>
        <w:spacing w:after="0" w:line="263" w:lineRule="auto"/>
        <w:tabs>
          <w:tab w:leader="none" w:pos="165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3" w:lineRule="exact"/>
        <w:rPr>
          <w:rFonts w:ascii="Arial" w:cs="Arial" w:eastAsia="Arial" w:hAnsi="Arial"/>
          <w:sz w:val="18"/>
          <w:szCs w:val="18"/>
          <w:color w:val="auto"/>
        </w:rPr>
      </w:pPr>
    </w:p>
    <w:p>
      <w:pPr>
        <w:ind w:right="200" w:firstLine="1428"/>
        <w:spacing w:after="0" w:line="277" w:lineRule="auto"/>
        <w:tabs>
          <w:tab w:leader="none" w:pos="168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right="20" w:firstLine="1428"/>
        <w:spacing w:after="0" w:line="255" w:lineRule="auto"/>
        <w:tabs>
          <w:tab w:leader="none" w:pos="168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92" w:lineRule="exact"/>
        <w:rPr>
          <w:rFonts w:ascii="Arial" w:cs="Arial" w:eastAsia="Arial" w:hAnsi="Arial"/>
          <w:sz w:val="18"/>
          <w:szCs w:val="18"/>
          <w:color w:val="auto"/>
        </w:rPr>
      </w:pPr>
    </w:p>
    <w:p>
      <w:pPr>
        <w:ind w:right="80" w:firstLine="1428"/>
        <w:spacing w:after="0" w:line="308" w:lineRule="auto"/>
        <w:tabs>
          <w:tab w:leader="none" w:pos="1647" w:val="left"/>
        </w:tabs>
        <w:numPr>
          <w:ilvl w:val="0"/>
          <w:numId w:val="224"/>
        </w:numPr>
        <w:rPr>
          <w:rFonts w:ascii="Arial" w:cs="Arial" w:eastAsia="Arial" w:hAnsi="Arial"/>
          <w:sz w:val="17"/>
          <w:szCs w:val="17"/>
          <w:color w:val="auto"/>
        </w:rPr>
      </w:pPr>
      <w:r>
        <w:rPr>
          <w:rFonts w:ascii="Arial" w:cs="Arial" w:eastAsia="Arial" w:hAnsi="Arial"/>
          <w:sz w:val="17"/>
          <w:szCs w:val="17"/>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46" w:lineRule="exact"/>
        <w:rPr>
          <w:rFonts w:ascii="Arial" w:cs="Arial" w:eastAsia="Arial" w:hAnsi="Arial"/>
          <w:sz w:val="17"/>
          <w:szCs w:val="17"/>
          <w:color w:val="auto"/>
        </w:rPr>
      </w:pPr>
    </w:p>
    <w:p>
      <w:pPr>
        <w:ind w:right="460" w:firstLine="1428"/>
        <w:spacing w:after="0" w:line="277" w:lineRule="auto"/>
        <w:tabs>
          <w:tab w:leader="none" w:pos="164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84"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327" w:name="page328"/>
    <w:bookmarkEnd w:id="327"/>
    <w:p>
      <w:pPr>
        <w:ind w:right="20" w:firstLine="99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2.6 </w:t>
      </w:r>
      <w:r>
        <w:rPr>
          <w:rFonts w:ascii="Arial" w:cs="Arial" w:eastAsia="Arial" w:hAnsi="Arial"/>
          <w:sz w:val="17"/>
          <w:szCs w:val="17"/>
          <w:u w:val="single" w:color="auto"/>
          <w:color w:val="auto"/>
        </w:rPr>
        <w:t>Expenses of Registration</w:t>
      </w:r>
      <w:r>
        <w:rPr>
          <w:rFonts w:ascii="Arial" w:cs="Arial" w:eastAsia="Arial" w:hAnsi="Arial"/>
          <w:sz w:val="17"/>
          <w:szCs w:val="17"/>
          <w:color w:val="auto"/>
        </w:rPr>
        <w:t xml:space="preserve">. All expenses (other than Selling Expenses) incurred in connection with registrations, filings, or qualifications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including all registration, filing, and qualification fees; printers’ and accounting fees; fees and disbursements of counsel for the Company; and the reasonable fees and disbursements of one counsel for the selling Holders (“</w:t>
      </w:r>
      <w:r>
        <w:rPr>
          <w:rFonts w:ascii="Arial" w:cs="Arial" w:eastAsia="Arial" w:hAnsi="Arial"/>
          <w:sz w:val="17"/>
          <w:szCs w:val="17"/>
          <w:b w:val="1"/>
          <w:bCs w:val="1"/>
          <w:color w:val="auto"/>
        </w:rPr>
        <w:t>Selling Holder Counsel</w:t>
      </w:r>
      <w:r>
        <w:rPr>
          <w:rFonts w:ascii="Arial" w:cs="Arial" w:eastAsia="Arial" w:hAnsi="Arial"/>
          <w:sz w:val="17"/>
          <w:szCs w:val="17"/>
          <w:color w:val="auto"/>
        </w:rPr>
        <w:t xml:space="preserve">”), shall, subject always to compliance with applicable law, be borne and paid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required to pay for any expenses of any registration proceeding begun pursuant to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if the registration request is subsequently withdrawn at the request of the Holders of a majority of the Registrable Securities to be registered (in which case all selling Holders shall bear such expenses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7"/>
          <w:szCs w:val="17"/>
          <w:u w:val="single" w:color="auto"/>
          <w:color w:val="auto"/>
        </w:rPr>
        <w:t>Subsections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as the case may be;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7"/>
          <w:szCs w:val="17"/>
          <w:u w:val="single" w:color="auto"/>
          <w:color w:val="auto"/>
        </w:rPr>
        <w:t>Subsections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All Selling Expenses relating to Registrable Securities registered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borne and paid by the Holders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on the basis of the number of Registrable Securities registered on their behalf.</w:t>
      </w:r>
    </w:p>
    <w:p>
      <w:pPr>
        <w:spacing w:after="0" w:line="186"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If any Registrable Securities are included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69" w:lineRule="auto"/>
        <w:tabs>
          <w:tab w:leader="none" w:pos="1677"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To the extent permitted by law, the Company will indemnify and hold harmless each selling Holder, and the partners, members, officers, directors, and shareholders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Subsection 2.8(a)</w:t>
      </w:r>
      <w:r>
        <w:rPr>
          <w:rFonts w:ascii="Arial" w:cs="Arial" w:eastAsia="Arial" w:hAnsi="Arial"/>
          <w:sz w:val="17"/>
          <w:szCs w:val="17"/>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28" w:name="page329"/>
    <w:bookmarkEnd w:id="328"/>
    <w:p>
      <w:pPr>
        <w:ind w:left="4" w:right="120" w:firstLine="1428"/>
        <w:spacing w:after="0" w:line="287" w:lineRule="auto"/>
        <w:tabs>
          <w:tab w:leader="none" w:pos="1691" w:val="left"/>
        </w:tabs>
        <w:numPr>
          <w:ilvl w:val="1"/>
          <w:numId w:val="2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2.8(b)</w:t>
      </w:r>
      <w:r>
        <w:rPr>
          <w:rFonts w:ascii="Arial" w:cs="Arial" w:eastAsia="Arial" w:hAnsi="Arial"/>
          <w:sz w:val="16"/>
          <w:szCs w:val="16"/>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the aggregate amounts payable by any Holder by way of indemnity or contribution under </w:t>
      </w:r>
      <w:r>
        <w:rPr>
          <w:rFonts w:ascii="Arial" w:cs="Arial" w:eastAsia="Arial" w:hAnsi="Arial"/>
          <w:sz w:val="16"/>
          <w:szCs w:val="16"/>
          <w:u w:val="single" w:color="auto"/>
          <w:color w:val="auto"/>
        </w:rPr>
        <w:t>Subsections 2.8(b)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2.8(d)</w:t>
      </w:r>
      <w:r>
        <w:rPr>
          <w:rFonts w:ascii="Arial" w:cs="Arial" w:eastAsia="Arial" w:hAnsi="Arial"/>
          <w:sz w:val="16"/>
          <w:szCs w:val="16"/>
          <w:color w:val="auto"/>
        </w:rPr>
        <w:t xml:space="preserve"> exceed the proceeds from the offering received by such Holder (net of any Selling Expenses paid by such Holder), except in the case of fraud or willful misconduct by such Holder.</w:t>
      </w:r>
    </w:p>
    <w:p>
      <w:pPr>
        <w:spacing w:after="0" w:line="167" w:lineRule="exact"/>
        <w:rPr>
          <w:rFonts w:ascii="Arial" w:cs="Arial" w:eastAsia="Arial" w:hAnsi="Arial"/>
          <w:sz w:val="16"/>
          <w:szCs w:val="16"/>
          <w:color w:val="auto"/>
        </w:rPr>
      </w:pPr>
    </w:p>
    <w:p>
      <w:pPr>
        <w:ind w:left="4" w:firstLine="1428"/>
        <w:spacing w:after="0" w:line="270" w:lineRule="auto"/>
        <w:tabs>
          <w:tab w:leader="none" w:pos="1681" w:val="left"/>
        </w:tabs>
        <w:numPr>
          <w:ilvl w:val="1"/>
          <w:numId w:val="226"/>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w:t>
      </w:r>
    </w:p>
    <w:p>
      <w:pPr>
        <w:spacing w:after="0" w:line="180" w:lineRule="exact"/>
        <w:rPr>
          <w:rFonts w:ascii="Arial" w:cs="Arial" w:eastAsia="Arial" w:hAnsi="Arial"/>
          <w:sz w:val="17"/>
          <w:szCs w:val="17"/>
          <w:color w:val="auto"/>
        </w:rPr>
      </w:pPr>
    </w:p>
    <w:p>
      <w:pPr>
        <w:jc w:val="both"/>
        <w:ind w:left="4" w:right="100" w:firstLine="1428"/>
        <w:spacing w:after="0" w:line="286" w:lineRule="auto"/>
        <w:tabs>
          <w:tab w:leader="none" w:pos="1691" w:val="left"/>
        </w:tabs>
        <w:numPr>
          <w:ilvl w:val="1"/>
          <w:numId w:val="226"/>
        </w:numPr>
        <w:rPr>
          <w:rFonts w:ascii="Arial" w:cs="Arial" w:eastAsia="Arial" w:hAnsi="Arial"/>
          <w:sz w:val="16"/>
          <w:szCs w:val="16"/>
          <w:color w:val="auto"/>
        </w:rPr>
      </w:pPr>
      <w:r>
        <w:rPr>
          <w:rFonts w:ascii="Arial" w:cs="Arial" w:eastAsia="Arial" w:hAnsi="Arial"/>
          <w:sz w:val="16"/>
          <w:szCs w:val="16"/>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provides for indemnification in such case, or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contribution under the Securities Act may</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329" w:name="page330"/>
    <w:bookmarkEnd w:id="32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be required on the part of any party hereto for which indemnification is provided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a Holder’s liability pursuant to this </w:t>
      </w:r>
      <w:r>
        <w:rPr>
          <w:rFonts w:ascii="Arial" w:cs="Arial" w:eastAsia="Arial" w:hAnsi="Arial"/>
          <w:sz w:val="16"/>
          <w:szCs w:val="16"/>
          <w:u w:val="single" w:color="auto"/>
          <w:color w:val="auto"/>
        </w:rPr>
        <w:t>Subsection 2.8(d)</w:t>
      </w:r>
      <w:r>
        <w:rPr>
          <w:rFonts w:ascii="Arial" w:cs="Arial" w:eastAsia="Arial" w:hAnsi="Arial"/>
          <w:sz w:val="16"/>
          <w:szCs w:val="16"/>
          <w:color w:val="auto"/>
        </w:rPr>
        <w:t xml:space="preserve">, when combined with the amounts paid or payable by such Holder pursuant to </w:t>
      </w:r>
      <w:r>
        <w:rPr>
          <w:rFonts w:ascii="Arial" w:cs="Arial" w:eastAsia="Arial" w:hAnsi="Arial"/>
          <w:sz w:val="16"/>
          <w:szCs w:val="16"/>
          <w:u w:val="single" w:color="auto"/>
          <w:color w:val="auto"/>
        </w:rPr>
        <w:t>Subsection 2.8(b)</w:t>
      </w:r>
      <w:r>
        <w:rPr>
          <w:rFonts w:ascii="Arial" w:cs="Arial" w:eastAsia="Arial" w:hAnsi="Arial"/>
          <w:sz w:val="16"/>
          <w:szCs w:val="16"/>
          <w:color w:val="auto"/>
        </w:rPr>
        <w:t>, exceed the proceeds from the offering received by such Holder (net of any Selling Expenses paid by such Holder), except in the case of willful misconduct or fraud by such Holder.</w:t>
      </w:r>
    </w:p>
    <w:p>
      <w:pPr>
        <w:spacing w:after="0" w:line="174" w:lineRule="exact"/>
        <w:rPr>
          <w:sz w:val="20"/>
          <w:szCs w:val="20"/>
          <w:color w:val="auto"/>
        </w:rPr>
      </w:pPr>
    </w:p>
    <w:p>
      <w:pPr>
        <w:ind w:firstLine="1428"/>
        <w:spacing w:after="0" w:line="263" w:lineRule="auto"/>
        <w:tabs>
          <w:tab w:leader="none" w:pos="167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2, and otherwise shall survive the termination of this Agreement.</w:t>
      </w:r>
    </w:p>
    <w:p>
      <w:pPr>
        <w:spacing w:after="0" w:line="184" w:lineRule="exact"/>
        <w:rPr>
          <w:sz w:val="20"/>
          <w:szCs w:val="20"/>
          <w:color w:val="auto"/>
        </w:rPr>
      </w:pPr>
    </w:p>
    <w:p>
      <w:pPr>
        <w:ind w:right="420" w:firstLine="991"/>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76" w:lineRule="exact"/>
        <w:rPr>
          <w:sz w:val="20"/>
          <w:szCs w:val="20"/>
          <w:color w:val="auto"/>
        </w:rPr>
      </w:pPr>
    </w:p>
    <w:p>
      <w:pPr>
        <w:ind w:right="100" w:firstLine="1428"/>
        <w:spacing w:after="0" w:line="277" w:lineRule="auto"/>
        <w:tabs>
          <w:tab w:leader="none" w:pos="167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70" w:lineRule="exact"/>
        <w:rPr>
          <w:rFonts w:ascii="Arial" w:cs="Arial" w:eastAsia="Arial" w:hAnsi="Arial"/>
          <w:sz w:val="18"/>
          <w:szCs w:val="18"/>
          <w:color w:val="auto"/>
        </w:rPr>
      </w:pPr>
    </w:p>
    <w:p>
      <w:pPr>
        <w:ind w:right="400" w:firstLine="1428"/>
        <w:spacing w:after="0" w:line="342" w:lineRule="auto"/>
        <w:tabs>
          <w:tab w:leader="none" w:pos="168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23" w:lineRule="exact"/>
        <w:rPr>
          <w:rFonts w:ascii="Arial" w:cs="Arial" w:eastAsia="Arial" w:hAnsi="Arial"/>
          <w:sz w:val="16"/>
          <w:szCs w:val="16"/>
          <w:color w:val="auto"/>
        </w:rPr>
      </w:pPr>
    </w:p>
    <w:p>
      <w:pPr>
        <w:ind w:right="120" w:firstLine="1428"/>
        <w:spacing w:after="0" w:line="263" w:lineRule="auto"/>
        <w:tabs>
          <w:tab w:leader="none" w:pos="167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330" w:name="page331"/>
    <w:bookmarkEnd w:id="330"/>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92" w:lineRule="exact"/>
        <w:rPr>
          <w:sz w:val="20"/>
          <w:szCs w:val="20"/>
          <w:color w:val="auto"/>
        </w:rPr>
      </w:pPr>
    </w:p>
    <w:p>
      <w:pPr>
        <w:ind w:left="4" w:right="60" w:firstLine="991"/>
        <w:spacing w:after="0" w:line="255"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of this Agreement, the Company shall not, without the prior written consent of the Holders of a majority of the Registrable Securities then outstanding, enter into any agreement with any holder or prospective holder of any securities of the Company (i)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(ii) that allows such holder or prospective holder to initiate a demand for registration of any securities held by such holder or prospective holder.</w:t>
      </w:r>
    </w:p>
    <w:p>
      <w:pPr>
        <w:spacing w:after="0" w:line="192" w:lineRule="exact"/>
        <w:rPr>
          <w:sz w:val="20"/>
          <w:szCs w:val="20"/>
          <w:color w:val="auto"/>
        </w:rPr>
      </w:pPr>
    </w:p>
    <w:p>
      <w:pPr>
        <w:ind w:left="4" w:right="160" w:firstLine="991"/>
        <w:spacing w:after="0" w:line="28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Each Holder hereby agrees that it will not, without the prior written consent of the managing underwriter, during the period commencing on the date of the final prospectus relating to the registration by the Company of its Common Stock or any other equity securities and ending on the date specified by the Company and the managing underwriter (such period not to exceed one hundred eighty</w:t>
      </w:r>
    </w:p>
    <w:p>
      <w:pPr>
        <w:spacing w:after="0" w:line="2" w:lineRule="exact"/>
        <w:rPr>
          <w:sz w:val="20"/>
          <w:szCs w:val="20"/>
          <w:color w:val="auto"/>
        </w:rPr>
      </w:pPr>
    </w:p>
    <w:p>
      <w:pPr>
        <w:ind w:left="4" w:right="60" w:hanging="4"/>
        <w:spacing w:after="0" w:line="284" w:lineRule="auto"/>
        <w:tabs>
          <w:tab w:leader="none" w:pos="43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days in the case of the IPO, (i) lend; offer; pledge; sell; contract to sell; sell any option or contract to purchase; purchase any option or contract to sell; grant any option, right, or warrant to purchase; or otherwise transfer or dispose of, directly or indirectly, any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apply only to the IPO, shall not apply to the sale of any shares to an underwriter pursuant to an underwriting agreement and shall be applicable to the Holders only if all officers and directors are subject to the same restrictions and the Company uses commercially reasonable efforts to obtain a similar agreement from all shareholders individually owning more than one percent (1%) of the Company’s issued Common Stock (after giving effect to conversion into Common Stock of all issued Preferred Stock). The underwriters in connection with such registration are intended third-party beneficiaries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or that are necessary to give further effect thereto. Any discretionary waiver or termination of the restrictions of any or all of such agreements by the Company or the underwriters shall apply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all Company shareholders subject to such agreements, based on the number of shares subject to such agreements.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331" w:name="page332"/>
    <w:bookmarkEnd w:id="33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2.12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sz w:val="20"/>
          <w:szCs w:val="20"/>
          <w:color w:val="auto"/>
        </w:rPr>
      </w:pPr>
    </w:p>
    <w:p>
      <w:pPr>
        <w:ind w:right="60" w:firstLine="1428"/>
        <w:spacing w:after="0" w:line="275" w:lineRule="auto"/>
        <w:tabs>
          <w:tab w:leader="none" w:pos="1677"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176" w:lineRule="exact"/>
        <w:rPr>
          <w:rFonts w:ascii="Arial" w:cs="Arial" w:eastAsia="Arial" w:hAnsi="Arial"/>
          <w:sz w:val="17"/>
          <w:szCs w:val="17"/>
          <w:color w:val="auto"/>
        </w:rPr>
      </w:pPr>
    </w:p>
    <w:p>
      <w:pPr>
        <w:ind w:right="60" w:firstLine="1428"/>
        <w:spacing w:after="0" w:line="259" w:lineRule="auto"/>
        <w:tabs>
          <w:tab w:leader="none" w:pos="168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Each share certificate and entry in the register members of the Company representing (i) the Preferred Stock, (ii) the Registrable Securities, and (iii) any other securities issued in respect of the securities referenced in clauses (i) and (ii), upon any share split, share dividend, recapitalization, merger, consolidation, or similar event, shall (unless otherwise permitted by the provisions of </w:t>
      </w:r>
      <w:r>
        <w:rPr>
          <w:rFonts w:ascii="Arial" w:cs="Arial" w:eastAsia="Arial" w:hAnsi="Arial"/>
          <w:sz w:val="18"/>
          <w:szCs w:val="18"/>
          <w:u w:val="single" w:color="auto"/>
          <w:color w:val="auto"/>
        </w:rPr>
        <w:t>Subsection 2.12(c)</w:t>
      </w:r>
      <w:r>
        <w:rPr>
          <w:rFonts w:ascii="Arial" w:cs="Arial" w:eastAsia="Arial" w:hAnsi="Arial"/>
          <w:sz w:val="18"/>
          <w:szCs w:val="18"/>
          <w:color w:val="auto"/>
        </w:rPr>
        <w:t>) be notated with a legend substantially in the following form:</w:t>
      </w:r>
    </w:p>
    <w:p>
      <w:pPr>
        <w:spacing w:after="0" w:line="79"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79" w:lineRule="exact"/>
        <w:rPr>
          <w:sz w:val="20"/>
          <w:szCs w:val="20"/>
          <w:color w:val="auto"/>
        </w:rPr>
      </w:pPr>
    </w:p>
    <w:p>
      <w:pPr>
        <w:ind w:left="440" w:right="160"/>
        <w:spacing w:after="0" w:line="263"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SHAREHOLDER, A COPY OF WHICH IS ON FILE WITH THE SECRETARY OF THE COMPANY.</w:t>
      </w:r>
    </w:p>
    <w:p>
      <w:pPr>
        <w:spacing w:after="0" w:line="184"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170" w:lineRule="exact"/>
        <w:rPr>
          <w:sz w:val="20"/>
          <w:szCs w:val="20"/>
          <w:color w:val="auto"/>
        </w:rPr>
      </w:pPr>
    </w:p>
    <w:p>
      <w:pPr>
        <w:ind w:firstLine="1428"/>
        <w:spacing w:after="0" w:line="273" w:lineRule="auto"/>
        <w:tabs>
          <w:tab w:leader="none" w:pos="1677"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The holder of such Restricted Securities, by acceptance of ownership thereof, agrees to comply in all respects with the provisions of this </w:t>
      </w:r>
      <w:r>
        <w:rPr>
          <w:rFonts w:ascii="Arial" w:cs="Arial" w:eastAsia="Arial" w:hAnsi="Arial"/>
          <w:sz w:val="17"/>
          <w:szCs w:val="17"/>
          <w:u w:val="single" w:color="auto"/>
          <w:color w:val="auto"/>
        </w:rPr>
        <w:t>Section 2</w:t>
      </w:r>
      <w:r>
        <w:rPr>
          <w:rFonts w:ascii="Arial" w:cs="Arial" w:eastAsia="Arial" w:hAnsi="Arial"/>
          <w:sz w:val="17"/>
          <w:szCs w:val="17"/>
          <w:color w:val="auto"/>
        </w:rPr>
        <w:t>.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332" w:name="page333"/>
    <w:bookmarkEnd w:id="332"/>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transferee agrees in writing to be subject to the terms of this </w:t>
      </w:r>
      <w:r>
        <w:rPr>
          <w:rFonts w:ascii="Arial" w:cs="Arial" w:eastAsia="Arial" w:hAnsi="Arial"/>
          <w:sz w:val="17"/>
          <w:szCs w:val="17"/>
          <w:u w:val="single" w:color="auto"/>
          <w:color w:val="auto"/>
        </w:rPr>
        <w:t>Subsection 2.12</w:t>
      </w:r>
      <w:r>
        <w:rPr>
          <w:rFonts w:ascii="Arial" w:cs="Arial" w:eastAsia="Arial" w:hAnsi="Arial"/>
          <w:sz w:val="17"/>
          <w:szCs w:val="17"/>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Arial" w:cs="Arial" w:eastAsia="Arial" w:hAnsi="Arial"/>
          <w:sz w:val="17"/>
          <w:szCs w:val="17"/>
          <w:u w:val="single" w:color="auto"/>
          <w:color w:val="auto"/>
        </w:rPr>
        <w:t>Subsection 2.12(b)</w:t>
      </w:r>
      <w:r>
        <w:rPr>
          <w:rFonts w:ascii="Arial" w:cs="Arial" w:eastAsia="Arial" w:hAnsi="Arial"/>
          <w:sz w:val="17"/>
          <w:szCs w:val="17"/>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79" w:lineRule="exact"/>
        <w:rPr>
          <w:sz w:val="20"/>
          <w:szCs w:val="20"/>
          <w:color w:val="auto"/>
        </w:rPr>
      </w:pPr>
    </w:p>
    <w:p>
      <w:pPr>
        <w:ind w:left="4" w:right="500" w:firstLine="991"/>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shall terminate upon the earliest to occur of:</w:t>
      </w:r>
    </w:p>
    <w:p>
      <w:pPr>
        <w:spacing w:after="0" w:line="62" w:lineRule="exact"/>
        <w:rPr>
          <w:sz w:val="20"/>
          <w:szCs w:val="20"/>
          <w:color w:val="auto"/>
        </w:rPr>
      </w:pPr>
    </w:p>
    <w:p>
      <w:pPr>
        <w:ind w:left="4" w:right="180" w:firstLine="1428"/>
        <w:spacing w:after="0" w:line="277" w:lineRule="auto"/>
        <w:tabs>
          <w:tab w:leader="none" w:pos="1681"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the Company’s Certificate of Incorporation, as amended from time to time (the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right="60" w:firstLine="1428"/>
        <w:spacing w:after="0" w:line="277" w:lineRule="auto"/>
        <w:tabs>
          <w:tab w:leader="none" w:pos="1691" w:val="left"/>
        </w:tabs>
        <w:numPr>
          <w:ilvl w:val="1"/>
          <w:numId w:val="233"/>
        </w:numPr>
        <w:rPr>
          <w:rFonts w:ascii="Arial" w:cs="Arial" w:eastAsia="Arial" w:hAnsi="Arial"/>
          <w:sz w:val="18"/>
          <w:szCs w:val="18"/>
          <w:color w:val="auto"/>
        </w:rPr>
      </w:pPr>
      <w:r>
        <w:rPr>
          <w:rFonts w:ascii="Arial" w:cs="Arial" w:eastAsia="Arial" w:hAnsi="Arial"/>
          <w:sz w:val="18"/>
          <w:szCs w:val="18"/>
          <w:color w:val="auto"/>
        </w:rPr>
        <w:t>such time as SEC Rule 144 or another similar exemption under the Securities Act is available for the sale of all of such Holder’s shares without limitation during a three-month period without registration; and</w:t>
      </w:r>
    </w:p>
    <w:p>
      <w:pPr>
        <w:spacing w:after="0" w:line="170" w:lineRule="exact"/>
        <w:rPr>
          <w:rFonts w:ascii="Arial" w:cs="Arial" w:eastAsia="Arial" w:hAnsi="Arial"/>
          <w:sz w:val="18"/>
          <w:szCs w:val="18"/>
          <w:color w:val="auto"/>
        </w:rPr>
      </w:pPr>
    </w:p>
    <w:p>
      <w:pPr>
        <w:ind w:left="1684" w:hanging="252"/>
        <w:spacing w:after="0"/>
        <w:tabs>
          <w:tab w:leader="none" w:pos="1684"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fifth anniversary of the Qualified IPO.</w:t>
      </w:r>
    </w:p>
    <w:p>
      <w:pPr>
        <w:spacing w:after="0" w:line="225" w:lineRule="exact"/>
        <w:rPr>
          <w:rFonts w:ascii="Arial" w:cs="Arial" w:eastAsia="Arial" w:hAnsi="Arial"/>
          <w:sz w:val="18"/>
          <w:szCs w:val="18"/>
          <w:color w:val="auto"/>
        </w:rPr>
      </w:pPr>
    </w:p>
    <w:p>
      <w:pPr>
        <w:ind w:left="624" w:hanging="184"/>
        <w:spacing w:after="0"/>
        <w:tabs>
          <w:tab w:leader="none" w:pos="624"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r>
        <w:rPr>
          <w:rFonts w:ascii="Arial" w:cs="Arial" w:eastAsia="Arial" w:hAnsi="Arial"/>
          <w:sz w:val="18"/>
          <w:szCs w:val="18"/>
          <w:color w:val="auto"/>
        </w:rPr>
        <w:t>.</w:t>
      </w:r>
    </w:p>
    <w:p>
      <w:pPr>
        <w:spacing w:after="0" w:line="225"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deliver to each Investor who holds at least 10,000,000 shares of Preferred Stock (a “</w:t>
      </w:r>
      <w:r>
        <w:rPr>
          <w:rFonts w:ascii="Arial" w:cs="Arial" w:eastAsia="Arial" w:hAnsi="Arial"/>
          <w:sz w:val="18"/>
          <w:szCs w:val="18"/>
          <w:u w:val="single" w:color="auto"/>
          <w:color w:val="auto"/>
        </w:rPr>
        <w:t>Qualified Investor</w:t>
      </w:r>
      <w:r>
        <w:rPr>
          <w:rFonts w:ascii="Arial" w:cs="Arial" w:eastAsia="Arial" w:hAnsi="Arial"/>
          <w:sz w:val="18"/>
          <w:szCs w:val="18"/>
          <w:color w:val="auto"/>
        </w:rPr>
        <w:t>”):</w:t>
      </w:r>
    </w:p>
    <w:p>
      <w:pPr>
        <w:spacing w:after="0" w:line="62" w:lineRule="exact"/>
        <w:rPr>
          <w:sz w:val="20"/>
          <w:szCs w:val="20"/>
          <w:color w:val="auto"/>
        </w:rPr>
      </w:pPr>
    </w:p>
    <w:p>
      <w:pPr>
        <w:ind w:left="1684" w:hanging="252"/>
        <w:spacing w:after="0"/>
        <w:tabs>
          <w:tab w:leader="none" w:pos="1684" w:val="left"/>
        </w:tabs>
        <w:numPr>
          <w:ilvl w:val="1"/>
          <w:numId w:val="235"/>
        </w:numPr>
        <w:rPr>
          <w:rFonts w:ascii="Arial" w:cs="Arial" w:eastAsia="Arial" w:hAnsi="Arial"/>
          <w:sz w:val="16"/>
          <w:szCs w:val="16"/>
          <w:color w:val="auto"/>
        </w:rPr>
      </w:pPr>
      <w:r>
        <w:rPr>
          <w:rFonts w:ascii="Arial" w:cs="Arial" w:eastAsia="Arial" w:hAnsi="Arial"/>
          <w:sz w:val="16"/>
          <w:szCs w:val="16"/>
          <w:color w:val="auto"/>
        </w:rPr>
        <w:t>as soon as practicable, but in any event within one hundred twenty (120) days after the end of each fiscal year of the Company</w:t>
      </w:r>
    </w:p>
    <w:p>
      <w:pPr>
        <w:spacing w:after="0" w:line="46" w:lineRule="exact"/>
        <w:rPr>
          <w:rFonts w:ascii="Arial" w:cs="Arial" w:eastAsia="Arial" w:hAnsi="Arial"/>
          <w:sz w:val="16"/>
          <w:szCs w:val="16"/>
          <w:color w:val="auto"/>
        </w:rPr>
      </w:pPr>
    </w:p>
    <w:p>
      <w:pPr>
        <w:ind w:left="4" w:right="400" w:hanging="4"/>
        <w:spacing w:after="0" w:line="260" w:lineRule="auto"/>
        <w:tabs>
          <w:tab w:leader="none" w:pos="21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 unaudited balance sheet as of the end of such year, (ii) unaudited statements of income and of cash flows for such year, and (iii) an unaudited statement of shareholders’ equity as of the end of such year;</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333" w:name="page334"/>
    <w:bookmarkEnd w:id="333"/>
    <w:p>
      <w:pPr>
        <w:ind w:right="40" w:firstLine="1428"/>
        <w:spacing w:after="0" w:line="255" w:lineRule="auto"/>
        <w:tabs>
          <w:tab w:leader="none" w:pos="1687" w:val="left"/>
        </w:tabs>
        <w:numPr>
          <w:ilvl w:val="0"/>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soon as practicable, but in any event within forty-five (45) days after the end of each of the first three (3) quarters of each fiscal year of the Company: (i) unaudited statements of income and cash flows for such fiscal quarter and for the current fiscal year to date; (ii) an unaudited balance sheet and a statement of shareholders’ equity as of the end of such fiscal quarter and for the current fiscal year to date, all prepared in accordance with GAAP (except that such financial statements may (i) be subject to normal year-end audit adjustments; and (ii) not contain all notes thereto that may be required in accordance with GAAP); and (iii) a comparison of the foregoing financial statements against the Budget (as defined below) and a current capitalization table for the Company;</w:t>
      </w:r>
    </w:p>
    <w:p>
      <w:pPr>
        <w:spacing w:after="0" w:line="192" w:lineRule="exact"/>
        <w:rPr>
          <w:rFonts w:ascii="Arial" w:cs="Arial" w:eastAsia="Arial" w:hAnsi="Arial"/>
          <w:sz w:val="18"/>
          <w:szCs w:val="18"/>
          <w:color w:val="auto"/>
        </w:rPr>
      </w:pPr>
    </w:p>
    <w:p>
      <w:pPr>
        <w:ind w:right="40" w:firstLine="1428"/>
        <w:spacing w:after="0" w:line="254" w:lineRule="auto"/>
        <w:tabs>
          <w:tab w:leader="none" w:pos="167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at such time as the Company delivers the financial statements required under </w:t>
      </w:r>
      <w:r>
        <w:rPr>
          <w:rFonts w:ascii="Arial" w:cs="Arial" w:eastAsia="Arial" w:hAnsi="Arial"/>
          <w:sz w:val="18"/>
          <w:szCs w:val="18"/>
          <w:u w:val="single" w:color="auto"/>
          <w:color w:val="auto"/>
        </w:rPr>
        <w:t>Sections 3.1(a)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3.1(b)</w:t>
      </w:r>
      <w:r>
        <w:rPr>
          <w:rFonts w:ascii="Arial" w:cs="Arial" w:eastAsia="Arial" w:hAnsi="Arial"/>
          <w:sz w:val="18"/>
          <w:szCs w:val="18"/>
          <w:color w:val="auto"/>
        </w:rPr>
        <w:t>, a statement showing, as of the end of the period for such financial statement,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Qualified Investors to calculate their respective percentage equity ownership in the Company, and certified by the chief financial officer or chief executive officer of the Company as being true, complete, and correct;</w:t>
      </w:r>
    </w:p>
    <w:p>
      <w:pPr>
        <w:spacing w:after="0" w:line="194" w:lineRule="exact"/>
        <w:rPr>
          <w:rFonts w:ascii="Arial" w:cs="Arial" w:eastAsia="Arial" w:hAnsi="Arial"/>
          <w:sz w:val="18"/>
          <w:szCs w:val="18"/>
          <w:color w:val="auto"/>
        </w:rPr>
      </w:pPr>
    </w:p>
    <w:p>
      <w:pPr>
        <w:ind w:firstLine="1428"/>
        <w:spacing w:after="0" w:line="311" w:lineRule="auto"/>
        <w:tabs>
          <w:tab w:leader="none" w:pos="1687"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as soon as practicable, but in any event thirty (30) days before the end of each fiscal year, a budget and business plan for the next fiscal year (collectively, the “</w:t>
      </w:r>
      <w:r>
        <w:rPr>
          <w:rFonts w:ascii="Arial" w:cs="Arial" w:eastAsia="Arial" w:hAnsi="Arial"/>
          <w:sz w:val="16"/>
          <w:szCs w:val="16"/>
          <w:b w:val="1"/>
          <w:bCs w:val="1"/>
          <w:color w:val="auto"/>
        </w:rPr>
        <w:t>Budget</w:t>
      </w:r>
      <w:r>
        <w:rPr>
          <w:rFonts w:ascii="Arial" w:cs="Arial" w:eastAsia="Arial" w:hAnsi="Arial"/>
          <w:sz w:val="16"/>
          <w:szCs w:val="16"/>
          <w:color w:val="auto"/>
        </w:rPr>
        <w:t>”), approved by the Board of Directors and prepared on a monthly basis, including balance sheets, income statements, and statements of cash flow for such months and, promptly after prepared, any other budgets or revised budgets prepared by the Company;</w:t>
      </w:r>
    </w:p>
    <w:p>
      <w:pPr>
        <w:spacing w:after="0" w:line="148" w:lineRule="exact"/>
        <w:rPr>
          <w:rFonts w:ascii="Arial" w:cs="Arial" w:eastAsia="Arial" w:hAnsi="Arial"/>
          <w:sz w:val="16"/>
          <w:szCs w:val="16"/>
          <w:color w:val="auto"/>
        </w:rPr>
      </w:pPr>
    </w:p>
    <w:p>
      <w:pPr>
        <w:ind w:right="40" w:firstLine="1428"/>
        <w:spacing w:after="0" w:line="279" w:lineRule="auto"/>
        <w:tabs>
          <w:tab w:leader="none" w:pos="1677" w:val="left"/>
        </w:tabs>
        <w:numPr>
          <w:ilvl w:val="0"/>
          <w:numId w:val="237"/>
        </w:numPr>
        <w:rPr>
          <w:rFonts w:ascii="Arial" w:cs="Arial" w:eastAsia="Arial" w:hAnsi="Arial"/>
          <w:sz w:val="17"/>
          <w:szCs w:val="17"/>
          <w:color w:val="auto"/>
        </w:rPr>
      </w:pPr>
      <w:r>
        <w:rPr>
          <w:rFonts w:ascii="Arial" w:cs="Arial" w:eastAsia="Arial" w:hAnsi="Arial"/>
          <w:sz w:val="17"/>
          <w:szCs w:val="17"/>
          <w:color w:val="auto"/>
        </w:rPr>
        <w:t xml:space="preserve">with respect to the financial statements called for in </w:t>
      </w:r>
      <w:r>
        <w:rPr>
          <w:rFonts w:ascii="Arial" w:cs="Arial" w:eastAsia="Arial" w:hAnsi="Arial"/>
          <w:sz w:val="17"/>
          <w:szCs w:val="17"/>
          <w:u w:val="single" w:color="auto"/>
          <w:color w:val="auto"/>
        </w:rPr>
        <w:t>Subsection 3.1(a)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Subsection 3.1(b)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3.1(c)</w:t>
      </w:r>
      <w:r>
        <w:rPr>
          <w:rFonts w:ascii="Arial" w:cs="Arial" w:eastAsia="Arial" w:hAnsi="Arial"/>
          <w:sz w:val="17"/>
          <w:szCs w:val="17"/>
          <w:color w:val="auto"/>
        </w:rPr>
        <w:t xml:space="preserve">, an instrument executed by the chief financial officer and chief executive officer of the Company certifying that such financial statements were prepared in accordance with GAAP consistently applied with prior practice for earlier periods (except as otherwise set forth in </w:t>
      </w:r>
      <w:r>
        <w:rPr>
          <w:rFonts w:ascii="Arial" w:cs="Arial" w:eastAsia="Arial" w:hAnsi="Arial"/>
          <w:sz w:val="17"/>
          <w:szCs w:val="17"/>
          <w:u w:val="single" w:color="auto"/>
          <w:color w:val="auto"/>
        </w:rPr>
        <w:t>Subsection 3.1(b)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3.1(d)</w:t>
      </w:r>
      <w:r>
        <w:rPr>
          <w:rFonts w:ascii="Arial" w:cs="Arial" w:eastAsia="Arial" w:hAnsi="Arial"/>
          <w:sz w:val="17"/>
          <w:szCs w:val="17"/>
          <w:color w:val="auto"/>
        </w:rPr>
        <w:t>) and fairly present the financial condition of the Company and its results of operation for the periods specified therein;</w:t>
      </w:r>
    </w:p>
    <w:p>
      <w:pPr>
        <w:spacing w:after="0" w:line="171" w:lineRule="exact"/>
        <w:rPr>
          <w:rFonts w:ascii="Arial" w:cs="Arial" w:eastAsia="Arial" w:hAnsi="Arial"/>
          <w:sz w:val="17"/>
          <w:szCs w:val="17"/>
          <w:color w:val="auto"/>
        </w:rPr>
      </w:pPr>
    </w:p>
    <w:p>
      <w:pPr>
        <w:ind w:right="140" w:firstLine="1428"/>
        <w:spacing w:after="0" w:line="257" w:lineRule="auto"/>
        <w:tabs>
          <w:tab w:leader="none" w:pos="165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such other information relating to the financial condition, business, prospects, or corporate affairs of the Company as any Qualified Investor may from time to time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under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188"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334" w:name="page335"/>
    <w:bookmarkEnd w:id="334"/>
    <w:p>
      <w:pPr>
        <w:ind w:right="14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Notwithstanding anything else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during the period starting with the date thirty (30)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covenants under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188" w:lineRule="exact"/>
        <w:rPr>
          <w:sz w:val="20"/>
          <w:szCs w:val="20"/>
          <w:color w:val="auto"/>
        </w:rPr>
      </w:pPr>
    </w:p>
    <w:p>
      <w:pPr>
        <w:ind w:right="280" w:firstLine="991"/>
        <w:spacing w:after="0" w:line="273"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Inspection</w:t>
      </w:r>
      <w:r>
        <w:rPr>
          <w:rFonts w:ascii="Arial" w:cs="Arial" w:eastAsia="Arial" w:hAnsi="Arial"/>
          <w:sz w:val="17"/>
          <w:szCs w:val="17"/>
          <w:color w:val="auto"/>
        </w:rPr>
        <w:t xml:space="preserve">. The Company shall permit each Qualified Investor, at such Qualified Investor’s expense, to visit and inspect the Company’s properties; examine its books of account and records; and discuss the Company’s affairs, finances, and accounts with its officers, during normal business hours of the Company as may be reasonably requested by the Qualified Investor;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obligated pursuant to this </w:t>
      </w:r>
      <w:r>
        <w:rPr>
          <w:rFonts w:ascii="Arial" w:cs="Arial" w:eastAsia="Arial" w:hAnsi="Arial"/>
          <w:sz w:val="17"/>
          <w:szCs w:val="17"/>
          <w:u w:val="single" w:color="auto"/>
          <w:color w:val="auto"/>
        </w:rPr>
        <w:t>Subsection 3.2</w:t>
      </w:r>
      <w:r>
        <w:rPr>
          <w:rFonts w:ascii="Arial" w:cs="Arial" w:eastAsia="Arial" w:hAnsi="Arial"/>
          <w:sz w:val="17"/>
          <w:szCs w:val="17"/>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78"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Termination of Information</w:t>
      </w:r>
      <w:r>
        <w:rPr>
          <w:rFonts w:ascii="Arial" w:cs="Arial" w:eastAsia="Arial" w:hAnsi="Arial"/>
          <w:sz w:val="17"/>
          <w:szCs w:val="17"/>
          <w:color w:val="auto"/>
        </w:rPr>
        <w:t xml:space="preserve">. The covenants set forth in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3.2</w:t>
      </w:r>
      <w:r>
        <w:rPr>
          <w:rFonts w:ascii="Arial" w:cs="Arial" w:eastAsia="Arial" w:hAnsi="Arial"/>
          <w:sz w:val="17"/>
          <w:szCs w:val="17"/>
          <w:color w:val="auto"/>
        </w:rPr>
        <w:t xml:space="preserve"> shall terminate and be of no further force or effect (i) immediately before the consummation of the IPO, (ii) when the Company first becomes subject to the periodic reporting requirements of Section 12(g) or 15(d) of the Exchange Act or (iii) upon the consummation of any voluntary or involuntary liquidations, dissolution or winding up of the Company or Deemed Liquidation Event (as defined in the Certificate of Incorporation), whichever event occurs first.</w:t>
      </w:r>
    </w:p>
    <w:p>
      <w:pPr>
        <w:spacing w:after="0" w:line="171" w:lineRule="exact"/>
        <w:rPr>
          <w:sz w:val="20"/>
          <w:szCs w:val="20"/>
          <w:color w:val="auto"/>
        </w:rPr>
      </w:pPr>
    </w:p>
    <w:p>
      <w:pPr>
        <w:ind w:right="100" w:firstLine="991"/>
        <w:spacing w:after="0" w:line="268"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Investor severally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7"/>
          <w:szCs w:val="17"/>
          <w:u w:val="single" w:color="auto"/>
          <w:color w:val="auto"/>
        </w:rPr>
        <w:t>Subsection 3.4</w:t>
      </w:r>
      <w:r>
        <w:rPr>
          <w:rFonts w:ascii="Arial" w:cs="Arial" w:eastAsia="Arial" w:hAnsi="Arial"/>
          <w:sz w:val="17"/>
          <w:szCs w:val="17"/>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7"/>
          <w:szCs w:val="17"/>
          <w:u w:val="single" w:color="auto"/>
          <w:color w:val="auto"/>
        </w:rPr>
        <w:t>Subsection 3.4</w:t>
      </w:r>
      <w:r>
        <w:rPr>
          <w:rFonts w:ascii="Arial" w:cs="Arial" w:eastAsia="Arial" w:hAnsi="Arial"/>
          <w:sz w:val="17"/>
          <w:szCs w:val="17"/>
          <w:color w:val="auto"/>
        </w:rPr>
        <w:t xml:space="preserve">; (iii) to any existing or prospective Affiliate, partner, member, shareholder, or wholly owned subsidiary of such Investor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Investor informs such Person that such information is confidential and directs such Person to maintain the confidentiality of such information; or (iv) as may otherwise be required by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Investor promptly notifies the Company of such disclosure and takes reasonable steps to minimize the extent of any such required disclosure.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35" w:name="page336"/>
    <w:bookmarkEnd w:id="335"/>
    <w:p>
      <w:pPr>
        <w:ind w:left="980" w:right="7980" w:hanging="544"/>
        <w:spacing w:after="0" w:line="601" w:lineRule="auto"/>
        <w:tabs>
          <w:tab w:leader="none" w:pos="609" w:val="left"/>
        </w:tabs>
        <w:numPr>
          <w:ilvl w:val="0"/>
          <w:numId w:val="23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Rights to Future Share Issuances</w:t>
      </w:r>
      <w:r>
        <w:rPr>
          <w:rFonts w:ascii="Arial" w:cs="Arial" w:eastAsia="Arial" w:hAnsi="Arial"/>
          <w:sz w:val="15"/>
          <w:szCs w:val="15"/>
          <w:color w:val="auto"/>
        </w:rPr>
        <w:t xml:space="preserve">. 4.1 </w:t>
      </w:r>
      <w:r>
        <w:rPr>
          <w:rFonts w:ascii="Arial" w:cs="Arial" w:eastAsia="Arial" w:hAnsi="Arial"/>
          <w:sz w:val="15"/>
          <w:szCs w:val="15"/>
          <w:u w:val="single" w:color="auto"/>
          <w:color w:val="auto"/>
        </w:rPr>
        <w:t>Right of First Offer</w:t>
      </w:r>
      <w:r>
        <w:rPr>
          <w:rFonts w:ascii="Arial" w:cs="Arial" w:eastAsia="Arial" w:hAnsi="Arial"/>
          <w:sz w:val="15"/>
          <w:szCs w:val="15"/>
          <w:color w:val="auto"/>
        </w:rPr>
        <w:t>.</w:t>
      </w:r>
    </w:p>
    <w:p>
      <w:pPr>
        <w:ind w:right="40" w:firstLine="1428"/>
        <w:spacing w:after="0" w:line="257" w:lineRule="auto"/>
        <w:tabs>
          <w:tab w:leader="none" w:pos="1677" w:val="left"/>
        </w:tabs>
        <w:numPr>
          <w:ilvl w:val="1"/>
          <w:numId w:val="238"/>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and applicable securities laws, if the Company proposes to offer or sell any New Securities, the Company shall first offer such New Securities to each Investor. An Investor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Investor (“</w:t>
      </w:r>
      <w:r>
        <w:rPr>
          <w:rFonts w:ascii="Arial" w:cs="Arial" w:eastAsia="Arial" w:hAnsi="Arial"/>
          <w:sz w:val="18"/>
          <w:szCs w:val="18"/>
          <w:b w:val="1"/>
          <w:bCs w:val="1"/>
          <w:color w:val="auto"/>
        </w:rPr>
        <w:t>Investor Beneficial Owners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680" w:hanging="252"/>
        <w:spacing w:after="0"/>
        <w:tabs>
          <w:tab w:leader="none" w:pos="168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Company shall give written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Investor, stating:</w:t>
      </w:r>
    </w:p>
    <w:p>
      <w:pPr>
        <w:spacing w:after="0" w:line="121" w:lineRule="exact"/>
        <w:rPr>
          <w:rFonts w:ascii="Arial" w:cs="Arial" w:eastAsia="Arial" w:hAnsi="Arial"/>
          <w:sz w:val="18"/>
          <w:szCs w:val="18"/>
          <w:color w:val="auto"/>
        </w:rPr>
      </w:pPr>
    </w:p>
    <w:p>
      <w:pPr>
        <w:ind w:left="2200" w:hanging="221"/>
        <w:spacing w:after="0"/>
        <w:tabs>
          <w:tab w:leader="none" w:pos="220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its bona fide intention to offer such New Securities;</w:t>
      </w:r>
    </w:p>
    <w:p>
      <w:pPr>
        <w:spacing w:after="0" w:line="225" w:lineRule="exact"/>
        <w:rPr>
          <w:rFonts w:ascii="Arial" w:cs="Arial" w:eastAsia="Arial" w:hAnsi="Arial"/>
          <w:sz w:val="18"/>
          <w:szCs w:val="18"/>
          <w:color w:val="auto"/>
        </w:rPr>
      </w:pPr>
    </w:p>
    <w:p>
      <w:pPr>
        <w:ind w:left="2240" w:hanging="261"/>
        <w:spacing w:after="0"/>
        <w:tabs>
          <w:tab w:leader="none" w:pos="224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the number of such New Securities to be offered;</w:t>
      </w:r>
    </w:p>
    <w:p>
      <w:pPr>
        <w:spacing w:after="0" w:line="225" w:lineRule="exact"/>
        <w:rPr>
          <w:rFonts w:ascii="Arial" w:cs="Arial" w:eastAsia="Arial" w:hAnsi="Arial"/>
          <w:sz w:val="18"/>
          <w:szCs w:val="18"/>
          <w:color w:val="auto"/>
        </w:rPr>
      </w:pPr>
    </w:p>
    <w:p>
      <w:pPr>
        <w:ind w:left="2300" w:hanging="321"/>
        <w:spacing w:after="0"/>
        <w:tabs>
          <w:tab w:leader="none" w:pos="230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the price and terms, if any, upon which it proposes to offer such New Securities; and</w:t>
      </w:r>
    </w:p>
    <w:p>
      <w:pPr>
        <w:spacing w:after="0" w:line="225" w:lineRule="exact"/>
        <w:rPr>
          <w:rFonts w:ascii="Arial" w:cs="Arial" w:eastAsia="Arial" w:hAnsi="Arial"/>
          <w:sz w:val="18"/>
          <w:szCs w:val="18"/>
          <w:color w:val="auto"/>
        </w:rPr>
      </w:pPr>
    </w:p>
    <w:p>
      <w:pPr>
        <w:ind w:right="80" w:firstLine="1979"/>
        <w:spacing w:after="0" w:line="277" w:lineRule="auto"/>
        <w:tabs>
          <w:tab w:leader="none" w:pos="2288" w:val="left"/>
        </w:tabs>
        <w:numPr>
          <w:ilvl w:val="2"/>
          <w:numId w:val="238"/>
        </w:numPr>
        <w:rPr>
          <w:rFonts w:ascii="Arial" w:cs="Arial" w:eastAsia="Arial" w:hAnsi="Arial"/>
          <w:sz w:val="18"/>
          <w:szCs w:val="18"/>
          <w:color w:val="auto"/>
        </w:rPr>
      </w:pPr>
      <w:r>
        <w:rPr>
          <w:rFonts w:ascii="Arial" w:cs="Arial" w:eastAsia="Arial" w:hAnsi="Arial"/>
          <w:sz w:val="18"/>
          <w:szCs w:val="18"/>
          <w:color w:val="auto"/>
        </w:rPr>
        <w:t>such other documents and information as the Investors may reasonably request for the purpose of making an investment decision or verifying the number of shares it is entitled to purchase in such offering.</w:t>
      </w:r>
    </w:p>
    <w:p>
      <w:pPr>
        <w:spacing w:after="0" w:line="170" w:lineRule="exact"/>
        <w:rPr>
          <w:rFonts w:ascii="Arial" w:cs="Arial" w:eastAsia="Arial" w:hAnsi="Arial"/>
          <w:sz w:val="18"/>
          <w:szCs w:val="18"/>
          <w:color w:val="auto"/>
        </w:rPr>
      </w:pPr>
    </w:p>
    <w:p>
      <w:pPr>
        <w:ind w:firstLine="1428"/>
        <w:spacing w:after="0" w:line="269" w:lineRule="auto"/>
        <w:tabs>
          <w:tab w:leader="none" w:pos="1677" w:val="left"/>
        </w:tabs>
        <w:numPr>
          <w:ilvl w:val="1"/>
          <w:numId w:val="238"/>
        </w:numPr>
        <w:rPr>
          <w:rFonts w:ascii="Arial" w:cs="Arial" w:eastAsia="Arial" w:hAnsi="Arial"/>
          <w:sz w:val="17"/>
          <w:szCs w:val="17"/>
          <w:color w:val="auto"/>
        </w:rPr>
      </w:pPr>
      <w:r>
        <w:rPr>
          <w:rFonts w:ascii="Arial" w:cs="Arial" w:eastAsia="Arial" w:hAnsi="Arial"/>
          <w:sz w:val="17"/>
          <w:szCs w:val="17"/>
          <w:color w:val="auto"/>
        </w:rPr>
        <w:t xml:space="preserve">By written notification to the Company within fifteen (15) days after the Offer Notice is given, each Investor may elect to purchase or otherwise acquire, at the price and on the terms specified in the Offer Notice, up to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such New Securities. At the expiration of such fifteen (15) day period, the Company shall promptly notify each Investor that elects to purchase or acquire all the shares available to it (each, a “</w:t>
      </w:r>
      <w:r>
        <w:rPr>
          <w:rFonts w:ascii="Arial" w:cs="Arial" w:eastAsia="Arial" w:hAnsi="Arial"/>
          <w:sz w:val="17"/>
          <w:szCs w:val="17"/>
          <w:b w:val="1"/>
          <w:bCs w:val="1"/>
          <w:color w:val="auto"/>
        </w:rPr>
        <w:t>Fully Exercising Investor</w:t>
      </w:r>
      <w:r>
        <w:rPr>
          <w:rFonts w:ascii="Arial" w:cs="Arial" w:eastAsia="Arial" w:hAnsi="Arial"/>
          <w:sz w:val="17"/>
          <w:szCs w:val="17"/>
          <w:color w:val="auto"/>
        </w:rPr>
        <w:t xml:space="preserve">”) of any other holder’s failure to do likewise. During the ten (10) day period commencing after the Company has given such notice, each Fully Exercising Investor may, by giving notice to the Company, elect to purchase or acquire, in addition to the number of shares specified above,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non-purchasing Investors’ portion. An Investor’s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for purposes of this right of first offer, is equal to the ratio of (i) the number of shares of Common Stock (assuming full conversion of the Preferred Stock into Common Stock but excluding any Common Stock issuable upon exercise or conversion of Derivative Securities (other than Preferred Stock)) owned by such Investor immediately prior to the issuance of New Securities to (ii) the total number of shares of Common Stock outstanding immediately prior to the issuance of New Securities (assuming full conversion of the Preferred Stock into Common Stock but excluding any Common Stock issuable upon exercise or conversion of Derivative Securities (other than Preferred Stock)). The closing of any sale pursuant to this </w:t>
      </w:r>
      <w:r>
        <w:rPr>
          <w:rFonts w:ascii="Arial" w:cs="Arial" w:eastAsia="Arial" w:hAnsi="Arial"/>
          <w:sz w:val="17"/>
          <w:szCs w:val="17"/>
          <w:u w:val="single" w:color="auto"/>
          <w:color w:val="auto"/>
        </w:rPr>
        <w:t>Subsection 4.1(c)</w:t>
      </w:r>
      <w:r>
        <w:rPr>
          <w:rFonts w:ascii="Arial" w:cs="Arial" w:eastAsia="Arial" w:hAnsi="Arial"/>
          <w:sz w:val="17"/>
          <w:szCs w:val="17"/>
          <w:color w:val="auto"/>
        </w:rPr>
        <w:t xml:space="preserve"> shall occur within ninety (90) days of the date that the Offer Notice is given.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36" w:name="page337"/>
    <w:bookmarkEnd w:id="336"/>
    <w:p>
      <w:pPr>
        <w:ind w:right="40" w:firstLine="1428"/>
        <w:spacing w:after="0" w:line="273" w:lineRule="auto"/>
        <w:tabs>
          <w:tab w:leader="none" w:pos="1687" w:val="left"/>
        </w:tabs>
        <w:numPr>
          <w:ilvl w:val="0"/>
          <w:numId w:val="2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If all New Securities referred to in the Offer Notice are not elected to be purchased or acquired as provided in </w:t>
      </w:r>
      <w:r>
        <w:rPr>
          <w:rFonts w:ascii="Arial" w:cs="Arial" w:eastAsia="Arial" w:hAnsi="Arial"/>
          <w:sz w:val="17"/>
          <w:szCs w:val="17"/>
          <w:u w:val="single" w:color="auto"/>
          <w:color w:val="auto"/>
        </w:rPr>
        <w:t>Subsection 4.1(c)</w:t>
      </w:r>
      <w:r>
        <w:rPr>
          <w:rFonts w:ascii="Arial" w:cs="Arial" w:eastAsia="Arial" w:hAnsi="Arial"/>
          <w:sz w:val="17"/>
          <w:szCs w:val="17"/>
          <w:color w:val="auto"/>
        </w:rPr>
        <w:t xml:space="preserve">, the Company may, during the ninety (90) day period following the expiration of the periods provided in </w:t>
      </w:r>
      <w:r>
        <w:rPr>
          <w:rFonts w:ascii="Arial" w:cs="Arial" w:eastAsia="Arial" w:hAnsi="Arial"/>
          <w:sz w:val="17"/>
          <w:szCs w:val="17"/>
          <w:u w:val="single" w:color="auto"/>
          <w:color w:val="auto"/>
        </w:rPr>
        <w:t>Subsection 4.1(c)</w:t>
      </w:r>
      <w:r>
        <w:rPr>
          <w:rFonts w:ascii="Arial" w:cs="Arial" w:eastAsia="Arial" w:hAnsi="Arial"/>
          <w:sz w:val="17"/>
          <w:szCs w:val="17"/>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Investors in accordance with this </w:t>
      </w:r>
      <w:r>
        <w:rPr>
          <w:rFonts w:ascii="Arial" w:cs="Arial" w:eastAsia="Arial" w:hAnsi="Arial"/>
          <w:sz w:val="17"/>
          <w:szCs w:val="17"/>
          <w:u w:val="single" w:color="auto"/>
          <w:color w:val="auto"/>
        </w:rPr>
        <w:t>Subsection 4.1</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100" w:firstLine="1428"/>
        <w:spacing w:after="0" w:line="263" w:lineRule="auto"/>
        <w:tabs>
          <w:tab w:leader="none" w:pos="167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not be applicable to (i) Exempted Securities (as such term is defined in the Certificate of Incorporation); and (ii) the issuance of Common Stock and Preferred Stock in the Reorganization pursuant to that certain Stock Purchase Agreement dated as of the date hereof.</w:t>
      </w:r>
    </w:p>
    <w:p>
      <w:pPr>
        <w:spacing w:after="0" w:line="183" w:lineRule="exact"/>
        <w:rPr>
          <w:rFonts w:ascii="Arial" w:cs="Arial" w:eastAsia="Arial" w:hAnsi="Arial"/>
          <w:sz w:val="18"/>
          <w:szCs w:val="18"/>
          <w:color w:val="auto"/>
        </w:rPr>
      </w:pPr>
    </w:p>
    <w:p>
      <w:pPr>
        <w:ind w:right="360" w:firstLine="1428"/>
        <w:spacing w:after="0" w:line="301" w:lineRule="auto"/>
        <w:tabs>
          <w:tab w:leader="none" w:pos="1657"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The right of first offer set forth in this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shall terminate with respect to any Investor who fails to purchase in an offering of New Securities subject to this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at least twenty-five percent (25%) of such holder’s pro rata amount of the New Securities allocated (or, if less than such holder’s pro rata amount is offered by the Company, such lesser amount so offered) to such holder pursuant to this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Following any such termination, such Investor shall no longer be deemed an Investor for any purpose of this </w:t>
      </w:r>
      <w:r>
        <w:rPr>
          <w:rFonts w:ascii="Arial" w:cs="Arial" w:eastAsia="Arial" w:hAnsi="Arial"/>
          <w:sz w:val="16"/>
          <w:szCs w:val="16"/>
          <w:u w:val="single" w:color="auto"/>
          <w:color w:val="auto"/>
        </w:rPr>
        <w:t>Subsection 4.1</w:t>
      </w:r>
      <w:r>
        <w:rPr>
          <w:rFonts w:ascii="Arial" w:cs="Arial" w:eastAsia="Arial" w:hAnsi="Arial"/>
          <w:sz w:val="16"/>
          <w:szCs w:val="16"/>
          <w:color w:val="auto"/>
        </w:rPr>
        <w:t>.</w:t>
      </w:r>
    </w:p>
    <w:p>
      <w:pPr>
        <w:spacing w:after="0" w:line="157"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The covenants set forth in </w:t>
      </w:r>
      <w:r>
        <w:rPr>
          <w:rFonts w:ascii="Arial" w:cs="Arial" w:eastAsia="Arial" w:hAnsi="Arial"/>
          <w:sz w:val="17"/>
          <w:szCs w:val="17"/>
          <w:u w:val="single" w:color="auto"/>
          <w:color w:val="auto"/>
        </w:rPr>
        <w:t>Subsection 4.1</w:t>
      </w:r>
      <w:r>
        <w:rPr>
          <w:rFonts w:ascii="Arial" w:cs="Arial" w:eastAsia="Arial" w:hAnsi="Arial"/>
          <w:sz w:val="17"/>
          <w:szCs w:val="17"/>
          <w:color w:val="auto"/>
        </w:rPr>
        <w:t xml:space="preserve"> shall terminate and be of no further force or effect: (i) immediately prior to the consummation of the IPO; (ii) upon the conversion of all Preferred Stock into Common Stock; or (iii) upon the consummation of any voluntary or involuntary liquidations, dissolution or winding up of the Company or Deemed Liquidation Event (as defined in the Certificate of Incorporation); provided that for the purpose of subpart (iii) if the Company, together with its Affiliates, has annual worldwide gross sales of prescription pharmaceutical products of at least one billion dollars ($1,000,000,000) as reported on their most recent financial statements, such Deemed Liquidation Event must include the part of the Company’s business that exercises all rights granted under the Stanford License.</w:t>
      </w:r>
    </w:p>
    <w:p>
      <w:pPr>
        <w:spacing w:after="0" w:line="178" w:lineRule="exact"/>
        <w:rPr>
          <w:sz w:val="20"/>
          <w:szCs w:val="20"/>
          <w:color w:val="auto"/>
        </w:rPr>
      </w:pPr>
    </w:p>
    <w:p>
      <w:pPr>
        <w:ind w:left="620" w:hanging="184"/>
        <w:spacing w:after="0"/>
        <w:tabs>
          <w:tab w:leader="none" w:pos="62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Insurance</w:t>
      </w:r>
      <w:r>
        <w:rPr>
          <w:rFonts w:ascii="Arial" w:cs="Arial" w:eastAsia="Arial" w:hAnsi="Arial"/>
          <w:sz w:val="17"/>
          <w:szCs w:val="17"/>
          <w:color w:val="auto"/>
        </w:rPr>
        <w:t>. The Company will purchase, within ninety (90) days of the date hereof, and maintain in full force and effect from financially sound and reputable insurers (a) key-man life insurance upon the life of the Company’s CEO in the amount of $1,000,000 with the Company named as beneficiary thereunder, and (b) director and officers liability insurance with coverage limits that are customary for similarly situated companies and upon terms acceptable to the Board of Directors, including a majority of the Preferred Directors. The Company shall not discontinue such insurance policies without the approval of the Board of Directors, including the approval of a majority of the Preferred Directors.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337" w:name="page338"/>
    <w:bookmarkEnd w:id="337"/>
    <w:p>
      <w:pPr>
        <w:ind w:right="6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5.2 </w:t>
      </w:r>
      <w:r>
        <w:rPr>
          <w:rFonts w:ascii="Arial" w:cs="Arial" w:eastAsia="Arial" w:hAnsi="Arial"/>
          <w:sz w:val="18"/>
          <w:szCs w:val="18"/>
          <w:u w:val="single" w:color="auto"/>
          <w:color w:val="auto"/>
        </w:rPr>
        <w:t>Employee Agreements</w:t>
      </w:r>
      <w:r>
        <w:rPr>
          <w:rFonts w:ascii="Arial" w:cs="Arial" w:eastAsia="Arial" w:hAnsi="Arial"/>
          <w:sz w:val="18"/>
          <w:szCs w:val="18"/>
          <w:color w:val="auto"/>
        </w:rPr>
        <w:t>. The Company will cause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In addition, the Company shall not amend, modify, terminate, waive, or otherwise alter, in whole or in part, any of the above-referenced agreements or any restricted share agreement between the Company and any employee, without the consent of a majority of the Preferred Directors.</w:t>
      </w:r>
    </w:p>
    <w:p>
      <w:pPr>
        <w:spacing w:after="0" w:line="188" w:lineRule="exact"/>
        <w:rPr>
          <w:sz w:val="20"/>
          <w:szCs w:val="20"/>
          <w:color w:val="auto"/>
        </w:rPr>
      </w:pPr>
    </w:p>
    <w:p>
      <w:pPr>
        <w:ind w:right="80" w:firstLine="991"/>
        <w:spacing w:after="0" w:line="27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Employee Shares</w:t>
      </w:r>
      <w:r>
        <w:rPr>
          <w:rFonts w:ascii="Arial" w:cs="Arial" w:eastAsia="Arial" w:hAnsi="Arial"/>
          <w:sz w:val="17"/>
          <w:szCs w:val="17"/>
          <w:color w:val="auto"/>
        </w:rPr>
        <w:t>. Unless otherwise approved by the Board of Directors, including a majority of the Preferred Directors, all future employees and consultants of the Company who purchase, receive options to purchase, or receive awards of shares of the Company’s capital stock after the date hereof shall be required to execute restricted share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Subsection 2.11. In addition, unless otherwise approved by the Board of Directors, including a majority of the Preferred Directors, the Company shall retain a “right of first refusal” on employee transfers until the Company’s IPO and shall have the right to repurchase unvested shares at par value upon termination of employment of a holder of restricted shares.</w:t>
      </w:r>
    </w:p>
    <w:p>
      <w:pPr>
        <w:spacing w:after="0" w:line="178" w:lineRule="exact"/>
        <w:rPr>
          <w:sz w:val="20"/>
          <w:szCs w:val="20"/>
          <w:color w:val="auto"/>
        </w:rPr>
      </w:pPr>
    </w:p>
    <w:p>
      <w:pPr>
        <w:ind w:right="380" w:firstLine="991"/>
        <w:spacing w:after="0" w:line="286"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Matters Requiring Preferred Director Approval</w:t>
      </w:r>
      <w:r>
        <w:rPr>
          <w:rFonts w:ascii="Arial" w:cs="Arial" w:eastAsia="Arial" w:hAnsi="Arial"/>
          <w:sz w:val="17"/>
          <w:szCs w:val="17"/>
          <w:color w:val="auto"/>
        </w:rPr>
        <w:t>. So long as the holders of Preferred Stock are entitled to designate at least one Preferred Director pursuant to the Voting Agreement, the Company hereby covenants and agrees with each of the Investors that it shall not, without approval of the Board of Directors, which approval must include the affirmative vote of the majority of the Preferred Directors:</w:t>
      </w:r>
    </w:p>
    <w:p>
      <w:pPr>
        <w:spacing w:after="0" w:line="57" w:lineRule="exact"/>
        <w:rPr>
          <w:sz w:val="20"/>
          <w:szCs w:val="20"/>
          <w:color w:val="auto"/>
        </w:rPr>
      </w:pPr>
    </w:p>
    <w:p>
      <w:pPr>
        <w:ind w:left="1680" w:hanging="252"/>
        <w:spacing w:after="0"/>
        <w:tabs>
          <w:tab w:leader="none" w:pos="16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authorize, create, incur any obligation to issue or issue any shares of any class or series of stock of the Company;</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effect a liquidation of the Company or effect a Deemed Liquidation Event;</w:t>
      </w:r>
    </w:p>
    <w:p>
      <w:pPr>
        <w:spacing w:after="0" w:line="225" w:lineRule="exact"/>
        <w:rPr>
          <w:rFonts w:ascii="Arial" w:cs="Arial" w:eastAsia="Arial" w:hAnsi="Arial"/>
          <w:sz w:val="18"/>
          <w:szCs w:val="18"/>
          <w:color w:val="auto"/>
        </w:rPr>
      </w:pPr>
    </w:p>
    <w:p>
      <w:pPr>
        <w:ind w:right="100" w:firstLine="1428"/>
        <w:spacing w:after="0" w:line="286" w:lineRule="auto"/>
        <w:tabs>
          <w:tab w:leader="none" w:pos="1677" w:val="left"/>
        </w:tabs>
        <w:numPr>
          <w:ilvl w:val="0"/>
          <w:numId w:val="241"/>
        </w:numPr>
        <w:rPr>
          <w:rFonts w:ascii="Arial" w:cs="Arial" w:eastAsia="Arial" w:hAnsi="Arial"/>
          <w:sz w:val="17"/>
          <w:szCs w:val="17"/>
          <w:color w:val="auto"/>
        </w:rPr>
      </w:pPr>
      <w:r>
        <w:rPr>
          <w:rFonts w:ascii="Arial" w:cs="Arial" w:eastAsia="Arial" w:hAnsi="Arial"/>
          <w:sz w:val="17"/>
          <w:szCs w:val="17"/>
          <w:color w:val="auto"/>
        </w:rPr>
        <w:t>issue Common Stock or increase the authorized number of Common Stock, including for the purposes of (i) issuing shares upon exercise of outstanding options to purchase Common Stock or warrants for the purchase of Common Stock; (ii) issuing shares upon the conversion of Preferred Stock; or (iii) issuing shares in connection with a share split, share dividend or other recapitalization;</w:t>
      </w:r>
    </w:p>
    <w:p>
      <w:pPr>
        <w:spacing w:after="0" w:line="165" w:lineRule="exact"/>
        <w:rPr>
          <w:rFonts w:ascii="Arial" w:cs="Arial" w:eastAsia="Arial" w:hAnsi="Arial"/>
          <w:sz w:val="17"/>
          <w:szCs w:val="17"/>
          <w:color w:val="auto"/>
        </w:rPr>
      </w:pPr>
    </w:p>
    <w:p>
      <w:pPr>
        <w:ind w:firstLine="1428"/>
        <w:spacing w:after="0" w:line="311" w:lineRule="auto"/>
        <w:tabs>
          <w:tab w:leader="none" w:pos="1687" w:val="left"/>
        </w:tabs>
        <w:numPr>
          <w:ilvl w:val="0"/>
          <w:numId w:val="241"/>
        </w:numPr>
        <w:rPr>
          <w:rFonts w:ascii="Arial" w:cs="Arial" w:eastAsia="Arial" w:hAnsi="Arial"/>
          <w:sz w:val="16"/>
          <w:szCs w:val="16"/>
          <w:color w:val="auto"/>
        </w:rPr>
      </w:pPr>
      <w:r>
        <w:rPr>
          <w:rFonts w:ascii="Arial" w:cs="Arial" w:eastAsia="Arial" w:hAnsi="Arial"/>
          <w:sz w:val="16"/>
          <w:szCs w:val="16"/>
          <w:color w:val="auto"/>
        </w:rPr>
        <w:t>(A) pay or declare any dividends or other distributions on the Common Stock or redeem or repurchase (other than pursuant to clause (B)) any shares of the Company’s capital stock or options to purchase capital stock, including payment of dividends on Preferred Stock, or (B) the repurchase of capital stock from employees of the Company upon a termination of employment pursuant to agreements to repurchase such capital stock;</w:t>
      </w:r>
    </w:p>
    <w:p>
      <w:pPr>
        <w:spacing w:after="0" w:line="148" w:lineRule="exact"/>
        <w:rPr>
          <w:rFonts w:ascii="Arial" w:cs="Arial" w:eastAsia="Arial" w:hAnsi="Arial"/>
          <w:sz w:val="16"/>
          <w:szCs w:val="16"/>
          <w:color w:val="auto"/>
        </w:rPr>
      </w:pPr>
    </w:p>
    <w:p>
      <w:pPr>
        <w:ind w:left="1680" w:hanging="252"/>
        <w:spacing w:after="0"/>
        <w:tabs>
          <w:tab w:leader="none" w:pos="16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amend, terminate or waive any provision of the Certificate of Incorporation;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38" w:name="page339"/>
    <w:bookmarkEnd w:id="338"/>
    <w:p>
      <w:pPr>
        <w:ind w:right="280" w:firstLine="1428"/>
        <w:spacing w:after="0" w:line="277" w:lineRule="auto"/>
        <w:tabs>
          <w:tab w:leader="none" w:pos="1657" w:val="left"/>
        </w:tabs>
        <w:numPr>
          <w:ilvl w:val="0"/>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make any changes or additions to the Board of Directors other than changes to the Preferred Directors, which changes shall be solely the right of the appointer of such Preferred Director;</w:t>
      </w:r>
    </w:p>
    <w:p>
      <w:pPr>
        <w:spacing w:after="0" w:line="170" w:lineRule="exact"/>
        <w:rPr>
          <w:rFonts w:ascii="Arial" w:cs="Arial" w:eastAsia="Arial" w:hAnsi="Arial"/>
          <w:sz w:val="18"/>
          <w:szCs w:val="18"/>
          <w:color w:val="auto"/>
        </w:rPr>
      </w:pPr>
    </w:p>
    <w:p>
      <w:pPr>
        <w:ind w:right="160" w:firstLine="1428"/>
        <w:spacing w:after="0" w:line="277" w:lineRule="auto"/>
        <w:tabs>
          <w:tab w:leader="none" w:pos="168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or own any stock or other securities of, any subsidiary or other corporation, partnership, or other entity unless it is wholly owned by the Company;</w:t>
      </w:r>
    </w:p>
    <w:p>
      <w:pPr>
        <w:spacing w:after="0" w:line="170" w:lineRule="exact"/>
        <w:rPr>
          <w:rFonts w:ascii="Arial" w:cs="Arial" w:eastAsia="Arial" w:hAnsi="Arial"/>
          <w:sz w:val="18"/>
          <w:szCs w:val="18"/>
          <w:color w:val="auto"/>
        </w:rPr>
      </w:pPr>
    </w:p>
    <w:p>
      <w:pPr>
        <w:jc w:val="both"/>
        <w:ind w:right="40" w:firstLine="1428"/>
        <w:spacing w:after="0" w:line="263" w:lineRule="auto"/>
        <w:tabs>
          <w:tab w:leader="none" w:pos="168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any person, including, any employee or director of the Company or any subsidiary, except advances and similar expenditures in the ordinary course of business or under the terms of the existing stock option plan or any new equity incentive plan approved by the Board of Directors;</w:t>
      </w:r>
    </w:p>
    <w:p>
      <w:pPr>
        <w:spacing w:after="0" w:line="183" w:lineRule="exact"/>
        <w:rPr>
          <w:rFonts w:ascii="Arial" w:cs="Arial" w:eastAsia="Arial" w:hAnsi="Arial"/>
          <w:sz w:val="18"/>
          <w:szCs w:val="18"/>
          <w:color w:val="auto"/>
        </w:rPr>
      </w:pPr>
    </w:p>
    <w:p>
      <w:pPr>
        <w:ind w:right="300" w:firstLine="1428"/>
        <w:spacing w:after="0" w:line="277" w:lineRule="auto"/>
        <w:tabs>
          <w:tab w:leader="none" w:pos="164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guarantee, directly or indirectly, or permit any subsidiary to guarantee, directly or indirectly, any indebtedness except for trade accounts of the Company or any subsidiary arising in the ordinary course of business;</w:t>
      </w:r>
    </w:p>
    <w:p>
      <w:pPr>
        <w:spacing w:after="0" w:line="170" w:lineRule="exact"/>
        <w:rPr>
          <w:rFonts w:ascii="Arial" w:cs="Arial" w:eastAsia="Arial" w:hAnsi="Arial"/>
          <w:sz w:val="18"/>
          <w:szCs w:val="18"/>
          <w:color w:val="auto"/>
        </w:rPr>
      </w:pPr>
    </w:p>
    <w:p>
      <w:pPr>
        <w:ind w:left="1640" w:hanging="212"/>
        <w:spacing w:after="0"/>
        <w:tabs>
          <w:tab w:leader="none" w:pos="16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make any investment inconsistent with any investment policy approved by the Board of Directors;</w:t>
      </w:r>
    </w:p>
    <w:p>
      <w:pPr>
        <w:spacing w:after="0" w:line="225" w:lineRule="exact"/>
        <w:rPr>
          <w:rFonts w:ascii="Arial" w:cs="Arial" w:eastAsia="Arial" w:hAnsi="Arial"/>
          <w:sz w:val="18"/>
          <w:szCs w:val="18"/>
          <w:color w:val="auto"/>
        </w:rPr>
      </w:pPr>
    </w:p>
    <w:p>
      <w:pPr>
        <w:ind w:firstLine="1428"/>
        <w:spacing w:after="0" w:line="277" w:lineRule="auto"/>
        <w:tabs>
          <w:tab w:leader="none" w:pos="168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incur any aggregate indebtedness in excess of $500,000 that is not already included in a Board of Directors-approved budget or is incurred in the ordinary course of business;</w:t>
      </w:r>
    </w:p>
    <w:p>
      <w:pPr>
        <w:spacing w:after="0" w:line="170" w:lineRule="exact"/>
        <w:rPr>
          <w:rFonts w:ascii="Arial" w:cs="Arial" w:eastAsia="Arial" w:hAnsi="Arial"/>
          <w:sz w:val="18"/>
          <w:szCs w:val="18"/>
          <w:color w:val="auto"/>
        </w:rPr>
      </w:pPr>
    </w:p>
    <w:p>
      <w:pPr>
        <w:ind w:right="160" w:firstLine="1428"/>
        <w:spacing w:after="0" w:line="259" w:lineRule="auto"/>
        <w:tabs>
          <w:tab w:leader="none" w:pos="164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enter into or be a party to any transaction with any director, officer or employee of the Company or any subsidiary or any “associate” (as defined in Rule 12b-2 promulgated under the Exchange Act) of any such person, except for transactions made in the ordinary course of business and pursuant to reasonable requirements of the Company’s business and upon fair and reasonable terms that are approved by a majority of the Board of Directors (including a majority of the Preferred Directors);</w:t>
      </w:r>
    </w:p>
    <w:p>
      <w:pPr>
        <w:spacing w:after="0" w:line="186" w:lineRule="exact"/>
        <w:rPr>
          <w:rFonts w:ascii="Arial" w:cs="Arial" w:eastAsia="Arial" w:hAnsi="Arial"/>
          <w:sz w:val="18"/>
          <w:szCs w:val="18"/>
          <w:color w:val="auto"/>
        </w:rPr>
      </w:pPr>
    </w:p>
    <w:p>
      <w:pPr>
        <w:ind w:left="1740" w:hanging="312"/>
        <w:spacing w:after="0"/>
        <w:tabs>
          <w:tab w:leader="none" w:pos="174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hire, fire, or change the compensation of any executive officer of the Company, including approving any option grants;</w:t>
      </w:r>
    </w:p>
    <w:p>
      <w:pPr>
        <w:spacing w:after="0" w:line="236" w:lineRule="exact"/>
        <w:rPr>
          <w:rFonts w:ascii="Arial" w:cs="Arial" w:eastAsia="Arial" w:hAnsi="Arial"/>
          <w:sz w:val="17"/>
          <w:szCs w:val="17"/>
          <w:color w:val="auto"/>
        </w:rPr>
      </w:pPr>
    </w:p>
    <w:p>
      <w:pPr>
        <w:ind w:left="1680" w:hanging="252"/>
        <w:spacing w:after="0"/>
        <w:tabs>
          <w:tab w:leader="none" w:pos="16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change the principal line of business of the Company or any subsidiary;</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sell, assign, license, pledge or encumber material technology or intellectual property, other than licenses granted in the ordinary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 of business; or</w:t>
      </w:r>
    </w:p>
    <w:p>
      <w:pPr>
        <w:spacing w:after="0" w:line="210" w:lineRule="exact"/>
        <w:rPr>
          <w:rFonts w:ascii="Arial" w:cs="Arial" w:eastAsia="Arial" w:hAnsi="Arial"/>
          <w:sz w:val="16"/>
          <w:szCs w:val="16"/>
          <w:color w:val="auto"/>
        </w:rPr>
      </w:pPr>
    </w:p>
    <w:p>
      <w:pPr>
        <w:ind w:right="640" w:firstLine="1428"/>
        <w:spacing w:after="0" w:line="277" w:lineRule="auto"/>
        <w:tabs>
          <w:tab w:leader="none" w:pos="168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enter into any corporate strategic relationship involving the payment contribution or assignment by the Company (or any subsidiary) or to the Company (or any subsidiary) of assets greater than $500,000.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339" w:name="page340"/>
    <w:bookmarkEnd w:id="339"/>
    <w:p>
      <w:pPr>
        <w:ind w:left="4"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5.5 </w:t>
      </w:r>
      <w:r>
        <w:rPr>
          <w:rFonts w:ascii="Arial" w:cs="Arial" w:eastAsia="Arial" w:hAnsi="Arial"/>
          <w:sz w:val="16"/>
          <w:szCs w:val="16"/>
          <w:u w:val="single" w:color="auto"/>
          <w:color w:val="auto"/>
        </w:rPr>
        <w:t>Board Matters</w:t>
      </w:r>
      <w:r>
        <w:rPr>
          <w:rFonts w:ascii="Arial" w:cs="Arial" w:eastAsia="Arial" w:hAnsi="Arial"/>
          <w:sz w:val="16"/>
          <w:szCs w:val="16"/>
          <w:color w:val="auto"/>
        </w:rPr>
        <w:t>. Unless otherwise determined by the vote of a majority of the directors then in office, including the vote of a majority of the Preferred Directors, the Board of Directors shall meet at least quarterly in accordance with an agreed-upon schedule. The Company shall reimburse the nonemployee directors for all reasonable out-of-pocket travel expenses incurred (consistent with the Company’s travel policy) in connection with</w:t>
      </w:r>
    </w:p>
    <w:p>
      <w:pPr>
        <w:spacing w:after="0" w:line="2" w:lineRule="exact"/>
        <w:rPr>
          <w:sz w:val="20"/>
          <w:szCs w:val="20"/>
          <w:color w:val="auto"/>
        </w:rPr>
      </w:pPr>
    </w:p>
    <w:p>
      <w:pPr>
        <w:ind w:left="4" w:right="20" w:hanging="4"/>
        <w:spacing w:after="0" w:line="260" w:lineRule="auto"/>
        <w:tabs>
          <w:tab w:leader="none" w:pos="21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attending meetings of the Board of Directors (or committees thereof) (ii) attending other functions on behalf of the Company, or (iii) the performance of their duties as directors.</w:t>
      </w:r>
    </w:p>
    <w:p>
      <w:pPr>
        <w:spacing w:after="0" w:line="185" w:lineRule="exact"/>
        <w:rPr>
          <w:sz w:val="20"/>
          <w:szCs w:val="20"/>
          <w:color w:val="auto"/>
        </w:rPr>
      </w:pPr>
    </w:p>
    <w:p>
      <w:pPr>
        <w:ind w:left="4" w:right="20" w:firstLine="991"/>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Certificate of Incorporation, or elsewhere, as the case may be.</w:t>
      </w:r>
    </w:p>
    <w:p>
      <w:pPr>
        <w:spacing w:after="0" w:line="188" w:lineRule="exact"/>
        <w:rPr>
          <w:sz w:val="20"/>
          <w:szCs w:val="20"/>
          <w:color w:val="auto"/>
        </w:rPr>
      </w:pPr>
    </w:p>
    <w:p>
      <w:pPr>
        <w:ind w:left="4" w:right="20" w:firstLine="991"/>
        <w:spacing w:after="0" w:line="285"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Indemnification Matters</w:t>
      </w:r>
      <w:r>
        <w:rPr>
          <w:rFonts w:ascii="Arial" w:cs="Arial" w:eastAsia="Arial" w:hAnsi="Arial"/>
          <w:sz w:val="16"/>
          <w:szCs w:val="16"/>
          <w:color w:val="auto"/>
        </w:rPr>
        <w:t>. The Company hereby acknowledges that one (1) or more of the directors nominated to serve on the Board of Directors by the Investors (each a “</w:t>
      </w:r>
      <w:r>
        <w:rPr>
          <w:rFonts w:ascii="Arial" w:cs="Arial" w:eastAsia="Arial" w:hAnsi="Arial"/>
          <w:sz w:val="16"/>
          <w:szCs w:val="16"/>
          <w:b w:val="1"/>
          <w:bCs w:val="1"/>
          <w:color w:val="auto"/>
        </w:rPr>
        <w:t>Fund Director</w:t>
      </w:r>
      <w:r>
        <w:rPr>
          <w:rFonts w:ascii="Arial" w:cs="Arial" w:eastAsia="Arial" w:hAnsi="Arial"/>
          <w:sz w:val="16"/>
          <w:szCs w:val="16"/>
          <w:color w:val="auto"/>
        </w:rPr>
        <w:t>”) may have certain rights to indemnification, advancement of expenses and/or insurance provided by one or more of the Investors and certain of their affiliates (collectively, the “</w:t>
      </w:r>
      <w:r>
        <w:rPr>
          <w:rFonts w:ascii="Arial" w:cs="Arial" w:eastAsia="Arial" w:hAnsi="Arial"/>
          <w:sz w:val="16"/>
          <w:szCs w:val="16"/>
          <w:b w:val="1"/>
          <w:bCs w:val="1"/>
          <w:color w:val="auto"/>
        </w:rPr>
        <w:t>Fund Indemnitors</w:t>
      </w:r>
      <w:r>
        <w:rPr>
          <w:rFonts w:ascii="Arial" w:cs="Arial" w:eastAsia="Arial" w:hAnsi="Arial"/>
          <w:sz w:val="16"/>
          <w:szCs w:val="16"/>
          <w:color w:val="auto"/>
        </w:rPr>
        <w:t>”). The Company hereby agrees (a) that the Company (pursuant to and in accordance with its Certificate of Incorporation and any indemnification agreement entered into between the Company and the Fund Director) and its subsidiary ALX Oncology Inc. (“</w:t>
      </w:r>
      <w:r>
        <w:rPr>
          <w:rFonts w:ascii="Arial" w:cs="Arial" w:eastAsia="Arial" w:hAnsi="Arial"/>
          <w:sz w:val="16"/>
          <w:szCs w:val="16"/>
          <w:b w:val="1"/>
          <w:bCs w:val="1"/>
          <w:color w:val="auto"/>
        </w:rPr>
        <w:t>AOI</w:t>
      </w:r>
      <w:r>
        <w:rPr>
          <w:rFonts w:ascii="Arial" w:cs="Arial" w:eastAsia="Arial" w:hAnsi="Arial"/>
          <w:sz w:val="16"/>
          <w:szCs w:val="16"/>
          <w:color w:val="auto"/>
        </w:rPr>
        <w:t>”) (pursuant to and in accordance with any indemnification agreement entered into between AOI and the Fund Director) are the indemnitors of first resort (</w:t>
      </w:r>
      <w:r>
        <w:rPr>
          <w:rFonts w:ascii="Arial" w:cs="Arial" w:eastAsia="Arial" w:hAnsi="Arial"/>
          <w:sz w:val="16"/>
          <w:szCs w:val="16"/>
          <w:i w:val="1"/>
          <w:iCs w:val="1"/>
          <w:color w:val="auto"/>
        </w:rPr>
        <w:t>i.e.</w:t>
      </w:r>
      <w:r>
        <w:rPr>
          <w:rFonts w:ascii="Arial" w:cs="Arial" w:eastAsia="Arial" w:hAnsi="Arial"/>
          <w:sz w:val="16"/>
          <w:szCs w:val="16"/>
          <w:color w:val="auto"/>
        </w:rPr>
        <w:t>, their obligations to any such Fund Director are primary and any obligation of the Fund Indemnitors to advance expenses or to provide indemnification for the same expenses or liabilities incurred by such Fund Director are secondary), (b) that the Company and/or AOI (in each case, to the extent permitted by law)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or permitted by the Certificate of Incorporation (or any agreement between the Company, AOI or any other subsidiary of the Company and such Fund Director), without regard to any rights such Fund Director may have against the Fund Indemnitors, and (c) that the Company and AOI irrevocably waive, relinquish and release the Fund Indemnitors from any and all claims against the Fund Indemnitors for contribution, subrogation or any other recovery of any kind in respect thereof. The Company and AOI further agree that no advancement or payment by the Fund Indemnitors on behalf of any such Fund Director with respect to any claim for which such Fund Director has sought indemnification from the Company and/or AOI shall affect the foregoing and the Fund Indemnitors shall have a right of contribution and/or be subrogated to the extent of such advancement or payment to all of the rights of recovery of such Fund Director against the Company and/or AOI.</w:t>
      </w:r>
    </w:p>
    <w:p>
      <w:pPr>
        <w:spacing w:after="0" w:line="176" w:lineRule="exact"/>
        <w:rPr>
          <w:sz w:val="20"/>
          <w:szCs w:val="20"/>
          <w:color w:val="auto"/>
        </w:rPr>
      </w:pPr>
    </w:p>
    <w:p>
      <w:pPr>
        <w:ind w:left="4" w:right="80" w:firstLine="991"/>
        <w:spacing w:after="0" w:line="279"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Expenses of Counsel</w:t>
      </w:r>
      <w:r>
        <w:rPr>
          <w:rFonts w:ascii="Arial" w:cs="Arial" w:eastAsia="Arial" w:hAnsi="Arial"/>
          <w:sz w:val="17"/>
          <w:szCs w:val="17"/>
          <w:color w:val="auto"/>
        </w:rPr>
        <w:t>. In the event of a transaction which is a Deemed Liquidation Event (as defined in the Certificate of Incorporation), the reasonable fees and disbursements, not to exceed $50,000, of one counsel for the Investors (“</w:t>
      </w:r>
      <w:r>
        <w:rPr>
          <w:rFonts w:ascii="Arial" w:cs="Arial" w:eastAsia="Arial" w:hAnsi="Arial"/>
          <w:sz w:val="17"/>
          <w:szCs w:val="17"/>
          <w:b w:val="1"/>
          <w:bCs w:val="1"/>
          <w:color w:val="auto"/>
        </w:rPr>
        <w:t>Investor Counsel</w:t>
      </w:r>
      <w:r>
        <w:rPr>
          <w:rFonts w:ascii="Arial" w:cs="Arial" w:eastAsia="Arial" w:hAnsi="Arial"/>
          <w:sz w:val="17"/>
          <w:szCs w:val="17"/>
          <w:color w:val="auto"/>
        </w:rPr>
        <w:t>”), in their capacities as shareholders, shall be borne and paid by the Company. At the outset of considering a transaction which, if consummated would constitute a Deemed Liquidation Event, the Company shall obtain the ability to share with the Investor Counsel (and such counsel’s</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4" w:right="479" w:bottom="1440" w:gutter="0" w:footer="0" w:header="0"/>
        </w:sectPr>
      </w:pPr>
    </w:p>
    <w:bookmarkStart w:id="340" w:name="page341"/>
    <w:bookmarkEnd w:id="340"/>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clients) 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Deemed Liquidation Event. The Company shall be obligated to share (and cause the Company’s counsel and investment bankers to share) such materials when distributed to the Company’s executives and/or any one or more of the other parties to such transaction(s). In the event that Investor Counsel deems it appropriate, in its reasonable discretion, to enter into a joint defense agreement or other arrangement to enhance the ability of the parties to protect their communications and other reviewed materials under the attorney client privilege, the Company shall, and shall direct its counsel to, execute and deliver to Investor Counsel and its clients such an agreement in form and substance reasonably acceptable to Investor Counsel. In the event that one or more of the other party or parties to such transactions require the clients of Investor Counsel to enter into a confidentiality agreement and/or joint defense agreement in order to receive such information, then the Company shall share whatever information can be shared without entry into such agreement and shall, at the same time, in good faith work expeditiously to enable Investor Counsel and its clients to negotiate and enter into the appropriate agreement(s) without undue burden to the clients of Investor Counsel.</w:t>
      </w:r>
    </w:p>
    <w:p>
      <w:pPr>
        <w:spacing w:after="0" w:line="168"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None of the Company and any of its directors, officers, employees or, to the Company’s knowledge, agents of the Company acting on its behalf, has (a) directly or indirectly given, agreed, offered or promised to give any illegal gift, contribution, payment, bribe, kickback or similar benefit to any supplier, customer, governmental official or employee, political party, candidate for public office or other person or entity who was, is or may be in a position to help or hinder the Company, or has made or agreed to make an illegal contribution, or to reimburse any illegal political gift or contribution made by any other person or entity, to any candidate for federal, state, local or foreign public office or to a political party, or (b) established or maintained any unrecorded fund or asset or made any false, incomplete or misleading entries on any books or records for any purpose in any case, which could have resulted in a violation or liability pursuant to the U.S. Foreign Corrupt Practices Act or any other anti-corruption laws in any jurisdiction.</w:t>
      </w:r>
    </w:p>
    <w:p>
      <w:pPr>
        <w:spacing w:after="0" w:line="192"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Termination of Covenants</w:t>
      </w:r>
      <w:r>
        <w:rPr>
          <w:rFonts w:ascii="Arial" w:cs="Arial" w:eastAsia="Arial" w:hAnsi="Arial"/>
          <w:sz w:val="16"/>
          <w:szCs w:val="16"/>
          <w:color w:val="auto"/>
        </w:rPr>
        <w:t xml:space="preserve">. The covenants set forth in this Section 5, except for </w:t>
      </w:r>
      <w:r>
        <w:rPr>
          <w:rFonts w:ascii="Arial" w:cs="Arial" w:eastAsia="Arial" w:hAnsi="Arial"/>
          <w:sz w:val="16"/>
          <w:szCs w:val="16"/>
          <w:u w:val="single" w:color="auto"/>
          <w:color w:val="auto"/>
        </w:rPr>
        <w:t>Subsections 5.6, 5.7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5.8</w:t>
      </w:r>
      <w:r>
        <w:rPr>
          <w:rFonts w:ascii="Arial" w:cs="Arial" w:eastAsia="Arial" w:hAnsi="Arial"/>
          <w:sz w:val="16"/>
          <w:szCs w:val="16"/>
          <w:color w:val="auto"/>
        </w:rPr>
        <w:t>, shall terminate and be of no further force or effect (i) immediately before the consummation of the IPO or (ii) upon a Deemed Liquidation Event, whichever event occurs first.</w:t>
      </w:r>
    </w:p>
    <w:p>
      <w:pPr>
        <w:spacing w:after="0" w:line="124" w:lineRule="exact"/>
        <w:rPr>
          <w:sz w:val="20"/>
          <w:szCs w:val="20"/>
          <w:color w:val="auto"/>
        </w:rPr>
      </w:pPr>
    </w:p>
    <w:p>
      <w:pPr>
        <w:ind w:left="620" w:hanging="184"/>
        <w:spacing w:after="0"/>
        <w:tabs>
          <w:tab w:leader="none" w:pos="62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27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a majority of the Registrable Securities held by the Holder immediately prior to such transfer (subject to appropriate adjustment for share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341" w:name="page342"/>
    <w:bookmarkEnd w:id="341"/>
    <w:p>
      <w:pPr>
        <w:ind w:left="4"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splits, share dividends, combinations, and other recapitalizations);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6"/>
          <w:szCs w:val="16"/>
          <w:u w:val="single" w:color="auto"/>
          <w:color w:val="auto"/>
        </w:rPr>
        <w:t>Subsection 2.11</w:t>
      </w:r>
      <w:r>
        <w:rPr>
          <w:rFonts w:ascii="Arial" w:cs="Arial" w:eastAsia="Arial" w:hAnsi="Arial"/>
          <w:sz w:val="16"/>
          <w:szCs w:val="16"/>
          <w:color w:val="auto"/>
        </w:rPr>
        <w:t>. For the purposes of determining the number of Registrable Securities held by a transferee, the holdings of a transferee (1) that is an Affiliate or shareholder of a Holder; (2) who is a Holder’s Immediate Family Member; or (3) that is a trust for the benefit of an individual Holder or such Holder’s Immediate Family Member shall be aggregated together and with those of the transferring Holder; provided further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72" w:lineRule="exact"/>
        <w:rPr>
          <w:sz w:val="20"/>
          <w:szCs w:val="20"/>
          <w:color w:val="auto"/>
        </w:rPr>
      </w:pPr>
    </w:p>
    <w:p>
      <w:pPr>
        <w:ind w:left="4" w:right="280" w:firstLine="991"/>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regard to its principles of conflicts of laws.</w:t>
      </w:r>
    </w:p>
    <w:p>
      <w:pPr>
        <w:spacing w:after="0" w:line="170" w:lineRule="exact"/>
        <w:rPr>
          <w:sz w:val="20"/>
          <w:szCs w:val="20"/>
          <w:color w:val="auto"/>
        </w:rPr>
      </w:pPr>
    </w:p>
    <w:p>
      <w:pPr>
        <w:ind w:left="4" w:firstLine="991"/>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www.docusign.com) or other transmission method and any counterpart so delivered shall be deemed to have been duly and validly delivered and be valid and effective for all purposes</w:t>
      </w:r>
      <w:r>
        <w:rPr>
          <w:rFonts w:ascii="Arial" w:cs="Arial" w:eastAsia="Arial" w:hAnsi="Arial"/>
          <w:sz w:val="17"/>
          <w:szCs w:val="17"/>
          <w:b w:val="1"/>
          <w:bCs w:val="1"/>
          <w:color w:val="auto"/>
        </w:rPr>
        <w:t>.</w:t>
      </w:r>
    </w:p>
    <w:p>
      <w:pPr>
        <w:spacing w:after="0" w:line="171"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0" w:lineRule="exact"/>
        <w:rPr>
          <w:sz w:val="20"/>
          <w:szCs w:val="20"/>
          <w:color w:val="auto"/>
        </w:rPr>
      </w:pPr>
    </w:p>
    <w:p>
      <w:pPr>
        <w:ind w:left="4" w:right="140" w:firstLine="991"/>
        <w:spacing w:after="0" w:line="287"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w:t>
      </w:r>
    </w:p>
    <w:p>
      <w:pPr>
        <w:spacing w:after="0" w:line="2" w:lineRule="exact"/>
        <w:rPr>
          <w:sz w:val="20"/>
          <w:szCs w:val="20"/>
          <w:color w:val="auto"/>
        </w:rPr>
      </w:pPr>
    </w:p>
    <w:p>
      <w:pPr>
        <w:ind w:left="4" w:right="80" w:hanging="4"/>
        <w:spacing w:after="0" w:line="253" w:lineRule="auto"/>
        <w:tabs>
          <w:tab w:leader="none" w:pos="25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8"/>
          <w:szCs w:val="18"/>
          <w:u w:val="single" w:color="auto"/>
          <w:color w:val="auto"/>
        </w:rPr>
        <w:t>Subsection 6.5</w:t>
      </w:r>
      <w:r>
        <w:rPr>
          <w:rFonts w:ascii="Arial" w:cs="Arial" w:eastAsia="Arial" w:hAnsi="Arial"/>
          <w:sz w:val="18"/>
          <w:szCs w:val="18"/>
          <w:color w:val="auto"/>
        </w:rPr>
        <w:t>.</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342" w:name="page343"/>
    <w:bookmarkEnd w:id="342"/>
    <w:p>
      <w:pPr>
        <w:ind w:right="20"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Any term of this Agreement may be amended, modified or terminated and the observance of any term of this Agreement may be waived (either generally or in a particular instance, and either retroactively or prospectively) only with the written consent of the Company and the holders of at least two-thirds (2/3</w:t>
      </w:r>
      <w:r>
        <w:rPr>
          <w:rFonts w:ascii="Arial" w:cs="Arial" w:eastAsia="Arial" w:hAnsi="Arial"/>
          <w:sz w:val="13"/>
          <w:szCs w:val="13"/>
          <w:color w:val="auto"/>
        </w:rPr>
        <w:t>rds</w:t>
      </w:r>
      <w:r>
        <w:rPr>
          <w:rFonts w:ascii="Arial" w:cs="Arial" w:eastAsia="Arial" w:hAnsi="Arial"/>
          <w:sz w:val="16"/>
          <w:szCs w:val="16"/>
          <w:color w:val="auto"/>
        </w:rPr>
        <w:t xml:space="preserve">) of the Registrable Securities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in its sole discretion waive compliance with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(and the Company’s failure to object promptly in writing after notification of a proposed assignment allegedly in violation of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shall be deemed to be a waiver);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provision hereof may be waived by any waiving party on such party’s own behalf, without the consent of any other party;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Subsection 1.20(iv)</w:t>
      </w:r>
      <w:r>
        <w:rPr>
          <w:rFonts w:ascii="Arial" w:cs="Arial" w:eastAsia="Arial" w:hAnsi="Arial"/>
          <w:sz w:val="16"/>
          <w:szCs w:val="16"/>
          <w:color w:val="auto"/>
        </w:rPr>
        <w:t xml:space="preserve"> may not be amended or waived without the written consent of Stanford. Notwithstanding the foregoing, this Agreement may not be amended, modified or terminated and the observance of any term hereof may not be waived with respect to any Investor without the written consent of such Investor, unless such amendment, modification, termination, or waiver applies to all Investors in the same fashion (it being agreed that a waiver of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Any amendment, modification, termination, or waiver effected in accordance with this </w:t>
      </w:r>
      <w:r>
        <w:rPr>
          <w:rFonts w:ascii="Arial" w:cs="Arial" w:eastAsia="Arial" w:hAnsi="Arial"/>
          <w:sz w:val="16"/>
          <w:szCs w:val="16"/>
          <w:u w:val="single" w:color="auto"/>
          <w:color w:val="auto"/>
        </w:rPr>
        <w:t>Subsection 6.6</w:t>
      </w:r>
      <w:r>
        <w:rPr>
          <w:rFonts w:ascii="Arial" w:cs="Arial" w:eastAsia="Arial" w:hAnsi="Arial"/>
          <w:sz w:val="16"/>
          <w:szCs w:val="16"/>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71"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87" w:lineRule="exact"/>
        <w:rPr>
          <w:sz w:val="20"/>
          <w:szCs w:val="20"/>
          <w:color w:val="auto"/>
        </w:rPr>
      </w:pPr>
    </w:p>
    <w:p>
      <w:pPr>
        <w:ind w:right="440" w:firstLine="991"/>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All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84" w:lineRule="exact"/>
        <w:rPr>
          <w:sz w:val="20"/>
          <w:szCs w:val="20"/>
          <w:color w:val="auto"/>
        </w:rPr>
      </w:pPr>
    </w:p>
    <w:p>
      <w:pPr>
        <w:ind w:right="320" w:firstLine="991"/>
        <w:spacing w:after="0" w:line="286"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including without limitation the Prior Agreement, is expressly canceled.</w:t>
      </w:r>
    </w:p>
    <w:p>
      <w:pPr>
        <w:spacing w:after="0" w:line="16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(a) hereby irrevocably and unconditionally submit to the jurisdiction of the state courts of California and to the jurisdiction of the United States District Court for the Northern District of California for the purpose of any suit, action or other proceeding arising out of or based upon this Agreement, (b) agree not to commence any suit, action or other proceeding arising out of or based upon this Agreement except in the state courts of California or the United States District Court for the Northern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343" w:name="page344"/>
    <w:bookmarkEnd w:id="34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District of California,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1" w:lineRule="exact"/>
        <w:rPr>
          <w:sz w:val="20"/>
          <w:szCs w:val="20"/>
          <w:color w:val="auto"/>
        </w:rPr>
      </w:pPr>
    </w:p>
    <w:p>
      <w:pPr>
        <w:jc w:val="both"/>
        <w:ind w:right="320" w:firstLine="991"/>
        <w:spacing w:after="0" w:line="286" w:lineRule="auto"/>
        <w:rPr>
          <w:sz w:val="20"/>
          <w:szCs w:val="20"/>
          <w:color w:val="auto"/>
        </w:rPr>
      </w:pPr>
      <w:r>
        <w:rPr>
          <w:rFonts w:ascii="Arial" w:cs="Arial" w:eastAsia="Arial" w:hAnsi="Arial"/>
          <w:sz w:val="17"/>
          <w:szCs w:val="17"/>
          <w:color w:val="auto"/>
        </w:rPr>
        <w:t>The prevailing party shall be entitled to reasonable attorney’s fees, costs, and necessary disbursements in addition to any other relief to which such party may be entitled. Each of the parties to this Agreement consents to personal jurisdiction for any equitable action sought in the U.S. District Court for the Northern District of California or any court of the State of California having subject matter jurisdiction.</w:t>
      </w:r>
    </w:p>
    <w:p>
      <w:pPr>
        <w:spacing w:after="0" w:line="165"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61"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Acknowledgment</w:t>
      </w:r>
      <w:r>
        <w:rPr>
          <w:rFonts w:ascii="Arial" w:cs="Arial" w:eastAsia="Arial" w:hAnsi="Arial"/>
          <w:sz w:val="16"/>
          <w:szCs w:val="16"/>
          <w:color w:val="auto"/>
        </w:rPr>
        <w:t>. The Company acknowledges that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44" w:name="page345"/>
    <w:bookmarkEnd w:id="344"/>
    <w:p>
      <w:pPr>
        <w:ind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6.13 </w:t>
      </w:r>
      <w:r>
        <w:rPr>
          <w:rFonts w:ascii="Arial" w:cs="Arial" w:eastAsia="Arial" w:hAnsi="Arial"/>
          <w:sz w:val="16"/>
          <w:szCs w:val="16"/>
          <w:u w:val="single" w:color="auto"/>
          <w:color w:val="auto"/>
        </w:rPr>
        <w:t>Conflicts</w:t>
      </w:r>
      <w:r>
        <w:rPr>
          <w:rFonts w:ascii="Arial" w:cs="Arial" w:eastAsia="Arial" w:hAnsi="Arial"/>
          <w:sz w:val="16"/>
          <w:szCs w:val="16"/>
          <w:color w:val="auto"/>
        </w:rPr>
        <w:t>. If there is any conflict between the provisions of this Agreement and any provision of the Certificate of Incorporation, as may be amended from time to time, the parties hereto shall use their reasonable best efforts to resolve such conflict so that the provisions of this Agreement shall apply to the maximum extent possible, including (without limitation) by amendment of such conflicting documents, as shall be necessary to carry out the provisions of this Agreement; provided that in all such cases the terms and provisions of this Agreement shall control.</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00"/>
          </w:cols>
          <w:pgMar w:left="440" w:top="274" w:right="659" w:bottom="1440" w:gutter="0" w:footer="0" w:header="0"/>
        </w:sectPr>
      </w:pPr>
    </w:p>
    <w:bookmarkStart w:id="345" w:name="page346"/>
    <w:bookmarkEnd w:id="345"/>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Jaume Pons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820"/>
          </w:cols>
          <w:pgMar w:left="440" w:top="274" w:right="639" w:bottom="1440" w:gutter="0" w:footer="0" w:header="0"/>
        </w:sectPr>
      </w:pPr>
    </w:p>
    <w:bookmarkStart w:id="346" w:name="page347"/>
    <w:bookmarkEnd w:id="346"/>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ALX:</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ALX ONCOLOGY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Jaume Pons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820"/>
          </w:cols>
          <w:pgMar w:left="440" w:top="274" w:right="639" w:bottom="1440" w:gutter="0" w:footer="0" w:header="0"/>
        </w:sectPr>
      </w:pPr>
    </w:p>
    <w:bookmarkStart w:id="347" w:name="page348"/>
    <w:bookmarkEnd w:id="347"/>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ALEXANDRIA VENTURE INVESTMENTS,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Alexandria Real Estate Equities, Inc., its managing</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Aaron Jacobson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Aaron Jacobson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SVP – Venture Counsel</w:t>
            </w:r>
          </w:p>
        </w:tc>
      </w:tr>
      <w:tr>
        <w:trPr>
          <w:trHeight w:val="459"/>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BIOTECHNOLOGY VALUE FUND, L.P.</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Mark Lampert</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Mark Lampert</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 of BVF I GP</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LLC, itself General Partner of</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Biotechnology Value Fund, L.P.</w:t>
            </w:r>
          </w:p>
        </w:tc>
      </w:tr>
    </w:tbl>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BIOTECHNOLOGY VALUE FUND II, L.P.</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Mark Lampert</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Mark Lampert</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 of BVF II GP</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LLC, itself General Partner of</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Biotechnology Value Fund II, L.P.</w:t>
            </w:r>
          </w:p>
        </w:tc>
      </w:tr>
    </w:tbl>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BIOTECHNOLOGY VALUE TRADING FUND OS,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Mark Lampert</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Mark Lampert</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 of BVF Inc., General Partner</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of BVF Partners L.P., itself sole member of</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BVF Partners OS Ltd., itself GP of</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Biotechnology Value Trading Fund OS, L.P.</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20"/>
          </w:cols>
          <w:pgMar w:left="440" w:top="274" w:right="439" w:bottom="1440" w:gutter="0" w:footer="0" w:header="0"/>
        </w:sectPr>
      </w:pPr>
    </w:p>
    <w:bookmarkStart w:id="348" w:name="page349"/>
    <w:bookmarkEnd w:id="348"/>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MSI BVF SPV LLC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Mark Lampert</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Mark Lampert</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 of BVF Inc., General Partner of BVF</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w w:val="99"/>
              </w:rPr>
              <w:t>Partners L.P., itself attorney-in-fact for MSI BVF</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SPV, L.L.C</w:t>
            </w:r>
          </w:p>
        </w:tc>
      </w:tr>
    </w:tbl>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CORMORANT PRIVATE HEALTHCARE FUND II,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Cormorant Private Healthcare GP II,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Bihua Chen, Managing Member</w:t>
      </w:r>
    </w:p>
    <w:p>
      <w:pPr>
        <w:spacing w:after="0" w:line="24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CORMORANT GLOBAL HEALTHCARE MASTER</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FUND,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Cormorant Global Healthcare GP,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Bihua Chen, Managing Member</w:t>
      </w:r>
    </w:p>
    <w:p>
      <w:pPr>
        <w:spacing w:after="0" w:line="24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CRMA SPV,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Cormorant Asset Management,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Bihua Chen, Chief Executive Officer and Managing</w:t>
      </w:r>
    </w:p>
    <w:p>
      <w:pPr>
        <w:spacing w:after="0" w:line="3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Member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FORESITE CAPITAL FUND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Foresite Capital Management IV, LLC its General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Dennis Ryan, Chief Financial Officer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20"/>
          </w:cols>
          <w:pgMar w:left="440" w:top="274" w:right="439" w:bottom="1440" w:gutter="0" w:footer="0" w:header="0"/>
        </w:sectPr>
      </w:pPr>
    </w:p>
    <w:bookmarkStart w:id="349" w:name="page350"/>
    <w:bookmarkEnd w:id="349"/>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EMALDI CORPORATION</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Corey Goodman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Corey Goodman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GOODMAN BARINAGA TRUST</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Corey Goodman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Corey Goodman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Trustee</w:t>
            </w:r>
          </w:p>
        </w:tc>
      </w:tr>
    </w:tbl>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HBM Healthcare Investments (Cayman) Ltd.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Jean-Marc Lesieur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Jean-Marc Lesieur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20"/>
          </w:cols>
          <w:pgMar w:left="440" w:top="274" w:right="439" w:bottom="1440" w:gutter="0" w:footer="0" w:header="0"/>
        </w:sectPr>
      </w:pPr>
    </w:p>
    <w:bookmarkStart w:id="350" w:name="page351"/>
    <w:bookmarkEnd w:id="350"/>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JANUS HENDERSON GLOBAL LIFE SCIENCES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JANUS CAPITAL MANAGEMENT, LLC, ITS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ADVISOR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Acker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Andrew Acker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Portfolio Manager and Authorized Signatory</w:t>
            </w:r>
          </w:p>
        </w:tc>
      </w:tr>
    </w:tbl>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 xml:space="preserve">JANUS HENDERSON CAPITAL FUNDS PLC </w:t>
      </w:r>
      <w:r>
        <w:rPr>
          <w:rFonts w:ascii="Arial" w:cs="Arial" w:eastAsia="Arial" w:hAnsi="Arial"/>
          <w:sz w:val="18"/>
          <w:szCs w:val="18"/>
          <w:color w:val="auto"/>
        </w:rPr>
        <w:t>ON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BEHALF OF ITS SERIES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JANUS HENDERSON GLOBAL LIFE SCIENCES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JANUS CAPITAL MANAGEMENT, LLC, ITS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ADVISOR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Acker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Andrew Acker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Portfolio Manager and Authorized Signatory</w:t>
            </w:r>
          </w:p>
        </w:tc>
      </w:tr>
    </w:tbl>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JANUS HENDERSON HORIZON FUND –</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BIOTECHNOLOGY FUND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JANUS CAPITAL MANAGEMENT, LLC, ITS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ADVISOR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Acker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Andrew Acker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Portfolio Manager and Authorized Signatory</w:t>
            </w:r>
          </w:p>
        </w:tc>
      </w:tr>
    </w:tbl>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JANUS HENDERSON BIOTECH INNOVATION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MASTER FUND LIMITED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JANUS CAPITAL MANAGEMENT, LLC, ITS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ADVISOR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Acker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Andrew Acker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Portfolio Manager and Authorized Signatory</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20"/>
          </w:cols>
          <w:pgMar w:left="440" w:top="274" w:right="439" w:bottom="1440" w:gutter="0" w:footer="0" w:header="0"/>
        </w:sectPr>
      </w:pPr>
    </w:p>
    <w:bookmarkStart w:id="351" w:name="page352"/>
    <w:bookmarkEnd w:id="351"/>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JAUME PONS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JOAQUIM TRIAS REVOCABLE TRUST DTD 08/26/05</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Joaquim Trias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Joaquim Trias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Trustee</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KWAUK AND WAN FAMILY TRUST</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Hong 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Hong Wan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Trustee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LOGOS OPPORTUNITIES FUND I, L.P.</w:t>
      </w:r>
    </w:p>
    <w:p>
      <w:pPr>
        <w:spacing w:after="0" w:line="121" w:lineRule="exact"/>
        <w:rPr>
          <w:sz w:val="20"/>
          <w:szCs w:val="20"/>
          <w:color w:val="auto"/>
        </w:rPr>
      </w:pPr>
    </w:p>
    <w:tbl>
      <w:tblPr>
        <w:tblLayout w:type="fixed"/>
        <w:tblInd w:w="6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60"/>
              <w:spacing w:after="0"/>
              <w:rPr>
                <w:sz w:val="20"/>
                <w:szCs w:val="20"/>
                <w:color w:val="auto"/>
              </w:rPr>
            </w:pPr>
            <w:r>
              <w:rPr>
                <w:rFonts w:ascii="Arial" w:cs="Arial" w:eastAsia="Arial" w:hAnsi="Arial"/>
                <w:sz w:val="18"/>
                <w:szCs w:val="18"/>
                <w:color w:val="auto"/>
              </w:rPr>
              <w:t>Logos Opportunities GP, LLC</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its General Partner</w:t>
            </w:r>
          </w:p>
        </w:tc>
      </w:tr>
      <w:tr>
        <w:trPr>
          <w:trHeight w:val="446"/>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Graham Walmsley</w:t>
            </w:r>
          </w:p>
        </w:tc>
      </w:tr>
      <w:tr>
        <w:trPr>
          <w:trHeight w:val="224"/>
        </w:trPr>
        <w:tc>
          <w:tcPr>
            <w:tcW w:w="520" w:type="dxa"/>
            <w:vAlign w:val="bottom"/>
          </w:tcPr>
          <w:p>
            <w:pPr>
              <w:spacing w:after="0"/>
              <w:rPr>
                <w:sz w:val="19"/>
                <w:szCs w:val="19"/>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Graham Walmsley, Manager</w:t>
            </w: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20"/>
          </w:cols>
          <w:pgMar w:left="440" w:top="274" w:right="439" w:bottom="1440" w:gutter="0" w:footer="0" w:header="0"/>
        </w:sectPr>
      </w:pPr>
    </w:p>
    <w:bookmarkStart w:id="352" w:name="page353"/>
    <w:bookmarkEnd w:id="352"/>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LIGHTSTONE VENTURES, LP</w:t>
      </w:r>
    </w:p>
    <w:p>
      <w:pPr>
        <w:spacing w:after="0" w:line="1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general partner LSV Associates,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Jason Lettmann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General Partner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LIGHTSTONE VENTURES (A), LP</w:t>
      </w:r>
    </w:p>
    <w:p>
      <w:pPr>
        <w:spacing w:after="0" w:line="1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general partner LSV Associates,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Jason Lettmann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General Partner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LIGHTSTONE VENTURES II, LP</w:t>
      </w:r>
    </w:p>
    <w:p>
      <w:pPr>
        <w:spacing w:after="0" w:line="1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general partner LSV Associates II,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Jason Lettmann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General Partner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LIGHTSTONE VENTURES II (A), LP</w:t>
      </w:r>
    </w:p>
    <w:p>
      <w:pPr>
        <w:spacing w:after="0" w:line="1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general partner LSV Associates II,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Jason Lettmann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General Partner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JASON LETTMANN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820"/>
          </w:cols>
          <w:pgMar w:left="440" w:top="274" w:right="639" w:bottom="1440" w:gutter="0" w:footer="0" w:header="0"/>
        </w:sectPr>
      </w:pPr>
    </w:p>
    <w:bookmarkStart w:id="353" w:name="page354"/>
    <w:bookmarkEnd w:id="353"/>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LONGEVITY FUNDS 2 LLC for</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LONGEVITY FUND 2 LP</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Laura Deming</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Laura Deming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Partner</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LONGEVITY FUNDS LLC for</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LONGEVITY FUND 1 LP</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/s/Laura Deming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Laura Deming</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Partner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MICHAEL CHANG</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Michael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PAUL AND DEBRA JENSEN LIVING TRUST</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Paul Jensen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Paul Jensen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Trustee</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 RANDOLPH SCOTT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 Randolph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RICH HEYMAN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Rich Heyman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20"/>
          </w:cols>
          <w:pgMar w:left="440" w:top="274" w:right="439" w:bottom="1440" w:gutter="0" w:footer="0" w:header="0"/>
        </w:sectPr>
      </w:pPr>
    </w:p>
    <w:bookmarkStart w:id="354" w:name="page355"/>
    <w:bookmarkEnd w:id="354"/>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ROBERT ADELMAN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Robert Adelman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THE BOARD OF TRUSTEES OF THE LELAND</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STANFORD JUNIOR UNIVERSITY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THE BOARD OF TRUSTEES OF THE LELAND</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STANFORD JUNIOR UNIVERSITY (PVF)</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Sabrina Liang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7"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Sabrina Liang, Authorized Signatory on behalf of</w:t>
      </w:r>
    </w:p>
    <w:p>
      <w:pPr>
        <w:spacing w:after="0" w:line="35"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The Board of Trustees of the Leland Stanford Junior</w:t>
      </w:r>
    </w:p>
    <w:p>
      <w:pPr>
        <w:spacing w:after="0" w:line="32"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University (PVF) &amp; The Board of Trustees of the</w:t>
      </w:r>
    </w:p>
    <w:p>
      <w:pPr>
        <w:spacing w:after="0" w:line="21"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Leland Stanford Junior University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TRESSA NOEHREN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Tressa Noehren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20"/>
          </w:cols>
          <w:pgMar w:left="440" w:top="274" w:right="539" w:bottom="1440" w:gutter="0" w:footer="0" w:header="0"/>
        </w:sectPr>
      </w:pPr>
    </w:p>
    <w:bookmarkStart w:id="355" w:name="page356"/>
    <w:bookmarkEnd w:id="355"/>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VENBIO GLOBAL STRATEGIC FUND,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venBio Global Strategic GP, L.P., its general partner</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venBio Global Strategic GP, Ltd., its general partner</w:t>
      </w: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Corey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Corey Goodman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Director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VENBIO GLOBAL STRATEGIC FUND II,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venBio Global Strategic GP II, L.P., its general partner</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venBio Global Strategic GP II, Ltd., its general partner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Corey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Corey Goodman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Director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VIVO CAPITAL FUND IX,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Vivo Capital IX, LLC,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Albert Cha</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860"/>
          </w:cols>
          <w:pgMar w:left="440" w:top="274" w:right="599" w:bottom="1440" w:gutter="0" w:footer="0" w:header="0"/>
        </w:sectPr>
      </w:pPr>
    </w:p>
    <w:bookmarkStart w:id="356" w:name="page357"/>
    <w:bookmarkEnd w:id="356"/>
    <w:p>
      <w:pPr>
        <w:jc w:val="center"/>
        <w:ind w:righ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3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Investors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Alexandria Venture Investments,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Trading Fund OS,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MSI BVF SPV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Goodman Barinaga Trust (Corey Goodman,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Cormorant Private Healthcare Fund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Cormorant Global Healthcare Master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CRMA SPV,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Foresite Capital Fund 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Emaldi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HBM Healthcare Investments (Cayman)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Janus Henderson Global Life Sciences Fund</w:t>
      </w:r>
    </w:p>
    <w:p>
      <w:pPr>
        <w:spacing w:after="0" w:line="9" w:lineRule="exact"/>
        <w:rPr>
          <w:sz w:val="20"/>
          <w:szCs w:val="20"/>
          <w:color w:val="auto"/>
        </w:rPr>
      </w:pPr>
    </w:p>
    <w:p>
      <w:pPr>
        <w:ind w:right="4119"/>
        <w:spacing w:after="0" w:line="250" w:lineRule="auto"/>
        <w:rPr>
          <w:sz w:val="20"/>
          <w:szCs w:val="20"/>
          <w:color w:val="auto"/>
        </w:rPr>
      </w:pPr>
      <w:r>
        <w:rPr>
          <w:rFonts w:ascii="Arial" w:cs="Arial" w:eastAsia="Arial" w:hAnsi="Arial"/>
          <w:sz w:val="18"/>
          <w:szCs w:val="18"/>
          <w:color w:val="auto"/>
        </w:rPr>
        <w:t>Janus Henderson Capital Funds plc—Janus Henderson Global Life Sciences Fund Janus Henderson Horizon Fund—Biotechnology Fund Janus Henderson Biotech Innovation Master Fund Limited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Jason Lettmann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Jaume Pons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Joaquim Trias Revocable Trust dtd 08/26/05 (Joaquim Trias,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Kwauk and Wan Family Trust (Hong Wan,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Lightstone Ventures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Lightstone Ventures,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Lightstone Ventures II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Lightstone Ventures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Logos Opportunities Fund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Longevity Fund 1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Longevity Fund 2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Chang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 and Debra Jensen Living Trust (Paul Jensen,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 Randolph Scott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 Heyman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Adelman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Board of Trustees of the Leland Stanford Junior University (PVF)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Tressa Noehren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VenBio Global Strategic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VenBio Global Strategic Fund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Vivo Capital Fund IX, L.P.</w:t>
      </w:r>
    </w:p>
    <w:p>
      <w:pPr>
        <w:sectPr>
          <w:pgSz w:w="11900" w:h="16838" w:orient="portrait"/>
          <w:cols w:equalWidth="0" w:num="1">
            <w:col w:w="10019"/>
          </w:cols>
          <w:pgMar w:left="440" w:top="270" w:right="1440" w:bottom="1440" w:gutter="0" w:footer="0" w:header="0"/>
        </w:sectPr>
      </w:pPr>
    </w:p>
    <w:bookmarkStart w:id="357" w:name="page358"/>
    <w:bookmarkEnd w:id="357"/>
    <w:p>
      <w:pPr>
        <w:ind w:left="9180"/>
        <w:spacing w:after="0"/>
        <w:rPr>
          <w:sz w:val="20"/>
          <w:szCs w:val="20"/>
          <w:color w:val="auto"/>
        </w:rPr>
      </w:pPr>
      <w:r>
        <w:rPr>
          <w:rFonts w:ascii="Arial" w:cs="Arial" w:eastAsia="Arial" w:hAnsi="Arial"/>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57785</wp:posOffset>
            </wp:positionV>
            <wp:extent cx="6986270" cy="432879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986270" cy="432879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58" w:name="page359"/>
    <w:bookmarkEnd w:id="3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69780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49465" cy="6978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9" w:name="page360"/>
    <w:bookmarkEnd w:id="359"/>
    <w:p>
      <w:pPr>
        <w:ind w:left="1018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388"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AMENDED AND RESTATED WARRANT TO PURCHASE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ALX Oncology Holdings Inc., a Delaware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Type/Series of Stock: </w:t>
      </w:r>
      <w:r>
        <w:rPr>
          <w:rFonts w:ascii="Arial" w:cs="Arial" w:eastAsia="Arial" w:hAnsi="Arial"/>
          <w:sz w:val="18"/>
          <w:szCs w:val="18"/>
          <w:color w:val="auto"/>
        </w:rPr>
        <w:t>Series B Preferred Stock, $0.001 par value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 See also Section 5.1(b).</w:t>
      </w:r>
    </w:p>
    <w:p>
      <w:pPr>
        <w:spacing w:after="0" w:line="131" w:lineRule="exact"/>
        <w:rPr>
          <w:sz w:val="20"/>
          <w:szCs w:val="20"/>
          <w:color w:val="auto"/>
        </w:rPr>
      </w:pPr>
    </w:p>
    <w:p>
      <w:pPr>
        <w:ind w:left="1180" w:right="80" w:hanging="1187"/>
        <w:spacing w:after="0" w:line="258" w:lineRule="auto"/>
        <w:rPr>
          <w:sz w:val="20"/>
          <w:szCs w:val="20"/>
          <w:color w:val="auto"/>
        </w:rPr>
      </w:pPr>
      <w:r>
        <w:rPr>
          <w:rFonts w:ascii="Arial" w:cs="Arial" w:eastAsia="Arial" w:hAnsi="Arial"/>
          <w:sz w:val="18"/>
          <w:szCs w:val="18"/>
          <w:b w:val="1"/>
          <w:bCs w:val="1"/>
          <w:color w:val="auto"/>
        </w:rPr>
        <w:t>Credit Facility:</w:t>
      </w:r>
      <w:r>
        <w:rPr>
          <w:rFonts w:ascii="Arial" w:cs="Arial" w:eastAsia="Arial" w:hAnsi="Arial"/>
          <w:sz w:val="18"/>
          <w:szCs w:val="18"/>
          <w:color w:val="auto"/>
        </w:rPr>
        <w:t>This Amended and Restated Warrant to Purchase Stock (as amended and in effect from time to time, this “</w:t>
      </w:r>
      <w:r>
        <w:rPr>
          <w:rFonts w:ascii="Arial" w:cs="Arial" w:eastAsia="Arial" w:hAnsi="Arial"/>
          <w:sz w:val="18"/>
          <w:szCs w:val="18"/>
          <w:b w:val="1"/>
          <w:bCs w:val="1"/>
          <w:u w:val="single" w:color="auto"/>
          <w:color w:val="auto"/>
        </w:rPr>
        <w:t>Warrant</w:t>
      </w:r>
      <w:r>
        <w:rPr>
          <w:rFonts w:ascii="Arial" w:cs="Arial" w:eastAsia="Arial" w:hAnsi="Arial"/>
          <w:sz w:val="18"/>
          <w:szCs w:val="18"/>
          <w:color w:val="auto"/>
        </w:rPr>
        <w:t>”) is issued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that certain Joinder and First Amendment, of even date herewith, to that certain Loan and Security Agreement dated December 20, 2019, among Silicon Valley Bank (“</w:t>
      </w:r>
      <w:r>
        <w:rPr>
          <w:rFonts w:ascii="Arial" w:cs="Arial" w:eastAsia="Arial" w:hAnsi="Arial"/>
          <w:sz w:val="18"/>
          <w:szCs w:val="18"/>
          <w:b w:val="1"/>
          <w:bCs w:val="1"/>
          <w:u w:val="single" w:color="auto"/>
          <w:color w:val="auto"/>
        </w:rPr>
        <w:t>Bank</w:t>
      </w:r>
      <w:r>
        <w:rPr>
          <w:rFonts w:ascii="Arial" w:cs="Arial" w:eastAsia="Arial" w:hAnsi="Arial"/>
          <w:sz w:val="18"/>
          <w:szCs w:val="18"/>
          <w:color w:val="auto"/>
        </w:rPr>
        <w:t>”), WestRiver Innovation Lending Fund VIII, L.P. (“</w:t>
      </w:r>
      <w:r>
        <w:rPr>
          <w:rFonts w:ascii="Arial" w:cs="Arial" w:eastAsia="Arial" w:hAnsi="Arial"/>
          <w:sz w:val="18"/>
          <w:szCs w:val="18"/>
          <w:b w:val="1"/>
          <w:bCs w:val="1"/>
          <w:u w:val="single" w:color="auto"/>
          <w:color w:val="auto"/>
        </w:rPr>
        <w:t>WRG</w:t>
      </w:r>
      <w:r>
        <w:rPr>
          <w:rFonts w:ascii="Arial" w:cs="Arial" w:eastAsia="Arial" w:hAnsi="Arial"/>
          <w:sz w:val="18"/>
          <w:szCs w:val="18"/>
          <w:color w:val="auto"/>
        </w:rPr>
        <w:t>”), Alexo Therapeutics International, Sirpant Therapeutics and the Company (collectively, and as may be further amended and/or modified and in effect from time to time, the “</w:t>
      </w:r>
      <w:r>
        <w:rPr>
          <w:rFonts w:ascii="Arial" w:cs="Arial" w:eastAsia="Arial" w:hAnsi="Arial"/>
          <w:sz w:val="18"/>
          <w:szCs w:val="18"/>
          <w:b w:val="1"/>
          <w:bCs w:val="1"/>
          <w:u w:val="single" w:color="auto"/>
          <w:color w:val="auto"/>
        </w:rPr>
        <w:t>Loan Agreement</w:t>
      </w:r>
      <w:r>
        <w:rPr>
          <w:rFonts w:ascii="Arial" w:cs="Arial" w:eastAsia="Arial" w:hAnsi="Arial"/>
          <w:sz w:val="18"/>
          <w:szCs w:val="18"/>
          <w:color w:val="auto"/>
        </w:rPr>
        <w:t>”).</w:t>
      </w:r>
    </w:p>
    <w:p>
      <w:pPr>
        <w:spacing w:after="0" w:line="187" w:lineRule="exact"/>
        <w:rPr>
          <w:sz w:val="20"/>
          <w:szCs w:val="20"/>
          <w:color w:val="auto"/>
        </w:rPr>
      </w:pPr>
    </w:p>
    <w:p>
      <w:pPr>
        <w:ind w:left="440"/>
        <w:spacing w:after="0"/>
        <w:tabs>
          <w:tab w:leader="none" w:pos="6700" w:val="left"/>
        </w:tabs>
        <w:rPr>
          <w:sz w:val="20"/>
          <w:szCs w:val="20"/>
          <w:color w:val="auto"/>
        </w:rPr>
      </w:pPr>
      <w:r>
        <w:rPr>
          <w:rFonts w:ascii="Arial" w:cs="Arial" w:eastAsia="Arial" w:hAnsi="Arial"/>
          <w:sz w:val="18"/>
          <w:szCs w:val="18"/>
          <w:color w:val="auto"/>
        </w:rPr>
        <w:t>THIS WARRANT CERTIFIES THAT, for good and valuable consideration,</w:t>
      </w:r>
      <w:r>
        <w:rPr>
          <w:sz w:val="20"/>
          <w:szCs w:val="20"/>
          <w:color w:val="auto"/>
        </w:rPr>
        <w:tab/>
      </w:r>
      <w:r>
        <w:rPr>
          <w:rFonts w:ascii="Arial" w:cs="Arial" w:eastAsia="Arial" w:hAnsi="Arial"/>
          <w:sz w:val="16"/>
          <w:szCs w:val="16"/>
          <w:color w:val="auto"/>
        </w:rPr>
        <w:t>(together with any successor or permitted assignee or</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up to the above-stated number of fully paid and non-assessable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above-stated Type/Series of Stock (the “</w:t>
      </w:r>
      <w:r>
        <w:rPr>
          <w:rFonts w:ascii="Arial" w:cs="Arial" w:eastAsia="Arial" w:hAnsi="Arial"/>
          <w:sz w:val="18"/>
          <w:szCs w:val="18"/>
          <w:b w:val="1"/>
          <w:bCs w:val="1"/>
          <w:u w:val="single" w:color="auto"/>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w:t>
      </w:r>
    </w:p>
    <w:p>
      <w:pPr>
        <w:spacing w:after="0" w:line="193" w:lineRule="exact"/>
        <w:rPr>
          <w:sz w:val="20"/>
          <w:szCs w:val="20"/>
          <w:color w:val="auto"/>
        </w:rPr>
      </w:pPr>
    </w:p>
    <w:p>
      <w:pPr>
        <w:ind w:left="1340" w:hanging="353"/>
        <w:spacing w:after="0"/>
        <w:tabs>
          <w:tab w:leader="none" w:pos="134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Recitals; Termination of Prior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428"/>
        <w:spacing w:after="0" w:line="291" w:lineRule="auto"/>
        <w:tabs>
          <w:tab w:leader="none" w:pos="1822" w:val="left"/>
        </w:tabs>
        <w:numPr>
          <w:ilvl w:val="1"/>
          <w:numId w:val="246"/>
        </w:numPr>
        <w:rPr>
          <w:rFonts w:ascii="Arial" w:cs="Arial" w:eastAsia="Arial" w:hAnsi="Arial"/>
          <w:sz w:val="16"/>
          <w:szCs w:val="16"/>
          <w:color w:val="auto"/>
        </w:rPr>
      </w:pPr>
      <w:r>
        <w:rPr>
          <w:rFonts w:ascii="Arial" w:cs="Arial" w:eastAsia="Arial" w:hAnsi="Arial"/>
          <w:sz w:val="16"/>
          <w:szCs w:val="16"/>
          <w:color w:val="auto"/>
        </w:rPr>
        <w:t>Reference is made to (i) that certain Warrant Instrument, dated December 20, 2019, executed by ALX Oncology Limited, an Ireland registered company (the “</w:t>
      </w:r>
      <w:r>
        <w:rPr>
          <w:rFonts w:ascii="Arial" w:cs="Arial" w:eastAsia="Arial" w:hAnsi="Arial"/>
          <w:sz w:val="16"/>
          <w:szCs w:val="16"/>
          <w:b w:val="1"/>
          <w:bCs w:val="1"/>
          <w:u w:val="single" w:color="auto"/>
          <w:color w:val="auto"/>
        </w:rPr>
        <w:t>Original Issuer</w:t>
      </w:r>
      <w:r>
        <w:rPr>
          <w:rFonts w:ascii="Arial" w:cs="Arial" w:eastAsia="Arial" w:hAnsi="Arial"/>
          <w:sz w:val="16"/>
          <w:szCs w:val="16"/>
          <w:color w:val="auto"/>
        </w:rPr>
        <w:t>”), in favor of each of Bank and WRG (as amended, the “</w:t>
      </w:r>
      <w:r>
        <w:rPr>
          <w:rFonts w:ascii="Arial" w:cs="Arial" w:eastAsia="Arial" w:hAnsi="Arial"/>
          <w:sz w:val="16"/>
          <w:szCs w:val="16"/>
          <w:b w:val="1"/>
          <w:bCs w:val="1"/>
          <w:u w:val="single" w:color="auto"/>
          <w:color w:val="auto"/>
        </w:rPr>
        <w:t>Warrant Instrument</w:t>
      </w:r>
      <w:r>
        <w:rPr>
          <w:rFonts w:ascii="Arial" w:cs="Arial" w:eastAsia="Arial" w:hAnsi="Arial"/>
          <w:sz w:val="16"/>
          <w:szCs w:val="16"/>
          <w:color w:val="auto"/>
        </w:rPr>
        <w:t>”), and (ii) that certain</w:t>
      </w:r>
    </w:p>
    <w:p>
      <w:pPr>
        <w:ind w:right="120"/>
        <w:spacing w:after="0" w:line="255" w:lineRule="auto"/>
        <w:rPr>
          <w:sz w:val="20"/>
          <w:szCs w:val="20"/>
          <w:color w:val="auto"/>
        </w:rPr>
      </w:pPr>
      <w:r>
        <w:rPr>
          <w:rFonts w:ascii="Arial" w:cs="Arial" w:eastAsia="Arial" w:hAnsi="Arial"/>
          <w:sz w:val="18"/>
          <w:szCs w:val="18"/>
          <w:color w:val="auto"/>
        </w:rPr>
        <w:t>Certificate issued by the Original Issuer to pursuant to the Warrant Instrument dated December 20, 2019 evidencing the right to subscribe for and purchase up to Series B Preferred Shares of the Original Issuer (the “</w:t>
      </w:r>
      <w:r>
        <w:rPr>
          <w:rFonts w:ascii="Arial" w:cs="Arial" w:eastAsia="Arial" w:hAnsi="Arial"/>
          <w:sz w:val="18"/>
          <w:szCs w:val="18"/>
          <w:b w:val="1"/>
          <w:bCs w:val="1"/>
          <w:u w:val="single" w:color="auto"/>
          <w:color w:val="auto"/>
        </w:rPr>
        <w:t>Certificate</w:t>
      </w:r>
      <w:r>
        <w:rPr>
          <w:rFonts w:ascii="Arial" w:cs="Arial" w:eastAsia="Arial" w:hAnsi="Arial"/>
          <w:sz w:val="18"/>
          <w:szCs w:val="18"/>
          <w:color w:val="auto"/>
        </w:rPr>
        <w:t>” and, together with the Warrant Instrument, the “</w:t>
      </w:r>
      <w:r>
        <w:rPr>
          <w:rFonts w:ascii="Arial" w:cs="Arial" w:eastAsia="Arial" w:hAnsi="Arial"/>
          <w:sz w:val="18"/>
          <w:szCs w:val="18"/>
          <w:b w:val="1"/>
          <w:bCs w:val="1"/>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Warrant</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360" w:name="page361"/>
    <w:bookmarkEnd w:id="360"/>
    <w:p>
      <w:pPr>
        <w:ind w:left="1420"/>
        <w:spacing w:after="0"/>
        <w:tabs>
          <w:tab w:leader="none" w:pos="1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w:t>
      </w:r>
      <w:r>
        <w:rPr>
          <w:sz w:val="20"/>
          <w:szCs w:val="20"/>
          <w:color w:val="auto"/>
        </w:rPr>
        <w:tab/>
      </w:r>
      <w:r>
        <w:rPr>
          <w:rFonts w:ascii="Arial" w:cs="Arial" w:eastAsia="Arial" w:hAnsi="Arial"/>
          <w:sz w:val="16"/>
          <w:szCs w:val="16"/>
          <w:color w:val="auto"/>
        </w:rPr>
        <w:t>This Warrant is issued in exchange for and replacement of, and amends and restates in its entirety, the Original Warrant to the</w:t>
      </w:r>
    </w:p>
    <w:p>
      <w:pPr>
        <w:sectPr>
          <w:pgSz w:w="11900" w:h="16838" w:orient="portrait"/>
          <w:cols w:equalWidth="0" w:num="1">
            <w:col w:w="11000"/>
          </w:cols>
          <w:pgMar w:left="440" w:top="274" w:right="459" w:bottom="1440" w:gutter="0" w:footer="0" w:header="0"/>
        </w:sectPr>
      </w:pP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full extent of Original Warrant and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right"/>
        <w:ind w:right="580"/>
        <w:spacing w:after="0" w:line="323" w:lineRule="auto"/>
        <w:rPr>
          <w:sz w:val="20"/>
          <w:szCs w:val="20"/>
          <w:color w:val="auto"/>
        </w:rPr>
      </w:pPr>
      <w:r>
        <w:rPr>
          <w:rFonts w:ascii="Arial" w:cs="Arial" w:eastAsia="Arial" w:hAnsi="Arial"/>
          <w:sz w:val="16"/>
          <w:szCs w:val="16"/>
          <w:color w:val="auto"/>
        </w:rPr>
        <w:t>’s right and interest therein and thereto. Effective upon execution and delivery of this Warrant by the parties hereto, the ’s entire right and interest therein and thereto shall automatically terminate and be of no further force or effect.</w:t>
      </w:r>
    </w:p>
    <w:p>
      <w:pPr>
        <w:spacing w:after="0" w:line="200" w:lineRule="exact"/>
        <w:rPr>
          <w:sz w:val="20"/>
          <w:szCs w:val="20"/>
          <w:color w:val="auto"/>
        </w:rPr>
      </w:pPr>
    </w:p>
    <w:p>
      <w:pPr>
        <w:sectPr>
          <w:pgSz w:w="11900" w:h="16838" w:orient="portrait"/>
          <w:cols w:equalWidth="0" w:num="2">
            <w:col w:w="1520" w:space="360"/>
            <w:col w:w="9120"/>
          </w:cols>
          <w:pgMar w:left="440" w:top="274" w:right="459" w:bottom="1440" w:gutter="0" w:footer="0" w:header="0"/>
          <w:type w:val="continuous"/>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Holder may exercise this Warrant in whole or in part at any time and from time to time prior to the expiration or earlier termination hereof by delivering to the Company the original of this Warrant together with a duly executed Notice of Exercise in substantially the form attached hereto as </w:t>
      </w:r>
      <w:r>
        <w:rPr>
          <w:rFonts w:ascii="Arial" w:cs="Arial" w:eastAsia="Arial" w:hAnsi="Arial"/>
          <w:sz w:val="17"/>
          <w:szCs w:val="17"/>
          <w:u w:val="single" w:color="auto"/>
          <w:color w:val="auto"/>
        </w:rPr>
        <w:t>Appendix 1</w:t>
      </w:r>
      <w:r>
        <w:rPr>
          <w:rFonts w:ascii="Arial" w:cs="Arial" w:eastAsia="Arial" w:hAnsi="Arial"/>
          <w:sz w:val="17"/>
          <w:szCs w:val="17"/>
          <w:color w:val="auto"/>
        </w:rPr>
        <w:t xml:space="preserve">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 Notwithstanding any contrary provision herein, if this Warrant was originally executed and/or delivered electronically, in no event shall Holder be required to surrender or deliver an ink-signed paper copy of this Warrant in connection with its exercise hereof or of any rights hereunder, be required for any exercise of a Holder’s rights hereunder, nor shall Holder be required to surrender or deliver a paper or other physical copy of this Warrant in connection with any exercise hereof.</w:t>
      </w:r>
    </w:p>
    <w:p>
      <w:pPr>
        <w:spacing w:after="0" w:line="178"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9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X = Y(A-B)/A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13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X = the number of Shares to be issued to the Holder;</w:t>
      </w:r>
    </w:p>
    <w:p>
      <w:pPr>
        <w:spacing w:after="0" w:line="117" w:lineRule="exact"/>
        <w:rPr>
          <w:sz w:val="20"/>
          <w:szCs w:val="20"/>
          <w:color w:val="auto"/>
        </w:rPr>
      </w:pPr>
    </w:p>
    <w:p>
      <w:pPr>
        <w:ind w:left="2040" w:right="500" w:hanging="377"/>
        <w:spacing w:after="0" w:line="277" w:lineRule="auto"/>
        <w:rPr>
          <w:sz w:val="20"/>
          <w:szCs w:val="20"/>
          <w:color w:val="auto"/>
        </w:rPr>
      </w:pPr>
      <w:r>
        <w:rPr>
          <w:rFonts w:ascii="Arial" w:cs="Arial" w:eastAsia="Arial" w:hAnsi="Arial"/>
          <w:sz w:val="18"/>
          <w:szCs w:val="18"/>
          <w:color w:val="auto"/>
        </w:rPr>
        <w:t>Y = the number of Shares with respect to which this Warrant is being exercised (inclusive of the Shares surrendered to the Company in payment of the aggregate Warrant Price);</w:t>
      </w:r>
    </w:p>
    <w:p>
      <w:pPr>
        <w:spacing w:after="0" w:line="62" w:lineRule="exact"/>
        <w:rPr>
          <w:sz w:val="20"/>
          <w:szCs w:val="20"/>
          <w:color w:val="auto"/>
        </w:rPr>
      </w:pPr>
    </w:p>
    <w:p>
      <w:pPr>
        <w:ind w:left="1660" w:right="2800"/>
        <w:spacing w:after="0" w:line="402" w:lineRule="auto"/>
        <w:rPr>
          <w:sz w:val="20"/>
          <w:szCs w:val="20"/>
          <w:color w:val="auto"/>
        </w:rPr>
      </w:pPr>
      <w:r>
        <w:rPr>
          <w:rFonts w:ascii="Arial" w:cs="Arial" w:eastAsia="Arial" w:hAnsi="Arial"/>
          <w:sz w:val="18"/>
          <w:szCs w:val="18"/>
          <w:color w:val="auto"/>
        </w:rPr>
        <w:t>A = the fair market value (as determined pursuant to Section 1.3 below) of one Share; and B = the Warrant Price.</w:t>
      </w:r>
    </w:p>
    <w:p>
      <w:pPr>
        <w:spacing w:after="0" w:line="63"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type w:val="continuous"/>
        </w:sectPr>
      </w:pPr>
    </w:p>
    <w:bookmarkStart w:id="361" w:name="page362"/>
    <w:bookmarkEnd w:id="361"/>
    <w:p>
      <w:pPr>
        <w:ind w:left="4"/>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market (a “</w:t>
      </w:r>
      <w:r>
        <w:rPr>
          <w:rFonts w:ascii="Arial" w:cs="Arial" w:eastAsia="Arial" w:hAnsi="Arial"/>
          <w:sz w:val="16"/>
          <w:szCs w:val="16"/>
          <w:b w:val="1"/>
          <w:bCs w:val="1"/>
          <w:u w:val="single" w:color="auto"/>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65" w:lineRule="exact"/>
        <w:rPr>
          <w:sz w:val="20"/>
          <w:szCs w:val="20"/>
          <w:color w:val="auto"/>
        </w:rPr>
      </w:pPr>
    </w:p>
    <w:p>
      <w:pPr>
        <w:ind w:left="4" w:right="120" w:firstLine="991"/>
        <w:spacing w:after="0" w:line="279"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(or, in the case of uncertificated securities, provide notice of book entry) representing the Shares issued to Holder upon such exercise and, if this Warrant has not been fully exercised and has not expired, a new warrant of like tenor representing the Shares not so acquired (or surrendered in payment of the aggregate Warrant Price).</w:t>
      </w:r>
    </w:p>
    <w:p>
      <w:pPr>
        <w:spacing w:after="0" w:line="171"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Replacement of Warrant</w:t>
      </w:r>
      <w:r>
        <w:rPr>
          <w:rFonts w:ascii="Arial" w:cs="Arial" w:eastAsia="Arial" w:hAnsi="Arial"/>
          <w:sz w:val="16"/>
          <w:szCs w:val="16"/>
          <w:color w:val="auto"/>
        </w:rPr>
        <w:t>.</w:t>
      </w:r>
    </w:p>
    <w:p>
      <w:pPr>
        <w:spacing w:after="0" w:line="225" w:lineRule="exact"/>
        <w:rPr>
          <w:sz w:val="20"/>
          <w:szCs w:val="20"/>
          <w:color w:val="auto"/>
        </w:rPr>
      </w:pPr>
    </w:p>
    <w:p>
      <w:pPr>
        <w:ind w:left="4" w:firstLine="1428"/>
        <w:spacing w:after="0" w:line="257" w:lineRule="auto"/>
        <w:tabs>
          <w:tab w:leader="none" w:pos="1816"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Paper Original Warrant</w:t>
      </w:r>
      <w:r>
        <w:rPr>
          <w:rFonts w:ascii="Arial" w:cs="Arial" w:eastAsia="Arial" w:hAnsi="Arial"/>
          <w:sz w:val="18"/>
          <w:szCs w:val="18"/>
          <w:color w:val="auto"/>
        </w:rPr>
        <w:t>. To the extent that the original of this Warrant is a paper original,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rFonts w:ascii="Arial" w:cs="Arial" w:eastAsia="Arial" w:hAnsi="Arial"/>
          <w:sz w:val="18"/>
          <w:szCs w:val="18"/>
          <w:color w:val="auto"/>
        </w:rPr>
      </w:pPr>
    </w:p>
    <w:p>
      <w:pPr>
        <w:ind w:left="4" w:right="20" w:firstLine="1428"/>
        <w:spacing w:after="0" w:line="257" w:lineRule="auto"/>
        <w:tabs>
          <w:tab w:leader="none" w:pos="1826"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Electronic Original Warrant</w:t>
      </w:r>
      <w:r>
        <w:rPr>
          <w:rFonts w:ascii="Arial" w:cs="Arial" w:eastAsia="Arial" w:hAnsi="Arial"/>
          <w:sz w:val="18"/>
          <w:szCs w:val="18"/>
          <w:color w:val="auto"/>
        </w:rPr>
        <w:t>. To the extent that the original of this Warrant is an electronic original, if at any time this Warrant is rejected by any person (including, but not limited to, paying or escrow agents) or any such person fails to comply with the terms of this Warrant based on this Warrant being presented to such person as an electronic record or a printout hereof, or any signature hereto being in electronic form, the Company shall, promptly upon Holder’s request and without indemnity, execute and deliver to Holder, in lieu of electronic original versions of this Warrant, a new warrant of like tenor and amount in paper form with original ink signatures.</w:t>
      </w:r>
    </w:p>
    <w:p>
      <w:pPr>
        <w:spacing w:after="0" w:line="188"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1" w:lineRule="exact"/>
        <w:rPr>
          <w:sz w:val="20"/>
          <w:szCs w:val="20"/>
          <w:color w:val="auto"/>
        </w:rPr>
      </w:pPr>
    </w:p>
    <w:p>
      <w:pPr>
        <w:ind w:left="1804" w:hanging="372"/>
        <w:spacing w:after="0"/>
        <w:tabs>
          <w:tab w:leader="none" w:pos="1804" w:val="left"/>
        </w:tabs>
        <w:numPr>
          <w:ilvl w:val="1"/>
          <w:numId w:val="248"/>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u w:val="single" w:color="auto"/>
          <w:color w:val="auto"/>
        </w:rPr>
        <w:t>Acquisition</w:t>
      </w:r>
      <w:r>
        <w:rPr>
          <w:rFonts w:ascii="Arial" w:cs="Arial" w:eastAsia="Arial" w:hAnsi="Arial"/>
          <w:sz w:val="16"/>
          <w:szCs w:val="16"/>
          <w:color w:val="auto"/>
        </w:rPr>
        <w:t>” means any transaction or series of related transactions involving:</w:t>
      </w:r>
    </w:p>
    <w:p>
      <w:pPr>
        <w:spacing w:after="0" w:line="50" w:lineRule="exact"/>
        <w:rPr>
          <w:rFonts w:ascii="Arial" w:cs="Arial" w:eastAsia="Arial" w:hAnsi="Arial"/>
          <w:sz w:val="16"/>
          <w:szCs w:val="16"/>
          <w:color w:val="auto"/>
        </w:rPr>
      </w:pPr>
    </w:p>
    <w:p>
      <w:pPr>
        <w:ind w:left="4" w:right="200" w:hanging="4"/>
        <w:spacing w:after="0" w:line="273" w:lineRule="auto"/>
        <w:tabs>
          <w:tab w:leader="none" w:pos="219"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0" w:right="479" w:bottom="1440" w:gutter="0" w:footer="0" w:header="0"/>
        </w:sectPr>
      </w:pPr>
    </w:p>
    <w:bookmarkStart w:id="362" w:name="page363"/>
    <w:bookmarkEnd w:id="36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187" w:lineRule="exact"/>
        <w:rPr>
          <w:sz w:val="20"/>
          <w:szCs w:val="20"/>
          <w:color w:val="auto"/>
        </w:rPr>
      </w:pPr>
    </w:p>
    <w:p>
      <w:pPr>
        <w:ind w:right="40" w:firstLine="1428"/>
        <w:spacing w:after="0" w:line="288" w:lineRule="auto"/>
        <w:tabs>
          <w:tab w:leader="none" w:pos="1822"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Treatment of Warrant at Acquisition</w:t>
      </w:r>
      <w:r>
        <w:rPr>
          <w:rFonts w:ascii="Arial" w:cs="Arial" w:eastAsia="Arial" w:hAnsi="Arial"/>
          <w:sz w:val="16"/>
          <w:szCs w:val="16"/>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6"/>
          <w:szCs w:val="16"/>
          <w:b w:val="1"/>
          <w:bCs w:val="1"/>
          <w:u w:val="single" w:color="auto"/>
          <w:color w:val="auto"/>
        </w:rPr>
        <w:t>Cash/Public</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Acquisition</w:t>
      </w:r>
      <w:r>
        <w:rPr>
          <w:rFonts w:ascii="Arial" w:cs="Arial" w:eastAsia="Arial" w:hAnsi="Arial"/>
          <w:sz w:val="16"/>
          <w:szCs w:val="16"/>
          <w:color w:val="auto"/>
        </w:rPr>
        <w:t>”), and the fair market value of one Share as determined in accordance with Section 1.3 above would be greater than the Warrant Price in</w:t>
      </w:r>
      <w:r>
        <w:rPr>
          <w:rFonts w:ascii="Arial" w:cs="Arial" w:eastAsia="Arial" w:hAnsi="Arial"/>
          <w:sz w:val="16"/>
          <w:szCs w:val="16"/>
          <w:b w:val="1"/>
          <w:bCs w:val="1"/>
          <w:color w:val="auto"/>
        </w:rPr>
        <w:t xml:space="preserve"> </w:t>
      </w:r>
      <w:r>
        <w:rPr>
          <w:rFonts w:ascii="Arial" w:cs="Arial" w:eastAsia="Arial" w:hAnsi="Arial"/>
          <w:sz w:val="16"/>
          <w:szCs w:val="16"/>
          <w:color w:val="auto"/>
        </w:rPr>
        <w:t>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of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68" w:lineRule="exact"/>
        <w:rPr>
          <w:rFonts w:ascii="Arial" w:cs="Arial" w:eastAsia="Arial" w:hAnsi="Arial"/>
          <w:sz w:val="16"/>
          <w:szCs w:val="16"/>
          <w:color w:val="auto"/>
        </w:rPr>
      </w:pPr>
    </w:p>
    <w:p>
      <w:pPr>
        <w:ind w:right="80" w:firstLine="1428"/>
        <w:spacing w:after="0" w:line="279" w:lineRule="auto"/>
        <w:tabs>
          <w:tab w:leader="none" w:pos="1812" w:val="left"/>
        </w:tabs>
        <w:numPr>
          <w:ilvl w:val="0"/>
          <w:numId w:val="250"/>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ind w:right="20" w:firstLine="1428"/>
        <w:spacing w:after="0" w:line="291" w:lineRule="auto"/>
        <w:tabs>
          <w:tab w:leader="none" w:pos="181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u w:val="single" w:color="auto"/>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and is then current in its filing of all required reports and other information under the Act and the Exchange Act; (ii) the class and series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363" w:name="page364"/>
    <w:bookmarkEnd w:id="36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w:t>
      </w:r>
    </w:p>
    <w:p>
      <w:pPr>
        <w:spacing w:after="0" w:line="2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6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2" w:lineRule="exact"/>
        <w:rPr>
          <w:sz w:val="20"/>
          <w:szCs w:val="20"/>
          <w:color w:val="auto"/>
        </w:rPr>
      </w:pPr>
    </w:p>
    <w:p>
      <w:pPr>
        <w:ind w:right="100" w:firstLine="991"/>
        <w:spacing w:after="0" w:line="25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Conversion of Preferred Stock</w:t>
      </w:r>
      <w:r>
        <w:rPr>
          <w:rFonts w:ascii="Arial" w:cs="Arial" w:eastAsia="Arial" w:hAnsi="Arial"/>
          <w:sz w:val="18"/>
          <w:szCs w:val="18"/>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as amended and in effect from time to time (the “</w:t>
      </w:r>
      <w:r>
        <w:rPr>
          <w:rFonts w:ascii="Arial" w:cs="Arial" w:eastAsia="Arial" w:hAnsi="Arial"/>
          <w:sz w:val="18"/>
          <w:szCs w:val="18"/>
          <w:b w:val="1"/>
          <w:bCs w:val="1"/>
          <w:u w:val="single" w:color="auto"/>
          <w:color w:val="auto"/>
        </w:rPr>
        <w:t>COI</w:t>
      </w:r>
      <w:r>
        <w:rPr>
          <w:rFonts w:ascii="Arial" w:cs="Arial" w:eastAsia="Arial" w:hAnsi="Arial"/>
          <w:sz w:val="18"/>
          <w:szCs w:val="18"/>
          <w:color w:val="auto"/>
        </w:rPr>
        <w:t>”), including, without limitation, in connection with the Company’s initial, underwritten public offering and sale of its common stock pursuant to an effective registration statement under the Act (the “</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96"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Adjustments for Diluting Issuances</w:t>
      </w:r>
      <w:r>
        <w:rPr>
          <w:rFonts w:ascii="Arial" w:cs="Arial" w:eastAsia="Arial" w:hAnsi="Arial"/>
          <w:sz w:val="18"/>
          <w:szCs w:val="18"/>
          <w:color w:val="auto"/>
        </w:rPr>
        <w:t>. Without duplication of any adjustment otherwise provided for in this Section 2, the number of shares of common stock issuable upon conversion of the Shares shall be subject to anti-dilution adjustment from time to time in the manner set forth in the COI as if the Shares were issued and outstanding on and as of the date of any such required adjustment.</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364" w:name="page365"/>
    <w:bookmarkEnd w:id="364"/>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4"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88"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Pay to Play Adjustments</w:t>
      </w:r>
      <w:r>
        <w:rPr>
          <w:rFonts w:ascii="Arial" w:cs="Arial" w:eastAsia="Arial" w:hAnsi="Arial"/>
          <w:sz w:val="17"/>
          <w:szCs w:val="17"/>
          <w:color w:val="auto"/>
        </w:rPr>
        <w:t>. Notwithstanding the definition of Class herein, if Pay to Play Provisions are at any time during the term of this Warrant applied to the outstanding shares of the Class, then from and after such application, “Class” shall mean that class and series of the Company’s securities that a holder of outstanding shares of the Class as of immediately prior to such application would have received or retained had such holder participated in the manner necessary to receive or retain the class and series of the Company’s securities having the relative rights, powers, privileges and preferences more favorable to the holder. As used herein, “</w:t>
      </w:r>
      <w:r>
        <w:rPr>
          <w:rFonts w:ascii="Arial" w:cs="Arial" w:eastAsia="Arial" w:hAnsi="Arial"/>
          <w:sz w:val="17"/>
          <w:szCs w:val="17"/>
          <w:b w:val="1"/>
          <w:bCs w:val="1"/>
          <w:u w:val="single" w:color="auto"/>
          <w:color w:val="auto"/>
        </w:rPr>
        <w:t>Pay to Play Provisions</w:t>
      </w:r>
      <w:r>
        <w:rPr>
          <w:rFonts w:ascii="Arial" w:cs="Arial" w:eastAsia="Arial" w:hAnsi="Arial"/>
          <w:sz w:val="17"/>
          <w:szCs w:val="17"/>
          <w:color w:val="auto"/>
        </w:rPr>
        <w:t>” means provisions set forth in the COI or elsewhere that require holders of the outstanding shares of the Class to participate in a subsequent round of equity financing of the Company or lose all or a portion of the benefit of anti-dilution protection or any other right, power, privilege or preference applicable to such shares or have such shares automatically convert to common stock or another class or series of Company capital stock.</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117" w:lineRule="exact"/>
        <w:rPr>
          <w:sz w:val="20"/>
          <w:szCs w:val="20"/>
          <w:color w:val="auto"/>
        </w:rPr>
      </w:pPr>
    </w:p>
    <w:p>
      <w:pPr>
        <w:ind w:left="1800" w:hanging="372"/>
        <w:spacing w:after="0"/>
        <w:tabs>
          <w:tab w:leader="none" w:pos="18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1428"/>
        <w:spacing w:after="0" w:line="296" w:lineRule="auto"/>
        <w:tabs>
          <w:tab w:leader="none" w:pos="181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61" w:lineRule="exact"/>
        <w:rPr>
          <w:rFonts w:ascii="Arial" w:cs="Arial" w:eastAsia="Arial" w:hAnsi="Arial"/>
          <w:sz w:val="16"/>
          <w:szCs w:val="16"/>
          <w:color w:val="auto"/>
        </w:rPr>
      </w:pPr>
    </w:p>
    <w:p>
      <w:pPr>
        <w:ind w:left="1800" w:hanging="372"/>
        <w:spacing w:after="0"/>
        <w:tabs>
          <w:tab w:leader="none" w:pos="180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1"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65" w:name="page366"/>
    <w:bookmarkEnd w:id="365"/>
    <w:p>
      <w:pPr>
        <w:ind w:right="440" w:firstLine="1428"/>
        <w:spacing w:after="0" w:line="277" w:lineRule="auto"/>
        <w:tabs>
          <w:tab w:leader="none" w:pos="1812" w:val="left"/>
        </w:tabs>
        <w:numPr>
          <w:ilvl w:val="0"/>
          <w:numId w:val="2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160" w:firstLine="1428"/>
        <w:spacing w:after="0" w:line="277" w:lineRule="auto"/>
        <w:tabs>
          <w:tab w:leader="none" w:pos="182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offer for subscription or sale pro rata to all holders of the outstanding shares of the Class any additional shares of any class or series of the Company’s stock (other than pursuant to contractual pre-emptive or first refusal rights);</w:t>
      </w:r>
    </w:p>
    <w:p>
      <w:pPr>
        <w:spacing w:after="0" w:line="170" w:lineRule="exact"/>
        <w:rPr>
          <w:rFonts w:ascii="Arial" w:cs="Arial" w:eastAsia="Arial" w:hAnsi="Arial"/>
          <w:sz w:val="18"/>
          <w:szCs w:val="18"/>
          <w:color w:val="auto"/>
        </w:rPr>
      </w:pPr>
    </w:p>
    <w:p>
      <w:pPr>
        <w:ind w:left="1800" w:hanging="372"/>
        <w:spacing w:after="0"/>
        <w:tabs>
          <w:tab w:leader="none" w:pos="180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Class;</w:t>
      </w:r>
    </w:p>
    <w:p>
      <w:pPr>
        <w:spacing w:after="0" w:line="210" w:lineRule="exact"/>
        <w:rPr>
          <w:rFonts w:ascii="Arial" w:cs="Arial" w:eastAsia="Arial" w:hAnsi="Arial"/>
          <w:sz w:val="16"/>
          <w:szCs w:val="16"/>
          <w:color w:val="auto"/>
        </w:rPr>
      </w:pPr>
    </w:p>
    <w:p>
      <w:pPr>
        <w:ind w:left="1820" w:hanging="392"/>
        <w:spacing w:after="0"/>
        <w:tabs>
          <w:tab w:leader="none" w:pos="18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1800" w:hanging="372"/>
        <w:spacing w:after="0"/>
        <w:tabs>
          <w:tab w:leader="none" w:pos="18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ind w:left="980" w:firstLine="408"/>
        <w:spacing w:after="0" w:line="311" w:lineRule="auto"/>
        <w:tabs>
          <w:tab w:leader="none" w:pos="1816" w:val="left"/>
        </w:tabs>
        <w:numPr>
          <w:ilvl w:val="0"/>
          <w:numId w:val="253"/>
        </w:numPr>
        <w:rPr>
          <w:rFonts w:ascii="Arial" w:cs="Arial" w:eastAsia="Arial" w:hAnsi="Arial"/>
          <w:sz w:val="16"/>
          <w:szCs w:val="16"/>
          <w:color w:val="auto"/>
        </w:rPr>
      </w:pPr>
      <w:r>
        <w:rPr>
          <w:rFonts w:ascii="Arial" w:cs="Arial" w:eastAsia="Arial" w:hAnsi="Arial"/>
          <w:sz w:val="16"/>
          <w:szCs w:val="16"/>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Class will be entitled thereto) or for determining rights to vote, if any;</w:t>
      </w:r>
    </w:p>
    <w:p>
      <w:pPr>
        <w:spacing w:after="0" w:line="40" w:lineRule="exact"/>
        <w:rPr>
          <w:rFonts w:ascii="Arial" w:cs="Arial" w:eastAsia="Arial" w:hAnsi="Arial"/>
          <w:sz w:val="16"/>
          <w:szCs w:val="16"/>
          <w:color w:val="auto"/>
        </w:rPr>
      </w:pPr>
    </w:p>
    <w:p>
      <w:pPr>
        <w:jc w:val="both"/>
        <w:ind w:left="980" w:right="80" w:firstLine="408"/>
        <w:spacing w:after="0" w:line="301" w:lineRule="auto"/>
        <w:tabs>
          <w:tab w:leader="none" w:pos="1816" w:val="left"/>
        </w:tabs>
        <w:numPr>
          <w:ilvl w:val="0"/>
          <w:numId w:val="253"/>
        </w:numPr>
        <w:rPr>
          <w:rFonts w:ascii="Arial" w:cs="Arial" w:eastAsia="Arial" w:hAnsi="Arial"/>
          <w:sz w:val="16"/>
          <w:szCs w:val="16"/>
          <w:color w:val="auto"/>
        </w:rPr>
      </w:pPr>
      <w:r>
        <w:rPr>
          <w:rFonts w:ascii="Arial" w:cs="Arial" w:eastAsia="Arial" w:hAnsi="Arial"/>
          <w:sz w:val="16"/>
          <w:szCs w:val="16"/>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49" w:lineRule="exact"/>
        <w:rPr>
          <w:rFonts w:ascii="Arial" w:cs="Arial" w:eastAsia="Arial" w:hAnsi="Arial"/>
          <w:sz w:val="16"/>
          <w:szCs w:val="16"/>
          <w:color w:val="auto"/>
        </w:rPr>
      </w:pPr>
    </w:p>
    <w:p>
      <w:pPr>
        <w:ind w:left="980" w:right="280" w:firstLine="408"/>
        <w:spacing w:after="0" w:line="277" w:lineRule="auto"/>
        <w:tabs>
          <w:tab w:leader="none" w:pos="181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publicly file its registration statement in connection therewith.</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will also provide information requested by Holder from time to time, within a reasonable time following each such request, that is reasonably necessary to enable Holder to comply with Holder’s accounting or reporting requirements. Prior to the IPO, such information may include, but shall not be limited to, the Company’s then-current summary capitalization table, the price per share for which the Company most recently prior thereto sold or issued shares of its convertible preferred stock to investors for cash in a bona fide equity financing of the Company, and the most recently received valuation of the Company’s common stock conducted for purposes of the Company’s compliance with Section 409A of the Internal Revenue Code of 1986, as amended (or the corresponding section of any successor statute) and approved by the Company’s Board of Directors. Holder agrees to treat and hold all information provided by the Company pursuant to this Warrant in confidence in accordance with the provisions of Section 12.9 of the Loan Agreement (regardless of whether the Loan Agreement shall then be in effect).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66" w:name="page367"/>
    <w:bookmarkEnd w:id="366"/>
    <w:p>
      <w:pPr>
        <w:ind w:left="2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 </w:t>
      </w:r>
      <w:r>
        <w:rPr>
          <w:rFonts w:ascii="Arial" w:cs="Arial" w:eastAsia="Arial" w:hAnsi="Arial"/>
          <w:sz w:val="18"/>
          <w:szCs w:val="18"/>
          <w:u w:val="single" w:color="auto"/>
          <w:color w:val="auto"/>
        </w:rPr>
        <w:t>REPRESENTATIONS AND COVENANTS OF THE HOLDER</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 represents and warrants to, and agrees with, the Company as follows:</w:t>
      </w:r>
    </w:p>
    <w:p>
      <w:pPr>
        <w:spacing w:after="0" w:line="225" w:lineRule="exact"/>
        <w:rPr>
          <w:sz w:val="20"/>
          <w:szCs w:val="20"/>
          <w:color w:val="auto"/>
        </w:rPr>
      </w:pPr>
    </w:p>
    <w:p>
      <w:pPr>
        <w:ind w:right="220" w:firstLine="991"/>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6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2" w:lineRule="exact"/>
        <w:rPr>
          <w:sz w:val="20"/>
          <w:szCs w:val="20"/>
          <w:color w:val="auto"/>
        </w:rPr>
      </w:pPr>
    </w:p>
    <w:p>
      <w:pPr>
        <w:ind w:right="180" w:firstLine="99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5"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6"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2.11 of the Company’s Investors’ Rights Agreement, as amended and in effect from time to time.</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Stockholder Rights</w:t>
      </w:r>
      <w:r>
        <w:rPr>
          <w:rFonts w:ascii="Arial" w:cs="Arial" w:eastAsia="Arial" w:hAnsi="Arial"/>
          <w:sz w:val="18"/>
          <w:szCs w:val="18"/>
          <w:color w:val="auto"/>
        </w:rPr>
        <w:t>. Without limiting any provision of this Warrant, Holder agrees that as a Holder of this Warrant it will not have any rights (including, but not limited to, voting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67" w:name="page368"/>
    <w:bookmarkEnd w:id="367"/>
    <w:p>
      <w:pPr>
        <w:jc w:val="both"/>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 as a stockholder of the Company with respect to the Shares issuable hereunder (or the securities issuable on conversion of such Shares, if any) unless and until the exercise of this Warrant and then only with respect to the Shares issued on such exercise (or the securities issued on conversion of such Shares, if any).</w:t>
      </w:r>
    </w:p>
    <w:p>
      <w:pPr>
        <w:spacing w:after="0" w:line="400"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 Automatic Cashless Exercise Upon Expiration</w:t>
      </w:r>
      <w:r>
        <w:rPr>
          <w:rFonts w:ascii="Arial" w:cs="Arial" w:eastAsia="Arial" w:hAnsi="Arial"/>
          <w:sz w:val="16"/>
          <w:szCs w:val="16"/>
          <w:color w:val="auto"/>
        </w:rPr>
        <w:t>.</w:t>
      </w:r>
    </w:p>
    <w:p>
      <w:pPr>
        <w:spacing w:after="0" w:line="225" w:lineRule="exact"/>
        <w:rPr>
          <w:sz w:val="20"/>
          <w:szCs w:val="20"/>
          <w:color w:val="auto"/>
        </w:rPr>
      </w:pPr>
    </w:p>
    <w:p>
      <w:pPr>
        <w:ind w:right="140" w:firstLine="1428"/>
        <w:spacing w:after="0" w:line="277" w:lineRule="auto"/>
        <w:tabs>
          <w:tab w:leader="none" w:pos="1812"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70" w:lineRule="exact"/>
        <w:rPr>
          <w:rFonts w:ascii="Arial" w:cs="Arial" w:eastAsia="Arial" w:hAnsi="Arial"/>
          <w:sz w:val="18"/>
          <w:szCs w:val="18"/>
          <w:color w:val="auto"/>
        </w:rPr>
      </w:pPr>
    </w:p>
    <w:p>
      <w:pPr>
        <w:ind w:right="80" w:firstLine="1428"/>
        <w:spacing w:after="0" w:line="296" w:lineRule="auto"/>
        <w:tabs>
          <w:tab w:leader="none" w:pos="1822"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Automatic Cashless Exercise upon Expiration</w:t>
      </w:r>
      <w:r>
        <w:rPr>
          <w:rFonts w:ascii="Arial" w:cs="Arial" w:eastAsia="Arial" w:hAnsi="Arial"/>
          <w:sz w:val="16"/>
          <w:szCs w:val="16"/>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following Holder’s written request therefor, deliver a certificate (or evidence of book entry) representing the Shares (or such other securities) issued upon such exercise to Holder.</w:t>
      </w:r>
    </w:p>
    <w:p>
      <w:pPr>
        <w:spacing w:after="0" w:line="161"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Each certificate evidencing Shares (and each certificate evidencing securities issued upon conversion of any Shares, if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shall be imprinted with a legend in substantially the following form:</w:t>
      </w:r>
    </w:p>
    <w:p>
      <w:pPr>
        <w:spacing w:after="0" w:line="103" w:lineRule="exact"/>
        <w:rPr>
          <w:sz w:val="20"/>
          <w:szCs w:val="20"/>
          <w:color w:val="auto"/>
        </w:rPr>
      </w:pPr>
    </w:p>
    <w:p>
      <w:pPr>
        <w:ind w:left="980" w:right="100"/>
        <w:spacing w:after="0" w:line="274"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OR THE SECURITIES LAWS OF ANY STATE AND, EXCEPT AS SET FORTH IN THAT CERTAIN</w:t>
      </w:r>
    </w:p>
    <w:p>
      <w:pPr>
        <w:ind w:left="980" w:right="80"/>
        <w:spacing w:after="0" w:line="273" w:lineRule="auto"/>
        <w:rPr>
          <w:sz w:val="20"/>
          <w:szCs w:val="20"/>
          <w:color w:val="auto"/>
        </w:rPr>
      </w:pPr>
      <w:r>
        <w:rPr>
          <w:rFonts w:ascii="Arial" w:cs="Arial" w:eastAsia="Arial" w:hAnsi="Arial"/>
          <w:sz w:val="17"/>
          <w:szCs w:val="17"/>
          <w:color w:val="auto"/>
        </w:rPr>
        <w:t>AMENDED AND RESTATED WARRANT TO PURCHASE STOCK ISSUED BY THE ISSUER TO DATED MAY 21, 2020,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76"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such affiliate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68" w:name="page369"/>
    <w:bookmarkEnd w:id="368"/>
    <w:p>
      <w:pPr>
        <w:ind w:left="4" w:right="40" w:firstLine="99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Subject to the provisions of Section 5.3 and upon providing the Company with written notice, Holder may transfer all or part of this Warrant or the Shares issued upon exercise of this Warrant (or the securities issued upon conversion of the Shares, if any) to any transferee, provided, however, in connection with any such transfer, Holder will give the Company notice of the portion of the Warrant and/or Shares (and/or securities issued upon conversion of the Shares, if any) being transferred with the name, address and taxpayer identification number of the transferee and Holder will surrender this Warrant to the Company for reissuance to the transferee(s) (and Holder if applicable); and provided further, that any transferee shall make substantially the representations and warranties set forth in Section 4 above and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68" w:lineRule="exact"/>
        <w:rPr>
          <w:sz w:val="20"/>
          <w:szCs w:val="20"/>
          <w:color w:val="auto"/>
        </w:rPr>
      </w:pPr>
    </w:p>
    <w:p>
      <w:pPr>
        <w:jc w:val="both"/>
        <w:ind w:left="4" w:right="40" w:firstLine="991"/>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w:t>
      </w:r>
      <w:r>
        <w:rPr>
          <w:rFonts w:ascii="Arial" w:cs="Arial" w:eastAsia="Arial" w:hAnsi="Arial"/>
          <w:sz w:val="13"/>
          <w:szCs w:val="13"/>
          <w:color w:val="auto"/>
        </w:rPr>
        <w:t>rd</w:t>
      </w:r>
      <w:r>
        <w:rPr>
          <w:rFonts w:ascii="Arial" w:cs="Arial" w:eastAsia="Arial" w:hAnsi="Arial"/>
          <w:sz w:val="16"/>
          <w:szCs w:val="16"/>
          <w:color w:val="auto"/>
        </w:rPr>
        <w:t>) Business Day after being mailed by first-class registered or certified mail, postage prepaid,</w:t>
      </w:r>
    </w:p>
    <w:p>
      <w:pPr>
        <w:ind w:left="4" w:hanging="4"/>
        <w:spacing w:after="0" w:line="295" w:lineRule="auto"/>
        <w:tabs>
          <w:tab w:leader="none" w:pos="319" w:val="left"/>
        </w:tabs>
        <w:numPr>
          <w:ilvl w:val="0"/>
          <w:numId w:val="255"/>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265430</wp:posOffset>
            </wp:positionV>
            <wp:extent cx="181737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817370" cy="889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419735</wp:posOffset>
            </wp:positionV>
            <wp:extent cx="181737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574040</wp:posOffset>
            </wp:positionV>
            <wp:extent cx="181737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ALX Oncology Holdings Inc.</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Attn: Chief Financial Officer</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866 Malcolm Road, Suite 100</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Burlingame, CA 94010</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With a copy (which shall not constitute notice) to:</w:t>
      </w:r>
    </w:p>
    <w:p>
      <w:pPr>
        <w:spacing w:after="0" w:line="10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Attn: Kenneth A. Clark, Esq.</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Palo Alto, CA 94304</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369" w:name="page370"/>
    <w:bookmarkEnd w:id="369"/>
    <w:p>
      <w:pPr>
        <w:jc w:val="both"/>
        <w:ind w:right="4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4" w:lineRule="exact"/>
        <w:rPr>
          <w:sz w:val="20"/>
          <w:szCs w:val="20"/>
          <w:color w:val="auto"/>
        </w:rPr>
      </w:pPr>
    </w:p>
    <w:p>
      <w:pPr>
        <w:ind w:right="520" w:firstLine="991"/>
        <w:spacing w:after="0" w:line="34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24"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Counterparts; Electronic Signatures; Status as Certificated Security</w:t>
      </w:r>
      <w:r>
        <w:rPr>
          <w:rFonts w:ascii="Arial" w:cs="Arial" w:eastAsia="Arial" w:hAnsi="Arial"/>
          <w:sz w:val="17"/>
          <w:szCs w:val="17"/>
          <w:color w:val="auto"/>
        </w:rPr>
        <w:t>. This Warrant may be executed by one or more of the parties hereto in any number of separate counterparts, all of which together shall constitute one and the same instrument. The Company, Holder and any other party hereto may execute this Warrant by electronic means and each party hereto recognizes and accepts the use of electronic signatures, including any Electronic Signature as defined in the Electronic Transactions Law (2003 Revision) of the Cayman Islands (the “</w:t>
      </w:r>
      <w:r>
        <w:rPr>
          <w:rFonts w:ascii="Arial" w:cs="Arial" w:eastAsia="Arial" w:hAnsi="Arial"/>
          <w:sz w:val="17"/>
          <w:szCs w:val="17"/>
          <w:b w:val="1"/>
          <w:bCs w:val="1"/>
          <w:u w:val="single" w:color="auto"/>
          <w:color w:val="auto"/>
        </w:rPr>
        <w:t>Cayman Islands Electronic Signature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Law</w:t>
      </w:r>
      <w:r>
        <w:rPr>
          <w:rFonts w:ascii="Arial" w:cs="Arial" w:eastAsia="Arial" w:hAnsi="Arial"/>
          <w:sz w:val="17"/>
          <w:szCs w:val="17"/>
          <w:color w:val="auto"/>
        </w:rPr>
        <w:t>”), and the keeping of records in electronic form, including any Electronic Record, as defined in Cayman Islands Electronic Signature Law, by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party hereto in connection with the execution and storage hereof. To the extent that this Warrant or any agreement subject to the terms hereof or any amendment hereto is executed, recorded or delivered electronically, it shall be binding to the same extent as though it had been executed on paper with an original ink signature, as provided under applicable law, including, without limitation, any state law based on the Uniform Electronic Transactions Act or the Cayman Islands Electronic Signature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sections 8 and 19(3) of the Cayman Islands Electronic Signature Law shall not apply to this Warrant or the execution or delivery hereof. The fact that this Warrant is executed, signed, stored or delivered electronically shall not prevent the transfer by any Holder of this Warrant pursuant to Section 5.4 or the enforcement of the terms hereof. To the extent that the original of this Warrant is an electronic original, this Warrant, and any copies hereof, shall NOT be deemed to be a “certificated security” within the meaning of section 8102(a)(4) of the California Commercial Code. Physical possession of the original of this Warrant or any paper copy thereof shall confer no special status to the bearer thereof.</w:t>
      </w:r>
    </w:p>
    <w:p>
      <w:pPr>
        <w:spacing w:after="0" w:line="184"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left="980"/>
        <w:spacing w:after="0"/>
        <w:tabs>
          <w:tab w:leader="none" w:pos="1460" w:val="left"/>
          <w:tab w:leader="none" w:pos="906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is any day that is not a Saturday, Sunday or a day on which</w:t>
      </w:r>
      <w:r>
        <w:rPr>
          <w:sz w:val="20"/>
          <w:szCs w:val="20"/>
          <w:color w:val="auto"/>
        </w:rPr>
        <w:tab/>
      </w:r>
      <w:r>
        <w:rPr>
          <w:rFonts w:ascii="Arial" w:cs="Arial" w:eastAsia="Arial" w:hAnsi="Arial"/>
          <w:sz w:val="16"/>
          <w:szCs w:val="16"/>
          <w:color w:val="auto"/>
        </w:rPr>
        <w:t>is closed.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GOVERNING LAW, VENUE, JURY TRIAL WAIVER,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JUDICIAL REFERENCE</w:t>
      </w:r>
      <w:r>
        <w:rPr>
          <w:rFonts w:ascii="Arial" w:cs="Arial" w:eastAsia="Arial" w:hAnsi="Arial"/>
          <w:sz w:val="18"/>
          <w:szCs w:val="18"/>
          <w:color w:val="auto"/>
        </w:rPr>
        <w:t>.</w:t>
      </w:r>
    </w:p>
    <w:p>
      <w:pPr>
        <w:spacing w:after="0" w:line="211"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70" w:name="page371"/>
    <w:bookmarkEnd w:id="370"/>
    <w:p>
      <w:pPr>
        <w:ind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6.2 </w:t>
      </w:r>
      <w:r>
        <w:rPr>
          <w:rFonts w:ascii="Arial" w:cs="Arial" w:eastAsia="Arial" w:hAnsi="Arial"/>
          <w:sz w:val="16"/>
          <w:szCs w:val="16"/>
          <w:u w:val="single" w:color="auto"/>
          <w:color w:val="auto"/>
        </w:rPr>
        <w:t>Jurisdiction and Venue</w:t>
      </w:r>
      <w:r>
        <w:rPr>
          <w:rFonts w:ascii="Arial" w:cs="Arial" w:eastAsia="Arial" w:hAnsi="Arial"/>
          <w:sz w:val="16"/>
          <w:szCs w:val="16"/>
          <w:color w:val="auto"/>
        </w:rPr>
        <w:t>. The Company and Holder each submit to the exclusive jurisdiction of the State and Federal courts in Santa Clara County, California; provided, however, that nothing in this Warrant shall be deemed to operate to preclude Holder from bringing suit or taking other legal action in any other jurisdiction to enforce a judgment or other court order in favor of Holder. The Company expressly submits and consents in advance to such jurisdiction in any action or suit commenced in any such court, and the Company hereby waives any objection that it may have based upon lack of personal jurisdiction, improper venue, or forum non conveniens and hereby consents to the granting of such legal or equitable relief as is deemed appropriate by such court. The Company hereby waives personal service of the summons, complaints, and other process issued in such action or suit and agrees that service of such summons, complaints, and other process may be made in accordance with Section 7.5 of this Warrant.</w:t>
      </w:r>
    </w:p>
    <w:p>
      <w:pPr>
        <w:spacing w:after="0" w:line="162"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Jury Trial Waiver</w:t>
      </w:r>
      <w:r>
        <w:rPr>
          <w:rFonts w:ascii="Arial" w:cs="Arial" w:eastAsia="Arial" w:hAnsi="Arial"/>
          <w:sz w:val="18"/>
          <w:szCs w:val="18"/>
          <w:color w:val="auto"/>
        </w:rPr>
        <w:t xml:space="preserve">. </w:t>
      </w:r>
      <w:r>
        <w:rPr>
          <w:rFonts w:ascii="Arial" w:cs="Arial" w:eastAsia="Arial" w:hAnsi="Arial"/>
          <w:sz w:val="18"/>
          <w:szCs w:val="18"/>
          <w:b w:val="1"/>
          <w:bCs w:val="1"/>
          <w:color w:val="auto"/>
        </w:rPr>
        <w:t>TO THE FULLEST EXTENT PERMITTED BY APPLICABLE LAW, THE COMPANY AND HOLDER</w:t>
      </w:r>
      <w:r>
        <w:rPr>
          <w:rFonts w:ascii="Arial" w:cs="Arial" w:eastAsia="Arial" w:hAnsi="Arial"/>
          <w:sz w:val="18"/>
          <w:szCs w:val="18"/>
          <w:color w:val="auto"/>
        </w:rPr>
        <w:t xml:space="preserve"> </w:t>
      </w:r>
      <w:r>
        <w:rPr>
          <w:rFonts w:ascii="Arial" w:cs="Arial" w:eastAsia="Arial" w:hAnsi="Arial"/>
          <w:sz w:val="18"/>
          <w:szCs w:val="18"/>
          <w:b w:val="1"/>
          <w:bCs w:val="1"/>
          <w:color w:val="auto"/>
        </w:rPr>
        <w:t>EACH WAIVE THEIR RIGHT TO A JURY TRIAL OF ANY CLAIM OR CAUSE OF ACTION ARISING OUT OF OR BASED UPON THIS WARRANT, THE LOAN AGREEMENT OR ANY CONTEMPLATED TRANSACTION, INCLUDING CONTRACT, TORT, BREACH OF DUTY AND ALL OTHER CLAIMS. THIS WAIVER IS A MATERIAL INDUCEMENT FOR THE PARTIES’ AGREEMENT TO THIS WARRANT. EACH PARTY HAS REVIEWED THIS WAIVER WITH ITS COUNSEL</w:t>
      </w:r>
      <w:r>
        <w:rPr>
          <w:rFonts w:ascii="Arial" w:cs="Arial" w:eastAsia="Arial" w:hAnsi="Arial"/>
          <w:sz w:val="18"/>
          <w:szCs w:val="18"/>
          <w:color w:val="auto"/>
        </w:rPr>
        <w:t>.</w:t>
      </w:r>
    </w:p>
    <w:p>
      <w:pPr>
        <w:spacing w:after="0" w:line="183"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Judicial Reference</w:t>
      </w:r>
      <w:r>
        <w:rPr>
          <w:rFonts w:ascii="Arial" w:cs="Arial" w:eastAsia="Arial" w:hAnsi="Arial"/>
          <w:sz w:val="16"/>
          <w:szCs w:val="16"/>
          <w:color w:val="auto"/>
        </w:rPr>
        <w:t xml:space="preserve">. </w:t>
      </w:r>
      <w:r>
        <w:rPr>
          <w:rFonts w:ascii="Arial" w:cs="Arial" w:eastAsia="Arial" w:hAnsi="Arial"/>
          <w:sz w:val="16"/>
          <w:szCs w:val="16"/>
          <w:b w:val="1"/>
          <w:bCs w:val="1"/>
          <w:color w:val="auto"/>
        </w:rPr>
        <w:t>WITHOUT INTENDING IN ANY WAY TO LIMIT THE PARTIES’ AGREEMENT TO WAIVE THEIR</w:t>
      </w:r>
      <w:r>
        <w:rPr>
          <w:rFonts w:ascii="Arial" w:cs="Arial" w:eastAsia="Arial" w:hAnsi="Arial"/>
          <w:sz w:val="16"/>
          <w:szCs w:val="16"/>
          <w:color w:val="auto"/>
        </w:rPr>
        <w:t xml:space="preserve"> </w:t>
      </w:r>
      <w:r>
        <w:rPr>
          <w:rFonts w:ascii="Arial" w:cs="Arial" w:eastAsia="Arial" w:hAnsi="Arial"/>
          <w:sz w:val="16"/>
          <w:szCs w:val="16"/>
          <w:b w:val="1"/>
          <w:bCs w:val="1"/>
          <w:color w:val="auto"/>
        </w:rPr>
        <w:t>RESPECTIVE RIGHT TO A TRIAL BY JURY</w:t>
      </w:r>
      <w:r>
        <w:rPr>
          <w:rFonts w:ascii="Arial" w:cs="Arial" w:eastAsia="Arial" w:hAnsi="Arial"/>
          <w:sz w:val="16"/>
          <w:szCs w:val="16"/>
          <w:color w:val="auto"/>
        </w:rPr>
        <w:t>, if the waiver of the right to a trial by jury in Section 6.3 above is not enforceable, the parties agree</w:t>
      </w:r>
      <w:r>
        <w:rPr>
          <w:rFonts w:ascii="Arial" w:cs="Arial" w:eastAsia="Arial" w:hAnsi="Arial"/>
          <w:sz w:val="16"/>
          <w:szCs w:val="16"/>
          <w:b w:val="1"/>
          <w:bCs w:val="1"/>
          <w:color w:val="auto"/>
        </w:rPr>
        <w:t xml:space="preserve"> </w:t>
      </w:r>
      <w:r>
        <w:rPr>
          <w:rFonts w:ascii="Arial" w:cs="Arial" w:eastAsia="Arial" w:hAnsi="Arial"/>
          <w:sz w:val="16"/>
          <w:szCs w:val="16"/>
          <w:color w:val="auto"/>
        </w:rPr>
        <w:t>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Section 6.4 shall limit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71" w:name="page372"/>
    <w:bookmarkEnd w:id="37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 of any party at any time to exercise self-help remedies or obtain provisional remedies. The private judge shall also determine all issues relating to the applicability, interpretation, and enforceability of this Section 6.4.</w:t>
      </w:r>
    </w:p>
    <w:p>
      <w:pPr>
        <w:spacing w:after="0" w:line="170"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This Section 6 shall survive the termination of this Warrant.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[Remainder of page left blank intentionally]</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40"/>
          </w:cols>
          <w:pgMar w:left="440" w:top="274" w:right="619" w:bottom="1440" w:gutter="0" w:footer="0" w:header="0"/>
        </w:sectPr>
      </w:pPr>
    </w:p>
    <w:bookmarkStart w:id="372" w:name="page373"/>
    <w:bookmarkEnd w:id="372"/>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Amended and Restated Warrant to Purchase Stock to be executed as a Deed by their duly authorized representatives effective as of the Issue Date written above.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86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“ORIGINAL ISSUER”</w:t>
            </w:r>
          </w:p>
        </w:tc>
        <w:tc>
          <w:tcPr>
            <w:tcW w:w="0" w:type="dxa"/>
            <w:vAlign w:val="bottom"/>
          </w:tcPr>
          <w:p>
            <w:pPr>
              <w:spacing w:after="0"/>
              <w:rPr>
                <w:sz w:val="1"/>
                <w:szCs w:val="1"/>
                <w:color w:val="auto"/>
              </w:rPr>
            </w:pPr>
          </w:p>
        </w:tc>
      </w:tr>
      <w:tr>
        <w:trPr>
          <w:trHeight w:val="23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ALX ONCOLOGY HOLDINGS INC.</w:t>
            </w:r>
          </w:p>
        </w:tc>
        <w:tc>
          <w:tcPr>
            <w:tcW w:w="860" w:type="dxa"/>
            <w:vAlign w:val="bottom"/>
          </w:tcPr>
          <w:p>
            <w:pPr>
              <w:spacing w:after="0"/>
              <w:rPr>
                <w:sz w:val="20"/>
                <w:szCs w:val="20"/>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(solely with respect to Paragraph A above)</w:t>
            </w:r>
          </w:p>
        </w:tc>
        <w:tc>
          <w:tcPr>
            <w:tcW w:w="0" w:type="dxa"/>
            <w:vAlign w:val="bottom"/>
          </w:tcPr>
          <w:p>
            <w:pPr>
              <w:spacing w:after="0"/>
              <w:rPr>
                <w:sz w:val="1"/>
                <w:szCs w:val="1"/>
                <w:color w:val="auto"/>
              </w:rPr>
            </w:pPr>
          </w:p>
        </w:tc>
      </w:tr>
      <w:tr>
        <w:trPr>
          <w:trHeight w:val="122"/>
        </w:trPr>
        <w:tc>
          <w:tcPr>
            <w:tcW w:w="376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6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SIGNED AND DELIVERED </w:t>
            </w:r>
            <w:r>
              <w:rPr>
                <w:rFonts w:ascii="Arial" w:cs="Arial" w:eastAsia="Arial" w:hAnsi="Arial"/>
                <w:sz w:val="18"/>
                <w:szCs w:val="18"/>
                <w:color w:val="auto"/>
              </w:rPr>
              <w:t>for an on behalf of and as the deed of ALX</w:t>
            </w: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line="203" w:lineRule="exact"/>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6400" w:type="dxa"/>
            <w:vAlign w:val="bottom"/>
            <w:gridSpan w:val="3"/>
          </w:tcPr>
          <w:p>
            <w:pPr>
              <w:spacing w:after="0" w:line="203" w:lineRule="exact"/>
              <w:rPr>
                <w:sz w:val="20"/>
                <w:szCs w:val="20"/>
                <w:color w:val="auto"/>
              </w:rPr>
            </w:pPr>
            <w:r>
              <w:rPr>
                <w:rFonts w:ascii="Arial" w:cs="Arial" w:eastAsia="Arial" w:hAnsi="Arial"/>
                <w:sz w:val="18"/>
                <w:szCs w:val="18"/>
                <w:color w:val="auto"/>
              </w:rPr>
              <w:t>ONCOLOGY LIMITED by its lawfully appointed attorney</w:t>
            </w:r>
          </w:p>
        </w:tc>
        <w:tc>
          <w:tcPr>
            <w:tcW w:w="0" w:type="dxa"/>
            <w:vAlign w:val="bottom"/>
          </w:tcPr>
          <w:p>
            <w:pPr>
              <w:spacing w:after="0"/>
              <w:rPr>
                <w:sz w:val="1"/>
                <w:szCs w:val="1"/>
                <w:color w:val="auto"/>
              </w:rPr>
            </w:pPr>
          </w:p>
        </w:tc>
      </w:tr>
      <w:tr>
        <w:trPr>
          <w:trHeight w:val="217"/>
        </w:trPr>
        <w:tc>
          <w:tcPr>
            <w:tcW w:w="3760" w:type="dxa"/>
            <w:vAlign w:val="bottom"/>
            <w:gridSpan w:val="2"/>
          </w:tcPr>
          <w:p>
            <w:pPr>
              <w:spacing w:after="0"/>
              <w:rPr>
                <w:sz w:val="20"/>
                <w:szCs w:val="20"/>
                <w:color w:val="auto"/>
              </w:rPr>
            </w:pPr>
            <w:r>
              <w:rPr>
                <w:rFonts w:ascii="Arial" w:cs="Arial" w:eastAsia="Arial" w:hAnsi="Arial"/>
                <w:sz w:val="18"/>
                <w:szCs w:val="18"/>
                <w:color w:val="auto"/>
              </w:rPr>
              <w:t>Name: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 the presence of:</w:t>
            </w: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0" w:type="dxa"/>
            <w:vAlign w:val="bottom"/>
            <w:gridSpan w:val="2"/>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323"/>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0" w:type="dxa"/>
            <w:vAlign w:val="bottom"/>
            <w:tcBorders>
              <w:bottom w:val="single" w:sz="8" w:color="auto"/>
            </w:tcBorders>
            <w:gridSpan w:val="2"/>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(Signature of Witness)</w:t>
            </w:r>
          </w:p>
        </w:tc>
        <w:tc>
          <w:tcPr>
            <w:tcW w:w="0" w:type="dxa"/>
            <w:vAlign w:val="bottom"/>
          </w:tcPr>
          <w:p>
            <w:pPr>
              <w:spacing w:after="0"/>
              <w:rPr>
                <w:sz w:val="1"/>
                <w:szCs w:val="1"/>
                <w:color w:val="auto"/>
              </w:rPr>
            </w:pPr>
          </w:p>
        </w:tc>
      </w:tr>
      <w:tr>
        <w:trPr>
          <w:trHeight w:val="323"/>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0" w:type="dxa"/>
            <w:vAlign w:val="bottom"/>
            <w:tcBorders>
              <w:bottom w:val="single" w:sz="8" w:color="auto"/>
            </w:tcBorders>
            <w:gridSpan w:val="2"/>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(Name of Witness)</w:t>
            </w:r>
          </w:p>
        </w:tc>
        <w:tc>
          <w:tcPr>
            <w:tcW w:w="0" w:type="dxa"/>
            <w:vAlign w:val="bottom"/>
          </w:tcPr>
          <w:p>
            <w:pPr>
              <w:spacing w:after="0"/>
              <w:rPr>
                <w:sz w:val="1"/>
                <w:szCs w:val="1"/>
                <w:color w:val="auto"/>
              </w:rPr>
            </w:pPr>
          </w:p>
        </w:tc>
      </w:tr>
      <w:tr>
        <w:trPr>
          <w:trHeight w:val="323"/>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0" w:type="dxa"/>
            <w:vAlign w:val="bottom"/>
            <w:tcBorders>
              <w:bottom w:val="single" w:sz="8" w:color="auto"/>
            </w:tcBorders>
            <w:gridSpan w:val="2"/>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(Address of Witness)</w:t>
            </w:r>
          </w:p>
        </w:tc>
        <w:tc>
          <w:tcPr>
            <w:tcW w:w="0" w:type="dxa"/>
            <w:vAlign w:val="bottom"/>
          </w:tcPr>
          <w:p>
            <w:pPr>
              <w:spacing w:after="0"/>
              <w:rPr>
                <w:sz w:val="1"/>
                <w:szCs w:val="1"/>
                <w:color w:val="auto"/>
              </w:rPr>
            </w:pPr>
          </w:p>
        </w:tc>
      </w:tr>
      <w:tr>
        <w:trPr>
          <w:trHeight w:val="323"/>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0" w:type="dxa"/>
            <w:vAlign w:val="bottom"/>
            <w:tcBorders>
              <w:bottom w:val="single" w:sz="8" w:color="auto"/>
            </w:tcBorders>
            <w:gridSpan w:val="2"/>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“HOLDER”</w:t>
            </w:r>
          </w:p>
        </w:tc>
        <w:tc>
          <w:tcPr>
            <w:tcW w:w="86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(Occupation of Witness)</w:t>
            </w:r>
          </w:p>
        </w:tc>
        <w:tc>
          <w:tcPr>
            <w:tcW w:w="0" w:type="dxa"/>
            <w:vAlign w:val="bottom"/>
          </w:tcPr>
          <w:p>
            <w:pPr>
              <w:spacing w:after="0"/>
              <w:rPr>
                <w:sz w:val="1"/>
                <w:szCs w:val="1"/>
                <w:color w:val="auto"/>
              </w:rPr>
            </w:pPr>
          </w:p>
        </w:tc>
      </w:tr>
      <w:tr>
        <w:trPr>
          <w:trHeight w:val="215"/>
        </w:trPr>
        <w:tc>
          <w:tcPr>
            <w:tcW w:w="376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760" w:type="dxa"/>
            <w:vAlign w:val="bottom"/>
            <w:gridSpan w:val="2"/>
          </w:tcPr>
          <w:p>
            <w:pPr>
              <w:spacing w:after="0"/>
              <w:rPr>
                <w:sz w:val="20"/>
                <w:szCs w:val="20"/>
                <w:color w:val="auto"/>
              </w:rPr>
            </w:pPr>
            <w:r>
              <w:rPr>
                <w:rFonts w:ascii="Arial" w:cs="Arial" w:eastAsia="Arial" w:hAnsi="Arial"/>
                <w:sz w:val="18"/>
                <w:szCs w:val="18"/>
                <w:color w:val="auto"/>
              </w:rPr>
              <w:t>Name:</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260" w:type="dxa"/>
            <w:vAlign w:val="bottom"/>
            <w:gridSpan w:val="3"/>
          </w:tcPr>
          <w:p>
            <w:pPr>
              <w:jc w:val="right"/>
              <w:ind w:right="1330"/>
              <w:spacing w:after="0"/>
              <w:rPr>
                <w:sz w:val="20"/>
                <w:szCs w:val="20"/>
                <w:color w:val="auto"/>
              </w:rPr>
            </w:pPr>
            <w:r>
              <w:rPr>
                <w:rFonts w:ascii="Arial" w:cs="Arial" w:eastAsia="Arial" w:hAnsi="Arial"/>
                <w:sz w:val="18"/>
                <w:szCs w:val="18"/>
                <w:color w:val="auto"/>
              </w:rPr>
              <w:t>14</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73" w:name="page374"/>
    <w:bookmarkEnd w:id="3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80" w:type="dxa"/>
            <w:vAlign w:val="bottom"/>
          </w:tcPr>
          <w:p>
            <w:pPr>
              <w:ind w:left="1640"/>
              <w:spacing w:after="0"/>
              <w:rPr>
                <w:sz w:val="20"/>
                <w:szCs w:val="20"/>
                <w:color w:val="auto"/>
              </w:rPr>
            </w:pPr>
            <w:r>
              <w:rPr>
                <w:rFonts w:ascii="Arial" w:cs="Arial" w:eastAsia="Arial" w:hAnsi="Arial"/>
                <w:sz w:val="18"/>
                <w:szCs w:val="18"/>
                <w:b w:val="1"/>
                <w:bCs w:val="1"/>
                <w:color w:val="auto"/>
                <w:w w:val="91"/>
              </w:rPr>
              <w:t>Exhibit 4.3</w:t>
            </w:r>
          </w:p>
        </w:tc>
      </w:tr>
      <w:tr>
        <w:trPr>
          <w:trHeight w:val="43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96"/>
              </w:rPr>
              <w:t>APPENDIX 1</w:t>
            </w: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9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gridSpan w:val="3"/>
          </w:tcPr>
          <w:p>
            <w:pPr>
              <w:jc w:val="center"/>
              <w:ind w:right="2120"/>
              <w:spacing w:after="0"/>
              <w:rPr>
                <w:sz w:val="20"/>
                <w:szCs w:val="20"/>
                <w:color w:val="auto"/>
              </w:rPr>
            </w:pPr>
            <w:r>
              <w:rPr>
                <w:rFonts w:ascii="Arial" w:cs="Arial" w:eastAsia="Arial" w:hAnsi="Arial"/>
                <w:sz w:val="18"/>
                <w:szCs w:val="18"/>
                <w:color w:val="auto"/>
                <w:w w:val="94"/>
              </w:rPr>
              <w:t>NOTICE OF EXERCISE</w:t>
            </w:r>
          </w:p>
        </w:tc>
        <w:tc>
          <w:tcPr>
            <w:tcW w:w="24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34"/>
        </w:trPr>
        <w:tc>
          <w:tcPr>
            <w:tcW w:w="660" w:type="dxa"/>
            <w:vAlign w:val="bottom"/>
          </w:tcPr>
          <w:p>
            <w:pPr>
              <w:ind w:left="440"/>
              <w:spacing w:after="0"/>
              <w:rPr>
                <w:sz w:val="20"/>
                <w:szCs w:val="20"/>
                <w:color w:val="auto"/>
              </w:rPr>
            </w:pPr>
            <w:r>
              <w:rPr>
                <w:rFonts w:ascii="Arial" w:cs="Arial" w:eastAsia="Arial" w:hAnsi="Arial"/>
                <w:sz w:val="18"/>
                <w:szCs w:val="18"/>
                <w:color w:val="auto"/>
              </w:rPr>
              <w:t>1.</w:t>
            </w:r>
          </w:p>
        </w:tc>
        <w:tc>
          <w:tcPr>
            <w:tcW w:w="5360" w:type="dxa"/>
            <w:vAlign w:val="bottom"/>
            <w:gridSpan w:val="6"/>
          </w:tcPr>
          <w:p>
            <w:pPr>
              <w:ind w:left="80"/>
              <w:spacing w:after="0"/>
              <w:rPr>
                <w:sz w:val="20"/>
                <w:szCs w:val="20"/>
                <w:color w:val="auto"/>
              </w:rPr>
            </w:pPr>
            <w:r>
              <w:rPr>
                <w:rFonts w:ascii="Arial" w:cs="Arial" w:eastAsia="Arial" w:hAnsi="Arial"/>
                <w:sz w:val="18"/>
                <w:szCs w:val="18"/>
                <w:color w:val="auto"/>
              </w:rPr>
              <w:t>The undersigned Holder hereby exercises its right to purchase</w:t>
            </w:r>
          </w:p>
        </w:tc>
        <w:tc>
          <w:tcPr>
            <w:tcW w:w="2520" w:type="dxa"/>
            <w:vAlign w:val="bottom"/>
            <w:gridSpan w:val="2"/>
          </w:tcPr>
          <w:p>
            <w:pPr>
              <w:spacing w:after="0"/>
              <w:rPr>
                <w:sz w:val="20"/>
                <w:szCs w:val="20"/>
                <w:color w:val="auto"/>
              </w:rPr>
            </w:pPr>
            <w:r>
              <w:rPr>
                <w:rFonts w:ascii="Arial" w:cs="Arial" w:eastAsia="Arial" w:hAnsi="Arial"/>
                <w:sz w:val="18"/>
                <w:szCs w:val="18"/>
                <w:color w:val="auto"/>
              </w:rPr>
              <w:t>shares of the Common/Series</w:t>
            </w:r>
          </w:p>
        </w:tc>
        <w:tc>
          <w:tcPr>
            <w:tcW w:w="2480" w:type="dxa"/>
            <w:vAlign w:val="bottom"/>
          </w:tcPr>
          <w:p>
            <w:pPr>
              <w:ind w:left="400"/>
              <w:spacing w:after="0"/>
              <w:rPr>
                <w:sz w:val="20"/>
                <w:szCs w:val="20"/>
                <w:color w:val="auto"/>
              </w:rPr>
            </w:pPr>
            <w:r>
              <w:rPr>
                <w:rFonts w:ascii="Arial" w:cs="Arial" w:eastAsia="Arial" w:hAnsi="Arial"/>
                <w:sz w:val="18"/>
                <w:szCs w:val="18"/>
                <w:color w:val="auto"/>
                <w:w w:val="94"/>
              </w:rPr>
              <w:t>Preferred [circle one] Stock</w:t>
            </w:r>
          </w:p>
        </w:tc>
      </w:tr>
      <w:tr>
        <w:trPr>
          <w:trHeight w:val="194"/>
        </w:trPr>
        <w:tc>
          <w:tcPr>
            <w:tcW w:w="660" w:type="dxa"/>
            <w:vAlign w:val="bottom"/>
          </w:tcPr>
          <w:p>
            <w:pPr>
              <w:spacing w:after="0" w:line="194" w:lineRule="exact"/>
              <w:rPr>
                <w:sz w:val="20"/>
                <w:szCs w:val="20"/>
                <w:color w:val="auto"/>
              </w:rPr>
            </w:pPr>
            <w:r>
              <w:rPr>
                <w:rFonts w:ascii="Arial" w:cs="Arial" w:eastAsia="Arial" w:hAnsi="Arial"/>
                <w:sz w:val="18"/>
                <w:szCs w:val="18"/>
                <w:color w:val="auto"/>
              </w:rPr>
              <w:t>of</w:t>
            </w:r>
          </w:p>
        </w:tc>
        <w:tc>
          <w:tcPr>
            <w:tcW w:w="440" w:type="dxa"/>
            <w:vAlign w:val="bottom"/>
          </w:tcPr>
          <w:p>
            <w:pPr>
              <w:spacing w:after="0"/>
              <w:rPr>
                <w:sz w:val="16"/>
                <w:szCs w:val="16"/>
                <w:color w:val="auto"/>
              </w:rPr>
            </w:pPr>
          </w:p>
        </w:tc>
        <w:tc>
          <w:tcPr>
            <w:tcW w:w="9920" w:type="dxa"/>
            <w:vAlign w:val="bottom"/>
            <w:gridSpan w:val="8"/>
          </w:tcPr>
          <w:p>
            <w:pPr>
              <w:ind w:left="220"/>
              <w:spacing w:after="0" w:line="194" w:lineRule="exact"/>
              <w:rPr>
                <w:sz w:val="20"/>
                <w:szCs w:val="20"/>
                <w:color w:val="auto"/>
              </w:rPr>
            </w:pPr>
            <w:r>
              <w:rPr>
                <w:rFonts w:ascii="Arial" w:cs="Arial" w:eastAsia="Arial" w:hAnsi="Arial"/>
                <w:sz w:val="18"/>
                <w:szCs w:val="18"/>
                <w:color w:val="auto"/>
                <w:w w:val="89"/>
              </w:rPr>
              <w:t>(the “</w:t>
            </w:r>
            <w:r>
              <w:rPr>
                <w:rFonts w:ascii="Arial" w:cs="Arial" w:eastAsia="Arial" w:hAnsi="Arial"/>
                <w:sz w:val="18"/>
                <w:szCs w:val="18"/>
                <w:b w:val="1"/>
                <w:bCs w:val="1"/>
                <w:color w:val="auto"/>
                <w:w w:val="89"/>
              </w:rPr>
              <w:t>Company</w:t>
            </w:r>
            <w:r>
              <w:rPr>
                <w:rFonts w:ascii="Arial" w:cs="Arial" w:eastAsia="Arial" w:hAnsi="Arial"/>
                <w:sz w:val="18"/>
                <w:szCs w:val="18"/>
                <w:color w:val="auto"/>
                <w:w w:val="89"/>
              </w:rPr>
              <w:t>”) in accordance with the attached Warrant To Purchase Stock, and tenders payment of the aggregate Warrant Price for</w:t>
            </w:r>
          </w:p>
        </w:tc>
      </w:tr>
      <w:tr>
        <w:trPr>
          <w:trHeight w:val="237"/>
        </w:trPr>
        <w:tc>
          <w:tcPr>
            <w:tcW w:w="1720" w:type="dxa"/>
            <w:vAlign w:val="bottom"/>
            <w:gridSpan w:val="3"/>
          </w:tcPr>
          <w:p>
            <w:pPr>
              <w:spacing w:after="0"/>
              <w:rPr>
                <w:sz w:val="20"/>
                <w:szCs w:val="20"/>
                <w:color w:val="auto"/>
              </w:rPr>
            </w:pPr>
            <w:r>
              <w:rPr>
                <w:rFonts w:ascii="Arial" w:cs="Arial" w:eastAsia="Arial" w:hAnsi="Arial"/>
                <w:sz w:val="18"/>
                <w:szCs w:val="18"/>
                <w:color w:val="auto"/>
                <w:w w:val="91"/>
              </w:rPr>
              <w:t>such shares as follows:</w:t>
            </w:r>
          </w:p>
        </w:tc>
        <w:tc>
          <w:tcPr>
            <w:tcW w:w="740" w:type="dxa"/>
            <w:vAlign w:val="bottom"/>
            <w:tcBorders>
              <w:top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37"/>
        </w:trPr>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320" w:type="dxa"/>
            <w:vAlign w:val="bottom"/>
            <w:gridSpan w:val="3"/>
          </w:tcPr>
          <w:p>
            <w:pPr>
              <w:ind w:left="240"/>
              <w:spacing w:after="0"/>
              <w:rPr>
                <w:sz w:val="20"/>
                <w:szCs w:val="20"/>
                <w:color w:val="auto"/>
              </w:rPr>
            </w:pPr>
            <w:r>
              <w:rPr>
                <w:rFonts w:ascii="Arial" w:cs="Arial" w:eastAsia="Arial" w:hAnsi="Arial"/>
                <w:sz w:val="18"/>
                <w:szCs w:val="18"/>
                <w:color w:val="auto"/>
              </w:rPr>
              <w:t>check in the amount of $</w:t>
            </w:r>
          </w:p>
        </w:tc>
        <w:tc>
          <w:tcPr>
            <w:tcW w:w="5120" w:type="dxa"/>
            <w:vAlign w:val="bottom"/>
            <w:gridSpan w:val="4"/>
          </w:tcPr>
          <w:p>
            <w:pPr>
              <w:ind w:left="280"/>
              <w:spacing w:after="0"/>
              <w:rPr>
                <w:sz w:val="20"/>
                <w:szCs w:val="20"/>
                <w:color w:val="auto"/>
              </w:rPr>
            </w:pPr>
            <w:r>
              <w:rPr>
                <w:rFonts w:ascii="Arial" w:cs="Arial" w:eastAsia="Arial" w:hAnsi="Arial"/>
                <w:sz w:val="18"/>
                <w:szCs w:val="18"/>
                <w:color w:val="auto"/>
              </w:rPr>
              <w:t>payable to order of the Company enclosed herewith</w:t>
            </w:r>
          </w:p>
        </w:tc>
        <w:tc>
          <w:tcPr>
            <w:tcW w:w="2480" w:type="dxa"/>
            <w:vAlign w:val="bottom"/>
          </w:tcPr>
          <w:p>
            <w:pPr>
              <w:spacing w:after="0"/>
              <w:rPr>
                <w:sz w:val="24"/>
                <w:szCs w:val="24"/>
                <w:color w:val="auto"/>
              </w:rPr>
            </w:pPr>
          </w:p>
        </w:tc>
      </w:tr>
    </w:tbl>
    <w:p>
      <w:pPr>
        <w:spacing w:after="0" w:line="94" w:lineRule="exact"/>
        <w:rPr>
          <w:sz w:val="20"/>
          <w:szCs w:val="20"/>
          <w:color w:val="auto"/>
        </w:rPr>
      </w:pPr>
    </w:p>
    <w:p>
      <w:pPr>
        <w:ind w:left="820" w:hanging="379"/>
        <w:spacing w:after="0"/>
        <w:tabs>
          <w:tab w:leader="none" w:pos="8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Wire transfer of immediately available funds to the Company’s account</w:t>
      </w:r>
    </w:p>
    <w:p>
      <w:pPr>
        <w:spacing w:after="0" w:line="117" w:lineRule="exact"/>
        <w:rPr>
          <w:sz w:val="20"/>
          <w:szCs w:val="20"/>
          <w:color w:val="auto"/>
        </w:rPr>
      </w:pPr>
    </w:p>
    <w:p>
      <w:pPr>
        <w:ind w:left="820" w:hanging="379"/>
        <w:spacing w:after="0"/>
        <w:tabs>
          <w:tab w:leader="none" w:pos="8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Cashless Exercise pursuant to Section 1.2 of the Warrant</w:t>
      </w:r>
    </w:p>
    <w:p>
      <w:pPr>
        <w:spacing w:after="0" w:line="117" w:lineRule="exact"/>
        <w:rPr>
          <w:sz w:val="20"/>
          <w:szCs w:val="20"/>
          <w:color w:val="auto"/>
        </w:rPr>
      </w:pPr>
    </w:p>
    <w:p>
      <w:pPr>
        <w:ind w:left="820" w:hanging="379"/>
        <w:spacing w:after="0"/>
        <w:tabs>
          <w:tab w:leader="none" w:pos="8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-10160</wp:posOffset>
            </wp:positionV>
            <wp:extent cx="431292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312920" cy="8255"/>
                    </a:xfrm>
                    <a:prstGeom prst="rect">
                      <a:avLst/>
                    </a:prstGeom>
                    <a:noFill/>
                  </pic:spPr>
                </pic:pic>
              </a:graphicData>
            </a:graphic>
          </wp:anchor>
        </w:drawing>
      </w:r>
    </w:p>
    <w:p>
      <w:pPr>
        <w:spacing w:after="0" w:line="205" w:lineRule="exact"/>
        <w:rPr>
          <w:sz w:val="20"/>
          <w:szCs w:val="20"/>
          <w:color w:val="auto"/>
        </w:rPr>
      </w:pPr>
    </w:p>
    <w:p>
      <w:pPr>
        <w:jc w:val="center"/>
        <w:ind w:left="3420" w:right="3640" w:hanging="2984"/>
        <w:spacing w:after="0" w:line="813" w:lineRule="auto"/>
        <w:tabs>
          <w:tab w:leader="none" w:pos="75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-452120</wp:posOffset>
            </wp:positionV>
            <wp:extent cx="251142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511425"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-160655</wp:posOffset>
            </wp:positionV>
            <wp:extent cx="251142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511425" cy="8890"/>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-6350</wp:posOffset>
            </wp:positionV>
            <wp:extent cx="251142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right="180" w:firstLine="436"/>
        <w:spacing w:after="0" w:line="277" w:lineRule="auto"/>
        <w:tabs>
          <w:tab w:leader="none" w:pos="75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151765</wp:posOffset>
            </wp:positionV>
            <wp:extent cx="279463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14605</wp:posOffset>
            </wp:positionV>
            <wp:extent cx="248602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14605</wp:posOffset>
            </wp:positionV>
            <wp:extent cx="240030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74" w:name="page375"/>
    <w:bookmarkEnd w:id="37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ectPr>
          <w:pgSz w:w="11900" w:h="16838" w:orient="portrait"/>
          <w:cols w:equalWidth="0" w:num="1">
            <w:col w:w="9019"/>
          </w:cols>
          <w:pgMar w:left="1440" w:top="274" w:right="1440" w:bottom="1440" w:gutter="0" w:footer="0" w:header="0"/>
        </w:sectPr>
      </w:pPr>
    </w:p>
    <w:bookmarkStart w:id="375" w:name="page376"/>
    <w:bookmarkEnd w:id="37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ONCOLOGY HOLDINGS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Indemnification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dated as of [_______, 20__] and is between ALX Oncology Holdings Inc., a Delaware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w:t>
      </w:r>
      <w:r>
        <w:rPr>
          <w:rFonts w:ascii="Arial" w:cs="Arial" w:eastAsia="Arial" w:hAnsi="Arial"/>
          <w:sz w:val="18"/>
          <w:szCs w:val="18"/>
          <w:i w:val="1"/>
          <w:iCs w:val="1"/>
          <w:color w:val="auto"/>
        </w:rPr>
        <w:t>insert name of indemnitee</w:t>
      </w:r>
      <w:r>
        <w:rPr>
          <w:rFonts w:ascii="Arial" w:cs="Arial" w:eastAsia="Arial" w:hAnsi="Arial"/>
          <w:sz w:val="18"/>
          <w:szCs w:val="18"/>
          <w:color w:val="auto"/>
        </w:rPr>
        <w:t>]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Indemnitee’s service to the Company substantially benefits the Company.</w:t>
      </w:r>
    </w:p>
    <w:p>
      <w:pPr>
        <w:spacing w:after="0" w:line="117"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B. Individuals are reluctant to serve as directors or officers of corporations or in certain other capacities unless they are provided with adequate protection through insurance or indemnification against the risks of claims and actions against them arising out of such service to and activities on behalf of the Company.</w:t>
      </w:r>
    </w:p>
    <w:p>
      <w:pPr>
        <w:spacing w:after="0" w:line="76"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C. Indemnitee does not regard the protection currently provided by applicable law, the Company’s governing documents and any insurance as adequate under the present circumstances, and Indemnitee may not be willing to serve as a director or officer without additional protection.</w:t>
      </w:r>
    </w:p>
    <w:p>
      <w:pPr>
        <w:spacing w:after="0" w:line="16"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D. In order to induce Indemnitee to continue to provide services to the Company, it is reasonable, prudent and necessary for the Company to contractually obligate itself to indemnify, and to advance expenses on behalf of, Indemnitee as permitted by applicable law.</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 This Agreement shall supersede any prior indemnification agreement between the Company and the Indemnitee, which is hereby terminated.</w:t>
      </w:r>
    </w:p>
    <w:p>
      <w:pPr>
        <w:spacing w:after="0" w:line="14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F. This Agreement is a supplement to and in furtherance of the indemnification provided in the Company’s certificate of incorporation and bylaws, and any resolutions adopted pursuant thereto, and this Agreement shall not be deemed a substitute therefor, nor shall this Agreement be deemed to limit, diminish or abrogate any rights of Indemnitee thereunder.</w:t>
      </w:r>
    </w:p>
    <w:p>
      <w:pPr>
        <w:spacing w:after="0" w:line="7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G. In light of the considerations referred to in the preceding recitals, it is the Company’s intention and desire that the provisions of this Agreement be construed liberally, subject to their express terms, to maximize the protections to be provided to Indemnitee hereunder.</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In consideration of Indemnitee’s agreement to serve as a director or officer of the Company after the date hereof, the parties hereto agree as follows:</w:t>
      </w:r>
    </w:p>
    <w:p>
      <w:pPr>
        <w:spacing w:after="0" w:line="166" w:lineRule="exact"/>
        <w:rPr>
          <w:sz w:val="20"/>
          <w:szCs w:val="20"/>
          <w:color w:val="auto"/>
        </w:rPr>
      </w:pPr>
    </w:p>
    <w:p>
      <w:pPr>
        <w:ind w:left="620" w:hanging="184"/>
        <w:spacing w:after="0"/>
        <w:tabs>
          <w:tab w:leader="none" w:pos="620" w:val="left"/>
        </w:tabs>
        <w:numPr>
          <w:ilvl w:val="0"/>
          <w:numId w:val="261"/>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240" w:hanging="253"/>
        <w:spacing w:after="0"/>
        <w:tabs>
          <w:tab w:leader="none" w:pos="124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be deemed to occur upon the earliest to occur after the date of this Agreement of any of the following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events:</w:t>
      </w:r>
    </w:p>
    <w:p>
      <w:pPr>
        <w:sectPr>
          <w:pgSz w:w="11900" w:h="16838" w:orient="portrait"/>
          <w:cols w:equalWidth="0" w:num="1">
            <w:col w:w="11020"/>
          </w:cols>
          <w:pgMar w:left="440" w:top="121" w:right="439" w:bottom="1440" w:gutter="0" w:footer="0" w:header="0"/>
        </w:sectPr>
      </w:pPr>
    </w:p>
    <w:bookmarkStart w:id="376" w:name="page377"/>
    <w:bookmarkEnd w:id="376"/>
    <w:p>
      <w:pPr>
        <w:ind w:left="-20" w:right="320" w:firstLine="1428"/>
        <w:spacing w:after="0" w:line="263" w:lineRule="auto"/>
        <w:tabs>
          <w:tab w:leader="none" w:pos="1627" w:val="left"/>
        </w:tabs>
        <w:numPr>
          <w:ilvl w:val="0"/>
          <w:numId w:val="26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Acquisition of Stock by Third Party</w:t>
      </w:r>
      <w:r>
        <w:rPr>
          <w:rFonts w:ascii="Arial" w:cs="Arial" w:eastAsia="Arial" w:hAnsi="Arial"/>
          <w:sz w:val="18"/>
          <w:szCs w:val="18"/>
          <w:color w:val="auto"/>
        </w:rPr>
        <w:t>. Any Person (as defined below) is or becomes the Beneficial Owner (as defined below),</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of securities of the Company representing fifteen percent (15%) or more of the combined voting power of the Company’s then outstanding securities;</w:t>
      </w:r>
    </w:p>
    <w:p>
      <w:pPr>
        <w:spacing w:after="0" w:line="75" w:lineRule="exact"/>
        <w:rPr>
          <w:rFonts w:ascii="Arial" w:cs="Arial" w:eastAsia="Arial" w:hAnsi="Arial"/>
          <w:sz w:val="18"/>
          <w:szCs w:val="18"/>
          <w:color w:val="auto"/>
        </w:rPr>
      </w:pPr>
    </w:p>
    <w:p>
      <w:pPr>
        <w:ind w:left="-20" w:right="180" w:firstLine="1428"/>
        <w:spacing w:after="0" w:line="293" w:lineRule="auto"/>
        <w:tabs>
          <w:tab w:leader="none" w:pos="1677" w:val="left"/>
        </w:tabs>
        <w:numPr>
          <w:ilvl w:val="0"/>
          <w:numId w:val="262"/>
        </w:numPr>
        <w:rPr>
          <w:rFonts w:ascii="Arial" w:cs="Arial" w:eastAsia="Arial" w:hAnsi="Arial"/>
          <w:sz w:val="16"/>
          <w:szCs w:val="16"/>
          <w:color w:val="auto"/>
        </w:rPr>
      </w:pPr>
      <w:r>
        <w:rPr>
          <w:rFonts w:ascii="Arial" w:cs="Arial" w:eastAsia="Arial" w:hAnsi="Arial"/>
          <w:sz w:val="16"/>
          <w:szCs w:val="16"/>
          <w:i w:val="1"/>
          <w:iCs w:val="1"/>
          <w:color w:val="auto"/>
        </w:rPr>
        <w:t>Change in Board Composition</w:t>
      </w:r>
      <w:r>
        <w:rPr>
          <w:rFonts w:ascii="Arial" w:cs="Arial" w:eastAsia="Arial" w:hAnsi="Arial"/>
          <w:sz w:val="16"/>
          <w:szCs w:val="16"/>
          <w:color w:val="auto"/>
        </w:rPr>
        <w:t>. During any period of two consecutive years (not including any period prior to the execution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individuals who at the beginning of such period constitute the Company’s board of directors, and any new directors (other than a director designated by a person who has entered into an agreement with the Company to effect a transaction described in Sections 1(a)(i), 1(a)(iii) or 1(a)(iv))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spacing w:after="0" w:line="56" w:lineRule="exact"/>
        <w:rPr>
          <w:rFonts w:ascii="Arial" w:cs="Arial" w:eastAsia="Arial" w:hAnsi="Arial"/>
          <w:sz w:val="16"/>
          <w:szCs w:val="16"/>
          <w:color w:val="auto"/>
        </w:rPr>
      </w:pPr>
    </w:p>
    <w:p>
      <w:pPr>
        <w:ind w:left="-20" w:firstLine="1428"/>
        <w:spacing w:after="0" w:line="255" w:lineRule="auto"/>
        <w:tabs>
          <w:tab w:leader="none" w:pos="1727" w:val="left"/>
        </w:tabs>
        <w:numPr>
          <w:ilvl w:val="0"/>
          <w:numId w:val="262"/>
        </w:numPr>
        <w:rPr>
          <w:rFonts w:ascii="Arial" w:cs="Arial" w:eastAsia="Arial" w:hAnsi="Arial"/>
          <w:sz w:val="18"/>
          <w:szCs w:val="18"/>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effective date of a merger or consolidation of the Company with any other entity, other than a</w:t>
      </w:r>
      <w:r>
        <w:rPr>
          <w:rFonts w:ascii="Arial" w:cs="Arial" w:eastAsia="Arial" w:hAnsi="Arial"/>
          <w:sz w:val="18"/>
          <w:szCs w:val="18"/>
          <w:i w:val="1"/>
          <w:iCs w:val="1"/>
          <w:color w:val="auto"/>
        </w:rPr>
        <w:t xml:space="preserve"> </w:t>
      </w:r>
      <w:r>
        <w:rPr>
          <w:rFonts w:ascii="Arial" w:cs="Arial" w:eastAsia="Arial" w:hAnsi="Arial"/>
          <w:sz w:val="18"/>
          <w:szCs w:val="18"/>
          <w:color w:val="auto"/>
        </w:rPr>
        <w:t>merger or consolidation which would result in the voting securities of the Company outstanding immediately prior to such merger or consolidation continuing to represent (either by remaining outstanding or by being converted into voting securities of the surviving entity or its ultimate parent, as applicable) more than 50% of the combined voting power of the voting securities of the surviving entity or its ultimate parent, as applicable, outstanding immediately after such merger or consolidation and with the power to elect at least a majority of the board of directors or other governing body of such surviving entity or its ultimate parent, as applicable;</w:t>
      </w:r>
    </w:p>
    <w:p>
      <w:pPr>
        <w:spacing w:after="0" w:line="84" w:lineRule="exact"/>
        <w:rPr>
          <w:rFonts w:ascii="Arial" w:cs="Arial" w:eastAsia="Arial" w:hAnsi="Arial"/>
          <w:sz w:val="18"/>
          <w:szCs w:val="18"/>
          <w:color w:val="auto"/>
        </w:rPr>
      </w:pPr>
    </w:p>
    <w:p>
      <w:pPr>
        <w:ind w:left="-20" w:right="200" w:firstLine="1428"/>
        <w:spacing w:after="0" w:line="277" w:lineRule="auto"/>
        <w:tabs>
          <w:tab w:leader="none" w:pos="1717" w:val="left"/>
        </w:tabs>
        <w:numPr>
          <w:ilvl w:val="0"/>
          <w:numId w:val="262"/>
        </w:numPr>
        <w:rPr>
          <w:rFonts w:ascii="Arial" w:cs="Arial" w:eastAsia="Arial" w:hAnsi="Arial"/>
          <w:sz w:val="18"/>
          <w:szCs w:val="18"/>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The approval by the stockholders of the Company of a complete liquidation of the Company or an agreement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or disposition by the Company of all or substantially all of the Company’s assets; and</w:t>
      </w:r>
    </w:p>
    <w:p>
      <w:pPr>
        <w:spacing w:after="0" w:line="62" w:lineRule="exact"/>
        <w:rPr>
          <w:rFonts w:ascii="Arial" w:cs="Arial" w:eastAsia="Arial" w:hAnsi="Arial"/>
          <w:sz w:val="18"/>
          <w:szCs w:val="18"/>
          <w:color w:val="auto"/>
        </w:rPr>
      </w:pPr>
    </w:p>
    <w:p>
      <w:pPr>
        <w:ind w:left="-20" w:right="380" w:firstLine="1428"/>
        <w:spacing w:after="0" w:line="263" w:lineRule="auto"/>
        <w:tabs>
          <w:tab w:leader="none" w:pos="1667" w:val="left"/>
        </w:tabs>
        <w:numPr>
          <w:ilvl w:val="0"/>
          <w:numId w:val="262"/>
        </w:numPr>
        <w:rPr>
          <w:rFonts w:ascii="Arial" w:cs="Arial" w:eastAsia="Arial" w:hAnsi="Arial"/>
          <w:sz w:val="18"/>
          <w:szCs w:val="18"/>
          <w:color w:val="auto"/>
        </w:rPr>
      </w:pPr>
      <w:r>
        <w:rPr>
          <w:rFonts w:ascii="Arial" w:cs="Arial" w:eastAsia="Arial" w:hAnsi="Arial"/>
          <w:sz w:val="18"/>
          <w:szCs w:val="18"/>
          <w:i w:val="1"/>
          <w:iCs w:val="1"/>
          <w:color w:val="auto"/>
        </w:rPr>
        <w:t>Other Events</w:t>
      </w:r>
      <w:r>
        <w:rPr>
          <w:rFonts w:ascii="Arial" w:cs="Arial" w:eastAsia="Arial" w:hAnsi="Arial"/>
          <w:sz w:val="18"/>
          <w:szCs w:val="18"/>
          <w:color w:val="auto"/>
        </w:rPr>
        <w:t>. Any other event of a nature that would be required to be reported in response to Item 6(e) of Schedule 14A of</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14A (or in response to any similar item on any similar schedule or form) promulgated under the Securities Exchange Act of 1934, as amended, whether or not the Company is then subject to such reporting requirement.</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purposes of this Section 1(a), the following terms shall have the following meanings:</w:t>
      </w:r>
    </w:p>
    <w:p>
      <w:pPr>
        <w:spacing w:after="0" w:line="117" w:lineRule="exact"/>
        <w:rPr>
          <w:sz w:val="20"/>
          <w:szCs w:val="20"/>
          <w:color w:val="auto"/>
        </w:rPr>
      </w:pPr>
    </w:p>
    <w:p>
      <w:pPr>
        <w:jc w:val="both"/>
        <w:ind w:left="-20" w:right="400" w:firstLine="1979"/>
        <w:spacing w:after="0" w:line="259" w:lineRule="auto"/>
        <w:tabs>
          <w:tab w:leader="none" w:pos="2218"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xml:space="preserve">” shall have the meaning as set forth in Sections 13(d) and 14(d) of the Securities Exchange Act of 1934, as amended;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78" w:lineRule="exact"/>
        <w:rPr>
          <w:rFonts w:ascii="Arial" w:cs="Arial" w:eastAsia="Arial" w:hAnsi="Arial"/>
          <w:sz w:val="18"/>
          <w:szCs w:val="18"/>
          <w:color w:val="auto"/>
        </w:rPr>
      </w:pPr>
    </w:p>
    <w:p>
      <w:pPr>
        <w:ind w:left="-20" w:firstLine="1979"/>
        <w:spacing w:after="0" w:line="259" w:lineRule="auto"/>
        <w:tabs>
          <w:tab w:leader="none" w:pos="2218"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shall have the meaning given to such term in Rule 13d-3 under the Securities Exchange Act of 1934, as amended;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4" w:right="479" w:bottom="1440" w:gutter="0" w:footer="0" w:header="0"/>
        </w:sectPr>
      </w:pPr>
    </w:p>
    <w:bookmarkStart w:id="377" w:name="page378"/>
    <w:bookmarkEnd w:id="377"/>
    <w:p>
      <w:pPr>
        <w:ind w:left="-40" w:right="500" w:firstLine="987"/>
        <w:spacing w:after="0" w:line="277" w:lineRule="auto"/>
        <w:tabs>
          <w:tab w:leader="none" w:pos="1206" w:val="left"/>
        </w:tabs>
        <w:numPr>
          <w:ilvl w:val="0"/>
          <w:numId w:val="2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Corporate Status</w:t>
      </w:r>
      <w:r>
        <w:rPr>
          <w:rFonts w:ascii="Arial" w:cs="Arial" w:eastAsia="Arial" w:hAnsi="Arial"/>
          <w:sz w:val="18"/>
          <w:szCs w:val="18"/>
          <w:color w:val="auto"/>
        </w:rPr>
        <w:t>” describes the status of a person who is or was a director, trustee, general partner, managing member, officer, employee, agent or fiduciary of the Company or any other Enterprise.</w:t>
      </w:r>
    </w:p>
    <w:p>
      <w:pPr>
        <w:spacing w:after="0" w:line="62" w:lineRule="exact"/>
        <w:rPr>
          <w:rFonts w:ascii="Arial" w:cs="Arial" w:eastAsia="Arial" w:hAnsi="Arial"/>
          <w:sz w:val="18"/>
          <w:szCs w:val="18"/>
          <w:color w:val="auto"/>
        </w:rPr>
      </w:pPr>
    </w:p>
    <w:p>
      <w:pPr>
        <w:ind w:left="1200" w:hanging="253"/>
        <w:spacing w:after="0"/>
        <w:tabs>
          <w:tab w:leader="none" w:pos="12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means the General Corporation Law of the State of Delaware.</w:t>
      </w:r>
    </w:p>
    <w:p>
      <w:pPr>
        <w:spacing w:after="0" w:line="117" w:lineRule="exact"/>
        <w:rPr>
          <w:rFonts w:ascii="Arial" w:cs="Arial" w:eastAsia="Arial" w:hAnsi="Arial"/>
          <w:sz w:val="18"/>
          <w:szCs w:val="18"/>
          <w:color w:val="auto"/>
        </w:rPr>
      </w:pPr>
    </w:p>
    <w:p>
      <w:pPr>
        <w:ind w:left="-40" w:right="520" w:firstLine="987"/>
        <w:spacing w:after="0" w:line="277" w:lineRule="auto"/>
        <w:tabs>
          <w:tab w:leader="none" w:pos="120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62" w:lineRule="exact"/>
        <w:rPr>
          <w:rFonts w:ascii="Arial" w:cs="Arial" w:eastAsia="Arial" w:hAnsi="Arial"/>
          <w:sz w:val="18"/>
          <w:szCs w:val="18"/>
          <w:color w:val="auto"/>
        </w:rPr>
      </w:pPr>
    </w:p>
    <w:p>
      <w:pPr>
        <w:ind w:left="-40" w:right="80" w:firstLine="987"/>
        <w:spacing w:after="0" w:line="286" w:lineRule="auto"/>
        <w:tabs>
          <w:tab w:leader="none" w:pos="1196" w:val="left"/>
        </w:tabs>
        <w:numPr>
          <w:ilvl w:val="0"/>
          <w:numId w:val="2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Enterprise</w:t>
      </w:r>
      <w:r>
        <w:rPr>
          <w:rFonts w:ascii="Arial" w:cs="Arial" w:eastAsia="Arial" w:hAnsi="Arial"/>
          <w:sz w:val="17"/>
          <w:szCs w:val="17"/>
          <w:color w:val="auto"/>
        </w:rPr>
        <w:t>” means the Company, including without limitation any direct or indirect subsidiary of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57" w:lineRule="exact"/>
        <w:rPr>
          <w:rFonts w:ascii="Arial" w:cs="Arial" w:eastAsia="Arial" w:hAnsi="Arial"/>
          <w:sz w:val="17"/>
          <w:szCs w:val="17"/>
          <w:color w:val="auto"/>
        </w:rPr>
      </w:pPr>
    </w:p>
    <w:p>
      <w:pPr>
        <w:ind w:left="-40" w:firstLine="987"/>
        <w:spacing w:after="0" w:line="290" w:lineRule="auto"/>
        <w:tabs>
          <w:tab w:leader="none" w:pos="1176" w:val="left"/>
        </w:tabs>
        <w:numPr>
          <w:ilvl w:val="0"/>
          <w:numId w:val="2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include all reasonable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their equivalent, and (ii) for purposes of Section 13(d),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spacing w:after="0" w:line="57" w:lineRule="exact"/>
        <w:rPr>
          <w:rFonts w:ascii="Arial" w:cs="Arial" w:eastAsia="Arial" w:hAnsi="Arial"/>
          <w:sz w:val="16"/>
          <w:szCs w:val="16"/>
          <w:color w:val="auto"/>
        </w:rPr>
      </w:pPr>
    </w:p>
    <w:p>
      <w:pPr>
        <w:ind w:left="-40" w:right="80" w:firstLine="987"/>
        <w:spacing w:after="0" w:line="293" w:lineRule="auto"/>
        <w:tabs>
          <w:tab w:leader="none" w:pos="1206" w:val="left"/>
        </w:tabs>
        <w:numPr>
          <w:ilvl w:val="0"/>
          <w:numId w:val="2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56" w:lineRule="exact"/>
        <w:rPr>
          <w:rFonts w:ascii="Arial" w:cs="Arial" w:eastAsia="Arial" w:hAnsi="Arial"/>
          <w:sz w:val="16"/>
          <w:szCs w:val="16"/>
          <w:color w:val="auto"/>
        </w:rPr>
      </w:pPr>
    </w:p>
    <w:p>
      <w:pPr>
        <w:ind w:left="-40" w:right="20" w:firstLine="987"/>
        <w:spacing w:after="0" w:line="259" w:lineRule="auto"/>
        <w:tabs>
          <w:tab w:leader="none" w:pos="120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including any appeal therefrom and including without limitation any such Proceeding pending as of the date of this Agreement, in which Indemnitee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4" w:right="499" w:bottom="1440" w:gutter="0" w:footer="0" w:header="0"/>
        </w:sectPr>
      </w:pPr>
    </w:p>
    <w:bookmarkStart w:id="378" w:name="page379"/>
    <w:bookmarkEnd w:id="378"/>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53" w:lineRule="exact"/>
        <w:rPr>
          <w:sz w:val="20"/>
          <w:szCs w:val="20"/>
          <w:color w:val="auto"/>
        </w:rPr>
      </w:pPr>
    </w:p>
    <w:p>
      <w:pPr>
        <w:ind w:firstLine="1428"/>
        <w:spacing w:after="0" w:line="273" w:lineRule="auto"/>
        <w:tabs>
          <w:tab w:leader="none" w:pos="1647" w:val="left"/>
        </w:tabs>
        <w:numPr>
          <w:ilvl w:val="1"/>
          <w:numId w:val="265"/>
        </w:numPr>
        <w:rPr>
          <w:rFonts w:ascii="Arial" w:cs="Arial" w:eastAsia="Arial" w:hAnsi="Arial"/>
          <w:sz w:val="17"/>
          <w:szCs w:val="17"/>
          <w:color w:val="auto"/>
        </w:rPr>
      </w:pPr>
      <w:r>
        <w:rPr>
          <w:rFonts w:ascii="Arial" w:cs="Arial" w:eastAsia="Arial" w:hAnsi="Arial"/>
          <w:sz w:val="17"/>
          <w:szCs w:val="17"/>
          <w:color w:val="auto"/>
        </w:rPr>
        <w:t>Reference to “</w:t>
      </w:r>
      <w:r>
        <w:rPr>
          <w:rFonts w:ascii="Arial" w:cs="Arial" w:eastAsia="Arial" w:hAnsi="Arial"/>
          <w:sz w:val="17"/>
          <w:szCs w:val="17"/>
          <w:b w:val="1"/>
          <w:bCs w:val="1"/>
          <w:i w:val="1"/>
          <w:iCs w:val="1"/>
          <w:color w:val="auto"/>
        </w:rPr>
        <w:t>other enterprises</w:t>
      </w:r>
      <w:r>
        <w:rPr>
          <w:rFonts w:ascii="Arial" w:cs="Arial" w:eastAsia="Arial" w:hAnsi="Arial"/>
          <w:sz w:val="17"/>
          <w:szCs w:val="17"/>
          <w:color w:val="auto"/>
        </w:rPr>
        <w:t>” shall include employee benefit plans; references to “</w:t>
      </w:r>
      <w:r>
        <w:rPr>
          <w:rFonts w:ascii="Arial" w:cs="Arial" w:eastAsia="Arial" w:hAnsi="Arial"/>
          <w:sz w:val="17"/>
          <w:szCs w:val="17"/>
          <w:b w:val="1"/>
          <w:bCs w:val="1"/>
          <w:i w:val="1"/>
          <w:iCs w:val="1"/>
          <w:color w:val="auto"/>
        </w:rPr>
        <w:t>fines</w:t>
      </w:r>
      <w:r>
        <w:rPr>
          <w:rFonts w:ascii="Arial" w:cs="Arial" w:eastAsia="Arial" w:hAnsi="Arial"/>
          <w:sz w:val="17"/>
          <w:szCs w:val="17"/>
          <w:color w:val="auto"/>
        </w:rPr>
        <w:t>” shall include any excise taxes assessed on a person with respect to any employee benefit plan; references to “</w:t>
      </w:r>
      <w:r>
        <w:rPr>
          <w:rFonts w:ascii="Arial" w:cs="Arial" w:eastAsia="Arial" w:hAnsi="Arial"/>
          <w:sz w:val="17"/>
          <w:szCs w:val="17"/>
          <w:b w:val="1"/>
          <w:bCs w:val="1"/>
          <w:i w:val="1"/>
          <w:iCs w:val="1"/>
          <w:color w:val="auto"/>
        </w:rPr>
        <w:t>serving at the request of the Company</w:t>
      </w:r>
      <w:r>
        <w:rPr>
          <w:rFonts w:ascii="Arial" w:cs="Arial" w:eastAsia="Arial" w:hAnsi="Arial"/>
          <w:sz w:val="17"/>
          <w:szCs w:val="17"/>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Arial" w:cs="Arial" w:eastAsia="Arial" w:hAnsi="Arial"/>
          <w:sz w:val="17"/>
          <w:szCs w:val="17"/>
          <w:b w:val="1"/>
          <w:bCs w:val="1"/>
          <w:i w:val="1"/>
          <w:iCs w:val="1"/>
          <w:color w:val="auto"/>
        </w:rPr>
        <w:t>not opposed to the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best interests of the Company</w:t>
      </w:r>
      <w:r>
        <w:rPr>
          <w:rFonts w:ascii="Arial" w:cs="Arial" w:eastAsia="Arial" w:hAnsi="Arial"/>
          <w:sz w:val="17"/>
          <w:szCs w:val="17"/>
          <w:color w:val="auto"/>
        </w:rPr>
        <w:t>” as referred to in this Agreement.</w:t>
      </w:r>
    </w:p>
    <w:p>
      <w:pPr>
        <w:spacing w:after="0" w:line="173" w:lineRule="exact"/>
        <w:rPr>
          <w:rFonts w:ascii="Arial" w:cs="Arial" w:eastAsia="Arial" w:hAnsi="Arial"/>
          <w:sz w:val="17"/>
          <w:szCs w:val="17"/>
          <w:color w:val="auto"/>
        </w:rPr>
      </w:pPr>
    </w:p>
    <w:p>
      <w:pPr>
        <w:ind w:right="200" w:firstLine="436"/>
        <w:spacing w:after="0" w:line="255" w:lineRule="auto"/>
        <w:tabs>
          <w:tab w:leader="none" w:pos="620" w:val="left"/>
        </w:tabs>
        <w:numPr>
          <w:ilvl w:val="0"/>
          <w:numId w:val="266"/>
        </w:numPr>
        <w:rPr>
          <w:rFonts w:ascii="Arial" w:cs="Arial" w:eastAsia="Arial" w:hAnsi="Arial"/>
          <w:sz w:val="18"/>
          <w:szCs w:val="18"/>
          <w:color w:val="auto"/>
        </w:rPr>
      </w:pPr>
      <w:r>
        <w:rPr>
          <w:rFonts w:ascii="Arial" w:cs="Arial" w:eastAsia="Arial" w:hAnsi="Arial"/>
          <w:sz w:val="18"/>
          <w:szCs w:val="18"/>
          <w:b w:val="1"/>
          <w:bCs w:val="1"/>
          <w:color w:val="auto"/>
        </w:rPr>
        <w:t>Indemnity in Third-Party Proceedings</w:t>
      </w:r>
      <w:r>
        <w:rPr>
          <w:rFonts w:ascii="Arial" w:cs="Arial" w:eastAsia="Arial" w:hAnsi="Arial"/>
          <w:sz w:val="18"/>
          <w:szCs w:val="18"/>
          <w:color w:val="auto"/>
        </w:rPr>
        <w:t>. The Company shall indemnify Indemnitee in accordance with the provisions of this Section 2 if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w:t>
      </w:r>
      <w:r>
        <w:rPr>
          <w:rFonts w:ascii="Arial" w:cs="Arial" w:eastAsia="Arial" w:hAnsi="Arial"/>
          <w:sz w:val="18"/>
          <w:szCs w:val="18"/>
          <w:i w:val="1"/>
          <w:iCs w:val="1"/>
          <w:color w:val="auto"/>
        </w:rPr>
        <w:t xml:space="preserve">opposed to the best </w:t>
      </w:r>
      <w:r>
        <w:rPr>
          <w:rFonts w:ascii="Arial" w:cs="Arial" w:eastAsia="Arial" w:hAnsi="Arial"/>
          <w:sz w:val="18"/>
          <w:szCs w:val="18"/>
          <w:color w:val="auto"/>
        </w:rPr>
        <w:t>interests of the Company and, with respect to any criminal action or proceeding, had no reasonable cause to believe that his or her</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was unlawful.</w:t>
      </w:r>
    </w:p>
    <w:p>
      <w:pPr>
        <w:spacing w:after="0" w:line="188" w:lineRule="exact"/>
        <w:rPr>
          <w:rFonts w:ascii="Arial" w:cs="Arial" w:eastAsia="Arial" w:hAnsi="Arial"/>
          <w:sz w:val="18"/>
          <w:szCs w:val="18"/>
          <w:color w:val="auto"/>
        </w:rPr>
      </w:pPr>
    </w:p>
    <w:p>
      <w:pPr>
        <w:ind w:firstLine="436"/>
        <w:spacing w:after="0" w:line="270" w:lineRule="auto"/>
        <w:tabs>
          <w:tab w:leader="none" w:pos="620" w:val="left"/>
        </w:tabs>
        <w:numPr>
          <w:ilvl w:val="0"/>
          <w:numId w:val="266"/>
        </w:numPr>
        <w:rPr>
          <w:rFonts w:ascii="Arial" w:cs="Arial" w:eastAsia="Arial" w:hAnsi="Arial"/>
          <w:sz w:val="17"/>
          <w:szCs w:val="17"/>
          <w:color w:val="auto"/>
        </w:rPr>
      </w:pPr>
      <w:r>
        <w:rPr>
          <w:rFonts w:ascii="Arial" w:cs="Arial" w:eastAsia="Arial" w:hAnsi="Arial"/>
          <w:sz w:val="17"/>
          <w:szCs w:val="17"/>
          <w:b w:val="1"/>
          <w:bCs w:val="1"/>
          <w:color w:val="auto"/>
        </w:rPr>
        <w:t>Indemnity in Proceedings by or in the Right of the Company</w:t>
      </w:r>
      <w:r>
        <w:rPr>
          <w:rFonts w:ascii="Arial" w:cs="Arial" w:eastAsia="Arial" w:hAnsi="Arial"/>
          <w:sz w:val="17"/>
          <w:szCs w:val="17"/>
          <w:color w:val="auto"/>
        </w:rPr>
        <w:t>. The Company shall indemnify Indemnitee in accordance with the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Section 3 if Indemnitee is, or is threatened to be made, a party to or a participant in any Proceeding by or in the right of the Company to procure a judgment in its favor. Pursuant to this Section 3, Indemnitee shall be indemnified to the fullest extent permitted by applicable law against all Expenses actually and reasonably incurred by Indemnitee or on Indemnitee’s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79" w:name="page380"/>
    <w:bookmarkEnd w:id="379"/>
    <w:p>
      <w:pPr>
        <w:ind w:firstLine="436"/>
        <w:spacing w:after="0" w:line="291" w:lineRule="auto"/>
        <w:tabs>
          <w:tab w:leader="none" w:pos="620" w:val="left"/>
        </w:tabs>
        <w:numPr>
          <w:ilvl w:val="0"/>
          <w:numId w:val="26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Indemnification for Expenses of a Party Who is Wholly or Partly Successful</w:t>
      </w:r>
      <w:r>
        <w:rPr>
          <w:rFonts w:ascii="Arial" w:cs="Arial" w:eastAsia="Arial" w:hAnsi="Arial"/>
          <w:sz w:val="16"/>
          <w:szCs w:val="16"/>
          <w:color w:val="auto"/>
        </w:rPr>
        <w:t>. To the extent that Indemnitee is a party to or a participant in</w:t>
      </w:r>
      <w:r>
        <w:rPr>
          <w:rFonts w:ascii="Arial" w:cs="Arial" w:eastAsia="Arial" w:hAnsi="Arial"/>
          <w:sz w:val="16"/>
          <w:szCs w:val="16"/>
          <w:b w:val="1"/>
          <w:bCs w:val="1"/>
          <w:color w:val="auto"/>
        </w:rPr>
        <w:t xml:space="preserve"> </w:t>
      </w:r>
      <w:r>
        <w:rPr>
          <w:rFonts w:ascii="Arial" w:cs="Arial" w:eastAsia="Arial" w:hAnsi="Arial"/>
          <w:sz w:val="16"/>
          <w:szCs w:val="16"/>
          <w:color w:val="auto"/>
        </w:rPr>
        <w:t>and is successful (on the merits or otherwise) in defense of any Proceeding or any claim, issue or matter therein, the Company shall indemnify Indemnitee against all Expenses actually and reasonably incurred by Indemnitee or on Indemnitee’s behalf in connection therewith. To the extent permitted by applicable law, if Indemnitee is not wholly successful in such Proceeding but is successful, on the merits or otherwise, in defense of one or more but less than all claims, issues or matters in such Proceeding, the Company shall indemnify Indemnitee against all Expenses actually and reasonably incurred by Indemnitee or on Indemnitee’s behalf in connection with (a) each successfully resolved claim, issue or matter, and (b) any claim, issue or matter related to any such successfully resolved claim, issue or matter. For purposes of this section, the termination of any claim, issue or matter in such a Proceeding by dismissal, with or without prejudice, shall be deemed to be a successful result as to such claim, issue or matter.</w:t>
      </w:r>
    </w:p>
    <w:p>
      <w:pPr>
        <w:spacing w:after="0" w:line="159" w:lineRule="exact"/>
        <w:rPr>
          <w:rFonts w:ascii="Arial" w:cs="Arial" w:eastAsia="Arial" w:hAnsi="Arial"/>
          <w:sz w:val="16"/>
          <w:szCs w:val="16"/>
          <w:color w:val="auto"/>
        </w:rPr>
      </w:pPr>
    </w:p>
    <w:p>
      <w:pPr>
        <w:jc w:val="both"/>
        <w:ind w:right="320" w:firstLine="436"/>
        <w:spacing w:after="0" w:line="266" w:lineRule="auto"/>
        <w:tabs>
          <w:tab w:leader="none" w:pos="620"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Partial Indemnification</w:t>
      </w:r>
      <w:r>
        <w:rPr>
          <w:rFonts w:ascii="Arial" w:cs="Arial" w:eastAsia="Arial" w:hAnsi="Arial"/>
          <w:sz w:val="18"/>
          <w:szCs w:val="18"/>
          <w:color w:val="auto"/>
        </w:rPr>
        <w:t>. If Indemnitee is entitled under any provision of this Agreement to indemnification by the Company for some or a</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Expenses, but not, however, for the total amount thereof, the Company shall nevertheless indemnify Indemnitee for the portion thereof to which Indemnitee is entitled.</w:t>
      </w:r>
    </w:p>
    <w:p>
      <w:pPr>
        <w:spacing w:after="0" w:line="175" w:lineRule="exact"/>
        <w:rPr>
          <w:rFonts w:ascii="Arial" w:cs="Arial" w:eastAsia="Arial" w:hAnsi="Arial"/>
          <w:sz w:val="18"/>
          <w:szCs w:val="18"/>
          <w:color w:val="auto"/>
        </w:rPr>
      </w:pPr>
    </w:p>
    <w:p>
      <w:pPr>
        <w:ind w:right="160" w:firstLine="436"/>
        <w:spacing w:after="0" w:line="266" w:lineRule="auto"/>
        <w:tabs>
          <w:tab w:leader="none" w:pos="620"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Indemnification for Expenses of a Witness</w:t>
      </w:r>
      <w:r>
        <w:rPr>
          <w:rFonts w:ascii="Arial" w:cs="Arial" w:eastAsia="Arial" w:hAnsi="Arial"/>
          <w:sz w:val="18"/>
          <w:szCs w:val="18"/>
          <w:color w:val="auto"/>
        </w:rPr>
        <w:t>. To the extent that Indemnitee is, by reason of his or her Corporate Status, a witness in any</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to which Indemnitee is not a party, Indemnitee shall be indemnified to the extent permitted by applicable law against all Expenses actually and reasonably incurred by Indemnitee or on Indemnitee’s behalf in connection therewith.</w:t>
      </w:r>
    </w:p>
    <w:p>
      <w:pPr>
        <w:spacing w:after="0" w:line="175" w:lineRule="exact"/>
        <w:rPr>
          <w:rFonts w:ascii="Arial" w:cs="Arial" w:eastAsia="Arial" w:hAnsi="Arial"/>
          <w:sz w:val="18"/>
          <w:szCs w:val="18"/>
          <w:color w:val="auto"/>
        </w:rPr>
      </w:pPr>
    </w:p>
    <w:p>
      <w:pPr>
        <w:ind w:left="620" w:hanging="184"/>
        <w:spacing w:after="0"/>
        <w:tabs>
          <w:tab w:leader="none" w:pos="620"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Additional Indemnification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firstLine="987"/>
        <w:spacing w:after="0" w:line="279" w:lineRule="auto"/>
        <w:tabs>
          <w:tab w:leader="none" w:pos="1236" w:val="left"/>
        </w:tabs>
        <w:numPr>
          <w:ilvl w:val="1"/>
          <w:numId w:val="267"/>
        </w:numPr>
        <w:rPr>
          <w:rFonts w:ascii="Arial" w:cs="Arial" w:eastAsia="Arial" w:hAnsi="Arial"/>
          <w:sz w:val="17"/>
          <w:szCs w:val="17"/>
          <w:color w:val="auto"/>
        </w:rPr>
      </w:pPr>
      <w:r>
        <w:rPr>
          <w:rFonts w:ascii="Arial" w:cs="Arial" w:eastAsia="Arial" w:hAnsi="Arial"/>
          <w:sz w:val="17"/>
          <w:szCs w:val="17"/>
          <w:color w:val="auto"/>
        </w:rPr>
        <w:t>Notwithstanding any limitation in Sections 2, 3 or 4,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spacing w:after="0" w:line="63" w:lineRule="exact"/>
        <w:rPr>
          <w:rFonts w:ascii="Arial" w:cs="Arial" w:eastAsia="Arial" w:hAnsi="Arial"/>
          <w:sz w:val="17"/>
          <w:szCs w:val="17"/>
          <w:color w:val="auto"/>
        </w:rPr>
      </w:pPr>
    </w:p>
    <w:p>
      <w:pPr>
        <w:ind w:left="1240" w:hanging="253"/>
        <w:spacing w:after="0"/>
        <w:tabs>
          <w:tab w:leader="none" w:pos="1240" w:val="left"/>
        </w:tabs>
        <w:numPr>
          <w:ilvl w:val="1"/>
          <w:numId w:val="267"/>
        </w:numPr>
        <w:rPr>
          <w:rFonts w:ascii="Arial" w:cs="Arial" w:eastAsia="Arial" w:hAnsi="Arial"/>
          <w:sz w:val="16"/>
          <w:szCs w:val="16"/>
          <w:color w:val="auto"/>
        </w:rPr>
      </w:pPr>
      <w:r>
        <w:rPr>
          <w:rFonts w:ascii="Arial" w:cs="Arial" w:eastAsia="Arial" w:hAnsi="Arial"/>
          <w:sz w:val="16"/>
          <w:szCs w:val="16"/>
          <w:color w:val="auto"/>
        </w:rPr>
        <w:t>For purposes of Section 7(a), the meaning of the phrase “</w:t>
      </w:r>
      <w:r>
        <w:rPr>
          <w:rFonts w:ascii="Arial" w:cs="Arial" w:eastAsia="Arial" w:hAnsi="Arial"/>
          <w:sz w:val="16"/>
          <w:szCs w:val="16"/>
          <w:b w:val="1"/>
          <w:bCs w:val="1"/>
          <w:i w:val="1"/>
          <w:iCs w:val="1"/>
          <w:color w:val="auto"/>
        </w:rPr>
        <w:t>to the fullest extent permitted by applicable law</w:t>
      </w:r>
      <w:r>
        <w:rPr>
          <w:rFonts w:ascii="Arial" w:cs="Arial" w:eastAsia="Arial" w:hAnsi="Arial"/>
          <w:sz w:val="16"/>
          <w:szCs w:val="16"/>
          <w:color w:val="auto"/>
        </w:rPr>
        <w:t>” shall include, but not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limited to:</w:t>
      </w:r>
    </w:p>
    <w:p>
      <w:pPr>
        <w:spacing w:after="0" w:line="102" w:lineRule="exact"/>
        <w:rPr>
          <w:rFonts w:ascii="Arial" w:cs="Arial" w:eastAsia="Arial" w:hAnsi="Arial"/>
          <w:sz w:val="16"/>
          <w:szCs w:val="16"/>
          <w:color w:val="auto"/>
        </w:rPr>
      </w:pPr>
    </w:p>
    <w:p>
      <w:pPr>
        <w:ind w:right="740" w:firstLine="1428"/>
        <w:spacing w:after="0" w:line="277" w:lineRule="auto"/>
        <w:tabs>
          <w:tab w:leader="none" w:pos="1647" w:val="left"/>
        </w:tabs>
        <w:numPr>
          <w:ilvl w:val="2"/>
          <w:numId w:val="267"/>
        </w:numPr>
        <w:rPr>
          <w:rFonts w:ascii="Arial" w:cs="Arial" w:eastAsia="Arial" w:hAnsi="Arial"/>
          <w:sz w:val="18"/>
          <w:szCs w:val="18"/>
          <w:color w:val="auto"/>
        </w:rPr>
      </w:pPr>
      <w:r>
        <w:rPr>
          <w:rFonts w:ascii="Arial" w:cs="Arial" w:eastAsia="Arial" w:hAnsi="Arial"/>
          <w:sz w:val="18"/>
          <w:szCs w:val="18"/>
          <w:color w:val="auto"/>
        </w:rPr>
        <w:t>the fullest extent permitted by the provision of the DGCL that authorizes or contemplates additional indemnification by agreement, or the corresponding provision of any amendment to or replacement of the DGCL; and</w:t>
      </w:r>
    </w:p>
    <w:p>
      <w:pPr>
        <w:spacing w:after="0" w:line="62" w:lineRule="exact"/>
        <w:rPr>
          <w:rFonts w:ascii="Arial" w:cs="Arial" w:eastAsia="Arial" w:hAnsi="Arial"/>
          <w:sz w:val="18"/>
          <w:szCs w:val="18"/>
          <w:color w:val="auto"/>
        </w:rPr>
      </w:pPr>
    </w:p>
    <w:p>
      <w:pPr>
        <w:ind w:right="400" w:firstLine="1428"/>
        <w:spacing w:after="0" w:line="277" w:lineRule="auto"/>
        <w:tabs>
          <w:tab w:leader="none" w:pos="1697" w:val="left"/>
        </w:tabs>
        <w:numPr>
          <w:ilvl w:val="2"/>
          <w:numId w:val="267"/>
        </w:numPr>
        <w:rPr>
          <w:rFonts w:ascii="Arial" w:cs="Arial" w:eastAsia="Arial" w:hAnsi="Arial"/>
          <w:sz w:val="18"/>
          <w:szCs w:val="18"/>
          <w:color w:val="auto"/>
        </w:rPr>
      </w:pPr>
      <w:r>
        <w:rPr>
          <w:rFonts w:ascii="Arial" w:cs="Arial" w:eastAsia="Arial" w:hAnsi="Arial"/>
          <w:sz w:val="18"/>
          <w:szCs w:val="18"/>
          <w:color w:val="auto"/>
        </w:rPr>
        <w:t>the fullest extent authorized or permitted by any amendments to or replacements of the DGCL adopted after the date of this Agreement that increase the extent to which a corporation may indemnify its officers and directors.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380" w:name="page381"/>
    <w:bookmarkEnd w:id="380"/>
    <w:p>
      <w:pPr>
        <w:ind w:right="740" w:firstLine="436"/>
        <w:spacing w:after="0" w:line="282" w:lineRule="auto"/>
        <w:tabs>
          <w:tab w:leader="none" w:pos="620" w:val="left"/>
        </w:tabs>
        <w:numPr>
          <w:ilvl w:val="0"/>
          <w:numId w:val="26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Exclusions</w:t>
      </w:r>
      <w:r>
        <w:rPr>
          <w:rFonts w:ascii="Arial" w:cs="Arial" w:eastAsia="Arial" w:hAnsi="Arial"/>
          <w:sz w:val="18"/>
          <w:szCs w:val="18"/>
          <w:color w:val="auto"/>
        </w:rPr>
        <w:t>. Notwithstanding any provision in this Agreement, the Company shall not be obligated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indemnity in connection with any Proceeding (or any part of any Proceeding):</w:t>
      </w:r>
    </w:p>
    <w:p>
      <w:pPr>
        <w:spacing w:after="0" w:line="57" w:lineRule="exact"/>
        <w:rPr>
          <w:rFonts w:ascii="Arial" w:cs="Arial" w:eastAsia="Arial" w:hAnsi="Arial"/>
          <w:sz w:val="18"/>
          <w:szCs w:val="18"/>
          <w:color w:val="auto"/>
        </w:rPr>
      </w:pPr>
    </w:p>
    <w:p>
      <w:pPr>
        <w:ind w:right="60" w:firstLine="987"/>
        <w:spacing w:after="0" w:line="277" w:lineRule="auto"/>
        <w:tabs>
          <w:tab w:leader="none" w:pos="1236" w:val="left"/>
        </w:tabs>
        <w:numPr>
          <w:ilvl w:val="1"/>
          <w:numId w:val="268"/>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statute, insurance policy, indemnity provision, vote or otherwise, except with respect to any excess beyond the amount paid;</w:t>
      </w:r>
    </w:p>
    <w:p>
      <w:pPr>
        <w:spacing w:after="0" w:line="62" w:lineRule="exact"/>
        <w:rPr>
          <w:rFonts w:ascii="Arial" w:cs="Arial" w:eastAsia="Arial" w:hAnsi="Arial"/>
          <w:sz w:val="18"/>
          <w:szCs w:val="18"/>
          <w:color w:val="auto"/>
        </w:rPr>
      </w:pPr>
    </w:p>
    <w:p>
      <w:pPr>
        <w:ind w:right="120" w:firstLine="987"/>
        <w:spacing w:after="0" w:line="277" w:lineRule="auto"/>
        <w:tabs>
          <w:tab w:leader="none" w:pos="1246" w:val="left"/>
        </w:tabs>
        <w:numPr>
          <w:ilvl w:val="1"/>
          <w:numId w:val="268"/>
        </w:numPr>
        <w:rPr>
          <w:rFonts w:ascii="Arial" w:cs="Arial" w:eastAsia="Arial" w:hAnsi="Arial"/>
          <w:sz w:val="18"/>
          <w:szCs w:val="18"/>
          <w:color w:val="auto"/>
        </w:rPr>
      </w:pPr>
      <w:r>
        <w:rPr>
          <w:rFonts w:ascii="Arial" w:cs="Arial" w:eastAsia="Arial" w:hAnsi="Arial"/>
          <w:sz w:val="18"/>
          <w:szCs w:val="18"/>
          <w:color w:val="auto"/>
        </w:rPr>
        <w:t>for an accounting or disgorgement of profits pursuant to Section 16(b) of the Securities Exchange Act of 1934, as amended, or similar provisions of federal, state or local statutory law or common law, if Indemnitee is held liable therefor;</w:t>
      </w:r>
    </w:p>
    <w:p>
      <w:pPr>
        <w:spacing w:after="0" w:line="62" w:lineRule="exact"/>
        <w:rPr>
          <w:rFonts w:ascii="Arial" w:cs="Arial" w:eastAsia="Arial" w:hAnsi="Arial"/>
          <w:sz w:val="18"/>
          <w:szCs w:val="18"/>
          <w:color w:val="auto"/>
        </w:rPr>
      </w:pPr>
    </w:p>
    <w:p>
      <w:pPr>
        <w:ind w:right="80" w:firstLine="987"/>
        <w:spacing w:after="0" w:line="275" w:lineRule="auto"/>
        <w:tabs>
          <w:tab w:leader="none" w:pos="1236" w:val="left"/>
        </w:tabs>
        <w:numPr>
          <w:ilvl w:val="1"/>
          <w:numId w:val="268"/>
        </w:numPr>
        <w:rPr>
          <w:rFonts w:ascii="Arial" w:cs="Arial" w:eastAsia="Arial" w:hAnsi="Arial"/>
          <w:sz w:val="17"/>
          <w:szCs w:val="17"/>
          <w:color w:val="auto"/>
        </w:rPr>
      </w:pPr>
      <w:r>
        <w:rPr>
          <w:rFonts w:ascii="Arial" w:cs="Arial" w:eastAsia="Arial" w:hAnsi="Arial"/>
          <w:sz w:val="17"/>
          <w:szCs w:val="17"/>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17"/>
          <w:szCs w:val="17"/>
          <w:b w:val="1"/>
          <w:bCs w:val="1"/>
          <w:i w:val="1"/>
          <w:iCs w:val="1"/>
          <w:color w:val="auto"/>
        </w:rPr>
        <w:t>Sarbanes-Oxley Act</w:t>
      </w:r>
      <w:r>
        <w:rPr>
          <w:rFonts w:ascii="Arial" w:cs="Arial" w:eastAsia="Arial" w:hAnsi="Arial"/>
          <w:sz w:val="17"/>
          <w:szCs w:val="17"/>
          <w:color w:val="auto"/>
        </w:rPr>
        <w:t>”), or the payment to the Company of profits arising from the purchase and sale by Indemnitee of securities in violation of Section 306 of the Sarbanes-Oxley Act), if Indemnitee is held liable therefor;</w:t>
      </w:r>
    </w:p>
    <w:p>
      <w:pPr>
        <w:spacing w:after="0" w:line="68" w:lineRule="exact"/>
        <w:rPr>
          <w:rFonts w:ascii="Arial" w:cs="Arial" w:eastAsia="Arial" w:hAnsi="Arial"/>
          <w:sz w:val="17"/>
          <w:szCs w:val="17"/>
          <w:color w:val="auto"/>
        </w:rPr>
      </w:pPr>
    </w:p>
    <w:p>
      <w:pPr>
        <w:ind w:firstLine="987"/>
        <w:spacing w:after="0" w:line="301" w:lineRule="auto"/>
        <w:tabs>
          <w:tab w:leader="none" w:pos="1246" w:val="left"/>
        </w:tabs>
        <w:numPr>
          <w:ilvl w:val="1"/>
          <w:numId w:val="268"/>
        </w:numPr>
        <w:rPr>
          <w:rFonts w:ascii="Arial" w:cs="Arial" w:eastAsia="Arial" w:hAnsi="Arial"/>
          <w:sz w:val="16"/>
          <w:szCs w:val="16"/>
          <w:color w:val="auto"/>
        </w:rPr>
      </w:pPr>
      <w:r>
        <w:rPr>
          <w:rFonts w:ascii="Arial" w:cs="Arial" w:eastAsia="Arial" w:hAnsi="Arial"/>
          <w:sz w:val="16"/>
          <w:szCs w:val="16"/>
          <w:color w:val="auto"/>
        </w:rPr>
        <w:t>initiated by Indemnitee and not by way of defense,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13(d) or (iv) otherwise required by applicable law; or</w:t>
      </w:r>
    </w:p>
    <w:p>
      <w:pPr>
        <w:spacing w:after="0" w:line="49" w:lineRule="exact"/>
        <w:rPr>
          <w:rFonts w:ascii="Arial" w:cs="Arial" w:eastAsia="Arial" w:hAnsi="Arial"/>
          <w:sz w:val="16"/>
          <w:szCs w:val="16"/>
          <w:color w:val="auto"/>
        </w:rPr>
      </w:pPr>
    </w:p>
    <w:p>
      <w:pPr>
        <w:ind w:left="1240" w:hanging="253"/>
        <w:spacing w:after="0"/>
        <w:tabs>
          <w:tab w:leader="none" w:pos="124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221" w:lineRule="exact"/>
        <w:rPr>
          <w:rFonts w:ascii="Arial" w:cs="Arial" w:eastAsia="Arial" w:hAnsi="Arial"/>
          <w:sz w:val="18"/>
          <w:szCs w:val="18"/>
          <w:color w:val="auto"/>
        </w:rPr>
      </w:pPr>
    </w:p>
    <w:p>
      <w:pPr>
        <w:ind w:left="620" w:hanging="184"/>
        <w:spacing w:after="0"/>
        <w:tabs>
          <w:tab w:leader="none" w:pos="620" w:val="left"/>
        </w:tabs>
        <w:numPr>
          <w:ilvl w:val="0"/>
          <w:numId w:val="268"/>
        </w:numPr>
        <w:rPr>
          <w:rFonts w:ascii="Arial" w:cs="Arial" w:eastAsia="Arial" w:hAnsi="Arial"/>
          <w:sz w:val="18"/>
          <w:szCs w:val="18"/>
          <w:color w:val="auto"/>
        </w:rPr>
      </w:pPr>
      <w:r>
        <w:rPr>
          <w:rFonts w:ascii="Arial" w:cs="Arial" w:eastAsia="Arial" w:hAnsi="Arial"/>
          <w:sz w:val="18"/>
          <w:szCs w:val="18"/>
          <w:b w:val="1"/>
          <w:bCs w:val="1"/>
          <w:color w:val="auto"/>
        </w:rPr>
        <w:t>Advances of Expenses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60" w:firstLine="987"/>
        <w:spacing w:after="0" w:line="289" w:lineRule="auto"/>
        <w:tabs>
          <w:tab w:leader="none" w:pos="1236" w:val="left"/>
        </w:tabs>
        <w:numPr>
          <w:ilvl w:val="1"/>
          <w:numId w:val="268"/>
        </w:numPr>
        <w:rPr>
          <w:rFonts w:ascii="Arial" w:cs="Arial" w:eastAsia="Arial" w:hAnsi="Arial"/>
          <w:sz w:val="16"/>
          <w:szCs w:val="16"/>
          <w:color w:val="auto"/>
        </w:rPr>
      </w:pPr>
      <w:r>
        <w:rPr>
          <w:rFonts w:ascii="Arial" w:cs="Arial" w:eastAsia="Arial" w:hAnsi="Arial"/>
          <w:sz w:val="16"/>
          <w:szCs w:val="16"/>
          <w:color w:val="auto"/>
        </w:rPr>
        <w:t>The Company shall advance the Expenses incurred by Indemnitee in connection with any Proceeding prior to its final resolution, and such advancement shall be made as soon as reasonably practicable, but in any event no later than 60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This Section 9 shall not apply to the extent advancement is prohibited by law and shall not apply to any Proceeding for which indemnity is not permitted under this Agreement, but shall apply to any Proceeding referenced in Section 8(b) or 8(c) prior to a determination that Indemnitee is not entitled to be indemnified by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81" w:name="page382"/>
    <w:bookmarkEnd w:id="381"/>
    <w:p>
      <w:pPr>
        <w:ind w:left="704" w:hanging="264"/>
        <w:spacing w:after="0"/>
        <w:tabs>
          <w:tab w:leader="none" w:pos="704" w:val="left"/>
        </w:tabs>
        <w:numPr>
          <w:ilvl w:val="1"/>
          <w:numId w:val="26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Procedures for Notification and Defense of Claim</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 w:right="140" w:firstLine="987"/>
        <w:spacing w:after="0" w:line="275" w:lineRule="auto"/>
        <w:tabs>
          <w:tab w:leader="none" w:pos="1240" w:val="left"/>
        </w:tabs>
        <w:numPr>
          <w:ilvl w:val="2"/>
          <w:numId w:val="269"/>
        </w:numPr>
        <w:rPr>
          <w:rFonts w:ascii="Arial" w:cs="Arial" w:eastAsia="Arial" w:hAnsi="Arial"/>
          <w:sz w:val="17"/>
          <w:szCs w:val="17"/>
          <w:color w:val="auto"/>
        </w:rPr>
      </w:pPr>
      <w:r>
        <w:rPr>
          <w:rFonts w:ascii="Arial" w:cs="Arial" w:eastAsia="Arial" w:hAnsi="Arial"/>
          <w:sz w:val="17"/>
          <w:szCs w:val="17"/>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or delay by Indemnitee to notify the Company will not relieve the Company from any liability which it may have to Indemnitee hereunder or otherwise than under this Agreement, except to the extent that such failure or delay materially prejudices the Company.</w:t>
      </w:r>
    </w:p>
    <w:p>
      <w:pPr>
        <w:spacing w:after="0" w:line="68" w:lineRule="exact"/>
        <w:rPr>
          <w:rFonts w:ascii="Arial" w:cs="Arial" w:eastAsia="Arial" w:hAnsi="Arial"/>
          <w:sz w:val="17"/>
          <w:szCs w:val="17"/>
          <w:color w:val="auto"/>
        </w:rPr>
      </w:pPr>
    </w:p>
    <w:p>
      <w:pPr>
        <w:jc w:val="both"/>
        <w:ind w:left="4" w:right="40" w:firstLine="987"/>
        <w:spacing w:after="0" w:line="279" w:lineRule="auto"/>
        <w:tabs>
          <w:tab w:leader="none" w:pos="1250" w:val="left"/>
        </w:tabs>
        <w:numPr>
          <w:ilvl w:val="2"/>
          <w:numId w:val="269"/>
        </w:numPr>
        <w:rPr>
          <w:rFonts w:ascii="Arial" w:cs="Arial" w:eastAsia="Arial" w:hAnsi="Arial"/>
          <w:sz w:val="17"/>
          <w:szCs w:val="17"/>
          <w:color w:val="auto"/>
        </w:rPr>
      </w:pPr>
      <w:r>
        <w:rPr>
          <w:rFonts w:ascii="Arial" w:cs="Arial" w:eastAsia="Arial" w:hAnsi="Arial"/>
          <w:sz w:val="17"/>
          <w:szCs w:val="17"/>
          <w:color w:val="auto"/>
        </w:rPr>
        <w:t>If, at the time of the receipt of a notice of a Proceeding pursuant to the terms hereof, the Company has directors’ and officers’ liability insurance in effect, the Company shall give prompt notice of the commencement of the Proceeding to the insurers in accordance with the procedures set forth in the applicable policies. The Company shall thereafter take all commercially-reasonable action to cause such insurers to pay, on behalf of Indemnitee, all amounts payable as a result of such Proceeding in accordance with the terms of such policies.</w:t>
      </w:r>
    </w:p>
    <w:p>
      <w:pPr>
        <w:spacing w:after="0" w:line="63" w:lineRule="exact"/>
        <w:rPr>
          <w:rFonts w:ascii="Arial" w:cs="Arial" w:eastAsia="Arial" w:hAnsi="Arial"/>
          <w:sz w:val="17"/>
          <w:szCs w:val="17"/>
          <w:color w:val="auto"/>
        </w:rPr>
      </w:pPr>
    </w:p>
    <w:p>
      <w:pPr>
        <w:ind w:left="4" w:firstLine="987"/>
        <w:spacing w:after="0" w:line="284" w:lineRule="auto"/>
        <w:tabs>
          <w:tab w:leader="none" w:pos="1240" w:val="left"/>
        </w:tabs>
        <w:numPr>
          <w:ilvl w:val="2"/>
          <w:numId w:val="269"/>
        </w:numPr>
        <w:rPr>
          <w:rFonts w:ascii="Arial" w:cs="Arial" w:eastAsia="Arial" w:hAnsi="Arial"/>
          <w:sz w:val="16"/>
          <w:szCs w:val="16"/>
          <w:color w:val="auto"/>
        </w:rPr>
      </w:pPr>
      <w:r>
        <w:rPr>
          <w:rFonts w:ascii="Arial" w:cs="Arial" w:eastAsia="Arial" w:hAnsi="Arial"/>
          <w:sz w:val="16"/>
          <w:szCs w:val="16"/>
          <w:color w:val="auto"/>
        </w:rPr>
        <w:t>In the event the Company may be obligated to make any indemnity in connection with a Proceeding, the Company shall be entitled to assume the defense of such Proceeding with counsel approved by Indemnitee, which approval shall not be unreasonably withheld. After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fees and expenses are non-duplicative and reasonably incurred in connection with Indemnitee’s role in the Proceeding despite the Company’s assumption of the defense;</w:t>
      </w:r>
    </w:p>
    <w:p>
      <w:pPr>
        <w:ind w:left="4" w:right="40" w:hanging="4"/>
        <w:spacing w:after="0" w:line="295" w:lineRule="auto"/>
        <w:tabs>
          <w:tab w:leader="none" w:pos="309"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Company is not financially or legally able to perform its indemnification obligations, or (v) the Company shall not have retained, or shall not continue to retain, such counsel to defend such Proceeding. The Company shall have the right to conduct such defense as it sees fit in its sole discretion.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53" w:lineRule="exact"/>
        <w:rPr>
          <w:rFonts w:ascii="Arial" w:cs="Arial" w:eastAsia="Arial" w:hAnsi="Arial"/>
          <w:sz w:val="16"/>
          <w:szCs w:val="16"/>
          <w:color w:val="auto"/>
        </w:rPr>
      </w:pPr>
    </w:p>
    <w:p>
      <w:pPr>
        <w:ind w:left="1244" w:hanging="253"/>
        <w:spacing w:after="0"/>
        <w:tabs>
          <w:tab w:leader="none" w:pos="1244" w:val="left"/>
        </w:tabs>
        <w:numPr>
          <w:ilvl w:val="2"/>
          <w:numId w:val="270"/>
        </w:numPr>
        <w:rPr>
          <w:rFonts w:ascii="Arial" w:cs="Arial" w:eastAsia="Arial" w:hAnsi="Arial"/>
          <w:sz w:val="17"/>
          <w:szCs w:val="17"/>
          <w:color w:val="auto"/>
        </w:rPr>
      </w:pPr>
      <w:r>
        <w:rPr>
          <w:rFonts w:ascii="Arial" w:cs="Arial" w:eastAsia="Arial" w:hAnsi="Arial"/>
          <w:sz w:val="17"/>
          <w:szCs w:val="17"/>
          <w:color w:val="auto"/>
        </w:rPr>
        <w:t>Indemnitee shall give the Company such information and cooperation in connection with the Proceeding as may be reasonably</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appropriate.</w:t>
      </w:r>
    </w:p>
    <w:p>
      <w:pPr>
        <w:spacing w:after="0" w:line="102" w:lineRule="exact"/>
        <w:rPr>
          <w:rFonts w:ascii="Arial" w:cs="Arial" w:eastAsia="Arial" w:hAnsi="Arial"/>
          <w:sz w:val="17"/>
          <w:szCs w:val="17"/>
          <w:color w:val="auto"/>
        </w:rPr>
      </w:pPr>
    </w:p>
    <w:p>
      <w:pPr>
        <w:ind w:left="4" w:right="520" w:firstLine="987"/>
        <w:spacing w:after="0" w:line="277" w:lineRule="auto"/>
        <w:tabs>
          <w:tab w:leader="none" w:pos="1240" w:val="left"/>
        </w:tabs>
        <w:numPr>
          <w:ilvl w:val="2"/>
          <w:numId w:val="270"/>
        </w:numPr>
        <w:rPr>
          <w:rFonts w:ascii="Arial" w:cs="Arial" w:eastAsia="Arial" w:hAnsi="Arial"/>
          <w:sz w:val="18"/>
          <w:szCs w:val="18"/>
          <w:color w:val="auto"/>
        </w:rPr>
      </w:pPr>
      <w:r>
        <w:rPr>
          <w:rFonts w:ascii="Arial" w:cs="Arial" w:eastAsia="Arial" w:hAnsi="Arial"/>
          <w:sz w:val="18"/>
          <w:szCs w:val="18"/>
          <w:color w:val="auto"/>
        </w:rPr>
        <w:t>The Company shall not be liable to indemnify Indemnitee for any settlement of any Proceeding (or any part thereof) without the Company’s prior written consent, which shall not be unreasonably withheld.</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0" w:right="479" w:bottom="1440" w:gutter="0" w:footer="0" w:header="0"/>
        </w:sectPr>
      </w:pPr>
    </w:p>
    <w:bookmarkStart w:id="382" w:name="page383"/>
    <w:bookmarkEnd w:id="382"/>
    <w:p>
      <w:pPr>
        <w:ind w:left="-20" w:right="400" w:firstLine="987"/>
        <w:spacing w:after="0" w:line="277" w:lineRule="auto"/>
        <w:tabs>
          <w:tab w:leader="none" w:pos="1196" w:val="left"/>
        </w:tabs>
        <w:numPr>
          <w:ilvl w:val="1"/>
          <w:numId w:val="2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not settle any Proceeding (or any part thereof) in a manner that imposes any penalty or liability on Indemnitee without Indemnitee’s prior written consent, which shall not be unreasonably withheld.</w:t>
      </w:r>
    </w:p>
    <w:p>
      <w:pPr>
        <w:spacing w:after="0" w:line="166" w:lineRule="exact"/>
        <w:rPr>
          <w:rFonts w:ascii="Arial" w:cs="Arial" w:eastAsia="Arial" w:hAnsi="Arial"/>
          <w:sz w:val="18"/>
          <w:szCs w:val="18"/>
          <w:color w:val="auto"/>
        </w:rPr>
      </w:pPr>
    </w:p>
    <w:p>
      <w:pPr>
        <w:ind w:left="680" w:hanging="264"/>
        <w:spacing w:after="0"/>
        <w:tabs>
          <w:tab w:leader="none" w:pos="680"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Procedures upon Application for Indemnification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0" w:right="540" w:firstLine="987"/>
        <w:spacing w:after="0" w:line="279" w:lineRule="auto"/>
        <w:tabs>
          <w:tab w:leader="none" w:pos="1216" w:val="left"/>
        </w:tabs>
        <w:numPr>
          <w:ilvl w:val="1"/>
          <w:numId w:val="272"/>
        </w:numPr>
        <w:rPr>
          <w:rFonts w:ascii="Arial" w:cs="Arial" w:eastAsia="Arial" w:hAnsi="Arial"/>
          <w:sz w:val="17"/>
          <w:szCs w:val="17"/>
          <w:color w:val="auto"/>
        </w:rPr>
      </w:pPr>
      <w:r>
        <w:rPr>
          <w:rFonts w:ascii="Arial" w:cs="Arial" w:eastAsia="Arial" w:hAnsi="Arial"/>
          <w:sz w:val="17"/>
          <w:szCs w:val="17"/>
          <w:color w:val="auto"/>
        </w:rPr>
        <w:t xml:space="preserve">To obtain indemnification, Indemnitee shall submit to the Company a written request, including therein or therewith such documentation and information as is reasonably available to Indemnitee </w:t>
      </w:r>
      <w:r>
        <w:rPr>
          <w:rFonts w:ascii="Arial" w:cs="Arial" w:eastAsia="Arial" w:hAnsi="Arial"/>
          <w:sz w:val="17"/>
          <w:szCs w:val="17"/>
          <w:i w:val="1"/>
          <w:iCs w:val="1"/>
          <w:color w:val="auto"/>
        </w:rPr>
        <w:t>and as is reasonably</w:t>
      </w:r>
      <w:r>
        <w:rPr>
          <w:rFonts w:ascii="Arial" w:cs="Arial" w:eastAsia="Arial" w:hAnsi="Arial"/>
          <w:sz w:val="17"/>
          <w:szCs w:val="17"/>
          <w:color w:val="auto"/>
        </w:rPr>
        <w:t xml:space="preserve"> necessary to determine whether and to what extent Indemnitee is entitled to indemnification following the final disposition of the Proceeding. Any delay in providing the request will not relieve the Company from its obligations under this Agreement, except to the extent such delay is prejudicial.</w:t>
      </w:r>
    </w:p>
    <w:p>
      <w:pPr>
        <w:spacing w:after="0" w:line="63" w:lineRule="exact"/>
        <w:rPr>
          <w:rFonts w:ascii="Arial" w:cs="Arial" w:eastAsia="Arial" w:hAnsi="Arial"/>
          <w:sz w:val="17"/>
          <w:szCs w:val="17"/>
          <w:color w:val="auto"/>
        </w:rPr>
      </w:pPr>
    </w:p>
    <w:p>
      <w:pPr>
        <w:ind w:left="-20" w:firstLine="987"/>
        <w:spacing w:after="0" w:line="286" w:lineRule="auto"/>
        <w:tabs>
          <w:tab w:leader="none" w:pos="1226" w:val="left"/>
        </w:tabs>
        <w:numPr>
          <w:ilvl w:val="1"/>
          <w:numId w:val="272"/>
        </w:numPr>
        <w:rPr>
          <w:rFonts w:ascii="Arial" w:cs="Arial" w:eastAsia="Arial" w:hAnsi="Arial"/>
          <w:sz w:val="16"/>
          <w:szCs w:val="16"/>
          <w:color w:val="auto"/>
        </w:rPr>
      </w:pPr>
      <w:r>
        <w:rPr>
          <w:rFonts w:ascii="Arial" w:cs="Arial" w:eastAsia="Arial" w:hAnsi="Arial"/>
          <w:sz w:val="16"/>
          <w:szCs w:val="16"/>
          <w:color w:val="auto"/>
        </w:rPr>
        <w:t>Upon written request by Indemnitee for indemnification pursuant to Section 11(a), a determination with respect to Indemnitee’s entitlement thereto shall be made in the specific case (i) if a Change in Control shall have occurred, by Independent Counsel in a written opinion to the Company’s board of directors, a copy of which shall be delivered to Indemnitee or (ii) if a Change in Control shall not have occurred, if required by applicable law (A) by a majority vote of the Disinterested Directors, 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reasonably incurred by Indemnitee in so cooperating with the person, persons or entity making such determination shall be borne by the Company, to the extent permitted by applicable law.</w:t>
      </w:r>
    </w:p>
    <w:p>
      <w:pPr>
        <w:spacing w:after="0" w:line="65" w:lineRule="exact"/>
        <w:rPr>
          <w:rFonts w:ascii="Arial" w:cs="Arial" w:eastAsia="Arial" w:hAnsi="Arial"/>
          <w:sz w:val="16"/>
          <w:szCs w:val="16"/>
          <w:color w:val="auto"/>
        </w:rPr>
      </w:pPr>
    </w:p>
    <w:p>
      <w:pPr>
        <w:ind w:left="-20" w:firstLine="987"/>
        <w:spacing w:after="0" w:line="290" w:lineRule="auto"/>
        <w:tabs>
          <w:tab w:leader="none" w:pos="1216" w:val="left"/>
        </w:tabs>
        <w:numPr>
          <w:ilvl w:val="1"/>
          <w:numId w:val="272"/>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pursuant to Section 11(b), the Independent Counsel shall be selected as provided in this Section 11(c).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objection may be asserted only on the ground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60" w:top="274" w:right="479" w:bottom="1440" w:gutter="0" w:footer="0" w:header="0"/>
        </w:sectPr>
      </w:pPr>
    </w:p>
    <w:bookmarkStart w:id="383" w:name="page384"/>
    <w:bookmarkEnd w:id="383"/>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the Independent Counsel so selected does not meet the 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w:t>
      </w:r>
    </w:p>
    <w:p>
      <w:pPr>
        <w:spacing w:after="0" w:line="1" w:lineRule="exact"/>
        <w:rPr>
          <w:sz w:val="20"/>
          <w:szCs w:val="20"/>
          <w:color w:val="auto"/>
        </w:rPr>
      </w:pPr>
    </w:p>
    <w:p>
      <w:pPr>
        <w:ind w:left="4" w:hanging="4"/>
        <w:spacing w:after="0" w:line="268" w:lineRule="auto"/>
        <w:tabs>
          <w:tab w:leader="none" w:pos="219" w:val="left"/>
        </w:tabs>
        <w:numPr>
          <w:ilvl w:val="0"/>
          <w:numId w:val="273"/>
        </w:numPr>
        <w:rPr>
          <w:rFonts w:ascii="Arial" w:cs="Arial" w:eastAsia="Arial" w:hAnsi="Arial"/>
          <w:sz w:val="17"/>
          <w:szCs w:val="17"/>
          <w:color w:val="auto"/>
        </w:rPr>
      </w:pPr>
      <w:r>
        <w:rPr>
          <w:rFonts w:ascii="Arial" w:cs="Arial" w:eastAsia="Arial" w:hAnsi="Arial"/>
          <w:sz w:val="17"/>
          <w:szCs w:val="17"/>
          <w:color w:val="auto"/>
        </w:rPr>
        <w:t>submission by Indemnitee of a written request for indemnification pursuant to Section 11(a)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11(b) hereof. Upon the due commencement of any judicial proceeding or arbitration pursuant to Section 13(a) of this Agreement, the Independent Counsel shall be discharged and relieved of any further responsibility in such capacity (subject to the applicable standards of professional conduct then prevailing). The Company shall pay the reasonable fees and expenses of any Independent Counsel.</w:t>
      </w:r>
    </w:p>
    <w:p>
      <w:pPr>
        <w:spacing w:after="0" w:line="179" w:lineRule="exact"/>
        <w:rPr>
          <w:rFonts w:ascii="Arial" w:cs="Arial" w:eastAsia="Arial" w:hAnsi="Arial"/>
          <w:sz w:val="17"/>
          <w:szCs w:val="17"/>
          <w:color w:val="auto"/>
        </w:rPr>
      </w:pPr>
    </w:p>
    <w:p>
      <w:pPr>
        <w:ind w:left="704" w:hanging="264"/>
        <w:spacing w:after="0"/>
        <w:tabs>
          <w:tab w:leader="none" w:pos="704" w:val="left"/>
        </w:tabs>
        <w:numPr>
          <w:ilvl w:val="1"/>
          <w:numId w:val="273"/>
        </w:numPr>
        <w:rPr>
          <w:rFonts w:ascii="Arial" w:cs="Arial" w:eastAsia="Arial" w:hAnsi="Arial"/>
          <w:sz w:val="18"/>
          <w:szCs w:val="18"/>
          <w:color w:val="auto"/>
        </w:rPr>
      </w:pPr>
      <w:r>
        <w:rPr>
          <w:rFonts w:ascii="Arial" w:cs="Arial" w:eastAsia="Arial" w:hAnsi="Arial"/>
          <w:sz w:val="18"/>
          <w:szCs w:val="18"/>
          <w:b w:val="1"/>
          <w:bCs w:val="1"/>
          <w:color w:val="auto"/>
        </w:rPr>
        <w:t>Presumptions and Effect of Certain Proceedings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 w:right="360" w:firstLine="987"/>
        <w:spacing w:after="0" w:line="286" w:lineRule="auto"/>
        <w:tabs>
          <w:tab w:leader="none" w:pos="1240" w:val="left"/>
        </w:tabs>
        <w:numPr>
          <w:ilvl w:val="2"/>
          <w:numId w:val="273"/>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and the Company shall, to the fullest extent not prohibited by law, have the burden of proof to overcome that presumption.</w:t>
      </w:r>
    </w:p>
    <w:p>
      <w:pPr>
        <w:spacing w:after="0" w:line="57" w:lineRule="exact"/>
        <w:rPr>
          <w:rFonts w:ascii="Arial" w:cs="Arial" w:eastAsia="Arial" w:hAnsi="Arial"/>
          <w:sz w:val="17"/>
          <w:szCs w:val="17"/>
          <w:color w:val="auto"/>
        </w:rPr>
      </w:pPr>
    </w:p>
    <w:p>
      <w:pPr>
        <w:ind w:left="4" w:right="20" w:firstLine="987"/>
        <w:spacing w:after="0" w:line="279" w:lineRule="auto"/>
        <w:tabs>
          <w:tab w:leader="none" w:pos="1250" w:val="left"/>
        </w:tabs>
        <w:numPr>
          <w:ilvl w:val="2"/>
          <w:numId w:val="273"/>
        </w:numPr>
        <w:rPr>
          <w:rFonts w:ascii="Arial" w:cs="Arial" w:eastAsia="Arial" w:hAnsi="Arial"/>
          <w:sz w:val="17"/>
          <w:szCs w:val="17"/>
          <w:color w:val="auto"/>
        </w:rPr>
      </w:pPr>
      <w:r>
        <w:rPr>
          <w:rFonts w:ascii="Arial" w:cs="Arial" w:eastAsia="Arial" w:hAnsi="Arial"/>
          <w:sz w:val="17"/>
          <w:szCs w:val="17"/>
          <w:color w:val="auto"/>
        </w:rPr>
        <w:t xml:space="preserve">The termination of any Proceeding or of any claim, issue or matter therein, by judgment, order, settlement or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(except as otherwise expressly provided in this Agreement) of itself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63" w:lineRule="exact"/>
        <w:rPr>
          <w:rFonts w:ascii="Arial" w:cs="Arial" w:eastAsia="Arial" w:hAnsi="Arial"/>
          <w:sz w:val="17"/>
          <w:szCs w:val="17"/>
          <w:color w:val="auto"/>
        </w:rPr>
      </w:pPr>
    </w:p>
    <w:p>
      <w:pPr>
        <w:ind w:left="4" w:right="140" w:firstLine="987"/>
        <w:spacing w:after="0" w:line="277" w:lineRule="auto"/>
        <w:tabs>
          <w:tab w:leader="none" w:pos="1240" w:val="left"/>
        </w:tabs>
        <w:numPr>
          <w:ilvl w:val="2"/>
          <w:numId w:val="273"/>
        </w:numPr>
        <w:rPr>
          <w:rFonts w:ascii="Arial" w:cs="Arial" w:eastAsia="Arial" w:hAnsi="Arial"/>
          <w:sz w:val="18"/>
          <w:szCs w:val="18"/>
          <w:color w:val="auto"/>
        </w:rPr>
      </w:pPr>
      <w:r>
        <w:rPr>
          <w:rFonts w:ascii="Arial" w:cs="Arial" w:eastAsia="Arial" w:hAnsi="Arial"/>
          <w:sz w:val="18"/>
          <w:szCs w:val="18"/>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166" w:lineRule="exact"/>
        <w:rPr>
          <w:rFonts w:ascii="Arial" w:cs="Arial" w:eastAsia="Arial" w:hAnsi="Arial"/>
          <w:sz w:val="18"/>
          <w:szCs w:val="18"/>
          <w:color w:val="auto"/>
        </w:rPr>
      </w:pPr>
    </w:p>
    <w:p>
      <w:pPr>
        <w:ind w:left="704" w:hanging="264"/>
        <w:spacing w:after="0"/>
        <w:tabs>
          <w:tab w:leader="none" w:pos="704" w:val="left"/>
        </w:tabs>
        <w:numPr>
          <w:ilvl w:val="1"/>
          <w:numId w:val="273"/>
        </w:numPr>
        <w:rPr>
          <w:rFonts w:ascii="Arial" w:cs="Arial" w:eastAsia="Arial" w:hAnsi="Arial"/>
          <w:sz w:val="18"/>
          <w:szCs w:val="18"/>
          <w:color w:val="auto"/>
        </w:rPr>
      </w:pPr>
      <w:r>
        <w:rPr>
          <w:rFonts w:ascii="Arial" w:cs="Arial" w:eastAsia="Arial" w:hAnsi="Arial"/>
          <w:sz w:val="18"/>
          <w:szCs w:val="18"/>
          <w:b w:val="1"/>
          <w:bCs w:val="1"/>
          <w:color w:val="auto"/>
        </w:rPr>
        <w:t>Remedies of Indemnitee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 w:right="200" w:firstLine="987"/>
        <w:spacing w:after="0" w:line="291" w:lineRule="auto"/>
        <w:tabs>
          <w:tab w:leader="none" w:pos="1240" w:val="left"/>
        </w:tabs>
        <w:numPr>
          <w:ilvl w:val="2"/>
          <w:numId w:val="273"/>
        </w:numPr>
        <w:rPr>
          <w:rFonts w:ascii="Arial" w:cs="Arial" w:eastAsia="Arial" w:hAnsi="Arial"/>
          <w:sz w:val="16"/>
          <w:szCs w:val="16"/>
          <w:color w:val="auto"/>
        </w:rPr>
      </w:pPr>
      <w:r>
        <w:rPr>
          <w:rFonts w:ascii="Arial" w:cs="Arial" w:eastAsia="Arial" w:hAnsi="Arial"/>
          <w:sz w:val="16"/>
          <w:szCs w:val="16"/>
          <w:color w:val="auto"/>
        </w:rPr>
        <w:t>Subject to Section 13(e), in the event that (i) a determination is made pursuant to Section 11 of this Agreement that Indemnitee is not entitled to indemnification under this Agreement, (ii) advancement of Expenses is not timely made pursuant to Section 9 or 13(d) of this Agreement,</w:t>
      </w:r>
    </w:p>
    <w:p>
      <w:pPr>
        <w:ind w:left="4" w:right="20" w:hanging="4"/>
        <w:spacing w:after="0" w:line="255" w:lineRule="auto"/>
        <w:tabs>
          <w:tab w:leader="none" w:pos="31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no determination of entitlement to indemnification shall have been made pursuant to Section 11 of this Agreement within 90 days after the later of the receipt by the Company of the request for indemnification or the final disposition of the Proceeding, (iv) payment of indemnification pursuant to this Agreement is not made (A) within ten days after a determination has been made that</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384" w:name="page385"/>
    <w:bookmarkEnd w:id="384"/>
    <w:p>
      <w:pPr>
        <w:ind w:left="4"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Indemnitee is entitled to indemnification or (B) with respect to indemnification pursuant to Sections 4, 5 and 13(d) of this Agreement,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Alternatively, Indemnitee, at his or her option, may seek an award in arbitration with respect to his or her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13(a);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clause shall not apply in respect of a proceeding brought by Indemnitee to enforce his or her rights under Section 4 of this Agreement. The Company shall not oppose Indemnitee’s right to seek any such adjudication or award in arbitration in accordance with this Agreement.</w:t>
      </w:r>
    </w:p>
    <w:p>
      <w:pPr>
        <w:spacing w:after="0" w:line="74" w:lineRule="exact"/>
        <w:rPr>
          <w:sz w:val="20"/>
          <w:szCs w:val="20"/>
          <w:color w:val="auto"/>
        </w:rPr>
      </w:pPr>
    </w:p>
    <w:p>
      <w:pPr>
        <w:ind w:left="4" w:firstLine="987"/>
        <w:spacing w:after="0" w:line="289" w:lineRule="auto"/>
        <w:tabs>
          <w:tab w:leader="none" w:pos="125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11 of this Agreement that Indemnitee is not entitled to indemnification, any judicial proceeding or arbitration </w:t>
      </w:r>
      <w:r>
        <w:rPr>
          <w:rFonts w:ascii="Arial" w:cs="Arial" w:eastAsia="Arial" w:hAnsi="Arial"/>
          <w:sz w:val="16"/>
          <w:szCs w:val="16"/>
          <w:i w:val="1"/>
          <w:iCs w:val="1"/>
          <w:color w:val="auto"/>
        </w:rPr>
        <w:t>commenced pursuant</w:t>
      </w:r>
      <w:r>
        <w:rPr>
          <w:rFonts w:ascii="Arial" w:cs="Arial" w:eastAsia="Arial" w:hAnsi="Arial"/>
          <w:sz w:val="16"/>
          <w:szCs w:val="16"/>
          <w:color w:val="auto"/>
        </w:rPr>
        <w:t xml:space="preserve"> to this Section 13 shall be conducted in all respects as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trial, or arbitration, on the merits, and Indemnitee shall not be prejudiced by reason of that adverse determination. In any judicial proceeding or arbitration commenced pursuant to this Section 13, the Company shall, to the fullest extent not prohibited by law, have the burden of proving Indemnitee is not entitled to indemnification or advancement of Expenses, as the case may be.</w:t>
      </w:r>
    </w:p>
    <w:p>
      <w:pPr>
        <w:spacing w:after="0" w:line="58" w:lineRule="exact"/>
        <w:rPr>
          <w:rFonts w:ascii="Arial" w:cs="Arial" w:eastAsia="Arial" w:hAnsi="Arial"/>
          <w:sz w:val="16"/>
          <w:szCs w:val="16"/>
          <w:color w:val="auto"/>
        </w:rPr>
      </w:pPr>
    </w:p>
    <w:p>
      <w:pPr>
        <w:ind w:left="4" w:right="20" w:firstLine="987"/>
        <w:spacing w:after="0" w:line="284" w:lineRule="auto"/>
        <w:tabs>
          <w:tab w:leader="none" w:pos="124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To the fullest extent not prohibited by law, the Company shall be precluded from asserting in any judicial proceeding or arbitration commenced pursuant to this Section 13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11 of this Agreement that Indemnitee is entitled to indemnification, the Company shall be bound by such determination in any judicial proceeding or arbitration commenced pursuant to this Section 13, absent (i) a misstatement by Indemnitee of a material fact, or an omission of a material fact necessary to make Indemnitee’s statements not materially misleading, in connection with the request for indemnification, or</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prohibition of such indemnification under applicable law.</w:t>
      </w:r>
    </w:p>
    <w:p>
      <w:pPr>
        <w:spacing w:after="0" w:line="102" w:lineRule="exact"/>
        <w:rPr>
          <w:rFonts w:ascii="Arial" w:cs="Arial" w:eastAsia="Arial" w:hAnsi="Arial"/>
          <w:sz w:val="18"/>
          <w:szCs w:val="18"/>
          <w:color w:val="auto"/>
        </w:rPr>
      </w:pPr>
    </w:p>
    <w:p>
      <w:pPr>
        <w:ind w:left="4" w:right="160" w:firstLine="987"/>
        <w:spacing w:after="0" w:line="342" w:lineRule="auto"/>
        <w:tabs>
          <w:tab w:leader="none" w:pos="1250" w:val="left"/>
        </w:tabs>
        <w:numPr>
          <w:ilvl w:val="1"/>
          <w:numId w:val="276"/>
        </w:numPr>
        <w:rPr>
          <w:rFonts w:ascii="Arial" w:cs="Arial" w:eastAsia="Arial" w:hAnsi="Arial"/>
          <w:sz w:val="16"/>
          <w:szCs w:val="16"/>
          <w:color w:val="auto"/>
        </w:rPr>
      </w:pPr>
      <w:r>
        <w:rPr>
          <w:rFonts w:ascii="Arial" w:cs="Arial" w:eastAsia="Arial" w:hAnsi="Arial"/>
          <w:sz w:val="16"/>
          <w:szCs w:val="16"/>
          <w:color w:val="auto"/>
        </w:rPr>
        <w:t>To the extent not prohibited by law, the Company shall indemnify Indemnitee against all Expenses that are incurred by Indemnitee in connection with any action for indemnification or advancement of Expenses from the Company under this Agreement or under any directors’ and</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385" w:name="page386"/>
    <w:bookmarkEnd w:id="385"/>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officers’ liability insurance policies maintained by the Company, unless the court (or arbitrator) finds that each material argument or defense advanced by Indemnitee in such action or arbitration was either frivolous or not made in good faith. Further, if requested by Indemnitee, the Company shall (as soon as reasonably practicable, but in any event no later than 60 days, after receipt by the Company of a written request therefor) advance such Expenses to Indemnitee, subject to the provisions of Section 8, subject to Indemnitee’s agreement to repay the sums advanced if the court (or arbitrator) finds that each material argument or defense advanced by Indemnitee in such action or arbitration was either frivolous or not made in good faith.</w:t>
      </w:r>
    </w:p>
    <w:p>
      <w:pPr>
        <w:spacing w:after="0" w:line="53" w:lineRule="exact"/>
        <w:rPr>
          <w:sz w:val="20"/>
          <w:szCs w:val="20"/>
          <w:color w:val="auto"/>
        </w:rPr>
      </w:pPr>
    </w:p>
    <w:p>
      <w:pPr>
        <w:ind w:right="60" w:firstLine="987"/>
        <w:spacing w:after="0" w:line="277" w:lineRule="auto"/>
        <w:tabs>
          <w:tab w:leader="none" w:pos="1236" w:val="left"/>
        </w:tabs>
        <w:numPr>
          <w:ilvl w:val="1"/>
          <w:numId w:val="277"/>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shall be required to be made prior to the final disposition of the Proceeding.</w:t>
      </w:r>
    </w:p>
    <w:p>
      <w:pPr>
        <w:spacing w:after="0" w:line="166" w:lineRule="exact"/>
        <w:rPr>
          <w:rFonts w:ascii="Arial" w:cs="Arial" w:eastAsia="Arial" w:hAnsi="Arial"/>
          <w:sz w:val="18"/>
          <w:szCs w:val="18"/>
          <w:color w:val="auto"/>
        </w:rPr>
      </w:pPr>
    </w:p>
    <w:p>
      <w:pPr>
        <w:ind w:right="120" w:firstLine="436"/>
        <w:spacing w:after="0" w:line="294" w:lineRule="auto"/>
        <w:tabs>
          <w:tab w:leader="none" w:pos="710" w:val="left"/>
        </w:tabs>
        <w:numPr>
          <w:ilvl w:val="0"/>
          <w:numId w:val="278"/>
        </w:numPr>
        <w:rPr>
          <w:rFonts w:ascii="Arial" w:cs="Arial" w:eastAsia="Arial" w:hAnsi="Arial"/>
          <w:sz w:val="16"/>
          <w:szCs w:val="16"/>
          <w:color w:val="auto"/>
        </w:rPr>
      </w:pPr>
      <w:r>
        <w:rPr>
          <w:rFonts w:ascii="Arial" w:cs="Arial" w:eastAsia="Arial" w:hAnsi="Arial"/>
          <w:sz w:val="16"/>
          <w:szCs w:val="16"/>
          <w:b w:val="1"/>
          <w:bCs w:val="1"/>
          <w:color w:val="auto"/>
        </w:rPr>
        <w:t>Contribution</w:t>
      </w:r>
      <w:r>
        <w:rPr>
          <w:rFonts w:ascii="Arial" w:cs="Arial" w:eastAsia="Arial" w:hAnsi="Arial"/>
          <w:sz w:val="16"/>
          <w:szCs w:val="16"/>
          <w:color w:val="auto"/>
        </w:rPr>
        <w:t>. To the fullest extent permissible under applicable law, if the indemnification provided for in this Agreement is unavailable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159" w:lineRule="exact"/>
        <w:rPr>
          <w:rFonts w:ascii="Arial" w:cs="Arial" w:eastAsia="Arial" w:hAnsi="Arial"/>
          <w:sz w:val="16"/>
          <w:szCs w:val="16"/>
          <w:color w:val="auto"/>
        </w:rPr>
      </w:pPr>
    </w:p>
    <w:p>
      <w:pPr>
        <w:ind w:right="20" w:firstLine="436"/>
        <w:spacing w:after="0" w:line="289" w:lineRule="auto"/>
        <w:tabs>
          <w:tab w:leader="none" w:pos="710" w:val="left"/>
        </w:tabs>
        <w:numPr>
          <w:ilvl w:val="0"/>
          <w:numId w:val="278"/>
        </w:numPr>
        <w:rPr>
          <w:rFonts w:ascii="Arial" w:cs="Arial" w:eastAsia="Arial" w:hAnsi="Arial"/>
          <w:sz w:val="16"/>
          <w:szCs w:val="16"/>
          <w:color w:val="auto"/>
        </w:rPr>
      </w:pPr>
      <w:r>
        <w:rPr>
          <w:rFonts w:ascii="Arial" w:cs="Arial" w:eastAsia="Arial" w:hAnsi="Arial"/>
          <w:sz w:val="16"/>
          <w:szCs w:val="16"/>
          <w:b w:val="1"/>
          <w:bCs w:val="1"/>
          <w:color w:val="auto"/>
        </w:rPr>
        <w:t>Non-exclusivity</w:t>
      </w:r>
      <w:r>
        <w:rPr>
          <w:rFonts w:ascii="Arial" w:cs="Arial" w:eastAsia="Arial" w:hAnsi="Arial"/>
          <w:sz w:val="16"/>
          <w:szCs w:val="16"/>
          <w:color w:val="auto"/>
        </w:rPr>
        <w:t>. The rights of indemnification and to receive advancement of Expenses as provided by this Agreement shall not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w:t>
      </w:r>
      <w:r>
        <w:rPr>
          <w:rFonts w:ascii="Arial" w:cs="Arial" w:eastAsia="Arial" w:hAnsi="Arial"/>
          <w:sz w:val="16"/>
          <w:szCs w:val="16"/>
          <w:i w:val="1"/>
          <w:iCs w:val="1"/>
          <w:color w:val="auto"/>
        </w:rPr>
        <w:t>assertion</w:t>
      </w:r>
      <w:r>
        <w:rPr>
          <w:rFonts w:ascii="Arial" w:cs="Arial" w:eastAsia="Arial" w:hAnsi="Arial"/>
          <w:sz w:val="16"/>
          <w:szCs w:val="16"/>
          <w:color w:val="auto"/>
        </w:rPr>
        <w:t xml:space="preserve"> or employment of any right or remedy hereunder, or otherwise, shall not prevent the concurrent assertion or employment of any other right or remedy.</w:t>
      </w:r>
    </w:p>
    <w:p>
      <w:pPr>
        <w:spacing w:after="0" w:line="166" w:lineRule="exact"/>
        <w:rPr>
          <w:rFonts w:ascii="Arial" w:cs="Arial" w:eastAsia="Arial" w:hAnsi="Arial"/>
          <w:sz w:val="16"/>
          <w:szCs w:val="16"/>
          <w:color w:val="auto"/>
        </w:rPr>
      </w:pPr>
    </w:p>
    <w:p>
      <w:pPr>
        <w:ind w:right="140" w:firstLine="436"/>
        <w:spacing w:after="0" w:line="256" w:lineRule="auto"/>
        <w:tabs>
          <w:tab w:leader="none" w:pos="710"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Primary Responsibility</w:t>
      </w:r>
      <w:r>
        <w:rPr>
          <w:rFonts w:ascii="Arial" w:cs="Arial" w:eastAsia="Arial" w:hAnsi="Arial"/>
          <w:sz w:val="18"/>
          <w:szCs w:val="18"/>
          <w:color w:val="auto"/>
        </w:rPr>
        <w:t>. The Company acknowledges that to the extent Indemnitee is serving as a director on the Company’s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at the request or direction of a venture capital fund or other entity and/or certain of its affiliates (collectively, the “</w:t>
      </w:r>
      <w:r>
        <w:rPr>
          <w:rFonts w:ascii="Arial" w:cs="Arial" w:eastAsia="Arial" w:hAnsi="Arial"/>
          <w:sz w:val="18"/>
          <w:szCs w:val="18"/>
          <w:b w:val="1"/>
          <w:bCs w:val="1"/>
          <w:i w:val="1"/>
          <w:iCs w:val="1"/>
          <w:color w:val="auto"/>
        </w:rPr>
        <w:t>Secondary Indemnitors</w:t>
      </w:r>
      <w:r>
        <w:rPr>
          <w:rFonts w:ascii="Arial" w:cs="Arial" w:eastAsia="Arial" w:hAnsi="Arial"/>
          <w:sz w:val="18"/>
          <w:szCs w:val="18"/>
          <w:color w:val="auto"/>
        </w:rPr>
        <w:t>”),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40" w:top="274" w:right="539" w:bottom="1440" w:gutter="0" w:footer="0" w:header="0"/>
        </w:sectPr>
      </w:pPr>
    </w:p>
    <w:bookmarkStart w:id="386" w:name="page387"/>
    <w:bookmarkEnd w:id="38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16.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Section 16.</w:t>
      </w:r>
    </w:p>
    <w:p>
      <w:pPr>
        <w:spacing w:after="0" w:line="177" w:lineRule="exact"/>
        <w:rPr>
          <w:sz w:val="20"/>
          <w:szCs w:val="20"/>
          <w:color w:val="auto"/>
        </w:rPr>
      </w:pPr>
    </w:p>
    <w:p>
      <w:pPr>
        <w:ind w:right="60" w:firstLine="436"/>
        <w:spacing w:after="0" w:line="266" w:lineRule="auto"/>
        <w:tabs>
          <w:tab w:leader="none" w:pos="710"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No Duplication of Payments</w:t>
      </w:r>
      <w:r>
        <w:rPr>
          <w:rFonts w:ascii="Arial" w:cs="Arial" w:eastAsia="Arial" w:hAnsi="Arial"/>
          <w:sz w:val="18"/>
          <w:szCs w:val="18"/>
          <w:color w:val="auto"/>
        </w:rPr>
        <w:t>. The Company shall not be liable under this Agreement to make any payment of amounts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indemnifiable hereunder (or for which advancement is provided hereunder) if and to the extent that Indemnitee has otherwise actually received payment for such amounts under any insurance policy, contract, agreement or otherwise.</w:t>
      </w:r>
    </w:p>
    <w:p>
      <w:pPr>
        <w:spacing w:after="0" w:line="175" w:lineRule="exact"/>
        <w:rPr>
          <w:rFonts w:ascii="Arial" w:cs="Arial" w:eastAsia="Arial" w:hAnsi="Arial"/>
          <w:sz w:val="18"/>
          <w:szCs w:val="18"/>
          <w:color w:val="auto"/>
        </w:rPr>
      </w:pPr>
    </w:p>
    <w:p>
      <w:pPr>
        <w:ind w:right="60" w:firstLine="436"/>
        <w:spacing w:after="0" w:line="314" w:lineRule="auto"/>
        <w:tabs>
          <w:tab w:leader="none" w:pos="710" w:val="left"/>
        </w:tabs>
        <w:numPr>
          <w:ilvl w:val="0"/>
          <w:numId w:val="279"/>
        </w:numPr>
        <w:rPr>
          <w:rFonts w:ascii="Arial" w:cs="Arial" w:eastAsia="Arial" w:hAnsi="Arial"/>
          <w:sz w:val="16"/>
          <w:szCs w:val="16"/>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 To the extent that the Company maintains an insurance policy or policies providing liability insurance for directors, trustees,</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141" w:lineRule="exact"/>
        <w:rPr>
          <w:rFonts w:ascii="Arial" w:cs="Arial" w:eastAsia="Arial" w:hAnsi="Arial"/>
          <w:sz w:val="16"/>
          <w:szCs w:val="16"/>
          <w:color w:val="auto"/>
        </w:rPr>
      </w:pPr>
    </w:p>
    <w:p>
      <w:pPr>
        <w:ind w:right="120" w:firstLine="436"/>
        <w:spacing w:after="0" w:line="266" w:lineRule="auto"/>
        <w:tabs>
          <w:tab w:leader="none" w:pos="710"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Subrogation</w:t>
      </w:r>
      <w:r>
        <w:rPr>
          <w:rFonts w:ascii="Arial" w:cs="Arial" w:eastAsia="Arial" w:hAnsi="Arial"/>
          <w:sz w:val="18"/>
          <w:szCs w:val="18"/>
          <w:color w:val="auto"/>
        </w:rPr>
        <w:t>. In the event of any payment under this Agreement, the Company shall be subrogated to the extent of such payment to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 recovery of Indemnitee, who shall execute all papers required and take all action necessary to secure such rights, including execution of such documents as are necessary to enable the Company to bring suit to enforce such rights.</w:t>
      </w:r>
    </w:p>
    <w:p>
      <w:pPr>
        <w:spacing w:after="0" w:line="175" w:lineRule="exact"/>
        <w:rPr>
          <w:rFonts w:ascii="Arial" w:cs="Arial" w:eastAsia="Arial" w:hAnsi="Arial"/>
          <w:sz w:val="18"/>
          <w:szCs w:val="18"/>
          <w:color w:val="auto"/>
        </w:rPr>
      </w:pPr>
    </w:p>
    <w:p>
      <w:pPr>
        <w:ind w:right="40" w:firstLine="436"/>
        <w:spacing w:after="0" w:line="289" w:lineRule="auto"/>
        <w:tabs>
          <w:tab w:leader="none" w:pos="710" w:val="left"/>
        </w:tabs>
        <w:numPr>
          <w:ilvl w:val="0"/>
          <w:numId w:val="279"/>
        </w:numPr>
        <w:rPr>
          <w:rFonts w:ascii="Arial" w:cs="Arial" w:eastAsia="Arial" w:hAnsi="Arial"/>
          <w:sz w:val="16"/>
          <w:szCs w:val="16"/>
          <w:color w:val="auto"/>
        </w:rPr>
      </w:pPr>
      <w:r>
        <w:rPr>
          <w:rFonts w:ascii="Arial" w:cs="Arial" w:eastAsia="Arial" w:hAnsi="Arial"/>
          <w:sz w:val="16"/>
          <w:szCs w:val="16"/>
          <w:b w:val="1"/>
          <w:bCs w:val="1"/>
          <w:color w:val="auto"/>
        </w:rPr>
        <w:t>Services to the Company</w:t>
      </w:r>
      <w:r>
        <w:rPr>
          <w:rFonts w:ascii="Arial" w:cs="Arial" w:eastAsia="Arial" w:hAnsi="Arial"/>
          <w:sz w:val="16"/>
          <w:szCs w:val="16"/>
          <w:color w:val="auto"/>
        </w:rPr>
        <w:t>. Indemnitee agrees to serve as a director or officer of the Company or, at the request of the Company, as a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87" w:name="page388"/>
    <w:bookmarkEnd w:id="387"/>
    <w:p>
      <w:pPr>
        <w:ind w:left="-80" w:right="40" w:firstLine="436"/>
        <w:spacing w:after="0" w:line="258" w:lineRule="auto"/>
        <w:tabs>
          <w:tab w:leader="none" w:pos="630"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Duration</w:t>
      </w:r>
      <w:r>
        <w:rPr>
          <w:rFonts w:ascii="Arial" w:cs="Arial" w:eastAsia="Arial" w:hAnsi="Arial"/>
          <w:sz w:val="18"/>
          <w:szCs w:val="18"/>
          <w:color w:val="auto"/>
        </w:rPr>
        <w:t>. This Agreement shall continue until and terminate upon the later of (a) ten years after the date that Indemnitee shall have ceased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13 of this Agreement relating thereto.</w:t>
      </w:r>
    </w:p>
    <w:p>
      <w:pPr>
        <w:spacing w:after="0" w:line="183" w:lineRule="exact"/>
        <w:rPr>
          <w:rFonts w:ascii="Arial" w:cs="Arial" w:eastAsia="Arial" w:hAnsi="Arial"/>
          <w:sz w:val="18"/>
          <w:szCs w:val="18"/>
          <w:color w:val="auto"/>
        </w:rPr>
      </w:pPr>
    </w:p>
    <w:p>
      <w:pPr>
        <w:ind w:left="-80" w:right="20" w:firstLine="436"/>
        <w:spacing w:after="0" w:line="294" w:lineRule="auto"/>
        <w:tabs>
          <w:tab w:leader="none" w:pos="630" w:val="left"/>
        </w:tabs>
        <w:numPr>
          <w:ilvl w:val="0"/>
          <w:numId w:val="280"/>
        </w:numPr>
        <w:rPr>
          <w:rFonts w:ascii="Arial" w:cs="Arial" w:eastAsia="Arial" w:hAnsi="Arial"/>
          <w:sz w:val="16"/>
          <w:szCs w:val="16"/>
          <w:color w:val="auto"/>
        </w:rPr>
      </w:pPr>
      <w:r>
        <w:rPr>
          <w:rFonts w:ascii="Arial" w:cs="Arial" w:eastAsia="Arial" w:hAnsi="Arial"/>
          <w:sz w:val="16"/>
          <w:szCs w:val="16"/>
          <w:b w:val="1"/>
          <w:bCs w:val="1"/>
          <w:color w:val="auto"/>
        </w:rPr>
        <w:t>Successors and Assigns</w:t>
      </w:r>
      <w:r>
        <w:rPr>
          <w:rFonts w:ascii="Arial" w:cs="Arial" w:eastAsia="Arial" w:hAnsi="Arial"/>
          <w:sz w:val="16"/>
          <w:szCs w:val="16"/>
          <w:color w:val="auto"/>
        </w:rPr>
        <w:t>. This Agreement shall be binding upon the Company and its successors and assigns, including any direct or indirect</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 by purchase, merger, consolidation or otherwise to all or substantially all of the business or assets of the Company, and shall inure to the benefit of Indemnitee and Indemnitee’s personal or legal representatives, heirs, executors, administrators, distributees, legatees and other successors.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159" w:lineRule="exact"/>
        <w:rPr>
          <w:rFonts w:ascii="Arial" w:cs="Arial" w:eastAsia="Arial" w:hAnsi="Arial"/>
          <w:sz w:val="16"/>
          <w:szCs w:val="16"/>
          <w:color w:val="auto"/>
        </w:rPr>
      </w:pPr>
    </w:p>
    <w:p>
      <w:pPr>
        <w:ind w:left="-80" w:right="60" w:firstLine="436"/>
        <w:spacing w:after="0" w:line="270" w:lineRule="auto"/>
        <w:tabs>
          <w:tab w:leader="none" w:pos="630" w:val="left"/>
        </w:tabs>
        <w:numPr>
          <w:ilvl w:val="0"/>
          <w:numId w:val="280"/>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Nothing in this Agreement is intended to require or shall be construed as requiring the Company to do or fail to do any act in</w:t>
      </w:r>
      <w:r>
        <w:rPr>
          <w:rFonts w:ascii="Arial" w:cs="Arial" w:eastAsia="Arial" w:hAnsi="Arial"/>
          <w:sz w:val="17"/>
          <w:szCs w:val="17"/>
          <w:b w:val="1"/>
          <w:bCs w:val="1"/>
          <w:color w:val="auto"/>
        </w:rPr>
        <w:t xml:space="preserve"> </w:t>
      </w:r>
      <w:r>
        <w:rPr>
          <w:rFonts w:ascii="Arial" w:cs="Arial" w:eastAsia="Arial" w:hAnsi="Arial"/>
          <w:sz w:val="17"/>
          <w:szCs w:val="17"/>
          <w:color w:val="auto"/>
        </w:rPr>
        <w:t>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76" w:lineRule="exact"/>
        <w:rPr>
          <w:rFonts w:ascii="Arial" w:cs="Arial" w:eastAsia="Arial" w:hAnsi="Arial"/>
          <w:sz w:val="17"/>
          <w:szCs w:val="17"/>
          <w:color w:val="auto"/>
        </w:rPr>
      </w:pPr>
    </w:p>
    <w:p>
      <w:pPr>
        <w:ind w:left="-80" w:firstLine="436"/>
        <w:spacing w:after="0" w:line="266" w:lineRule="auto"/>
        <w:tabs>
          <w:tab w:leader="none" w:pos="630"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Enforcement</w:t>
      </w:r>
      <w:r>
        <w:rPr>
          <w:rFonts w:ascii="Arial" w:cs="Arial" w:eastAsia="Arial" w:hAnsi="Arial"/>
          <w:sz w:val="18"/>
          <w:szCs w:val="18"/>
          <w:color w:val="auto"/>
        </w:rPr>
        <w:t>. The Company expressly confirms and agrees that it has entered into this Agreement and assumed the obligations imposed on it</w:t>
      </w:r>
      <w:r>
        <w:rPr>
          <w:rFonts w:ascii="Arial" w:cs="Arial" w:eastAsia="Arial" w:hAnsi="Arial"/>
          <w:sz w:val="18"/>
          <w:szCs w:val="18"/>
          <w:b w:val="1"/>
          <w:bCs w:val="1"/>
          <w:color w:val="auto"/>
        </w:rPr>
        <w:t xml:space="preserve"> </w:t>
      </w:r>
      <w:r>
        <w:rPr>
          <w:rFonts w:ascii="Arial" w:cs="Arial" w:eastAsia="Arial" w:hAnsi="Arial"/>
          <w:sz w:val="18"/>
          <w:szCs w:val="18"/>
          <w:color w:val="auto"/>
        </w:rPr>
        <w:t>hereby in order to induce Indemnitee to serve as a director or officer of the Company, and the Company acknowledges that Indemnitee is relying upon this Agreement in serving as a director or officer of the Company.</w:t>
      </w:r>
    </w:p>
    <w:p>
      <w:pPr>
        <w:spacing w:after="0" w:line="175" w:lineRule="exact"/>
        <w:rPr>
          <w:rFonts w:ascii="Arial" w:cs="Arial" w:eastAsia="Arial" w:hAnsi="Arial"/>
          <w:sz w:val="18"/>
          <w:szCs w:val="18"/>
          <w:color w:val="auto"/>
        </w:rPr>
      </w:pPr>
    </w:p>
    <w:p>
      <w:pPr>
        <w:ind w:left="-80" w:right="100" w:firstLine="436"/>
        <w:spacing w:after="0" w:line="261" w:lineRule="auto"/>
        <w:tabs>
          <w:tab w:leader="none" w:pos="630"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constitutes the entire agreement between the parties hereto with respect to the subject matter hereof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supersedes all prior agreements and understandings, oral, written and implied, between the parties hereto with respect to the subject matter hereof;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this Agreement is a supplement to and in furtherance of the Company’s certificate of incorporation and bylaws and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60"/>
          </w:cols>
          <w:pgMar w:left="520" w:top="270" w:right="519" w:bottom="1440" w:gutter="0" w:footer="0" w:header="0"/>
        </w:sectPr>
      </w:pPr>
    </w:p>
    <w:bookmarkStart w:id="388" w:name="page389"/>
    <w:bookmarkEnd w:id="388"/>
    <w:p>
      <w:pPr>
        <w:ind w:left="4" w:right="100" w:firstLine="436"/>
        <w:spacing w:after="0" w:line="258" w:lineRule="auto"/>
        <w:tabs>
          <w:tab w:leader="none" w:pos="714"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Modification and Waiver</w:t>
      </w:r>
      <w:r>
        <w:rPr>
          <w:rFonts w:ascii="Arial" w:cs="Arial" w:eastAsia="Arial" w:hAnsi="Arial"/>
          <w:sz w:val="18"/>
          <w:szCs w:val="18"/>
          <w:color w:val="auto"/>
        </w:rPr>
        <w:t>. No supplement, modification or amendment to this Agreement shall be binding unless executed in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183" w:lineRule="exact"/>
        <w:rPr>
          <w:rFonts w:ascii="Arial" w:cs="Arial" w:eastAsia="Arial" w:hAnsi="Arial"/>
          <w:sz w:val="18"/>
          <w:szCs w:val="18"/>
          <w:color w:val="auto"/>
        </w:rPr>
      </w:pPr>
    </w:p>
    <w:p>
      <w:pPr>
        <w:ind w:left="4" w:right="540" w:firstLine="436"/>
        <w:spacing w:after="0" w:line="282" w:lineRule="auto"/>
        <w:tabs>
          <w:tab w:leader="none" w:pos="714"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and other communications required or permitted hereunder shall be in writing and shall be mailed by registered or</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mail, postage prepaid, or otherwise delivered by hand, messenger or courier service addressed:</w:t>
      </w:r>
    </w:p>
    <w:p>
      <w:pPr>
        <w:spacing w:after="0" w:line="57" w:lineRule="exact"/>
        <w:rPr>
          <w:rFonts w:ascii="Arial" w:cs="Arial" w:eastAsia="Arial" w:hAnsi="Arial"/>
          <w:sz w:val="18"/>
          <w:szCs w:val="18"/>
          <w:color w:val="auto"/>
        </w:rPr>
      </w:pPr>
    </w:p>
    <w:p>
      <w:pPr>
        <w:ind w:left="4" w:right="200" w:firstLine="987"/>
        <w:spacing w:after="0" w:line="277" w:lineRule="auto"/>
        <w:tabs>
          <w:tab w:leader="none" w:pos="124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if to Indemnitee, to Indemnitee’s address, as shown on the signature page of this Agreement or in the Company’s records, as may be updated in accordance with the provisions hereof; or</w:t>
      </w:r>
    </w:p>
    <w:p>
      <w:pPr>
        <w:spacing w:after="0" w:line="62" w:lineRule="exact"/>
        <w:rPr>
          <w:rFonts w:ascii="Arial" w:cs="Arial" w:eastAsia="Arial" w:hAnsi="Arial"/>
          <w:sz w:val="18"/>
          <w:szCs w:val="18"/>
          <w:color w:val="auto"/>
        </w:rPr>
      </w:pPr>
    </w:p>
    <w:p>
      <w:pPr>
        <w:ind w:left="4" w:right="60" w:firstLine="987"/>
        <w:spacing w:after="0" w:line="311" w:lineRule="auto"/>
        <w:tabs>
          <w:tab w:leader="none" w:pos="125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if to the Company, to the attention of the Chief Executive Officer or Chief Financial Officer of the Company at 866 Malcolm Road, Suite 100, Burlingame, California 94010, or at such other current address as the Company shall have furnished to Indemnitee, with a copy (which shall not constitute notice) to Kenneth Clark and Tony Jeffries at Wilson Sonsini Goodrich &amp; Rosati, P.C., 650 Page Mill Road, Palo Alto, California 94304.</w:t>
      </w:r>
    </w:p>
    <w:p>
      <w:pPr>
        <w:spacing w:after="0" w:line="149"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 xml:space="preserve">Each such notice or other communication shall for all purposes of this Agreement be treated as effective or having been given (i) if delivered by hand, messenger or courier service, when delivered (or if sent </w:t>
      </w:r>
      <w:r>
        <w:rPr>
          <w:rFonts w:ascii="Arial" w:cs="Arial" w:eastAsia="Arial" w:hAnsi="Arial"/>
          <w:sz w:val="16"/>
          <w:szCs w:val="16"/>
          <w:i w:val="1"/>
          <w:iCs w:val="1"/>
          <w:color w:val="auto"/>
        </w:rPr>
        <w:t>via</w:t>
      </w:r>
      <w:r>
        <w:rPr>
          <w:rFonts w:ascii="Arial" w:cs="Arial" w:eastAsia="Arial" w:hAnsi="Arial"/>
          <w:sz w:val="16"/>
          <w:szCs w:val="16"/>
          <w:color w:val="auto"/>
        </w:rPr>
        <w:t xml:space="preserve"> a nationally-recognized overnight courier service, freight prepaid, specifying next-business-day delivery, one business day after deposit with the courier), or (ii) if sent </w:t>
      </w:r>
      <w:r>
        <w:rPr>
          <w:rFonts w:ascii="Arial" w:cs="Arial" w:eastAsia="Arial" w:hAnsi="Arial"/>
          <w:sz w:val="16"/>
          <w:szCs w:val="16"/>
          <w:i w:val="1"/>
          <w:iCs w:val="1"/>
          <w:color w:val="auto"/>
        </w:rPr>
        <w:t>via</w:t>
      </w:r>
      <w:r>
        <w:rPr>
          <w:rFonts w:ascii="Arial" w:cs="Arial" w:eastAsia="Arial" w:hAnsi="Arial"/>
          <w:sz w:val="16"/>
          <w:szCs w:val="16"/>
          <w:color w:val="auto"/>
        </w:rPr>
        <w:t xml:space="preserve"> mail, at the earlier of its receipt or five days after the same has been deposited in a regularly-maintained receptacle for the deposit of the United States mail, addressed and mailed as aforesaid.</w:t>
      </w:r>
    </w:p>
    <w:p>
      <w:pPr>
        <w:spacing w:after="0" w:line="153" w:lineRule="exact"/>
        <w:rPr>
          <w:sz w:val="20"/>
          <w:szCs w:val="20"/>
          <w:color w:val="auto"/>
        </w:rPr>
      </w:pPr>
    </w:p>
    <w:p>
      <w:pPr>
        <w:ind w:left="4" w:firstLine="436"/>
        <w:spacing w:after="0" w:line="284" w:lineRule="auto"/>
        <w:tabs>
          <w:tab w:leader="none" w:pos="714" w:val="left"/>
        </w:tabs>
        <w:numPr>
          <w:ilvl w:val="1"/>
          <w:numId w:val="282"/>
        </w:numPr>
        <w:rPr>
          <w:rFonts w:ascii="Arial" w:cs="Arial" w:eastAsia="Arial" w:hAnsi="Arial"/>
          <w:sz w:val="16"/>
          <w:szCs w:val="16"/>
          <w:color w:val="auto"/>
        </w:rPr>
      </w:pPr>
      <w:r>
        <w:rPr>
          <w:rFonts w:ascii="Arial" w:cs="Arial" w:eastAsia="Arial" w:hAnsi="Arial"/>
          <w:sz w:val="16"/>
          <w:szCs w:val="16"/>
          <w:b w:val="1"/>
          <w:bCs w:val="1"/>
          <w:color w:val="auto"/>
        </w:rPr>
        <w:t>Applicable Law and Consent to Jurisdiction</w:t>
      </w:r>
      <w:r>
        <w:rPr>
          <w:rFonts w:ascii="Arial" w:cs="Arial" w:eastAsia="Arial" w:hAnsi="Arial"/>
          <w:sz w:val="16"/>
          <w:szCs w:val="16"/>
          <w:color w:val="auto"/>
        </w:rPr>
        <w:t>. This Agreement and the legal relations among the parties shall be governed by, and construed</w:t>
      </w:r>
      <w:r>
        <w:rPr>
          <w:rFonts w:ascii="Arial" w:cs="Arial" w:eastAsia="Arial" w:hAnsi="Arial"/>
          <w:sz w:val="16"/>
          <w:szCs w:val="16"/>
          <w:b w:val="1"/>
          <w:bCs w:val="1"/>
          <w:color w:val="auto"/>
        </w:rPr>
        <w:t xml:space="preserve"> </w:t>
      </w:r>
      <w:r>
        <w:rPr>
          <w:rFonts w:ascii="Arial" w:cs="Arial" w:eastAsia="Arial" w:hAnsi="Arial"/>
          <w:sz w:val="16"/>
          <w:szCs w:val="16"/>
          <w:color w:val="auto"/>
        </w:rPr>
        <w:t>and enforced in accordance with, the laws of the State of Delaware, without regard to its conflict of laws rules. Except with respect to any arbitration commenced by Indemnitee pursuant to Section 13(a) of this Agreement, or except as mutually agreed by the parties in writing,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The Corporation Trust Company, Wilmington, Delaware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w:t>
      </w:r>
    </w:p>
    <w:p>
      <w:pPr>
        <w:spacing w:after="0" w:line="1" w:lineRule="exact"/>
        <w:rPr>
          <w:rFonts w:ascii="Arial" w:cs="Arial" w:eastAsia="Arial" w:hAnsi="Arial"/>
          <w:sz w:val="16"/>
          <w:szCs w:val="16"/>
          <w:color w:val="auto"/>
        </w:rPr>
      </w:pPr>
    </w:p>
    <w:p>
      <w:pPr>
        <w:ind w:left="4" w:hanging="4"/>
        <w:spacing w:after="0" w:line="260" w:lineRule="auto"/>
        <w:tabs>
          <w:tab w:leader="none" w:pos="259"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waive, and agree not to plead or to make, any claim that any such action or proceeding brought in the Delaware Court of Chancery has been brought in an improper or inconvenient forum.</w:t>
      </w:r>
    </w:p>
    <w:p>
      <w:pPr>
        <w:spacing w:after="0" w:line="11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4"/>
          </w:cols>
          <w:pgMar w:left="436" w:top="270" w:right="519" w:bottom="1440" w:gutter="0" w:footer="0" w:header="0"/>
        </w:sectPr>
      </w:pPr>
    </w:p>
    <w:bookmarkStart w:id="389" w:name="page390"/>
    <w:bookmarkEnd w:id="389"/>
    <w:p>
      <w:pPr>
        <w:ind w:left="-40" w:firstLine="436"/>
        <w:spacing w:after="0" w:line="303" w:lineRule="auto"/>
        <w:tabs>
          <w:tab w:leader="none" w:pos="670" w:val="left"/>
        </w:tabs>
        <w:numPr>
          <w:ilvl w:val="0"/>
          <w:numId w:val="284"/>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Counterparts</w:t>
      </w:r>
      <w:r>
        <w:rPr>
          <w:rFonts w:ascii="Arial" w:cs="Arial" w:eastAsia="Arial" w:hAnsi="Arial"/>
          <w:sz w:val="16"/>
          <w:szCs w:val="16"/>
          <w:color w:val="auto"/>
        </w:rPr>
        <w:t>. This Agreement may be executed in one or more counterparts, each of which shall for all purposes be deemed to be an original</w:t>
      </w:r>
      <w:r>
        <w:rPr>
          <w:rFonts w:ascii="Arial" w:cs="Arial" w:eastAsia="Arial" w:hAnsi="Arial"/>
          <w:sz w:val="16"/>
          <w:szCs w:val="16"/>
          <w:b w:val="1"/>
          <w:bCs w:val="1"/>
          <w:color w:val="auto"/>
        </w:rPr>
        <w:t xml:space="preserve"> </w:t>
      </w:r>
      <w:r>
        <w:rPr>
          <w:rFonts w:ascii="Arial" w:cs="Arial" w:eastAsia="Arial" w:hAnsi="Arial"/>
          <w:sz w:val="16"/>
          <w:szCs w:val="16"/>
          <w:color w:val="auto"/>
        </w:rPr>
        <w:t>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50" w:lineRule="exact"/>
        <w:rPr>
          <w:rFonts w:ascii="Arial" w:cs="Arial" w:eastAsia="Arial" w:hAnsi="Arial"/>
          <w:sz w:val="16"/>
          <w:szCs w:val="16"/>
          <w:color w:val="auto"/>
        </w:rPr>
      </w:pPr>
    </w:p>
    <w:p>
      <w:pPr>
        <w:ind w:left="-40" w:right="220" w:firstLine="436"/>
        <w:spacing w:after="0" w:line="282" w:lineRule="auto"/>
        <w:tabs>
          <w:tab w:leader="none" w:pos="670"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Captions</w:t>
      </w:r>
      <w:r>
        <w:rPr>
          <w:rFonts w:ascii="Arial" w:cs="Arial" w:eastAsia="Arial" w:hAnsi="Arial"/>
          <w:sz w:val="18"/>
          <w:szCs w:val="18"/>
          <w:color w:val="auto"/>
        </w:rPr>
        <w:t>. The headings of the paragraphs of this Agreement are inserted for convenience only and shall not be deemed to constitute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to affect the construction thereof.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80" w:top="270" w:right="479" w:bottom="1440" w:gutter="0" w:footer="0" w:header="0"/>
        </w:sectPr>
      </w:pPr>
    </w:p>
    <w:bookmarkStart w:id="390" w:name="page391"/>
    <w:bookmarkEnd w:id="3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Indemnification Agreement as of the date stated in the introductory sentence.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ALX ONCOLOGY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left="660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151765</wp:posOffset>
            </wp:positionV>
            <wp:extent cx="279463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jc w:val="center"/>
        <w:ind w:left="6600"/>
        <w:spacing w:after="0"/>
        <w:rPr>
          <w:sz w:val="20"/>
          <w:szCs w:val="20"/>
          <w:color w:val="auto"/>
        </w:rPr>
      </w:pPr>
      <w:r>
        <w:rPr>
          <w:rFonts w:ascii="Arial" w:cs="Arial" w:eastAsia="Arial" w:hAnsi="Arial"/>
          <w:sz w:val="18"/>
          <w:szCs w:val="18"/>
          <w:i w:val="1"/>
          <w:i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151765</wp:posOffset>
            </wp:positionV>
            <wp:extent cx="279463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8160"/>
        <w:spacing w:after="0"/>
        <w:rPr>
          <w:sz w:val="20"/>
          <w:szCs w:val="20"/>
          <w:color w:val="auto"/>
        </w:rPr>
      </w:pPr>
      <w:r>
        <w:rPr>
          <w:rFonts w:ascii="Arial" w:cs="Arial" w:eastAsia="Arial" w:hAnsi="Arial"/>
          <w:sz w:val="18"/>
          <w:szCs w:val="18"/>
          <w:i w:val="1"/>
          <w:iCs w:val="1"/>
          <w:color w:val="auto"/>
        </w:rPr>
        <w:t>(Title)</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left="660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151765</wp:posOffset>
            </wp:positionV>
            <wp:extent cx="279463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center"/>
        <w:ind w:left="6600"/>
        <w:spacing w:after="0"/>
        <w:rPr>
          <w:sz w:val="20"/>
          <w:szCs w:val="20"/>
          <w:color w:val="auto"/>
        </w:rPr>
      </w:pPr>
      <w:r>
        <w:rPr>
          <w:rFonts w:ascii="Arial" w:cs="Arial" w:eastAsia="Arial" w:hAnsi="Arial"/>
          <w:sz w:val="18"/>
          <w:szCs w:val="18"/>
          <w:i w:val="1"/>
          <w:i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151765</wp:posOffset>
            </wp:positionV>
            <wp:extent cx="279463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center"/>
        <w:ind w:left="6600"/>
        <w:spacing w:after="0"/>
        <w:rPr>
          <w:sz w:val="20"/>
          <w:szCs w:val="20"/>
          <w:color w:val="auto"/>
        </w:rPr>
      </w:pPr>
      <w:r>
        <w:rPr>
          <w:rFonts w:ascii="Arial" w:cs="Arial" w:eastAsia="Arial" w:hAnsi="Arial"/>
          <w:sz w:val="18"/>
          <w:szCs w:val="18"/>
          <w:i w:val="1"/>
          <w:iCs w:val="1"/>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151765</wp:posOffset>
            </wp:positionV>
            <wp:extent cx="279463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right"/>
        <w:ind w:right="459"/>
        <w:spacing w:after="0"/>
        <w:rPr>
          <w:sz w:val="20"/>
          <w:szCs w:val="20"/>
          <w:color w:val="auto"/>
        </w:rPr>
      </w:pPr>
      <w:r>
        <w:rPr>
          <w:rFonts w:ascii="Arial" w:cs="Arial" w:eastAsia="Arial" w:hAnsi="Arial"/>
          <w:sz w:val="18"/>
          <w:szCs w:val="18"/>
          <w:i w:val="1"/>
          <w:iCs w:val="1"/>
          <w:color w:val="auto"/>
        </w:rPr>
        <w:t>(City, State and ZIP)</w:t>
      </w:r>
    </w:p>
    <w:p>
      <w:pPr>
        <w:sectPr>
          <w:pgSz w:w="11900" w:h="16838" w:orient="portrait"/>
          <w:cols w:equalWidth="0" w:num="1">
            <w:col w:w="9579"/>
          </w:cols>
          <w:pgMar w:left="880" w:top="274" w:right="1440" w:bottom="1440" w:gutter="0" w:footer="0" w:header="0"/>
        </w:sectPr>
      </w:pPr>
    </w:p>
    <w:bookmarkStart w:id="391" w:name="page392"/>
    <w:bookmarkEnd w:id="391"/>
    <w:p>
      <w:pPr>
        <w:ind w:left="10004"/>
        <w:spacing w:after="0"/>
        <w:rPr>
          <w:sz w:val="20"/>
          <w:szCs w:val="20"/>
          <w:color w:val="auto"/>
        </w:rPr>
      </w:pPr>
      <w:r>
        <w:rPr>
          <w:rFonts w:ascii="Arial" w:cs="Arial" w:eastAsia="Arial" w:hAnsi="Arial"/>
          <w:sz w:val="16"/>
          <w:szCs w:val="16"/>
          <w:b w:val="1"/>
          <w:bCs w:val="1"/>
          <w:color w:val="auto"/>
        </w:rPr>
        <w:t>Exhibit 10.12</w:t>
      </w:r>
    </w:p>
    <w:p>
      <w:pPr>
        <w:spacing w:after="0" w:line="252" w:lineRule="exact"/>
        <w:rPr>
          <w:sz w:val="20"/>
          <w:szCs w:val="20"/>
          <w:color w:val="auto"/>
        </w:rPr>
      </w:pPr>
    </w:p>
    <w:p>
      <w:pPr>
        <w:jc w:val="center"/>
        <w:ind w:left="440" w:right="100"/>
        <w:spacing w:after="0" w:line="263" w:lineRule="auto"/>
        <w:rPr>
          <w:sz w:val="20"/>
          <w:szCs w:val="20"/>
          <w:color w:val="auto"/>
        </w:rPr>
      </w:pPr>
      <w:r>
        <w:rPr>
          <w:rFonts w:ascii="Arial" w:cs="Arial" w:eastAsia="Arial" w:hAnsi="Arial"/>
          <w:sz w:val="18"/>
          <w:szCs w:val="18"/>
          <w:color w:val="auto"/>
        </w:rPr>
        <w:t>SPECIFIC TERMS IN THIS EXHIBIT HAVE BEEN REDACTED BECAUSE CONFIDENTIAL TREATMENT FOR THOSE TERMS HAS BEEN REQUESTED. THE REDACTED MATERIAL HAS BEEN SEPARATELY FILED WITH THE SECURITIES AND EXCHANGE COMMISSION, AND THE TERMS HAVE BEEN MARKED AT THE APPROPRIATE PLACE WITH THREE ASTERISKS [***].</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EXCLUSIVE (EQUITY) AGREEMENT</w:t>
      </w:r>
    </w:p>
    <w:p>
      <w:pPr>
        <w:spacing w:after="0" w:line="229" w:lineRule="exact"/>
        <w:rPr>
          <w:sz w:val="20"/>
          <w:szCs w:val="20"/>
          <w:color w:val="auto"/>
        </w:rPr>
      </w:pPr>
    </w:p>
    <w:p>
      <w:pPr>
        <w:ind w:left="444" w:right="260"/>
        <w:spacing w:after="0" w:line="311" w:lineRule="auto"/>
        <w:rPr>
          <w:sz w:val="20"/>
          <w:szCs w:val="20"/>
          <w:color w:val="auto"/>
        </w:rPr>
      </w:pPr>
      <w:r>
        <w:rPr>
          <w:rFonts w:ascii="Arial" w:cs="Arial" w:eastAsia="Arial" w:hAnsi="Arial"/>
          <w:sz w:val="16"/>
          <w:szCs w:val="16"/>
          <w:color w:val="auto"/>
        </w:rPr>
        <w:t>This Exclusive (Equity) Agreement (“Agreement”) between THE BOARD OF TRUSTEES OF THE LELAND STANFORD JUNIOR UNIVERSITY (“Stanford”), an institution of higher education having powers under the laws of the State of California, and Alexo Therapeutics International, (“Alexo”), a Cayman Islands exempted company is effective on the 24th day of March, 2015 (“Effective Date”).</w:t>
      </w:r>
    </w:p>
    <w:p>
      <w:pPr>
        <w:spacing w:after="0" w:line="293" w:lineRule="exact"/>
        <w:rPr>
          <w:sz w:val="20"/>
          <w:szCs w:val="20"/>
          <w:color w:val="auto"/>
        </w:rPr>
      </w:pPr>
    </w:p>
    <w:p>
      <w:pPr>
        <w:ind w:left="424" w:hanging="424"/>
        <w:spacing w:after="0"/>
        <w:tabs>
          <w:tab w:leader="none" w:pos="424"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w:t>
      </w:r>
    </w:p>
    <w:p>
      <w:pPr>
        <w:spacing w:after="0" w:line="121" w:lineRule="exact"/>
        <w:rPr>
          <w:rFonts w:ascii="Arial" w:cs="Arial" w:eastAsia="Arial" w:hAnsi="Arial"/>
          <w:sz w:val="18"/>
          <w:szCs w:val="18"/>
          <w:b w:val="1"/>
          <w:bCs w:val="1"/>
          <w:color w:val="auto"/>
        </w:rPr>
      </w:pPr>
    </w:p>
    <w:p>
      <w:pPr>
        <w:ind w:left="444"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Stanford has an assignment of an invention that are [***] useful in treating diseases such as cancer. It is entitled [***] was invented in the laboratory of Drs. Chris Garcia and Irving Weissman, and is described in [***]. The invention was made in the course of research supported by the Howard Hughes Medical Institute (“HHMI”), the National Institutes of Health (NIH), and Ludwig Center at Stanford. HHMI has assigned its rights in such invention to Stanford and Stanford has the authority to license the entire interest in the invention subject to the reservation of rights to HHMI specified in this Agreement. In addition, Stanford is nonexclusively licensing a number of inventions in order to provide freedom to operate should claims be issued to such applications that would be necessary to practice the Licensed Patents. These include [***] Stanford wants to have the inventions perfected and marketed as soon as possible so that resulting products may be available for public use and benefit.</w:t>
      </w:r>
    </w:p>
    <w:p>
      <w:pPr>
        <w:spacing w:after="0" w:line="310" w:lineRule="exact"/>
        <w:rPr>
          <w:rFonts w:ascii="Arial" w:cs="Arial" w:eastAsia="Arial" w:hAnsi="Arial"/>
          <w:sz w:val="18"/>
          <w:szCs w:val="18"/>
          <w:b w:val="1"/>
          <w:bCs w:val="1"/>
          <w:color w:val="auto"/>
        </w:rPr>
      </w:pPr>
    </w:p>
    <w:p>
      <w:pPr>
        <w:ind w:left="424" w:hanging="424"/>
        <w:spacing w:after="0"/>
        <w:tabs>
          <w:tab w:leader="none" w:pos="424"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4" w:lineRule="exact"/>
        <w:rPr>
          <w:rFonts w:ascii="Arial" w:cs="Arial" w:eastAsia="Arial" w:hAnsi="Arial"/>
          <w:sz w:val="18"/>
          <w:szCs w:val="18"/>
          <w:b w:val="1"/>
          <w:bCs w:val="1"/>
          <w:color w:val="auto"/>
        </w:rPr>
      </w:pPr>
    </w:p>
    <w:p>
      <w:pPr>
        <w:ind w:left="964" w:right="40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2.1 “Exclusive” means that, subject to Articles 3 and 5, Stanford will not grant further licenses under the Licensed Patents in the Licensed Field of Use in the Licensed Territory.</w:t>
      </w:r>
    </w:p>
    <w:p>
      <w:pPr>
        <w:spacing w:after="0" w:line="197"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2.2    “FDA” means the United States Food and Drug Administration, or any successor thereto.</w:t>
      </w:r>
    </w:p>
    <w:p>
      <w:pPr>
        <w:spacing w:after="0" w:line="252" w:lineRule="exact"/>
        <w:rPr>
          <w:rFonts w:ascii="Arial" w:cs="Arial" w:eastAsia="Arial" w:hAnsi="Arial"/>
          <w:sz w:val="18"/>
          <w:szCs w:val="18"/>
          <w:b w:val="1"/>
          <w:bCs w:val="1"/>
          <w:color w:val="auto"/>
        </w:rPr>
      </w:pPr>
    </w:p>
    <w:p>
      <w:pPr>
        <w:ind w:left="964" w:right="18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2.3 “FD&amp;C Act” means the United States Federal Food, Drug and Cosmetic Act of 1938 and applicable regulations promulgated thereunder, as amended from time to time.</w:t>
      </w:r>
    </w:p>
    <w:p>
      <w:pPr>
        <w:spacing w:after="0" w:line="197" w:lineRule="exact"/>
        <w:rPr>
          <w:sz w:val="20"/>
          <w:szCs w:val="20"/>
          <w:color w:val="auto"/>
        </w:rPr>
      </w:pPr>
    </w:p>
    <w:p>
      <w:pPr>
        <w:ind w:left="964" w:right="80" w:hanging="539"/>
        <w:spacing w:after="0" w:line="311" w:lineRule="auto"/>
        <w:tabs>
          <w:tab w:leader="none" w:pos="94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“First Commercial Sale” of Licensed Product(s) means any transfer for value in an arms-length transaction to an independent third party distributor, agent or end user in a country after obtaining all approvals or authorizations from applicable regulatory authorities required for the manufacture, importation, marketing, promotion, pricing, reimbursement and sale of the Licensed Product(s) in such country.</w:t>
      </w:r>
    </w:p>
    <w:p>
      <w:pPr>
        <w:spacing w:after="0" w:line="81" w:lineRule="exact"/>
        <w:rPr>
          <w:sz w:val="20"/>
          <w:szCs w:val="20"/>
          <w:color w:val="auto"/>
        </w:rPr>
      </w:pPr>
    </w:p>
    <w:p>
      <w:pPr>
        <w:ind w:left="424" w:right="280" w:hanging="424"/>
        <w:spacing w:after="0" w:line="277" w:lineRule="auto"/>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4"/>
          </w:cols>
          <w:pgMar w:left="436" w:top="121" w:right="439" w:bottom="1440" w:gutter="0" w:footer="0" w:header="0"/>
        </w:sectPr>
      </w:pPr>
    </w:p>
    <w:bookmarkStart w:id="392" w:name="page393"/>
    <w:bookmarkEnd w:id="392"/>
    <w:p>
      <w:pPr>
        <w:ind w:left="424"/>
        <w:spacing w:after="0"/>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2.5</w:t>
      </w:r>
      <w:r>
        <w:rPr>
          <w:sz w:val="20"/>
          <w:szCs w:val="20"/>
          <w:color w:val="auto"/>
        </w:rPr>
        <w:tab/>
      </w:r>
      <w:r>
        <w:rPr>
          <w:rFonts w:ascii="Arial" w:cs="Arial" w:eastAsia="Arial" w:hAnsi="Arial"/>
          <w:sz w:val="16"/>
          <w:szCs w:val="16"/>
          <w:color w:val="auto"/>
        </w:rPr>
        <w:t>“Fully Diluted Basis” means the total number of shares of Alexo’s issued and outstanding common stock, assuming:</w:t>
      </w:r>
    </w:p>
    <w:p>
      <w:pPr>
        <w:spacing w:after="0" w:line="117" w:lineRule="exact"/>
        <w:rPr>
          <w:sz w:val="20"/>
          <w:szCs w:val="20"/>
          <w:color w:val="auto"/>
        </w:rPr>
      </w:pPr>
    </w:p>
    <w:p>
      <w:pPr>
        <w:ind w:left="1284" w:hanging="293"/>
        <w:spacing w:after="0"/>
        <w:tabs>
          <w:tab w:leader="none" w:pos="128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conversion of all issued and outstanding securities convertible into common stock;</w:t>
      </w:r>
    </w:p>
    <w:p>
      <w:pPr>
        <w:spacing w:after="0" w:line="117" w:lineRule="exact"/>
        <w:rPr>
          <w:rFonts w:ascii="Arial" w:cs="Arial" w:eastAsia="Arial" w:hAnsi="Arial"/>
          <w:sz w:val="18"/>
          <w:szCs w:val="18"/>
          <w:color w:val="auto"/>
        </w:rPr>
      </w:pPr>
    </w:p>
    <w:p>
      <w:pPr>
        <w:ind w:left="1264"/>
        <w:spacing w:after="0"/>
        <w:rPr>
          <w:rFonts w:ascii="Arial" w:cs="Arial" w:eastAsia="Arial" w:hAnsi="Arial"/>
          <w:sz w:val="18"/>
          <w:szCs w:val="18"/>
          <w:color w:val="auto"/>
        </w:rPr>
      </w:pPr>
      <w:r>
        <w:rPr>
          <w:rFonts w:ascii="Arial" w:cs="Arial" w:eastAsia="Arial" w:hAnsi="Arial"/>
          <w:sz w:val="18"/>
          <w:szCs w:val="18"/>
          <w:color w:val="auto"/>
        </w:rPr>
        <w:t>the exercise of all issued and outstanding warrants or options, regardless of whether then exercisable; and</w:t>
      </w:r>
    </w:p>
    <w:p>
      <w:pPr>
        <w:spacing w:after="0" w:line="117" w:lineRule="exact"/>
        <w:rPr>
          <w:rFonts w:ascii="Arial" w:cs="Arial" w:eastAsia="Arial" w:hAnsi="Arial"/>
          <w:sz w:val="18"/>
          <w:szCs w:val="18"/>
          <w:color w:val="auto"/>
        </w:rPr>
      </w:pPr>
    </w:p>
    <w:p>
      <w:pPr>
        <w:ind w:left="1284" w:hanging="293"/>
        <w:spacing w:after="0"/>
        <w:tabs>
          <w:tab w:leader="none" w:pos="1284"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issuance, grant, and exercise of all securities reserved for issuance pursuant to any Alexo stock or stock option plan then in effect.</w:t>
      </w:r>
    </w:p>
    <w:p>
      <w:pPr>
        <w:spacing w:after="0" w:line="275" w:lineRule="exact"/>
        <w:rPr>
          <w:sz w:val="20"/>
          <w:szCs w:val="20"/>
          <w:color w:val="auto"/>
        </w:rPr>
      </w:pPr>
    </w:p>
    <w:p>
      <w:pPr>
        <w:ind w:left="964" w:right="380" w:hanging="539"/>
        <w:spacing w:after="0" w:line="277" w:lineRule="auto"/>
        <w:tabs>
          <w:tab w:leader="none" w:pos="944"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“Human Efficacy Proof-of-Concept Clinical Trial” means a Phase I Expansion Clinical Trial or Phase II Clinical Trial designed to test some measure of efficacy of the drug in question.</w:t>
      </w:r>
    </w:p>
    <w:p>
      <w:pPr>
        <w:spacing w:after="0" w:line="197"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“HHMI Indemnitees” means HHMI and its trustees, officers, employees, and agents.</w:t>
      </w:r>
    </w:p>
    <w:p>
      <w:pPr>
        <w:spacing w:after="0" w:line="252" w:lineRule="exact"/>
        <w:rPr>
          <w:sz w:val="20"/>
          <w:szCs w:val="20"/>
          <w:color w:val="auto"/>
        </w:rPr>
      </w:pPr>
    </w:p>
    <w:p>
      <w:pPr>
        <w:ind w:left="964" w:right="240" w:hanging="539"/>
        <w:spacing w:after="0" w:line="311" w:lineRule="auto"/>
        <w:tabs>
          <w:tab w:leader="none" w:pos="944"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“IND” means an investigational new drug application, as defined in the FD&amp;C Act, or any equivalent document filed with the FDA and necessary for beginning clinical trials of any product in humans or any application or other documentation filed with any Regulatory Authority of a country other than the United States prior to beginning clinical trials of any product in humans in that country.</w:t>
      </w:r>
    </w:p>
    <w:p>
      <w:pPr>
        <w:spacing w:after="0" w:line="176"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“Licensed Field of Use” means:</w:t>
      </w:r>
    </w:p>
    <w:p>
      <w:pPr>
        <w:spacing w:after="0" w:line="113" w:lineRule="exact"/>
        <w:rPr>
          <w:sz w:val="20"/>
          <w:szCs w:val="20"/>
          <w:color w:val="auto"/>
        </w:rPr>
      </w:pPr>
    </w:p>
    <w:p>
      <w:pPr>
        <w:ind w:left="1244" w:hanging="253"/>
        <w:spacing w:after="0"/>
        <w:tabs>
          <w:tab w:leader="none" w:pos="124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 SIRP</w:t>
      </w:r>
      <w:r>
        <w:rPr>
          <w:rFonts w:ascii="Arial" w:cs="Arial" w:eastAsia="Arial" w:hAnsi="Arial"/>
          <w:sz w:val="18"/>
          <w:szCs w:val="18"/>
          <w:b w:val="1"/>
          <w:bCs w:val="1"/>
          <w:color w:val="auto"/>
        </w:rPr>
        <w:t>α</w:t>
      </w:r>
      <w:r>
        <w:rPr>
          <w:rFonts w:ascii="Arial" w:cs="Arial" w:eastAsia="Arial" w:hAnsi="Arial"/>
          <w:sz w:val="18"/>
          <w:szCs w:val="18"/>
          <w:color w:val="auto"/>
        </w:rPr>
        <w:t xml:space="preserve"> Component for use (a) [***] or (b) [***].</w:t>
      </w:r>
    </w:p>
    <w:p>
      <w:pPr>
        <w:spacing w:after="0" w:line="121" w:lineRule="exact"/>
        <w:rPr>
          <w:rFonts w:ascii="Arial" w:cs="Arial" w:eastAsia="Arial" w:hAnsi="Arial"/>
          <w:sz w:val="18"/>
          <w:szCs w:val="18"/>
          <w:color w:val="auto"/>
        </w:rPr>
      </w:pPr>
    </w:p>
    <w:p>
      <w:pPr>
        <w:ind w:left="1244" w:hanging="253"/>
        <w:spacing w:after="0"/>
        <w:tabs>
          <w:tab w:leader="none" w:pos="124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Licensed Field of Use specifically excludes [***].</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SIRPα Component [***].</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SIRPα Component [***].</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 containing SIRPα or any [***].</w:t>
      </w:r>
    </w:p>
    <w:p>
      <w:pPr>
        <w:spacing w:after="0" w:line="117" w:lineRule="exact"/>
        <w:rPr>
          <w:rFonts w:ascii="Arial" w:cs="Arial" w:eastAsia="Arial" w:hAnsi="Arial"/>
          <w:sz w:val="18"/>
          <w:szCs w:val="18"/>
          <w:color w:val="auto"/>
        </w:rPr>
      </w:pPr>
    </w:p>
    <w:p>
      <w:pPr>
        <w:ind w:left="984" w:firstLine="7"/>
        <w:spacing w:after="0" w:line="277" w:lineRule="auto"/>
        <w:tabs>
          <w:tab w:leader="none" w:pos="1239" w:val="left"/>
        </w:tabs>
        <w:numPr>
          <w:ilvl w:val="0"/>
          <w:numId w:val="288"/>
        </w:numPr>
        <w:rPr>
          <w:rFonts w:ascii="Arial" w:cs="Arial" w:eastAsia="Arial" w:hAnsi="Arial"/>
          <w:sz w:val="18"/>
          <w:szCs w:val="18"/>
          <w:color w:val="auto"/>
        </w:rPr>
      </w:pPr>
      <w:r>
        <w:rPr>
          <w:rFonts w:ascii="Arial" w:cs="Arial" w:eastAsia="Arial" w:hAnsi="Arial"/>
          <w:sz w:val="18"/>
          <w:szCs w:val="18"/>
          <w:color w:val="auto"/>
        </w:rPr>
        <w:t>For avoidance of doubt, the grant of a license to use a SIRPα Component [***] does not explicitly or implicitly grant Alexo a license to [***].</w:t>
      </w:r>
    </w:p>
    <w:p>
      <w:pPr>
        <w:spacing w:after="0" w:line="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means [***].</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“SIRPα Component” means [***].</w:t>
      </w:r>
    </w:p>
    <w:p>
      <w:pPr>
        <w:spacing w:after="0" w:line="252"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“Licensed Patents” means Stanford’s U.S. Patent Application, Serial Number [***], and any patents issued in respect of such applications;</w:t>
      </w:r>
    </w:p>
    <w:p>
      <w:pPr>
        <w:spacing w:after="0" w:line="23" w:lineRule="exact"/>
        <w:rPr>
          <w:sz w:val="20"/>
          <w:szCs w:val="20"/>
          <w:color w:val="auto"/>
        </w:rPr>
      </w:pPr>
    </w:p>
    <w:p>
      <w:pPr>
        <w:jc w:val="both"/>
        <w:ind w:left="964" w:right="220" w:firstLine="8"/>
        <w:spacing w:after="0" w:line="273" w:lineRule="auto"/>
        <w:tabs>
          <w:tab w:leader="none" w:pos="1229" w:val="left"/>
        </w:tabs>
        <w:numPr>
          <w:ilvl w:val="1"/>
          <w:numId w:val="289"/>
        </w:numPr>
        <w:rPr>
          <w:rFonts w:ascii="Arial" w:cs="Arial" w:eastAsia="Arial" w:hAnsi="Arial"/>
          <w:sz w:val="17"/>
          <w:szCs w:val="17"/>
          <w:color w:val="auto"/>
        </w:rPr>
      </w:pPr>
      <w:r>
        <w:rPr>
          <w:rFonts w:ascii="Arial" w:cs="Arial" w:eastAsia="Arial" w:hAnsi="Arial"/>
          <w:sz w:val="17"/>
          <w:szCs w:val="17"/>
          <w:color w:val="auto"/>
        </w:rPr>
        <w:t>any continuation, division or continuation-in-part (to the extent such continuation-in-part relates to the Licensed Field of Use) of the patents and patent applications described in clause (i), (iii) any reissue, reexamination or extension of the patents and patent applications described in clauses (i) or (ii); and (iv) any foreign patent application or Letters Patent or supplementary protection certificates or the equivalent thereof in respect of the patents and patent applications described in clauses (i)-(iii).</w:t>
      </w:r>
    </w:p>
    <w:p>
      <w:pPr>
        <w:spacing w:after="0" w:line="108" w:lineRule="exact"/>
        <w:rPr>
          <w:rFonts w:ascii="Arial" w:cs="Arial" w:eastAsia="Arial" w:hAnsi="Arial"/>
          <w:sz w:val="17"/>
          <w:szCs w:val="17"/>
          <w:color w:val="auto"/>
        </w:rPr>
      </w:pPr>
    </w:p>
    <w:p>
      <w:pPr>
        <w:ind w:left="424" w:right="260" w:hanging="424"/>
        <w:spacing w:after="0" w:line="277" w:lineRule="auto"/>
        <w:tabs>
          <w:tab w:leader="none" w:pos="42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04"/>
          </w:cols>
          <w:pgMar w:left="436" w:top="274" w:right="459" w:bottom="1440" w:gutter="0" w:footer="0" w:header="0"/>
        </w:sectPr>
      </w:pPr>
    </w:p>
    <w:bookmarkStart w:id="393" w:name="page394"/>
    <w:bookmarkEnd w:id="393"/>
    <w:p>
      <w:pPr>
        <w:ind w:left="424"/>
        <w:spacing w:after="0"/>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2.11</w:t>
      </w:r>
      <w:r>
        <w:rPr>
          <w:sz w:val="20"/>
          <w:szCs w:val="20"/>
          <w:color w:val="auto"/>
        </w:rPr>
        <w:tab/>
      </w:r>
      <w:r>
        <w:rPr>
          <w:rFonts w:ascii="Arial" w:cs="Arial" w:eastAsia="Arial" w:hAnsi="Arial"/>
          <w:sz w:val="17"/>
          <w:szCs w:val="17"/>
          <w:color w:val="auto"/>
        </w:rPr>
        <w:t>“Licensed Product” means [***] products:</w:t>
      </w:r>
    </w:p>
    <w:p>
      <w:pPr>
        <w:spacing w:after="0" w:line="117" w:lineRule="exact"/>
        <w:rPr>
          <w:sz w:val="20"/>
          <w:szCs w:val="20"/>
          <w:color w:val="auto"/>
        </w:rPr>
      </w:pPr>
    </w:p>
    <w:p>
      <w:pPr>
        <w:ind w:left="984" w:right="320"/>
        <w:spacing w:after="0" w:line="277" w:lineRule="auto"/>
        <w:rPr>
          <w:sz w:val="20"/>
          <w:szCs w:val="20"/>
          <w:color w:val="auto"/>
        </w:rPr>
      </w:pPr>
      <w:r>
        <w:rPr>
          <w:rFonts w:ascii="Arial" w:cs="Arial" w:eastAsia="Arial" w:hAnsi="Arial"/>
          <w:sz w:val="18"/>
          <w:szCs w:val="18"/>
          <w:color w:val="auto"/>
        </w:rPr>
        <w:t>the making, using, importing or selling of which, absent the license granted under this Agreement, would infringe a Valid Claim in the Licensed Patents or Nonexclusive Licensed Patents.</w:t>
      </w:r>
    </w:p>
    <w:p>
      <w:pPr>
        <w:spacing w:after="0" w:line="197"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“Licensed Territory” means worldwide.</w:t>
      </w:r>
    </w:p>
    <w:p>
      <w:pPr>
        <w:spacing w:after="0" w:line="252" w:lineRule="exact"/>
        <w:rPr>
          <w:sz w:val="20"/>
          <w:szCs w:val="20"/>
          <w:color w:val="auto"/>
        </w:rPr>
      </w:pPr>
    </w:p>
    <w:p>
      <w:pPr>
        <w:ind w:left="964" w:right="20" w:hanging="539"/>
        <w:spacing w:after="0" w:line="286" w:lineRule="auto"/>
        <w:tabs>
          <w:tab w:leader="none" w:pos="944"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 xml:space="preserve">“Net Sales” means the aggregate amounts invoiced for sales or transfers for value of Licensed Products by Alexo, its affiliates or any of its sublicensees to an independent third party distributor, agent or end user (other than sales of Licensed Products at cost by Alexo, its affiliates or sublicensees to a third party for use in a clinical study prior to regulatory approval of such Licensed Product)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deductions selected as appropriate from: (i) customary discounts in the trade for quantity purchased, prompt payment or wholesalers and distributors;</w:t>
      </w:r>
    </w:p>
    <w:p>
      <w:pPr>
        <w:spacing w:after="0" w:line="1" w:lineRule="exact"/>
        <w:rPr>
          <w:sz w:val="20"/>
          <w:szCs w:val="20"/>
          <w:color w:val="auto"/>
        </w:rPr>
      </w:pPr>
    </w:p>
    <w:p>
      <w:pPr>
        <w:ind w:left="964" w:firstLine="8"/>
        <w:spacing w:after="0" w:line="269" w:lineRule="auto"/>
        <w:tabs>
          <w:tab w:leader="none" w:pos="1229" w:val="left"/>
        </w:tabs>
        <w:numPr>
          <w:ilvl w:val="0"/>
          <w:numId w:val="290"/>
        </w:numPr>
        <w:rPr>
          <w:rFonts w:ascii="Arial" w:cs="Arial" w:eastAsia="Arial" w:hAnsi="Arial"/>
          <w:sz w:val="17"/>
          <w:szCs w:val="17"/>
          <w:color w:val="auto"/>
        </w:rPr>
      </w:pPr>
      <w:r>
        <w:rPr>
          <w:rFonts w:ascii="Arial" w:cs="Arial" w:eastAsia="Arial" w:hAnsi="Arial"/>
          <w:sz w:val="17"/>
          <w:szCs w:val="17"/>
          <w:color w:val="auto"/>
        </w:rPr>
        <w:t>credits or refunds separately and actually credited or paid to customers for defective, spoiled, damaged, outdated or returned Licensed Products that do not exceed the original invoice amount; (iii) discounts mandated by, or granted to meet the requirements of, applicable state, provincial or federal law, paid or credited to a wholesaler, purchaser, third party or other contractee including required chargebacks and retroactive price reductions; (iv) rebates actually paid or credited to any governmental agency (or branch thereof) or to any third party payor, administrator or contractee; (v) sales, excise or use taxes paid, absorbed or allowed excluding net income tax, imposed upon the sale of the Licensed Product; and (vi) prepaid outbound transportation expenses and transportation insurance premiums that are separately billed to the customer or prepaid.</w:t>
      </w:r>
    </w:p>
    <w:p>
      <w:pPr>
        <w:spacing w:after="0" w:line="7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In the event the Licensed Product is sold [***], or [***], the Net Sales [***], shall be determined by [***].</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Net Sales shall not include [***].</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Net Sales shall not include [***].</w:t>
      </w:r>
    </w:p>
    <w:p>
      <w:pPr>
        <w:spacing w:after="0" w:line="252" w:lineRule="exact"/>
        <w:rPr>
          <w:sz w:val="20"/>
          <w:szCs w:val="20"/>
          <w:color w:val="auto"/>
        </w:rPr>
      </w:pPr>
    </w:p>
    <w:p>
      <w:pPr>
        <w:ind w:left="964" w:right="80" w:hanging="539"/>
        <w:spacing w:after="0" w:line="263" w:lineRule="auto"/>
        <w:tabs>
          <w:tab w:leader="none" w:pos="944" w:val="left"/>
        </w:tabs>
        <w:rPr>
          <w:sz w:val="20"/>
          <w:szCs w:val="20"/>
          <w:color w:val="auto"/>
        </w:rPr>
      </w:pPr>
      <w:r>
        <w:rPr>
          <w:rFonts w:ascii="Arial" w:cs="Arial" w:eastAsia="Arial" w:hAnsi="Arial"/>
          <w:sz w:val="18"/>
          <w:szCs w:val="18"/>
          <w:color w:val="auto"/>
        </w:rPr>
        <w:t>2.14</w:t>
        <w:tab/>
        <w:t>“Nonexclusive Licensed Patents” means Stanford’s U.S. Patent Application Serial Nos. [***]; (2) any continuation, division or continuation-in-part (to the extent such continuation-in-part relates to the Licensed Products and the Licensed Field of Use) of such patent application; (3) any reissue, reexamination or extension of such patent application; or</w:t>
      </w:r>
    </w:p>
    <w:p>
      <w:pPr>
        <w:spacing w:after="0" w:line="76" w:lineRule="exact"/>
        <w:rPr>
          <w:sz w:val="20"/>
          <w:szCs w:val="20"/>
          <w:color w:val="auto"/>
        </w:rPr>
      </w:pPr>
    </w:p>
    <w:p>
      <w:pPr>
        <w:ind w:left="984" w:right="320" w:firstLine="7"/>
        <w:spacing w:after="0" w:line="263" w:lineRule="auto"/>
        <w:tabs>
          <w:tab w:leader="none" w:pos="123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any foreign patent application or Letters Patent or supplementary protection certificates or the equivalent thereof in respect of such patent application, that would be infringed by the practice of the Licensed Patents to make, have made, use, import and sell Licensed Products for use in the Licensed Field of Use.</w:t>
      </w:r>
    </w:p>
    <w:p>
      <w:pPr>
        <w:spacing w:after="0" w:line="211" w:lineRule="exact"/>
        <w:rPr>
          <w:sz w:val="20"/>
          <w:szCs w:val="20"/>
          <w:color w:val="auto"/>
        </w:rPr>
      </w:pPr>
    </w:p>
    <w:p>
      <w:pPr>
        <w:ind w:left="964" w:right="320" w:hanging="539"/>
        <w:spacing w:after="0" w:line="277" w:lineRule="auto"/>
        <w:tabs>
          <w:tab w:leader="none" w:pos="944" w:val="left"/>
        </w:tabs>
        <w:rPr>
          <w:sz w:val="20"/>
          <w:szCs w:val="20"/>
          <w:color w:val="auto"/>
        </w:rPr>
      </w:pPr>
      <w:r>
        <w:rPr>
          <w:rFonts w:ascii="Arial" w:cs="Arial" w:eastAsia="Arial" w:hAnsi="Arial"/>
          <w:sz w:val="18"/>
          <w:szCs w:val="18"/>
          <w:color w:val="auto"/>
        </w:rPr>
        <w:t>2.15</w:t>
        <w:tab/>
        <w:t>“Nonroyalty Sublicensing Consideration” means any consideration received by Alexo from a sublicensee hereunder but excluding any consideration for:</w:t>
      </w:r>
    </w:p>
    <w:p>
      <w:pPr>
        <w:spacing w:after="0" w:line="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24" w:right="240" w:hanging="424"/>
        <w:spacing w:after="0" w:line="277" w:lineRule="auto"/>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0984"/>
          </w:cols>
          <w:pgMar w:left="436" w:top="274" w:right="479" w:bottom="1440" w:gutter="0" w:footer="0" w:header="0"/>
        </w:sectPr>
      </w:pPr>
    </w:p>
    <w:bookmarkStart w:id="394" w:name="page395"/>
    <w:bookmarkEnd w:id="394"/>
    <w:p>
      <w:pPr>
        <w:ind w:left="964" w:right="100" w:hanging="539"/>
        <w:spacing w:after="0" w:line="277"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2.16</w:t>
        <w:tab/>
        <w:t>“Patent Matters” means preparing, filing, and prosecuting broad and extensive patent claims (including any interference or reexamination actions) for Stanford’s benefit in the Licensed Territory and for maintaining all Licensed Patents.</w:t>
      </w:r>
    </w:p>
    <w:p>
      <w:pPr>
        <w:spacing w:after="0" w:line="197" w:lineRule="exact"/>
        <w:rPr>
          <w:sz w:val="20"/>
          <w:szCs w:val="20"/>
          <w:color w:val="auto"/>
        </w:rPr>
      </w:pPr>
    </w:p>
    <w:p>
      <w:pPr>
        <w:ind w:left="964" w:right="40" w:hanging="539"/>
        <w:spacing w:after="0" w:line="342" w:lineRule="auto"/>
        <w:tabs>
          <w:tab w:leader="none" w:pos="944"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“Phase I Clinical Trial” means for the purpose of obtaining regulatory approval a study in humans the purpose of which is preliminary determination of safety of a Licensed Product in healthy individuals or patients that would satisfy the requirements of 21 C.F.R. 312.21(a).</w:t>
      </w:r>
    </w:p>
    <w:p>
      <w:pPr>
        <w:spacing w:after="0" w:line="151" w:lineRule="exact"/>
        <w:rPr>
          <w:sz w:val="20"/>
          <w:szCs w:val="20"/>
          <w:color w:val="auto"/>
        </w:rPr>
      </w:pPr>
    </w:p>
    <w:p>
      <w:pPr>
        <w:ind w:left="964" w:right="120" w:hanging="539"/>
        <w:spacing w:after="0" w:line="263" w:lineRule="auto"/>
        <w:tabs>
          <w:tab w:leader="none" w:pos="944" w:val="left"/>
        </w:tabs>
        <w:rPr>
          <w:sz w:val="20"/>
          <w:szCs w:val="20"/>
          <w:color w:val="auto"/>
        </w:rPr>
      </w:pPr>
      <w:r>
        <w:rPr>
          <w:rFonts w:ascii="Arial" w:cs="Arial" w:eastAsia="Arial" w:hAnsi="Arial"/>
          <w:sz w:val="18"/>
          <w:szCs w:val="18"/>
          <w:color w:val="auto"/>
        </w:rPr>
        <w:t>2.18</w:t>
        <w:tab/>
        <w:t>“Phase I Expansion Clinical Trial” means a study in humans the purpose of which is further determination of safety and preliminary determination of signs of efficacy of a Licensed Product in patients of defined disease parameters after the initial completion of a Phase 1 dose escalation study.</w:t>
      </w:r>
    </w:p>
    <w:p>
      <w:pPr>
        <w:spacing w:after="0" w:line="211" w:lineRule="exact"/>
        <w:rPr>
          <w:sz w:val="20"/>
          <w:szCs w:val="20"/>
          <w:color w:val="auto"/>
        </w:rPr>
      </w:pPr>
    </w:p>
    <w:p>
      <w:pPr>
        <w:ind w:left="964" w:hanging="539"/>
        <w:spacing w:after="0" w:line="263" w:lineRule="auto"/>
        <w:tabs>
          <w:tab w:leader="none" w:pos="944" w:val="left"/>
        </w:tabs>
        <w:rPr>
          <w:sz w:val="20"/>
          <w:szCs w:val="20"/>
          <w:color w:val="auto"/>
        </w:rPr>
      </w:pPr>
      <w:r>
        <w:rPr>
          <w:rFonts w:ascii="Arial" w:cs="Arial" w:eastAsia="Arial" w:hAnsi="Arial"/>
          <w:sz w:val="18"/>
          <w:szCs w:val="18"/>
          <w:color w:val="auto"/>
        </w:rPr>
        <w:t>2.19</w:t>
        <w:tab/>
        <w:t>“Phase II Clinical Trial” means for the purpose of obtaining regulatory approval a study in humans of the safety, dose range and efficacy of a Licensed Product that is prospectively designed to generate sufficient data to commence a Phase III Clinical Trial that would satisfy the requirements of 21 C.F.R. 312.21(b).</w:t>
      </w:r>
    </w:p>
    <w:p>
      <w:pPr>
        <w:spacing w:after="0" w:line="211" w:lineRule="exact"/>
        <w:rPr>
          <w:sz w:val="20"/>
          <w:szCs w:val="20"/>
          <w:color w:val="auto"/>
        </w:rPr>
      </w:pPr>
    </w:p>
    <w:p>
      <w:pPr>
        <w:ind w:left="964" w:right="380" w:hanging="539"/>
        <w:spacing w:after="0" w:line="311" w:lineRule="auto"/>
        <w:tabs>
          <w:tab w:leader="none" w:pos="944"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“Phase III Clinical Trial” means a controlled study in humans of the efficacy and safety of a Licensed Product that is prospectively designed to demonstrate statistically whether such Licensed Product is effective and safe for use in a particular indication in a manner sufficient to obtain regulatory approval to market such Licensed Product that would satisfy the requirements of 21 C.F.R. 312.21(c).</w:t>
      </w:r>
    </w:p>
    <w:p>
      <w:pPr>
        <w:spacing w:after="0" w:line="176" w:lineRule="exact"/>
        <w:rPr>
          <w:sz w:val="20"/>
          <w:szCs w:val="20"/>
          <w:color w:val="auto"/>
        </w:rPr>
      </w:pPr>
    </w:p>
    <w:p>
      <w:pPr>
        <w:ind w:left="964" w:right="260" w:hanging="539"/>
        <w:spacing w:after="0" w:line="277" w:lineRule="auto"/>
        <w:tabs>
          <w:tab w:leader="none" w:pos="944" w:val="left"/>
        </w:tabs>
        <w:rPr>
          <w:sz w:val="20"/>
          <w:szCs w:val="20"/>
          <w:color w:val="auto"/>
        </w:rPr>
      </w:pPr>
      <w:r>
        <w:rPr>
          <w:rFonts w:ascii="Arial" w:cs="Arial" w:eastAsia="Arial" w:hAnsi="Arial"/>
          <w:sz w:val="18"/>
          <w:szCs w:val="18"/>
          <w:color w:val="auto"/>
        </w:rPr>
        <w:t>2.21</w:t>
        <w:tab/>
        <w:t>“Regulatory Authority” means any national, supra-national, regional, state or local regulatory agency, department, bureau, commission, council or other governmental entity in the Territory, including, without limitation, the FDA.</w:t>
      </w:r>
    </w:p>
    <w:p>
      <w:pPr>
        <w:spacing w:after="0" w:line="197" w:lineRule="exact"/>
        <w:rPr>
          <w:sz w:val="20"/>
          <w:szCs w:val="20"/>
          <w:color w:val="auto"/>
        </w:rPr>
      </w:pPr>
    </w:p>
    <w:p>
      <w:pPr>
        <w:ind w:left="964" w:right="280" w:hanging="539"/>
        <w:spacing w:after="0" w:line="277" w:lineRule="auto"/>
        <w:tabs>
          <w:tab w:leader="none" w:pos="944" w:val="left"/>
        </w:tabs>
        <w:rPr>
          <w:sz w:val="20"/>
          <w:szCs w:val="20"/>
          <w:color w:val="auto"/>
        </w:rPr>
      </w:pPr>
      <w:r>
        <w:rPr>
          <w:rFonts w:ascii="Arial" w:cs="Arial" w:eastAsia="Arial" w:hAnsi="Arial"/>
          <w:sz w:val="18"/>
          <w:szCs w:val="18"/>
          <w:color w:val="auto"/>
        </w:rPr>
        <w:t>2.22</w:t>
        <w:tab/>
        <w:t>“Stanford Indemnitees” means Stanford and Stanford Hospitals and Clinics, and their respective trustees, officers, employees, students, agents, faculty, representatives, and volunteers.</w:t>
      </w:r>
    </w:p>
    <w:p>
      <w:pPr>
        <w:spacing w:after="0" w:line="197" w:lineRule="exact"/>
        <w:rPr>
          <w:sz w:val="20"/>
          <w:szCs w:val="20"/>
          <w:color w:val="auto"/>
        </w:rPr>
      </w:pPr>
    </w:p>
    <w:p>
      <w:pPr>
        <w:jc w:val="both"/>
        <w:ind w:left="964" w:right="220" w:hanging="539"/>
        <w:spacing w:after="0" w:line="263" w:lineRule="auto"/>
        <w:tabs>
          <w:tab w:leader="none" w:pos="944" w:val="left"/>
        </w:tabs>
        <w:rPr>
          <w:sz w:val="20"/>
          <w:szCs w:val="20"/>
          <w:color w:val="auto"/>
        </w:rPr>
      </w:pPr>
      <w:r>
        <w:rPr>
          <w:rFonts w:ascii="Arial" w:cs="Arial" w:eastAsia="Arial" w:hAnsi="Arial"/>
          <w:sz w:val="18"/>
          <w:szCs w:val="18"/>
          <w:color w:val="auto"/>
        </w:rPr>
        <w:t>2.23</w:t>
        <w:tab/>
        <w:t>“Sublicense(s)” means any agreement between Alexo and a third party that contains a grant to Stanford’s Licensed Patents regardless of the name given to the agreement by the parties; however, an agreement to make, have made, use or sell Licensed Products on behalf of Alexo is not considered a Sublicense.</w:t>
      </w:r>
    </w:p>
    <w:p>
      <w:pPr>
        <w:spacing w:after="0" w:line="211" w:lineRule="exact"/>
        <w:rPr>
          <w:sz w:val="20"/>
          <w:szCs w:val="20"/>
          <w:color w:val="auto"/>
        </w:rPr>
      </w:pPr>
    </w:p>
    <w:p>
      <w:pPr>
        <w:jc w:val="center"/>
        <w:ind w:right="-403"/>
        <w:spacing w:after="0"/>
        <w:tabs>
          <w:tab w:leader="none" w:pos="20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“Valid Claim” means (1) an unexpired claim of an issued patent which has not been found to be un-patentable, invalid or unenforceable by</w:t>
      </w:r>
    </w:p>
    <w:p>
      <w:pPr>
        <w:spacing w:after="0" w:line="23" w:lineRule="exact"/>
        <w:rPr>
          <w:sz w:val="20"/>
          <w:szCs w:val="20"/>
          <w:color w:val="auto"/>
        </w:rPr>
      </w:pPr>
    </w:p>
    <w:p>
      <w:pPr>
        <w:ind w:left="964" w:right="260"/>
        <w:spacing w:after="0" w:line="295" w:lineRule="auto"/>
        <w:rPr>
          <w:sz w:val="20"/>
          <w:szCs w:val="20"/>
          <w:color w:val="auto"/>
        </w:rPr>
      </w:pPr>
      <w:r>
        <w:rPr>
          <w:rFonts w:ascii="Arial" w:cs="Arial" w:eastAsia="Arial" w:hAnsi="Arial"/>
          <w:sz w:val="16"/>
          <w:szCs w:val="16"/>
          <w:color w:val="auto"/>
        </w:rPr>
        <w:t>a court or other authority in the subject country, from which decision no appeal is taken or can be taken; or (2) a claim of a pending application, which application claims a first priority no more than [***] years prior to the date upon which pendency is determined. For purposes of clarification, if a claim in an application has been pending for more than [***] years from its priority date, and a patent subsequently issues containing such claim, then upon issuance of the patent, the claim shall thereafter be considered a Valid Claim.</w:t>
      </w:r>
    </w:p>
    <w:p>
      <w:pPr>
        <w:spacing w:after="0" w:line="94" w:lineRule="exact"/>
        <w:rPr>
          <w:sz w:val="20"/>
          <w:szCs w:val="20"/>
          <w:color w:val="auto"/>
        </w:rPr>
      </w:pPr>
    </w:p>
    <w:p>
      <w:pPr>
        <w:ind w:left="424" w:right="240" w:hanging="424"/>
        <w:spacing w:after="0" w:line="277" w:lineRule="auto"/>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0984"/>
          </w:cols>
          <w:pgMar w:left="436" w:top="274" w:right="479" w:bottom="1440" w:gutter="0" w:footer="0" w:header="0"/>
        </w:sectPr>
      </w:pPr>
    </w:p>
    <w:bookmarkStart w:id="395" w:name="page396"/>
    <w:bookmarkEnd w:id="395"/>
    <w:p>
      <w:pPr>
        <w:ind w:left="424"/>
        <w:spacing w:after="0"/>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2.25</w:t>
      </w:r>
      <w:r>
        <w:rPr>
          <w:sz w:val="20"/>
          <w:szCs w:val="20"/>
          <w:color w:val="auto"/>
        </w:rPr>
        <w:tab/>
      </w:r>
      <w:r>
        <w:rPr>
          <w:rFonts w:ascii="Arial" w:cs="Arial" w:eastAsia="Arial" w:hAnsi="Arial"/>
          <w:sz w:val="16"/>
          <w:szCs w:val="16"/>
          <w:color w:val="auto"/>
        </w:rPr>
        <w:t>Other Defined Terms. The following terms shall have the meanings set forth in the section appearing opposite such term</w:t>
      </w:r>
    </w:p>
    <w:p>
      <w:pPr>
        <w:sectPr>
          <w:pgSz w:w="11900" w:h="16838" w:orient="portrait"/>
          <w:cols w:equalWidth="0" w:num="1">
            <w:col w:w="10984"/>
          </w:cols>
          <w:pgMar w:left="436" w:top="274" w:right="479" w:bottom="1440" w:gutter="0" w:footer="0" w:header="0"/>
        </w:sectPr>
      </w:pPr>
    </w:p>
    <w:p>
      <w:pPr>
        <w:spacing w:after="0" w:line="252" w:lineRule="exact"/>
        <w:rPr>
          <w:sz w:val="20"/>
          <w:szCs w:val="20"/>
          <w:color w:val="auto"/>
        </w:rPr>
      </w:pPr>
    </w:p>
    <w:p>
      <w:pPr>
        <w:ind w:left="1004"/>
        <w:spacing w:after="0"/>
        <w:rPr>
          <w:sz w:val="20"/>
          <w:szCs w:val="20"/>
          <w:color w:val="auto"/>
        </w:rPr>
      </w:pPr>
      <w:r>
        <w:rPr>
          <w:rFonts w:ascii="Arial" w:cs="Arial" w:eastAsia="Arial" w:hAnsi="Arial"/>
          <w:sz w:val="17"/>
          <w:szCs w:val="17"/>
          <w:color w:val="auto"/>
        </w:rPr>
        <w:t>“Agreement”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Recitals</w:t>
      </w:r>
    </w:p>
    <w:p>
      <w:pPr>
        <w:spacing w:after="0" w:line="140"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8"/>
          <w:szCs w:val="18"/>
          <w:color w:val="auto"/>
        </w:rPr>
        <w:t>“Alexo”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Recitals</w:t>
      </w:r>
    </w:p>
    <w:p>
      <w:pPr>
        <w:spacing w:after="0" w:line="139"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8"/>
          <w:szCs w:val="18"/>
          <w:color w:val="auto"/>
        </w:rPr>
        <w:t>“Claims”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10.1</w:t>
      </w:r>
    </w:p>
    <w:p>
      <w:pPr>
        <w:spacing w:after="0" w:line="139"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7"/>
          <w:szCs w:val="17"/>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Recitals</w:t>
      </w:r>
    </w:p>
    <w:p>
      <w:pPr>
        <w:spacing w:after="0" w:line="140"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7"/>
          <w:szCs w:val="17"/>
          <w:color w:val="auto"/>
        </w:rPr>
        <w:t>“First Round”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7.3</w:t>
      </w:r>
    </w:p>
    <w:p>
      <w:pPr>
        <w:spacing w:after="0" w:line="140"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8"/>
          <w:szCs w:val="18"/>
          <w:color w:val="auto"/>
        </w:rPr>
        <w:t>“HHMI”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w:t>
      </w:r>
    </w:p>
    <w:p>
      <w:pPr>
        <w:spacing w:after="0" w:line="139"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8"/>
          <w:szCs w:val="18"/>
          <w:color w:val="auto"/>
        </w:rPr>
        <w:t>“HHMI License”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3.3</w:t>
      </w:r>
    </w:p>
    <w:p>
      <w:pPr>
        <w:spacing w:after="0" w:line="139"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7"/>
          <w:szCs w:val="17"/>
          <w:color w:val="auto"/>
        </w:rPr>
        <w:t>“Losses”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10.1</w:t>
      </w:r>
    </w:p>
    <w:p>
      <w:pPr>
        <w:spacing w:after="0" w:line="140"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7"/>
          <w:szCs w:val="17"/>
          <w:color w:val="auto"/>
        </w:rPr>
        <w:t>“Major Market Countries”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7.8</w:t>
      </w:r>
    </w:p>
    <w:p>
      <w:pPr>
        <w:spacing w:after="0" w:line="140"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7"/>
          <w:szCs w:val="17"/>
          <w:color w:val="auto"/>
        </w:rPr>
        <w:t>“Parent”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7.2</w:t>
      </w:r>
    </w:p>
    <w:p>
      <w:pPr>
        <w:spacing w:after="0" w:line="140"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7"/>
          <w:szCs w:val="17"/>
          <w:color w:val="auto"/>
        </w:rPr>
        <w:t>“Stanford”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Recitals</w:t>
      </w:r>
    </w:p>
    <w:p>
      <w:pPr>
        <w:spacing w:after="0" w:line="140"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6"/>
          <w:szCs w:val="16"/>
          <w:color w:val="auto"/>
        </w:rPr>
        <w:t>“Successful Completion”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Appendix A.</w:t>
      </w:r>
    </w:p>
    <w:p>
      <w:pPr>
        <w:spacing w:after="0" w:line="200"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spacing w:after="0" w:line="181" w:lineRule="exact"/>
        <w:rPr>
          <w:sz w:val="20"/>
          <w:szCs w:val="20"/>
          <w:color w:val="auto"/>
        </w:rPr>
      </w:pPr>
    </w:p>
    <w:p>
      <w:pPr>
        <w:ind w:left="424" w:hanging="424"/>
        <w:spacing w:after="0"/>
        <w:tabs>
          <w:tab w:leader="none" w:pos="424"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GRANT</w:t>
      </w:r>
    </w:p>
    <w:p>
      <w:pPr>
        <w:spacing w:after="0" w:line="130" w:lineRule="exact"/>
        <w:rPr>
          <w:rFonts w:ascii="Arial" w:cs="Arial" w:eastAsia="Arial" w:hAnsi="Arial"/>
          <w:sz w:val="18"/>
          <w:szCs w:val="18"/>
          <w:b w:val="1"/>
          <w:bCs w:val="1"/>
          <w:color w:val="auto"/>
        </w:rPr>
      </w:pPr>
    </w:p>
    <w:p>
      <w:pPr>
        <w:ind w:left="964" w:hanging="540"/>
        <w:spacing w:after="0" w:line="303" w:lineRule="auto"/>
        <w:rPr>
          <w:rFonts w:ascii="Arial" w:cs="Arial" w:eastAsia="Arial" w:hAnsi="Arial"/>
          <w:sz w:val="18"/>
          <w:szCs w:val="18"/>
          <w:b w:val="1"/>
          <w:bCs w:val="1"/>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Grant.</w:t>
      </w:r>
      <w:r>
        <w:rPr>
          <w:rFonts w:ascii="Arial" w:cs="Arial" w:eastAsia="Arial" w:hAnsi="Arial"/>
          <w:sz w:val="16"/>
          <w:szCs w:val="16"/>
          <w:color w:val="auto"/>
        </w:rPr>
        <w:t xml:space="preserve"> Subject to the terms and conditions of this Agreement, Stanford grants Alexo (i) a exclusive, royalty-bearing, license under the Licensed Patents, including the right to make, have made, use, import, offer to sell and sell Licensed Products in the Licensed Territory in the Licensed Field of Use; and (ii) a non-exclusive, royalty-bearing license under the Nonexclusive Licensed Patents, including the right to make, have made, use, import, offer to sell and sell Licensed Products in the Licensed Territory in the Licensed Field of Use.</w:t>
      </w:r>
    </w:p>
    <w:p>
      <w:pPr>
        <w:spacing w:after="0" w:line="177" w:lineRule="exact"/>
        <w:rPr>
          <w:rFonts w:ascii="Arial" w:cs="Arial" w:eastAsia="Arial" w:hAnsi="Arial"/>
          <w:sz w:val="18"/>
          <w:szCs w:val="18"/>
          <w:b w:val="1"/>
          <w:bCs w:val="1"/>
          <w:color w:val="auto"/>
        </w:rPr>
      </w:pPr>
    </w:p>
    <w:p>
      <w:pPr>
        <w:ind w:left="964" w:right="100" w:hanging="5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Term.</w:t>
      </w:r>
      <w:r>
        <w:rPr>
          <w:rFonts w:ascii="Arial" w:cs="Arial" w:eastAsia="Arial" w:hAnsi="Arial"/>
          <w:sz w:val="16"/>
          <w:szCs w:val="16"/>
          <w:color w:val="auto"/>
        </w:rPr>
        <w:t xml:space="preserve"> The license granted under Section 3.1 shall take effect as of the Effective date and will remain in effect on a Licensed Product-by-Licensed Product and country-by-country basis until the later of (i) the expiration or revocation or complete rejection of the last to expire or to be revoked or to be completely rejected of any Licensed Patents or Nonexclusive Licensed Patents covering such Licensed Product in the country in which the Licensed Product is manufactured or sold, or (ii) if no Licensed Patents or Nonexclusive Licensed Patents exists in the relevant country covering the manufacture, use or sale of the relevant Licensed Product, until 10 years from the First Commercial Sale of such Licensed Product in such country. Thereafter, the licenses shall be fully paid-up and royalty-free.</w:t>
      </w:r>
    </w:p>
    <w:p>
      <w:pPr>
        <w:spacing w:after="0" w:line="96" w:lineRule="exact"/>
        <w:rPr>
          <w:sz w:val="20"/>
          <w:szCs w:val="20"/>
          <w:color w:val="auto"/>
        </w:rPr>
      </w:pPr>
    </w:p>
    <w:p>
      <w:pPr>
        <w:ind w:left="424" w:right="240" w:hanging="424"/>
        <w:spacing w:after="0" w:line="277" w:lineRule="auto"/>
        <w:tabs>
          <w:tab w:leader="none" w:pos="42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0984"/>
          </w:cols>
          <w:pgMar w:left="436" w:top="274" w:right="479" w:bottom="1440" w:gutter="0" w:footer="0" w:header="0"/>
          <w:type w:val="continuous"/>
        </w:sectPr>
      </w:pPr>
    </w:p>
    <w:bookmarkStart w:id="396" w:name="page397"/>
    <w:bookmarkEnd w:id="396"/>
    <w:p>
      <w:pPr>
        <w:ind w:left="964" w:right="100" w:hanging="539"/>
        <w:spacing w:after="0" w:line="258"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w:t>
      </w:r>
      <w:r>
        <w:rPr>
          <w:sz w:val="20"/>
          <w:szCs w:val="20"/>
          <w:color w:val="auto"/>
        </w:rPr>
        <w:tab/>
      </w:r>
      <w:r>
        <w:rPr>
          <w:rFonts w:ascii="Arial" w:cs="Arial" w:eastAsia="Arial" w:hAnsi="Arial"/>
          <w:sz w:val="18"/>
          <w:szCs w:val="18"/>
          <w:b w:val="1"/>
          <w:bCs w:val="1"/>
          <w:color w:val="auto"/>
        </w:rPr>
        <w:t xml:space="preserve">Retained Rights. </w:t>
      </w:r>
      <w:r>
        <w:rPr>
          <w:rFonts w:ascii="Arial" w:cs="Arial" w:eastAsia="Arial" w:hAnsi="Arial"/>
          <w:sz w:val="18"/>
          <w:szCs w:val="18"/>
          <w:color w:val="auto"/>
        </w:rPr>
        <w:t>(A) Stanford retains the right, on behalf of itself and all other non- profit research institutions, to practice the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and the Nonexclusive Licensed Patents for any non-profit purpose, including sponsored research and collaborations. Alexo agrees that, notwithstanding any other provision of this Agreement, it has no right to enforce the Licensed Patents and Nonexclusive Licensed Patents against any such institution. Stanford and any such other institution have the right to publish any information included in the Nonexclusive Licensed Patents or a Licensed Patent.</w:t>
      </w:r>
    </w:p>
    <w:p>
      <w:pPr>
        <w:spacing w:after="0" w:line="79" w:lineRule="exact"/>
        <w:rPr>
          <w:sz w:val="20"/>
          <w:szCs w:val="20"/>
          <w:color w:val="auto"/>
        </w:rPr>
      </w:pPr>
    </w:p>
    <w:p>
      <w:pPr>
        <w:ind w:left="984" w:right="100" w:firstLine="7"/>
        <w:spacing w:after="0" w:line="259" w:lineRule="auto"/>
        <w:tabs>
          <w:tab w:leader="none" w:pos="1269"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Alexo acknowledges that it has been informed that the [***] Patents were developed, at least in part, by employees of HHMI and that HHMI has a paid-up, non-exclusive, irrevocable license to use the Licensed Patents or Nonexclusive Licensed Patents for HHMI’s research purposes, but with no right to assign or sublicense (the “HHMI License”). This Agreement is explicitly made subject to the HHMI License.</w:t>
      </w:r>
    </w:p>
    <w:p>
      <w:pPr>
        <w:spacing w:after="0" w:line="210"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b w:val="1"/>
          <w:bCs w:val="1"/>
          <w:color w:val="auto"/>
        </w:rPr>
        <w:t>Other Rights</w:t>
      </w:r>
      <w:r>
        <w:rPr>
          <w:rFonts w:ascii="Arial" w:cs="Arial" w:eastAsia="Arial" w:hAnsi="Arial"/>
          <w:sz w:val="16"/>
          <w:szCs w:val="16"/>
          <w:color w:val="auto"/>
        </w:rPr>
        <w:t>.</w:t>
      </w:r>
    </w:p>
    <w:p>
      <w:pPr>
        <w:spacing w:after="0" w:line="121" w:lineRule="exact"/>
        <w:rPr>
          <w:sz w:val="20"/>
          <w:szCs w:val="20"/>
          <w:color w:val="auto"/>
        </w:rPr>
      </w:pPr>
    </w:p>
    <w:p>
      <w:pPr>
        <w:ind w:left="984" w:right="20" w:firstLine="7"/>
        <w:spacing w:after="0" w:line="259" w:lineRule="auto"/>
        <w:tabs>
          <w:tab w:leader="none" w:pos="1159" w:val="left"/>
        </w:tabs>
        <w:numPr>
          <w:ilvl w:val="0"/>
          <w:numId w:val="297"/>
        </w:numPr>
        <w:rPr>
          <w:rFonts w:ascii="Arial" w:cs="Arial" w:eastAsia="Arial" w:hAnsi="Arial"/>
          <w:sz w:val="18"/>
          <w:szCs w:val="18"/>
          <w:b w:val="1"/>
          <w:bCs w:val="1"/>
          <w:color w:val="auto"/>
        </w:rPr>
      </w:pPr>
      <w:r>
        <w:rPr>
          <w:rFonts w:ascii="Arial" w:cs="Arial" w:eastAsia="Arial" w:hAnsi="Arial"/>
          <w:sz w:val="18"/>
          <w:szCs w:val="18"/>
          <w:color w:val="auto"/>
        </w:rPr>
        <w:t>Stanford’s Office of Technology Licensing, to the best of its knowledge as of the Effective Date, is not aware of any other patent applications controlled by Stanford and filed as of the Effective Date or any invention disclosure documents submitted to Stanford’s Office of Technology Licensing on or before the Effective Date that are believed to be infringed by the practice of the Licensed Patents to make, have made, use, import and sell Licensed Products for use in the Licensed Field of Use.</w:t>
      </w:r>
    </w:p>
    <w:p>
      <w:pPr>
        <w:spacing w:after="0" w:line="187" w:lineRule="exact"/>
        <w:rPr>
          <w:sz w:val="20"/>
          <w:szCs w:val="20"/>
          <w:color w:val="auto"/>
        </w:rPr>
      </w:pPr>
    </w:p>
    <w:p>
      <w:pPr>
        <w:ind w:left="1244" w:hanging="253"/>
        <w:spacing w:after="0"/>
        <w:tabs>
          <w:tab w:leader="none" w:pos="1244"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Stanford does not:</w:t>
      </w:r>
    </w:p>
    <w:p>
      <w:pPr>
        <w:spacing w:after="0" w:line="117" w:lineRule="exact"/>
        <w:rPr>
          <w:sz w:val="20"/>
          <w:szCs w:val="20"/>
          <w:color w:val="auto"/>
        </w:rPr>
      </w:pPr>
    </w:p>
    <w:p>
      <w:pPr>
        <w:jc w:val="both"/>
        <w:ind w:left="984" w:right="60" w:firstLine="7"/>
        <w:spacing w:after="0" w:line="263" w:lineRule="auto"/>
        <w:tabs>
          <w:tab w:leader="none" w:pos="1279" w:val="left"/>
        </w:tabs>
        <w:numPr>
          <w:ilvl w:val="1"/>
          <w:numId w:val="299"/>
        </w:numPr>
        <w:rPr>
          <w:rFonts w:ascii="Arial" w:cs="Arial" w:eastAsia="Arial" w:hAnsi="Arial"/>
          <w:sz w:val="18"/>
          <w:szCs w:val="18"/>
          <w:color w:val="auto"/>
        </w:rPr>
      </w:pPr>
      <w:r>
        <w:rPr>
          <w:rFonts w:ascii="Arial" w:cs="Arial" w:eastAsia="Arial" w:hAnsi="Arial"/>
          <w:sz w:val="18"/>
          <w:szCs w:val="18"/>
          <w:color w:val="auto"/>
        </w:rPr>
        <w:t>grant to Alexo any other licenses, implied or otherwise, to any patents or other rights of Stanford other than those rights granted under Licensed Patents and Nonexclusive Licensed Patents, regardless of whether the patents or other rights are dominant or subordinate to any Licensed Patents, or are required to exploit any Licensed Patents;</w:t>
      </w:r>
    </w:p>
    <w:p>
      <w:pPr>
        <w:spacing w:after="0" w:line="75" w:lineRule="exact"/>
        <w:rPr>
          <w:rFonts w:ascii="Arial" w:cs="Arial" w:eastAsia="Arial" w:hAnsi="Arial"/>
          <w:sz w:val="18"/>
          <w:szCs w:val="18"/>
          <w:color w:val="auto"/>
        </w:rPr>
      </w:pPr>
    </w:p>
    <w:p>
      <w:pPr>
        <w:ind w:left="1284" w:hanging="293"/>
        <w:spacing w:after="0"/>
        <w:tabs>
          <w:tab w:leader="none" w:pos="1284" w:val="left"/>
        </w:tabs>
        <w:numPr>
          <w:ilvl w:val="1"/>
          <w:numId w:val="299"/>
        </w:numPr>
        <w:rPr>
          <w:rFonts w:ascii="Arial" w:cs="Arial" w:eastAsia="Arial" w:hAnsi="Arial"/>
          <w:sz w:val="18"/>
          <w:szCs w:val="18"/>
          <w:color w:val="auto"/>
        </w:rPr>
      </w:pPr>
      <w:r>
        <w:rPr>
          <w:rFonts w:ascii="Arial" w:cs="Arial" w:eastAsia="Arial" w:hAnsi="Arial"/>
          <w:sz w:val="18"/>
          <w:szCs w:val="18"/>
          <w:color w:val="auto"/>
        </w:rPr>
        <w:t>commit to Alexo to bring suit against third parties for infringement, except as described in Article 14; and</w:t>
      </w:r>
    </w:p>
    <w:p>
      <w:pPr>
        <w:spacing w:after="0" w:line="117" w:lineRule="exact"/>
        <w:rPr>
          <w:rFonts w:ascii="Arial" w:cs="Arial" w:eastAsia="Arial" w:hAnsi="Arial"/>
          <w:sz w:val="18"/>
          <w:szCs w:val="18"/>
          <w:color w:val="auto"/>
        </w:rPr>
      </w:pPr>
    </w:p>
    <w:p>
      <w:pPr>
        <w:ind w:left="1284" w:hanging="293"/>
        <w:spacing w:after="0"/>
        <w:tabs>
          <w:tab w:leader="none" w:pos="1284"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agree to furnish to Alexo any technology or technological information or to provide Alexo with any assistance.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SUBLICENSING</w:t>
      </w:r>
    </w:p>
    <w:p>
      <w:pPr>
        <w:spacing w:after="0" w:line="130" w:lineRule="exact"/>
        <w:rPr>
          <w:rFonts w:ascii="Arial" w:cs="Arial" w:eastAsia="Arial" w:hAnsi="Arial"/>
          <w:sz w:val="18"/>
          <w:szCs w:val="18"/>
          <w:b w:val="1"/>
          <w:bCs w:val="1"/>
          <w:color w:val="auto"/>
        </w:rPr>
      </w:pPr>
    </w:p>
    <w:p>
      <w:pPr>
        <w:ind w:left="964" w:hanging="5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 xml:space="preserve">4.1 </w:t>
      </w:r>
      <w:r>
        <w:rPr>
          <w:rFonts w:ascii="Arial" w:cs="Arial" w:eastAsia="Arial" w:hAnsi="Arial"/>
          <w:sz w:val="17"/>
          <w:szCs w:val="17"/>
          <w:b w:val="1"/>
          <w:bCs w:val="1"/>
          <w:color w:val="auto"/>
        </w:rPr>
        <w:t>Permitted Sublicensing.</w:t>
      </w:r>
      <w:r>
        <w:rPr>
          <w:rFonts w:ascii="Arial" w:cs="Arial" w:eastAsia="Arial" w:hAnsi="Arial"/>
          <w:sz w:val="17"/>
          <w:szCs w:val="17"/>
          <w:color w:val="auto"/>
        </w:rPr>
        <w:t xml:space="preserve"> Alexo may grant Sublicenses in the Licensed Field of Use only and only if Alexo is developing or selling Licensed Products. Sublicenses with any exclusivity must include diligence requirements commensurate with the diligence requirements of Appendix A. Stanford agrees that Alexo may apportion without discrimination between Alexo patents and the Licensed Patents and Nonexclusive Licensed Patents a commercially reasonable percentage of sublicensing payments made to Stanford pursuant to Section 4.6, provided however that Alexo provides Stanford with the proposed apportionment and justification prior Alexo’s payment pursuant to Section 8.1. Stanford and Alexo agree to meet to discuss such proposed apportionment if in Stanford’s opinion the apportionment does not reasonably reflect the value of the Licensed Patents.</w:t>
      </w:r>
    </w:p>
    <w:p>
      <w:pPr>
        <w:spacing w:after="0" w:line="108" w:lineRule="exact"/>
        <w:rPr>
          <w:sz w:val="20"/>
          <w:szCs w:val="20"/>
          <w:color w:val="auto"/>
        </w:rPr>
      </w:pPr>
    </w:p>
    <w:p>
      <w:pPr>
        <w:ind w:left="424" w:right="260" w:hanging="424"/>
        <w:spacing w:after="0" w:line="277" w:lineRule="auto"/>
        <w:tabs>
          <w:tab w:leader="none" w:pos="42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004"/>
          </w:cols>
          <w:pgMar w:left="436" w:top="270" w:right="459" w:bottom="1440" w:gutter="0" w:footer="0" w:header="0"/>
        </w:sectPr>
      </w:pPr>
    </w:p>
    <w:bookmarkStart w:id="397" w:name="page398"/>
    <w:bookmarkEnd w:id="397"/>
    <w:p>
      <w:pPr>
        <w:ind w:left="964" w:hanging="539"/>
        <w:spacing w:after="0" w:line="272"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4.2</w:t>
      </w:r>
      <w:r>
        <w:rPr>
          <w:sz w:val="20"/>
          <w:szCs w:val="20"/>
          <w:color w:val="auto"/>
        </w:rPr>
        <w:tab/>
      </w:r>
      <w:r>
        <w:rPr>
          <w:rFonts w:ascii="Arial" w:cs="Arial" w:eastAsia="Arial" w:hAnsi="Arial"/>
          <w:sz w:val="17"/>
          <w:szCs w:val="17"/>
          <w:b w:val="1"/>
          <w:bCs w:val="1"/>
          <w:color w:val="auto"/>
        </w:rPr>
        <w:t xml:space="preserve">Required Sublicensing. </w:t>
      </w:r>
      <w:r>
        <w:rPr>
          <w:rFonts w:ascii="Arial" w:cs="Arial" w:eastAsia="Arial" w:hAnsi="Arial"/>
          <w:sz w:val="17"/>
          <w:szCs w:val="17"/>
          <w:color w:val="auto"/>
        </w:rPr>
        <w:t>If Alexo is not developing or commercializing Licensed Product with respect to an indication or a geography for</w:t>
      </w:r>
      <w:r>
        <w:rPr>
          <w:rFonts w:ascii="Arial" w:cs="Arial" w:eastAsia="Arial" w:hAnsi="Arial"/>
          <w:sz w:val="17"/>
          <w:szCs w:val="17"/>
          <w:b w:val="1"/>
          <w:bCs w:val="1"/>
          <w:color w:val="auto"/>
        </w:rPr>
        <w:t xml:space="preserve"> </w:t>
      </w:r>
      <w:r>
        <w:rPr>
          <w:rFonts w:ascii="Arial" w:cs="Arial" w:eastAsia="Arial" w:hAnsi="Arial"/>
          <w:sz w:val="17"/>
          <w:szCs w:val="17"/>
          <w:color w:val="auto"/>
        </w:rPr>
        <w:t>which there is a company willing to be a sublicensee, Alexo will, at Stanford’s request, negotiate in good faith a Sublicense with any such sublicensee for such indication or geography. Stanford would like licensees to address unmet needs, such as those of neglected patient populations or geographic areas, giving particular attention to improved therapeutics, diagnostics and agricultural technologies for the developing world. As an alternative to negotiating a Sublicense to a third party, Alexo (or one of its Affiliates or sublicensees) may submit to Stanford, within [***] after such third party’s request for a sublicense, a plan for prompt and diligent development of a Licensed Product for the applicable indication or market. If Stanford approves this plan, such approval not to be unreasonably withheld, no third-party sublicense shall be required pursuant to this Section 4.2.</w:t>
      </w:r>
    </w:p>
    <w:p>
      <w:pPr>
        <w:spacing w:after="0" w:line="203"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Sublicense Requirements. Any Sublicense:</w:t>
      </w:r>
    </w:p>
    <w:p>
      <w:pPr>
        <w:spacing w:after="0" w:line="131" w:lineRule="exact"/>
        <w:rPr>
          <w:sz w:val="20"/>
          <w:szCs w:val="20"/>
          <w:color w:val="auto"/>
        </w:rPr>
      </w:pPr>
    </w:p>
    <w:p>
      <w:pPr>
        <w:ind w:left="1424" w:hanging="439"/>
        <w:spacing w:after="0"/>
        <w:tabs>
          <w:tab w:leader="none" w:pos="1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is subject to this Agreement;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will reflect that any sublicensee will not further sublicense;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will prohibit sublicensee from paying royalties to an escrow or other similar account;</w:t>
      </w:r>
    </w:p>
    <w:p>
      <w:pPr>
        <w:spacing w:after="0" w:line="130" w:lineRule="exact"/>
        <w:rPr>
          <w:rFonts w:ascii="Arial" w:cs="Arial" w:eastAsia="Arial" w:hAnsi="Arial"/>
          <w:sz w:val="18"/>
          <w:szCs w:val="18"/>
          <w:color w:val="auto"/>
        </w:rPr>
      </w:pPr>
    </w:p>
    <w:p>
      <w:pPr>
        <w:ind w:left="1424" w:right="800" w:hanging="439"/>
        <w:spacing w:after="0" w:line="277" w:lineRule="auto"/>
        <w:tabs>
          <w:tab w:leader="none" w:pos="1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will expressly include the provisions of Articles 8, 9, 10, 13, and Section 19.6 for the benefit of Stanford and/or HHMI, as applicable; and</w:t>
      </w:r>
    </w:p>
    <w:p>
      <w:pPr>
        <w:spacing w:after="0" w:line="75" w:lineRule="exact"/>
        <w:rPr>
          <w:rFonts w:ascii="Arial" w:cs="Arial" w:eastAsia="Arial" w:hAnsi="Arial"/>
          <w:sz w:val="18"/>
          <w:szCs w:val="18"/>
          <w:color w:val="auto"/>
        </w:rPr>
      </w:pPr>
    </w:p>
    <w:p>
      <w:pPr>
        <w:ind w:left="1424" w:right="20" w:hanging="439"/>
        <w:spacing w:after="0" w:line="259" w:lineRule="auto"/>
        <w:tabs>
          <w:tab w:leader="none" w:pos="1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will include the provisions of Section 4.4 and require the transfer of all the sublicensee’s obligations to Alexo, including the payment of royalties specified in the Sublicense, to Stanford or its designee, if this Agreement is terminated. If the sublicensee is a spin-out from Alexo, Alexo must guarantee the sublicensee’s performance with respect to the payment of Stanford’s share of Sublicense royalties.</w:t>
      </w:r>
    </w:p>
    <w:p>
      <w:pPr>
        <w:spacing w:after="0" w:line="210"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color w:val="auto"/>
        </w:rPr>
        <w:t xml:space="preserve">Litigation by Sublicensee. </w:t>
      </w:r>
      <w:r>
        <w:rPr>
          <w:rFonts w:ascii="Arial" w:cs="Arial" w:eastAsia="Arial" w:hAnsi="Arial"/>
          <w:sz w:val="16"/>
          <w:szCs w:val="16"/>
          <w:color w:val="auto"/>
        </w:rPr>
        <w:t>Any Sublicense must include the following clauses:</w:t>
      </w:r>
    </w:p>
    <w:p>
      <w:pPr>
        <w:spacing w:after="0" w:line="135" w:lineRule="exact"/>
        <w:rPr>
          <w:sz w:val="20"/>
          <w:szCs w:val="20"/>
          <w:color w:val="auto"/>
        </w:rPr>
      </w:pPr>
    </w:p>
    <w:p>
      <w:pPr>
        <w:ind w:left="1424" w:hanging="439"/>
        <w:spacing w:after="0"/>
        <w:tabs>
          <w:tab w:leader="none" w:pos="142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In the event sublicensee brings an action seeking to invalidate any Licensed Patent:</w:t>
      </w:r>
    </w:p>
    <w:p>
      <w:pPr>
        <w:spacing w:after="0" w:line="130" w:lineRule="exact"/>
        <w:rPr>
          <w:rFonts w:ascii="Arial" w:cs="Arial" w:eastAsia="Arial" w:hAnsi="Arial"/>
          <w:sz w:val="18"/>
          <w:szCs w:val="18"/>
          <w:color w:val="auto"/>
        </w:rPr>
      </w:pPr>
    </w:p>
    <w:p>
      <w:pPr>
        <w:ind w:left="1964" w:right="140" w:hanging="533"/>
        <w:spacing w:after="0" w:line="342" w:lineRule="auto"/>
        <w:tabs>
          <w:tab w:leader="none" w:pos="1964" w:val="left"/>
        </w:tabs>
        <w:numPr>
          <w:ilvl w:val="2"/>
          <w:numId w:val="303"/>
        </w:numPr>
        <w:rPr>
          <w:rFonts w:ascii="Arial" w:cs="Arial" w:eastAsia="Arial" w:hAnsi="Arial"/>
          <w:sz w:val="16"/>
          <w:szCs w:val="16"/>
          <w:color w:val="auto"/>
        </w:rPr>
      </w:pPr>
      <w:r>
        <w:rPr>
          <w:rFonts w:ascii="Arial" w:cs="Arial" w:eastAsia="Arial" w:hAnsi="Arial"/>
          <w:sz w:val="16"/>
          <w:szCs w:val="16"/>
          <w:color w:val="auto"/>
        </w:rPr>
        <w:t>sublicensee will [***] during the pendency of such action. Moreover, should the outcome of such action determine that any claim of a patent challenged by the sublicensee is both valid and infringed by a Licensed Product, sublicensee will [***];</w:t>
      </w:r>
    </w:p>
    <w:p>
      <w:pPr>
        <w:spacing w:after="0" w:line="29" w:lineRule="exact"/>
        <w:rPr>
          <w:rFonts w:ascii="Arial" w:cs="Arial" w:eastAsia="Arial" w:hAnsi="Arial"/>
          <w:sz w:val="16"/>
          <w:szCs w:val="16"/>
          <w:color w:val="auto"/>
        </w:rPr>
      </w:pPr>
    </w:p>
    <w:p>
      <w:pPr>
        <w:ind w:left="1964" w:hanging="533"/>
        <w:spacing w:after="0"/>
        <w:tabs>
          <w:tab w:leader="none" w:pos="1964" w:val="left"/>
        </w:tabs>
        <w:numPr>
          <w:ilvl w:val="2"/>
          <w:numId w:val="303"/>
        </w:numPr>
        <w:rPr>
          <w:rFonts w:ascii="Arial" w:cs="Arial" w:eastAsia="Arial" w:hAnsi="Arial"/>
          <w:sz w:val="18"/>
          <w:szCs w:val="18"/>
          <w:color w:val="auto"/>
        </w:rPr>
      </w:pPr>
      <w:r>
        <w:rPr>
          <w:rFonts w:ascii="Arial" w:cs="Arial" w:eastAsia="Arial" w:hAnsi="Arial"/>
          <w:sz w:val="18"/>
          <w:szCs w:val="18"/>
          <w:color w:val="auto"/>
        </w:rPr>
        <w:t>sublicensee will [***] during the period challenge;</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303"/>
        </w:numPr>
        <w:rPr>
          <w:rFonts w:ascii="Arial" w:cs="Arial" w:eastAsia="Arial" w:hAnsi="Arial"/>
          <w:sz w:val="18"/>
          <w:szCs w:val="18"/>
          <w:color w:val="auto"/>
        </w:rPr>
      </w:pPr>
      <w:r>
        <w:rPr>
          <w:rFonts w:ascii="Arial" w:cs="Arial" w:eastAsia="Arial" w:hAnsi="Arial"/>
          <w:sz w:val="18"/>
          <w:szCs w:val="18"/>
          <w:color w:val="auto"/>
        </w:rPr>
        <w:t>any dispute regarding the validity of any Licensed Patent shall be [***], and the parties agree [***]; and</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303"/>
        </w:numPr>
        <w:rPr>
          <w:rFonts w:ascii="Arial" w:cs="Arial" w:eastAsia="Arial" w:hAnsi="Arial"/>
          <w:sz w:val="18"/>
          <w:szCs w:val="18"/>
          <w:color w:val="auto"/>
        </w:rPr>
      </w:pPr>
      <w:r>
        <w:rPr>
          <w:rFonts w:ascii="Arial" w:cs="Arial" w:eastAsia="Arial" w:hAnsi="Arial"/>
          <w:sz w:val="18"/>
          <w:szCs w:val="18"/>
          <w:color w:val="auto"/>
        </w:rPr>
        <w:t>sublicensee shall [***].</w:t>
      </w:r>
    </w:p>
    <w:p>
      <w:pPr>
        <w:spacing w:after="0" w:line="157" w:lineRule="exact"/>
        <w:rPr>
          <w:rFonts w:ascii="Arial" w:cs="Arial" w:eastAsia="Arial" w:hAnsi="Arial"/>
          <w:sz w:val="18"/>
          <w:szCs w:val="18"/>
          <w:color w:val="auto"/>
        </w:rPr>
      </w:pPr>
    </w:p>
    <w:p>
      <w:pPr>
        <w:ind w:left="424" w:right="260" w:hanging="424"/>
        <w:spacing w:after="0" w:line="277" w:lineRule="auto"/>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004"/>
          </w:cols>
          <w:pgMar w:left="436" w:top="270" w:right="459" w:bottom="1440" w:gutter="0" w:footer="0" w:header="0"/>
        </w:sectPr>
      </w:pPr>
    </w:p>
    <w:bookmarkStart w:id="398" w:name="page399"/>
    <w:bookmarkEnd w:id="398"/>
    <w:p>
      <w:pPr>
        <w:ind w:left="1424" w:right="80" w:hanging="439"/>
        <w:spacing w:after="0" w:line="277" w:lineRule="auto"/>
        <w:tabs>
          <w:tab w:leader="none" w:pos="1424" w:val="left"/>
        </w:tabs>
        <w:numPr>
          <w:ilvl w:val="0"/>
          <w:numId w:val="3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Sublicensee will provide written notice to Stanford at least [***] prior to bringing an action seeking to invalidate a Licensed Patent. Sublicensee will include with such written notice [***].</w:t>
      </w:r>
    </w:p>
    <w:p>
      <w:pPr>
        <w:spacing w:after="0" w:line="193" w:lineRule="exact"/>
        <w:rPr>
          <w:sz w:val="20"/>
          <w:szCs w:val="20"/>
          <w:color w:val="auto"/>
        </w:rPr>
      </w:pPr>
    </w:p>
    <w:p>
      <w:pPr>
        <w:ind w:left="964" w:right="120" w:hanging="539"/>
        <w:spacing w:after="0" w:line="266" w:lineRule="auto"/>
        <w:tabs>
          <w:tab w:leader="none" w:pos="944"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b w:val="1"/>
          <w:bCs w:val="1"/>
          <w:color w:val="auto"/>
        </w:rPr>
        <w:t xml:space="preserve">Copy of Sublicenses and Sublicensee Royalty Reports. </w:t>
      </w:r>
      <w:r>
        <w:rPr>
          <w:rFonts w:ascii="Arial" w:cs="Arial" w:eastAsia="Arial" w:hAnsi="Arial"/>
          <w:sz w:val="18"/>
          <w:szCs w:val="18"/>
          <w:color w:val="auto"/>
        </w:rPr>
        <w:t>Alexo will submit to Stanford a copy of each Sublicense, any subsequent</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and all copies of sublicensees’ royalty reports. Beginning with the first Sublicense, the Chief Financial Officer or equivalent will certify annually regarding the name and number of sublicensees.</w:t>
      </w:r>
    </w:p>
    <w:p>
      <w:pPr>
        <w:spacing w:after="0" w:line="203"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color w:val="auto"/>
        </w:rPr>
        <w:t xml:space="preserve">Sharing of Sublicensing Income. </w:t>
      </w:r>
      <w:r>
        <w:rPr>
          <w:rFonts w:ascii="Arial" w:cs="Arial" w:eastAsia="Arial" w:hAnsi="Arial"/>
          <w:sz w:val="16"/>
          <w:szCs w:val="16"/>
          <w:color w:val="auto"/>
        </w:rPr>
        <w:t>Alexo will pay to Stanford a portion of all Nonroyalty Sublicensing Consideration for the Sublicense of</w:t>
      </w:r>
    </w:p>
    <w:p>
      <w:pPr>
        <w:spacing w:after="0" w:line="27" w:lineRule="exact"/>
        <w:rPr>
          <w:sz w:val="20"/>
          <w:szCs w:val="20"/>
          <w:color w:val="auto"/>
        </w:rPr>
      </w:pPr>
    </w:p>
    <w:p>
      <w:pPr>
        <w:ind w:left="964"/>
        <w:spacing w:after="0"/>
        <w:rPr>
          <w:sz w:val="20"/>
          <w:szCs w:val="20"/>
          <w:color w:val="auto"/>
        </w:rPr>
      </w:pPr>
      <w:r>
        <w:rPr>
          <w:rFonts w:ascii="Arial" w:cs="Arial" w:eastAsia="Arial" w:hAnsi="Arial"/>
          <w:sz w:val="18"/>
          <w:szCs w:val="18"/>
          <w:color w:val="auto"/>
        </w:rPr>
        <w:t>Licensed Patents, as provided below:</w:t>
      </w:r>
    </w:p>
    <w:p>
      <w:pPr>
        <w:spacing w:after="0" w:line="116" w:lineRule="exact"/>
        <w:rPr>
          <w:sz w:val="20"/>
          <w:szCs w:val="20"/>
          <w:color w:val="auto"/>
        </w:rPr>
      </w:pPr>
    </w:p>
    <w:p>
      <w:pPr>
        <w:ind w:left="1424" w:right="420" w:hanging="439"/>
        <w:spacing w:after="0" w:line="277" w:lineRule="auto"/>
        <w:tabs>
          <w:tab w:leader="none" w:pos="142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percentage payable to Stanford shall be (i) [***]% if the Sublicense is signed [***]; (ii) [***]% if the Sublicense is signed [***]; and (iii) [***]% if the Sublicense is signed [***].</w:t>
      </w:r>
    </w:p>
    <w:p>
      <w:pPr>
        <w:spacing w:after="0" w:line="193" w:lineRule="exact"/>
        <w:rPr>
          <w:sz w:val="20"/>
          <w:szCs w:val="20"/>
          <w:color w:val="auto"/>
        </w:rPr>
      </w:pPr>
    </w:p>
    <w:p>
      <w:pPr>
        <w:ind w:left="964" w:right="80" w:hanging="539"/>
        <w:spacing w:after="0" w:line="281" w:lineRule="auto"/>
        <w:tabs>
          <w:tab w:leader="none" w:pos="944"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b w:val="1"/>
          <w:bCs w:val="1"/>
          <w:color w:val="auto"/>
        </w:rPr>
        <w:t xml:space="preserve">Royalty-Free Sublicenses. </w:t>
      </w:r>
      <w:r>
        <w:rPr>
          <w:rFonts w:ascii="Arial" w:cs="Arial" w:eastAsia="Arial" w:hAnsi="Arial"/>
          <w:sz w:val="17"/>
          <w:szCs w:val="17"/>
          <w:color w:val="auto"/>
        </w:rPr>
        <w:t>Subject to Section 7.10(c) (concerning instances where Alexo may as part of an infringement or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infringement dispute in which it believes it may be subject to infringement proceedings elect to as part of the resolution of such matter to enter into a royalty-free cross-licensing arrangement with a third party) and Section 14.7(C), if Alexo pays all royalties due Stanford from a sublicensee’s Net Sales, Alexo may grant that sublicensee a royalty-free or non-cash:</w:t>
      </w:r>
    </w:p>
    <w:p>
      <w:pPr>
        <w:spacing w:after="0" w:line="74" w:lineRule="exact"/>
        <w:rPr>
          <w:sz w:val="20"/>
          <w:szCs w:val="20"/>
          <w:color w:val="auto"/>
        </w:rPr>
      </w:pPr>
    </w:p>
    <w:p>
      <w:pPr>
        <w:ind w:left="1424" w:hanging="439"/>
        <w:spacing w:after="0"/>
        <w:tabs>
          <w:tab w:leader="none" w:pos="1424" w:val="left"/>
        </w:tabs>
        <w:numPr>
          <w:ilvl w:val="1"/>
          <w:numId w:val="306"/>
        </w:numPr>
        <w:rPr>
          <w:rFonts w:ascii="Arial" w:cs="Arial" w:eastAsia="Arial" w:hAnsi="Arial"/>
          <w:sz w:val="18"/>
          <w:szCs w:val="18"/>
          <w:color w:val="auto"/>
        </w:rPr>
      </w:pPr>
      <w:r>
        <w:rPr>
          <w:rFonts w:ascii="Arial" w:cs="Arial" w:eastAsia="Arial" w:hAnsi="Arial"/>
          <w:sz w:val="18"/>
          <w:szCs w:val="18"/>
          <w:color w:val="auto"/>
        </w:rPr>
        <w:t>Sublicense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306"/>
        </w:numPr>
        <w:rPr>
          <w:rFonts w:ascii="Arial" w:cs="Arial" w:eastAsia="Arial" w:hAnsi="Arial"/>
          <w:sz w:val="18"/>
          <w:szCs w:val="18"/>
          <w:color w:val="auto"/>
        </w:rPr>
      </w:pPr>
      <w:r>
        <w:rPr>
          <w:rFonts w:ascii="Arial" w:cs="Arial" w:eastAsia="Arial" w:hAnsi="Arial"/>
          <w:sz w:val="18"/>
          <w:szCs w:val="18"/>
          <w:color w:val="auto"/>
        </w:rPr>
        <w:t>cross-license.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RIGHTS</w:t>
      </w:r>
    </w:p>
    <w:p>
      <w:pPr>
        <w:spacing w:after="0" w:line="121" w:lineRule="exact"/>
        <w:rPr>
          <w:rFonts w:ascii="Arial" w:cs="Arial" w:eastAsia="Arial" w:hAnsi="Arial"/>
          <w:sz w:val="18"/>
          <w:szCs w:val="18"/>
          <w:b w:val="1"/>
          <w:bCs w:val="1"/>
          <w:color w:val="auto"/>
        </w:rPr>
      </w:pPr>
    </w:p>
    <w:p>
      <w:pPr>
        <w:ind w:left="444" w:right="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This Agreement is subject to Title 35 Sections 200-204 of the United States Code. Among other things, these provisions provide the United States Government with nonexclusive rights in the Licensed Patent. They also impose the obligation that Licensed Product sold or produced in the United States be “manufactured substantially in the United States.” Alexo will ensure all obligations of these provisions are met.</w:t>
      </w:r>
    </w:p>
    <w:p>
      <w:pPr>
        <w:spacing w:after="0" w:line="293" w:lineRule="exact"/>
        <w:rPr>
          <w:rFonts w:ascii="Arial" w:cs="Arial" w:eastAsia="Arial" w:hAnsi="Arial"/>
          <w:sz w:val="18"/>
          <w:szCs w:val="18"/>
          <w:b w:val="1"/>
          <w:bCs w:val="1"/>
          <w:color w:val="auto"/>
        </w:rPr>
      </w:pPr>
    </w:p>
    <w:p>
      <w:pPr>
        <w:ind w:left="424" w:hanging="424"/>
        <w:spacing w:after="0"/>
        <w:tabs>
          <w:tab w:leader="none" w:pos="424"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DILIGENCE</w:t>
      </w:r>
    </w:p>
    <w:p>
      <w:pPr>
        <w:spacing w:after="0" w:line="130" w:lineRule="exact"/>
        <w:rPr>
          <w:rFonts w:ascii="Arial" w:cs="Arial" w:eastAsia="Arial" w:hAnsi="Arial"/>
          <w:sz w:val="18"/>
          <w:szCs w:val="18"/>
          <w:b w:val="1"/>
          <w:bCs w:val="1"/>
          <w:color w:val="auto"/>
        </w:rPr>
      </w:pPr>
    </w:p>
    <w:p>
      <w:pPr>
        <w:ind w:left="964" w:hanging="5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Milestones.</w:t>
      </w:r>
      <w:r>
        <w:rPr>
          <w:rFonts w:ascii="Arial" w:cs="Arial" w:eastAsia="Arial" w:hAnsi="Arial"/>
          <w:sz w:val="18"/>
          <w:szCs w:val="18"/>
          <w:color w:val="auto"/>
        </w:rPr>
        <w:t xml:space="preserve"> Alexo will use commercially reasonable efforts to develop, commercialize, market and sell Licensed Products, in a manner consistent with the efforts normally used by similarly situated biotechnology companies with respect to a product to which such companies hold similar rights which is of similar market potential at a similar stage in the development or life of such product, taking into account issues of safety, efficacy, product profile, the competitiveness of the marketplace, the proprietary position of the product, the regulatory structure involved, profitability of the product and other relevant commercial factors. Stanford shall have the right to terminate the License Agreement if Alexo shall fail to apply such “commercially reasonable efforts” to develop, commercialize, market and sell Licensed Products. A determination of Alexo’s satisfaction of its diligence obligations shall be made with reference to the milestones set forth in Appendix A.</w:t>
      </w:r>
    </w:p>
    <w:p>
      <w:pPr>
        <w:spacing w:after="0" w:line="128" w:lineRule="exact"/>
        <w:rPr>
          <w:sz w:val="20"/>
          <w:szCs w:val="20"/>
          <w:color w:val="auto"/>
        </w:rPr>
      </w:pPr>
    </w:p>
    <w:p>
      <w:pPr>
        <w:ind w:left="424" w:right="240" w:hanging="424"/>
        <w:spacing w:after="0" w:line="277" w:lineRule="auto"/>
        <w:tabs>
          <w:tab w:leader="none" w:pos="42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0984"/>
          </w:cols>
          <w:pgMar w:left="436" w:top="274" w:right="479" w:bottom="1440" w:gutter="0" w:footer="0" w:header="0"/>
        </w:sectPr>
      </w:pPr>
    </w:p>
    <w:bookmarkStart w:id="399" w:name="page400"/>
    <w:bookmarkEnd w:id="399"/>
    <w:p>
      <w:pPr>
        <w:ind w:left="964" w:right="80" w:hanging="539"/>
        <w:spacing w:after="0" w:line="255"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6.2</w:t>
      </w:r>
      <w:r>
        <w:rPr>
          <w:sz w:val="20"/>
          <w:szCs w:val="20"/>
          <w:color w:val="auto"/>
        </w:rPr>
        <w:tab/>
      </w:r>
      <w:r>
        <w:rPr>
          <w:rFonts w:ascii="Arial" w:cs="Arial" w:eastAsia="Arial" w:hAnsi="Arial"/>
          <w:sz w:val="18"/>
          <w:szCs w:val="18"/>
          <w:b w:val="1"/>
          <w:bCs w:val="1"/>
          <w:color w:val="auto"/>
        </w:rPr>
        <w:t xml:space="preserve">Progress Report. </w:t>
      </w:r>
      <w:r>
        <w:rPr>
          <w:rFonts w:ascii="Arial" w:cs="Arial" w:eastAsia="Arial" w:hAnsi="Arial"/>
          <w:sz w:val="18"/>
          <w:szCs w:val="18"/>
          <w:color w:val="auto"/>
        </w:rPr>
        <w:t>By [***] of each year, Alexo will submit a written annual report to Stanford covering the preceding calendar year. The</w:t>
      </w:r>
      <w:r>
        <w:rPr>
          <w:rFonts w:ascii="Arial" w:cs="Arial" w:eastAsia="Arial" w:hAnsi="Arial"/>
          <w:sz w:val="18"/>
          <w:szCs w:val="18"/>
          <w:b w:val="1"/>
          <w:bCs w:val="1"/>
          <w:color w:val="auto"/>
        </w:rPr>
        <w:t xml:space="preserve"> </w:t>
      </w:r>
      <w:r>
        <w:rPr>
          <w:rFonts w:ascii="Arial" w:cs="Arial" w:eastAsia="Arial" w:hAnsi="Arial"/>
          <w:sz w:val="18"/>
          <w:szCs w:val="18"/>
          <w:color w:val="auto"/>
        </w:rPr>
        <w:t>report will include information sufficient to enable Stanford to satisfy reporting requirements of the U.S. Government and for Stanford to ascertain progress by Alexo toward meeting this Agreement’s diligence requirements. Each report will describe, where relevant: Alexo’s progress toward commercialization of Licensed Product, including work completed, key scientific discoveries, summary of work-in-progress, current schedule of anticipated events or milestones, market plans for introduction of Licensed Product, and significant corporate transactions involving Licensed Product. Alexo will specifically describe how each Licensed Product is related to each Licensed Patent.</w:t>
      </w:r>
    </w:p>
    <w:p>
      <w:pPr>
        <w:spacing w:after="0" w:line="216"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 xml:space="preserve">Clinical Trial Notice. </w:t>
      </w:r>
      <w:r>
        <w:rPr>
          <w:rFonts w:ascii="Arial" w:cs="Arial" w:eastAsia="Arial" w:hAnsi="Arial"/>
          <w:sz w:val="16"/>
          <w:szCs w:val="16"/>
          <w:color w:val="auto"/>
        </w:rPr>
        <w:t>Alexo will notify Stanford prior to commencing any clinical trials at Stanford.</w:t>
      </w:r>
    </w:p>
    <w:p>
      <w:pPr>
        <w:spacing w:after="0" w:line="374" w:lineRule="exact"/>
        <w:rPr>
          <w:sz w:val="20"/>
          <w:szCs w:val="20"/>
          <w:color w:val="auto"/>
        </w:rPr>
      </w:pPr>
    </w:p>
    <w:p>
      <w:pPr>
        <w:ind w:left="424" w:hanging="424"/>
        <w:spacing w:after="0"/>
        <w:tabs>
          <w:tab w:leader="none" w:pos="424"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ROYALTIES</w:t>
      </w:r>
    </w:p>
    <w:p>
      <w:pPr>
        <w:spacing w:after="0" w:line="130" w:lineRule="exact"/>
        <w:rPr>
          <w:rFonts w:ascii="Arial" w:cs="Arial" w:eastAsia="Arial" w:hAnsi="Arial"/>
          <w:sz w:val="18"/>
          <w:szCs w:val="18"/>
          <w:b w:val="1"/>
          <w:bCs w:val="1"/>
          <w:color w:val="auto"/>
        </w:rPr>
      </w:pPr>
    </w:p>
    <w:p>
      <w:pPr>
        <w:ind w:left="964" w:right="80" w:hanging="5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Issue Royalty.</w:t>
      </w:r>
      <w:r>
        <w:rPr>
          <w:rFonts w:ascii="Arial" w:cs="Arial" w:eastAsia="Arial" w:hAnsi="Arial"/>
          <w:sz w:val="18"/>
          <w:szCs w:val="18"/>
          <w:color w:val="auto"/>
        </w:rPr>
        <w:t xml:space="preserve"> Alexo will pay to Stanford a non-creditable, nonrefundable license issue royalty of [***] within [***] days of the Effective Date.</w:t>
      </w:r>
    </w:p>
    <w:p>
      <w:pPr>
        <w:spacing w:after="0" w:line="188" w:lineRule="exact"/>
        <w:rPr>
          <w:rFonts w:ascii="Arial" w:cs="Arial" w:eastAsia="Arial" w:hAnsi="Arial"/>
          <w:sz w:val="18"/>
          <w:szCs w:val="18"/>
          <w:b w:val="1"/>
          <w:bCs w:val="1"/>
          <w:color w:val="auto"/>
        </w:rPr>
      </w:pPr>
    </w:p>
    <w:p>
      <w:pPr>
        <w:ind w:left="964" w:right="40" w:hanging="540"/>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auto"/>
        </w:rPr>
        <w:t>Equity Interest.</w:t>
      </w:r>
      <w:r>
        <w:rPr>
          <w:rFonts w:ascii="Arial" w:cs="Arial" w:eastAsia="Arial" w:hAnsi="Arial"/>
          <w:sz w:val="16"/>
          <w:szCs w:val="16"/>
          <w:color w:val="auto"/>
        </w:rPr>
        <w:t xml:space="preserve"> As further consideration, Alexo will cause Alexo Therapeutics Limited, a Private Irish Company Limited by Shares that is the sole shareholder of Alexo (“Parent”), to grant to Stanford [***] Ordinary Shares of stock in Parent. When issued, those shares will represent [***]% of the stock in Parent on a Fully Diluted Basis. Alexo agrees to provide Stanford with the capitalization table upon which the above calculation is made. All shares issued pursuant to this Section 7.2 and Section 7.3 shall be issued pursuant to a Stock Issuance Agreement between Parent and the recipient of the shares containing standard representations and warranties and other provisions with respect to the shares and the recipient’s qualifications under applicable securities laws to receive the shares. At that time, such Stock Issuance Agreement will provide share valuation information as needed in order for Stanford to issue 1099s to the inventors listed below.</w:t>
      </w:r>
    </w:p>
    <w:p>
      <w:pPr>
        <w:spacing w:after="0" w:line="5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Subject to compliance with applicable securities laws, Alexo will cause Parent to issue [***]% of all shares granted to Stanford pursuant to</w:t>
      </w:r>
    </w:p>
    <w:p>
      <w:pPr>
        <w:spacing w:after="0" w:line="4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Section 7.2 and Section 7.3 directly to and in the name of the inventors listed below allocated as stated below:</w:t>
      </w:r>
    </w:p>
    <w:p>
      <w:pPr>
        <w:spacing w:after="0" w:line="103" w:lineRule="exact"/>
        <w:rPr>
          <w:sz w:val="20"/>
          <w:szCs w:val="20"/>
          <w:color w:val="auto"/>
        </w:rPr>
      </w:pPr>
    </w:p>
    <w:p>
      <w:pPr>
        <w:ind w:left="1424" w:hanging="433"/>
        <w:spacing w:after="0"/>
        <w:tabs>
          <w:tab w:leader="none" w:pos="142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w:t>
      </w:r>
    </w:p>
    <w:p>
      <w:pPr>
        <w:spacing w:after="0" w:line="117" w:lineRule="exact"/>
        <w:rPr>
          <w:rFonts w:ascii="Arial" w:cs="Arial" w:eastAsia="Arial" w:hAnsi="Arial"/>
          <w:sz w:val="18"/>
          <w:szCs w:val="18"/>
          <w:color w:val="auto"/>
        </w:rPr>
      </w:pPr>
    </w:p>
    <w:p>
      <w:pPr>
        <w:ind w:left="1424" w:hanging="433"/>
        <w:spacing w:after="0"/>
        <w:tabs>
          <w:tab w:leader="none" w:pos="142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w:t>
      </w:r>
    </w:p>
    <w:p>
      <w:pPr>
        <w:spacing w:after="0" w:line="117" w:lineRule="exact"/>
        <w:rPr>
          <w:rFonts w:ascii="Arial" w:cs="Arial" w:eastAsia="Arial" w:hAnsi="Arial"/>
          <w:sz w:val="18"/>
          <w:szCs w:val="18"/>
          <w:color w:val="auto"/>
        </w:rPr>
      </w:pPr>
    </w:p>
    <w:p>
      <w:pPr>
        <w:ind w:left="1424" w:hanging="433"/>
        <w:spacing w:after="0"/>
        <w:tabs>
          <w:tab w:leader="none" w:pos="142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w:t>
      </w:r>
    </w:p>
    <w:p>
      <w:pPr>
        <w:spacing w:after="0" w:line="117" w:lineRule="exact"/>
        <w:rPr>
          <w:rFonts w:ascii="Arial" w:cs="Arial" w:eastAsia="Arial" w:hAnsi="Arial"/>
          <w:sz w:val="18"/>
          <w:szCs w:val="18"/>
          <w:color w:val="auto"/>
        </w:rPr>
      </w:pPr>
    </w:p>
    <w:p>
      <w:pPr>
        <w:ind w:left="1424" w:hanging="433"/>
        <w:spacing w:after="0"/>
        <w:tabs>
          <w:tab w:leader="none" w:pos="142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w:t>
      </w:r>
    </w:p>
    <w:p>
      <w:pPr>
        <w:spacing w:after="0" w:line="117" w:lineRule="exact"/>
        <w:rPr>
          <w:rFonts w:ascii="Arial" w:cs="Arial" w:eastAsia="Arial" w:hAnsi="Arial"/>
          <w:sz w:val="18"/>
          <w:szCs w:val="18"/>
          <w:color w:val="auto"/>
        </w:rPr>
      </w:pPr>
    </w:p>
    <w:p>
      <w:pPr>
        <w:ind w:left="1424" w:hanging="433"/>
        <w:spacing w:after="0"/>
        <w:tabs>
          <w:tab w:leader="none" w:pos="142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w:t>
      </w:r>
    </w:p>
    <w:p>
      <w:pPr>
        <w:spacing w:after="0" w:line="248" w:lineRule="exact"/>
        <w:rPr>
          <w:sz w:val="20"/>
          <w:szCs w:val="20"/>
          <w:color w:val="auto"/>
        </w:rPr>
      </w:pPr>
    </w:p>
    <w:p>
      <w:pPr>
        <w:ind w:left="964" w:right="200" w:hanging="539"/>
        <w:spacing w:after="0" w:line="282" w:lineRule="auto"/>
        <w:tabs>
          <w:tab w:leader="none" w:pos="94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b w:val="1"/>
          <w:bCs w:val="1"/>
          <w:color w:val="auto"/>
        </w:rPr>
        <w:t xml:space="preserve">Anti-Dilution Protection. </w:t>
      </w:r>
      <w:r>
        <w:rPr>
          <w:rFonts w:ascii="Arial" w:cs="Arial" w:eastAsia="Arial" w:hAnsi="Arial"/>
          <w:sz w:val="18"/>
          <w:szCs w:val="18"/>
          <w:color w:val="auto"/>
        </w:rPr>
        <w:t>Alexo will cause Parent, to issue Stanford, without further consideration, any additional shares of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class issued pursuant to Section 7.2 necessary</w:t>
      </w:r>
    </w:p>
    <w:p>
      <w:pPr>
        <w:spacing w:after="0" w:line="98" w:lineRule="exact"/>
        <w:rPr>
          <w:sz w:val="20"/>
          <w:szCs w:val="20"/>
          <w:color w:val="auto"/>
        </w:rPr>
      </w:pPr>
    </w:p>
    <w:p>
      <w:pPr>
        <w:ind w:left="424" w:right="280" w:hanging="424"/>
        <w:spacing w:after="0" w:line="277" w:lineRule="auto"/>
        <w:tabs>
          <w:tab w:leader="none" w:pos="42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024"/>
          </w:cols>
          <w:pgMar w:left="436" w:top="270" w:right="439" w:bottom="1440" w:gutter="0" w:footer="0" w:header="0"/>
        </w:sectPr>
      </w:pPr>
    </w:p>
    <w:bookmarkStart w:id="400" w:name="page401"/>
    <w:bookmarkEnd w:id="400"/>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ensure that the number of shares issued Stanford pursuant to Section 7.2 and this Section 7.3 does not represent less than [***]% of the</w:t>
      </w:r>
    </w:p>
    <w:p>
      <w:pPr>
        <w:spacing w:after="0" w:line="46" w:lineRule="exact"/>
        <w:rPr>
          <w:sz w:val="20"/>
          <w:szCs w:val="20"/>
          <w:color w:val="auto"/>
        </w:rPr>
      </w:pPr>
    </w:p>
    <w:p>
      <w:pPr>
        <w:ind w:left="984"/>
        <w:spacing w:after="0"/>
        <w:rPr>
          <w:sz w:val="20"/>
          <w:szCs w:val="20"/>
          <w:color w:val="auto"/>
        </w:rPr>
      </w:pPr>
      <w:r>
        <w:rPr>
          <w:rFonts w:ascii="Arial" w:cs="Arial" w:eastAsia="Arial" w:hAnsi="Arial"/>
          <w:sz w:val="17"/>
          <w:szCs w:val="17"/>
          <w:color w:val="auto"/>
        </w:rPr>
        <w:t>shares issued and outstanding on a Fully-Diluted Basis at any time through the completion of issuance of all shares to be issued in</w:t>
      </w:r>
    </w:p>
    <w:p>
      <w:pPr>
        <w:spacing w:after="0" w:line="2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connection with the First Round of bona fide equity investment in Parent from a single or group of investors which is both (i) at least</w:t>
      </w:r>
    </w:p>
    <w:p>
      <w:pPr>
        <w:spacing w:after="0" w:line="2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in size and (ii) involves the sale to outside investors of at least [***]% of the shares outstanding after such round on a Fully-Diluted</w:t>
      </w:r>
    </w:p>
    <w:p>
      <w:pPr>
        <w:spacing w:after="0" w:line="32" w:lineRule="exact"/>
        <w:rPr>
          <w:sz w:val="20"/>
          <w:szCs w:val="20"/>
          <w:color w:val="auto"/>
        </w:rPr>
      </w:pPr>
    </w:p>
    <w:p>
      <w:pPr>
        <w:ind w:left="984"/>
        <w:spacing w:after="0"/>
        <w:rPr>
          <w:sz w:val="20"/>
          <w:szCs w:val="20"/>
          <w:color w:val="auto"/>
        </w:rPr>
      </w:pPr>
      <w:r>
        <w:rPr>
          <w:rFonts w:ascii="Arial" w:cs="Arial" w:eastAsia="Arial" w:hAnsi="Arial"/>
          <w:sz w:val="16"/>
          <w:szCs w:val="16"/>
          <w:color w:val="auto"/>
        </w:rPr>
        <w:t>Basis at a price per share which, when applied to stock actually outstanding immediately after such round, implies a post-financing equity</w:t>
      </w:r>
    </w:p>
    <w:p>
      <w:pPr>
        <w:spacing w:after="0" w:line="32" w:lineRule="exact"/>
        <w:rPr>
          <w:sz w:val="20"/>
          <w:szCs w:val="20"/>
          <w:color w:val="auto"/>
        </w:rPr>
      </w:pPr>
    </w:p>
    <w:p>
      <w:pPr>
        <w:ind w:left="984"/>
        <w:spacing w:after="0"/>
        <w:rPr>
          <w:sz w:val="20"/>
          <w:szCs w:val="20"/>
          <w:color w:val="auto"/>
        </w:rPr>
      </w:pPr>
      <w:r>
        <w:rPr>
          <w:rFonts w:ascii="Arial" w:cs="Arial" w:eastAsia="Arial" w:hAnsi="Arial"/>
          <w:sz w:val="17"/>
          <w:szCs w:val="17"/>
          <w:color w:val="auto"/>
        </w:rPr>
        <w:t>valuation of Parent of at least $[***]. A “First Round” is a bona fide round of equity, warrant, option or convertible equity investment</w:t>
      </w:r>
    </w:p>
    <w:p>
      <w:pPr>
        <w:spacing w:after="0" w:line="2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which includes all the tranches prior to the completion of the financing. This right will expire upon the issuance of all shares to be issued</w:t>
      </w:r>
    </w:p>
    <w:p>
      <w:pPr>
        <w:spacing w:after="0" w:line="32" w:lineRule="exact"/>
        <w:rPr>
          <w:sz w:val="20"/>
          <w:szCs w:val="20"/>
          <w:color w:val="auto"/>
        </w:rPr>
      </w:pPr>
    </w:p>
    <w:p>
      <w:pPr>
        <w:ind w:left="984"/>
        <w:spacing w:after="0"/>
        <w:rPr>
          <w:sz w:val="20"/>
          <w:szCs w:val="20"/>
          <w:color w:val="auto"/>
        </w:rPr>
      </w:pPr>
      <w:r>
        <w:rPr>
          <w:rFonts w:ascii="Arial" w:cs="Arial" w:eastAsia="Arial" w:hAnsi="Arial"/>
          <w:sz w:val="16"/>
          <w:szCs w:val="16"/>
          <w:color w:val="auto"/>
        </w:rPr>
        <w:t>in connection with such First Round, but will apply to all shares to be issued in or in connection with such First Round. The issuance of</w:t>
      </w:r>
    </w:p>
    <w:p>
      <w:pPr>
        <w:spacing w:after="0" w:line="32" w:lineRule="exact"/>
        <w:rPr>
          <w:sz w:val="20"/>
          <w:szCs w:val="20"/>
          <w:color w:val="auto"/>
        </w:rPr>
      </w:pPr>
    </w:p>
    <w:p>
      <w:pPr>
        <w:ind w:left="984"/>
        <w:spacing w:after="0"/>
        <w:rPr>
          <w:sz w:val="20"/>
          <w:szCs w:val="20"/>
          <w:color w:val="auto"/>
        </w:rPr>
      </w:pPr>
      <w:r>
        <w:rPr>
          <w:rFonts w:ascii="Arial" w:cs="Arial" w:eastAsia="Arial" w:hAnsi="Arial"/>
          <w:sz w:val="17"/>
          <w:szCs w:val="17"/>
          <w:color w:val="auto"/>
        </w:rPr>
        <w:t>equity to Stanford will be pursuant to a Stock Subscription Agreement and a Stockholders Agreement between Parent and Stanford</w:t>
      </w:r>
    </w:p>
    <w:p>
      <w:pPr>
        <w:spacing w:after="0" w:line="2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containing standard representations and warranties and other provisions consistent with the provisions applicable to other holders of</w:t>
      </w:r>
    </w:p>
    <w:p>
      <w:pPr>
        <w:spacing w:after="0" w:line="2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Parent’s Ordinary Shares, including provisions consistent with Sections 7.2, 7.3, 7.4, 7.5, 7.6 and 7.7 of this Agreement.</w:t>
      </w:r>
    </w:p>
    <w:p>
      <w:pPr>
        <w:spacing w:after="0" w:line="238"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Section 7.4 is set forth in Appendix D of this Agreement.</w:t>
      </w:r>
    </w:p>
    <w:p>
      <w:pPr>
        <w:spacing w:after="0" w:line="252"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Section 7.5 is set forth in Appendix D of this Agreement.</w:t>
      </w:r>
    </w:p>
    <w:p>
      <w:pPr>
        <w:spacing w:after="0" w:line="252"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Section 7.6 is set forth in Appendix D of this Agreement.</w:t>
      </w:r>
    </w:p>
    <w:p>
      <w:pPr>
        <w:spacing w:after="0" w:line="248" w:lineRule="exact"/>
        <w:rPr>
          <w:sz w:val="20"/>
          <w:szCs w:val="20"/>
          <w:color w:val="auto"/>
        </w:rPr>
      </w:pPr>
    </w:p>
    <w:p>
      <w:pPr>
        <w:ind w:left="964" w:right="60" w:hanging="539"/>
        <w:spacing w:after="0" w:line="261" w:lineRule="auto"/>
        <w:tabs>
          <w:tab w:leader="none" w:pos="944"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b w:val="1"/>
          <w:bCs w:val="1"/>
          <w:color w:val="auto"/>
        </w:rPr>
        <w:t xml:space="preserve">License Maintenance Fee. </w:t>
      </w:r>
      <w:r>
        <w:rPr>
          <w:rFonts w:ascii="Arial" w:cs="Arial" w:eastAsia="Arial" w:hAnsi="Arial"/>
          <w:sz w:val="18"/>
          <w:szCs w:val="18"/>
          <w:color w:val="auto"/>
        </w:rPr>
        <w:t>Alexo will pay Stanford a yearly license maintenance fee within [***] days after each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anniversaries of the Effective Date. Yearly maintenance payments are nonrefundable, but they are creditable each year as described in Section 7.11. The annual fee shall be [***] on the [***] anniversary of the Effective Date, $[***] on the [***] anniversary of the Effective Date, and [***] on the [***] and each subsequent anniversary of the Effective Date.</w:t>
      </w:r>
    </w:p>
    <w:p>
      <w:pPr>
        <w:spacing w:after="0" w:line="207" w:lineRule="exact"/>
        <w:rPr>
          <w:sz w:val="20"/>
          <w:szCs w:val="20"/>
          <w:color w:val="auto"/>
        </w:rPr>
      </w:pPr>
    </w:p>
    <w:p>
      <w:pPr>
        <w:ind w:left="964" w:hanging="539"/>
        <w:spacing w:after="0" w:line="273" w:lineRule="auto"/>
        <w:tabs>
          <w:tab w:leader="none" w:pos="944"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7"/>
          <w:szCs w:val="17"/>
          <w:b w:val="1"/>
          <w:bCs w:val="1"/>
          <w:color w:val="auto"/>
        </w:rPr>
        <w:t xml:space="preserve">Milestone Payments. </w:t>
      </w:r>
      <w:r>
        <w:rPr>
          <w:rFonts w:ascii="Arial" w:cs="Arial" w:eastAsia="Arial" w:hAnsi="Arial"/>
          <w:sz w:val="17"/>
          <w:szCs w:val="17"/>
          <w:color w:val="auto"/>
        </w:rPr>
        <w:t>Alexo will pay Stanford the following milestone payments upon the occurrence of each of the milestone events</w:t>
      </w:r>
      <w:r>
        <w:rPr>
          <w:rFonts w:ascii="Arial" w:cs="Arial" w:eastAsia="Arial" w:hAnsi="Arial"/>
          <w:sz w:val="17"/>
          <w:szCs w:val="17"/>
          <w:b w:val="1"/>
          <w:bCs w:val="1"/>
          <w:color w:val="auto"/>
        </w:rPr>
        <w:t xml:space="preserve"> </w:t>
      </w:r>
      <w:r>
        <w:rPr>
          <w:rFonts w:ascii="Arial" w:cs="Arial" w:eastAsia="Arial" w:hAnsi="Arial"/>
          <w:sz w:val="17"/>
          <w:szCs w:val="17"/>
          <w:color w:val="auto"/>
        </w:rPr>
        <w:t>listed below. Milestones shall be due for the [***] Licensed Products that achieves the particular milestone regardless of the number of Licensed Products that achieve such milestone; such that if either of the [***] Licensed Products does not achieve any milestone(s), such non-achieved milestones shall be paid on any subsequent Licensed Product that achieves such milestone. On the date any one milestone set forth below is achieved, all lower numbered unachieved milestones shall be deemed to have been achieved and shall be paid (except to the extent they have been previously paid). In the event that a milestone payment is received by Alexo from a sublicensee for attaining any of the milestones listed below, Alexo shall pay to Stanford an amount equal to [***]:</w:t>
      </w:r>
    </w:p>
    <w:p>
      <w:pPr>
        <w:spacing w:after="0" w:line="194" w:lineRule="exact"/>
        <w:rPr>
          <w:sz w:val="20"/>
          <w:szCs w:val="20"/>
          <w:color w:val="auto"/>
        </w:rPr>
      </w:pPr>
    </w:p>
    <w:tbl>
      <w:tblPr>
        <w:tblLayout w:type="fixed"/>
        <w:tblInd w:w="1764" w:type="dxa"/>
        <w:tblCellMar>
          <w:top w:w="0" w:type="dxa"/>
          <w:left w:w="0" w:type="dxa"/>
          <w:bottom w:w="0" w:type="dxa"/>
          <w:right w:w="0" w:type="dxa"/>
        </w:tblCellMar>
      </w:tblPr>
      <w:tr>
        <w:trPr>
          <w:trHeight w:val="185"/>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Milestone Event</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9"/>
              </w:rPr>
              <w:t>Payment</w:t>
            </w:r>
          </w:p>
        </w:tc>
      </w:tr>
      <w:tr>
        <w:trPr>
          <w:trHeight w:val="210"/>
        </w:trPr>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r>
    </w:tbl>
    <w:p>
      <w:pPr>
        <w:spacing w:after="0" w:line="120" w:lineRule="exact"/>
        <w:rPr>
          <w:sz w:val="20"/>
          <w:szCs w:val="20"/>
          <w:color w:val="auto"/>
        </w:rPr>
      </w:pPr>
    </w:p>
    <w:p>
      <w:pPr>
        <w:ind w:left="424" w:right="260" w:hanging="424"/>
        <w:spacing w:after="0" w:line="277" w:lineRule="auto"/>
        <w:tabs>
          <w:tab w:leader="none" w:pos="42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004"/>
          </w:cols>
          <w:pgMar w:left="436" w:top="274" w:right="459" w:bottom="1440" w:gutter="0" w:footer="0" w:header="0"/>
        </w:sectPr>
      </w:pPr>
    </w:p>
    <w:bookmarkStart w:id="401" w:name="page402"/>
    <w:bookmarkEnd w:id="401"/>
    <w:tbl>
      <w:tblPr>
        <w:tblLayout w:type="fixed"/>
        <w:tblInd w:w="1764" w:type="dxa"/>
        <w:tblCellMar>
          <w:top w:w="0" w:type="dxa"/>
          <w:left w:w="0" w:type="dxa"/>
          <w:bottom w:w="0" w:type="dxa"/>
          <w:right w:w="0" w:type="dxa"/>
        </w:tblCellMar>
      </w:tblP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(4)[***]</w:t>
            </w:r>
          </w:p>
        </w:tc>
        <w:tc>
          <w:tcPr>
            <w:tcW w:w="3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(6)[***]</w:t>
            </w:r>
          </w:p>
        </w:tc>
        <w:tc>
          <w:tcPr>
            <w:tcW w:w="3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984" w:right="260"/>
        <w:spacing w:after="0" w:line="308" w:lineRule="auto"/>
        <w:rPr>
          <w:sz w:val="20"/>
          <w:szCs w:val="20"/>
          <w:color w:val="auto"/>
        </w:rPr>
      </w:pPr>
      <w:r>
        <w:rPr>
          <w:rFonts w:ascii="Arial" w:cs="Arial" w:eastAsia="Arial" w:hAnsi="Arial"/>
          <w:sz w:val="17"/>
          <w:szCs w:val="17"/>
          <w:color w:val="auto"/>
        </w:rPr>
        <w:t>Alexo shall pay milestone payments within [***] days of the applicable milestone event, if achieved by Alexo, and within the earlier of [***] days of the applicable event or [***] days following the receipt of funds milestones, if a sublicensee achieves the milestone.</w:t>
      </w:r>
    </w:p>
    <w:p>
      <w:pPr>
        <w:spacing w:after="0" w:line="169" w:lineRule="exact"/>
        <w:rPr>
          <w:sz w:val="20"/>
          <w:szCs w:val="20"/>
          <w:color w:val="auto"/>
        </w:rPr>
      </w:pPr>
    </w:p>
    <w:p>
      <w:pPr>
        <w:jc w:val="both"/>
        <w:ind w:left="964" w:right="240" w:hanging="539"/>
        <w:spacing w:after="0" w:line="289" w:lineRule="auto"/>
        <w:tabs>
          <w:tab w:leader="none" w:pos="944"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b w:val="1"/>
          <w:bCs w:val="1"/>
          <w:color w:val="auto"/>
        </w:rPr>
        <w:t xml:space="preserve">Earned Royalty. </w:t>
      </w:r>
      <w:r>
        <w:rPr>
          <w:rFonts w:ascii="Arial" w:cs="Arial" w:eastAsia="Arial" w:hAnsi="Arial"/>
          <w:sz w:val="16"/>
          <w:szCs w:val="16"/>
          <w:color w:val="auto"/>
        </w:rPr>
        <w:t>(a) Commencing with [***], Alexo shall pay to Stanford royalties [***] with respect to Licensed Products covered by</w:t>
      </w:r>
      <w:r>
        <w:rPr>
          <w:rFonts w:ascii="Arial" w:cs="Arial" w:eastAsia="Arial" w:hAnsi="Arial"/>
          <w:sz w:val="16"/>
          <w:szCs w:val="16"/>
          <w:b w:val="1"/>
          <w:bCs w:val="1"/>
          <w:color w:val="auto"/>
        </w:rPr>
        <w:t xml:space="preserve"> </w:t>
      </w:r>
      <w:r>
        <w:rPr>
          <w:rFonts w:ascii="Arial" w:cs="Arial" w:eastAsia="Arial" w:hAnsi="Arial"/>
          <w:sz w:val="16"/>
          <w:szCs w:val="16"/>
          <w:color w:val="auto"/>
        </w:rPr>
        <w:t>Valid Claims of Licensed Patents or Nonexclusive Licensed Patents, equal to (i) [***]% of the portion of aggregate annual Net Sales of such Licensed Product that is [***]; (ii) [***]% of the portion of aggregate annual Net Sales of such Licensed Product that is [***]; and</w:t>
      </w:r>
    </w:p>
    <w:p>
      <w:pPr>
        <w:spacing w:after="0" w:line="2" w:lineRule="exact"/>
        <w:rPr>
          <w:sz w:val="20"/>
          <w:szCs w:val="20"/>
          <w:color w:val="auto"/>
        </w:rPr>
      </w:pPr>
    </w:p>
    <w:p>
      <w:pPr>
        <w:jc w:val="both"/>
        <w:ind w:left="964" w:right="240" w:firstLine="8"/>
        <w:spacing w:after="0" w:line="253" w:lineRule="auto"/>
        <w:tabs>
          <w:tab w:leader="none" w:pos="1279"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of the portion of aggregate annual Net Sales of such Licensed Product that is [***]. Alexo shall pay Stanford royalties with respect to Net Sales of Licensed Products that are not covered by Valid Claims of Licensed Patents or Nonexclusive Licensed Patents in the country where the sale is made but are covered by Valid Claims of Licensed Patents or Nonexclusive Licensed Patents in another country at a rate equal to [***]% of the rates set forth in clauses (a)(i)-(iii).</w:t>
      </w:r>
    </w:p>
    <w:p>
      <w:pPr>
        <w:spacing w:after="0" w:line="85" w:lineRule="exact"/>
        <w:rPr>
          <w:sz w:val="20"/>
          <w:szCs w:val="20"/>
          <w:color w:val="auto"/>
        </w:rPr>
      </w:pPr>
    </w:p>
    <w:p>
      <w:pPr>
        <w:ind w:left="1244" w:hanging="253"/>
        <w:spacing w:after="0"/>
        <w:tabs>
          <w:tab w:leader="none" w:pos="124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Alexo shall pay royalties with respect to each Licensed Product [***], or (ii) if [***].</w:t>
      </w:r>
    </w:p>
    <w:p>
      <w:pPr>
        <w:spacing w:after="0" w:line="117" w:lineRule="exact"/>
        <w:rPr>
          <w:rFonts w:ascii="Arial" w:cs="Arial" w:eastAsia="Arial" w:hAnsi="Arial"/>
          <w:sz w:val="18"/>
          <w:szCs w:val="18"/>
          <w:color w:val="auto"/>
        </w:rPr>
      </w:pPr>
    </w:p>
    <w:p>
      <w:pPr>
        <w:ind w:left="984" w:right="100" w:firstLine="7"/>
        <w:spacing w:after="0" w:line="257" w:lineRule="auto"/>
        <w:tabs>
          <w:tab w:leader="none" w:pos="122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If Alexo, in its reasonable judgment, elects to pay royalties or similar payments to one or more third parties for patented technology to avoid infringement by a Licensed Product or the manufacture of a Licensed Product of such third party patent(s), Alexo may, beginning from the date of such third party license, deduct [***]% of the amount of royalties paid to such third party on sales of Licensed Product under such licenses from the amounts payable to Stanford,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deductions reduce by no more than [***]% the royalties otherwise due Stanford with respect to such Licensed Product.</w:t>
      </w:r>
    </w:p>
    <w:p>
      <w:pPr>
        <w:spacing w:after="0" w:line="79" w:lineRule="exact"/>
        <w:rPr>
          <w:rFonts w:ascii="Arial" w:cs="Arial" w:eastAsia="Arial" w:hAnsi="Arial"/>
          <w:sz w:val="18"/>
          <w:szCs w:val="18"/>
          <w:color w:val="auto"/>
        </w:rPr>
      </w:pPr>
    </w:p>
    <w:p>
      <w:pPr>
        <w:ind w:left="1244" w:hanging="253"/>
        <w:spacing w:after="0"/>
        <w:tabs>
          <w:tab w:leader="none" w:pos="124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Royalties are payable as long as a Valid Claim for the particular Licensed Product remains in effect.</w:t>
      </w:r>
    </w:p>
    <w:p>
      <w:pPr>
        <w:spacing w:after="0" w:line="248" w:lineRule="exact"/>
        <w:rPr>
          <w:sz w:val="20"/>
          <w:szCs w:val="20"/>
          <w:color w:val="auto"/>
        </w:rPr>
      </w:pPr>
    </w:p>
    <w:p>
      <w:pPr>
        <w:ind w:left="964" w:hanging="539"/>
        <w:spacing w:after="0" w:line="261" w:lineRule="auto"/>
        <w:tabs>
          <w:tab w:leader="none" w:pos="944"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8"/>
          <w:szCs w:val="18"/>
          <w:b w:val="1"/>
          <w:bCs w:val="1"/>
          <w:color w:val="auto"/>
        </w:rPr>
        <w:t xml:space="preserve">Earned Royalty if Alexo Challenges the Patent. </w:t>
      </w:r>
      <w:r>
        <w:rPr>
          <w:rFonts w:ascii="Arial" w:cs="Arial" w:eastAsia="Arial" w:hAnsi="Arial"/>
          <w:sz w:val="18"/>
          <w:szCs w:val="18"/>
          <w:color w:val="auto"/>
        </w:rPr>
        <w:t>Notwithstanding the above, should Alexo bring an action seeking to invalidate any</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Patent, Alexo will pay royalties to Stanford [***] during the pendency of such action. Moreover, should the outcome of such action determine that any claim of a patent challenged by Alexo is both valid and infringed by a Licensed Product, Alexo will pay royalties [***].</w:t>
      </w:r>
    </w:p>
    <w:p>
      <w:pPr>
        <w:spacing w:after="0" w:line="207" w:lineRule="exact"/>
        <w:rPr>
          <w:sz w:val="20"/>
          <w:szCs w:val="20"/>
          <w:color w:val="auto"/>
        </w:rPr>
      </w:pPr>
    </w:p>
    <w:p>
      <w:pPr>
        <w:ind w:left="964" w:right="180" w:hanging="539"/>
        <w:spacing w:after="0" w:line="282" w:lineRule="auto"/>
        <w:tabs>
          <w:tab w:leader="none" w:pos="944"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8"/>
          <w:szCs w:val="18"/>
          <w:b w:val="1"/>
          <w:bCs w:val="1"/>
          <w:color w:val="auto"/>
        </w:rPr>
        <w:t xml:space="preserve">Creditable Payments. </w:t>
      </w:r>
      <w:r>
        <w:rPr>
          <w:rFonts w:ascii="Arial" w:cs="Arial" w:eastAsia="Arial" w:hAnsi="Arial"/>
          <w:sz w:val="18"/>
          <w:szCs w:val="18"/>
          <w:color w:val="auto"/>
        </w:rPr>
        <w:t>The license maintenance fee for a year may be offset against earned royalty payments due on Net Sales occurring</w:t>
      </w:r>
      <w:r>
        <w:rPr>
          <w:rFonts w:ascii="Arial" w:cs="Arial" w:eastAsia="Arial" w:hAnsi="Arial"/>
          <w:sz w:val="18"/>
          <w:szCs w:val="18"/>
          <w:b w:val="1"/>
          <w:bCs w:val="1"/>
          <w:color w:val="auto"/>
        </w:rPr>
        <w:t xml:space="preserve"> </w:t>
      </w:r>
      <w:r>
        <w:rPr>
          <w:rFonts w:ascii="Arial" w:cs="Arial" w:eastAsia="Arial" w:hAnsi="Arial"/>
          <w:sz w:val="18"/>
          <w:szCs w:val="18"/>
          <w:color w:val="auto"/>
        </w:rPr>
        <w:t>in that year.</w:t>
      </w:r>
    </w:p>
    <w:p>
      <w:pPr>
        <w:spacing w:after="0" w:line="98" w:lineRule="exact"/>
        <w:rPr>
          <w:sz w:val="20"/>
          <w:szCs w:val="20"/>
          <w:color w:val="auto"/>
        </w:rPr>
      </w:pPr>
    </w:p>
    <w:p>
      <w:pPr>
        <w:ind w:left="424" w:right="260" w:hanging="424"/>
        <w:spacing w:after="0" w:line="277" w:lineRule="auto"/>
        <w:tabs>
          <w:tab w:leader="none" w:pos="42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004"/>
          </w:cols>
          <w:pgMar w:left="436" w:top="288" w:right="459" w:bottom="1440" w:gutter="0" w:footer="0" w:header="0"/>
        </w:sectPr>
      </w:pPr>
    </w:p>
    <w:bookmarkStart w:id="402" w:name="page403"/>
    <w:bookmarkEnd w:id="402"/>
    <w:p>
      <w:pPr>
        <w:ind w:left="984"/>
        <w:spacing w:after="0"/>
        <w:tabs>
          <w:tab w:leader="none" w:pos="1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w:t>
      </w:r>
      <w:r>
        <w:rPr>
          <w:sz w:val="20"/>
          <w:szCs w:val="20"/>
          <w:color w:val="auto"/>
        </w:rPr>
        <w:tab/>
      </w:r>
      <w:r>
        <w:rPr>
          <w:rFonts w:ascii="Arial" w:cs="Arial" w:eastAsia="Arial" w:hAnsi="Arial"/>
          <w:sz w:val="16"/>
          <w:szCs w:val="16"/>
          <w:color w:val="auto"/>
        </w:rPr>
        <w:t>example:</w:t>
      </w:r>
    </w:p>
    <w:p>
      <w:pPr>
        <w:spacing w:after="0" w:line="131" w:lineRule="exact"/>
        <w:rPr>
          <w:sz w:val="20"/>
          <w:szCs w:val="20"/>
          <w:color w:val="auto"/>
        </w:rPr>
      </w:pPr>
    </w:p>
    <w:p>
      <w:pPr>
        <w:ind w:left="1424" w:right="60" w:hanging="439"/>
        <w:spacing w:after="0" w:line="308" w:lineRule="auto"/>
        <w:tabs>
          <w:tab w:leader="none" w:pos="1424" w:val="left"/>
        </w:tabs>
        <w:numPr>
          <w:ilvl w:val="0"/>
          <w:numId w:val="316"/>
        </w:numPr>
        <w:rPr>
          <w:rFonts w:ascii="Arial" w:cs="Arial" w:eastAsia="Arial" w:hAnsi="Arial"/>
          <w:sz w:val="17"/>
          <w:szCs w:val="17"/>
          <w:color w:val="auto"/>
        </w:rPr>
      </w:pPr>
      <w:r>
        <w:rPr>
          <w:rFonts w:ascii="Arial" w:cs="Arial" w:eastAsia="Arial" w:hAnsi="Arial"/>
          <w:sz w:val="17"/>
          <w:szCs w:val="17"/>
          <w:color w:val="auto"/>
        </w:rPr>
        <w:t>if Alexo pays Stanford a $10 maintenance payment for year Y, and according to Section 7.9 $15 in earned royalties are due Stanford for Net Sales in year Y, Alexo will only need to pay Stanford an additional $5 for that year’s earned royalties.</w:t>
      </w:r>
    </w:p>
    <w:p>
      <w:pPr>
        <w:spacing w:after="0" w:line="51" w:lineRule="exact"/>
        <w:rPr>
          <w:rFonts w:ascii="Arial" w:cs="Arial" w:eastAsia="Arial" w:hAnsi="Arial"/>
          <w:sz w:val="17"/>
          <w:szCs w:val="17"/>
          <w:color w:val="auto"/>
        </w:rPr>
      </w:pPr>
    </w:p>
    <w:p>
      <w:pPr>
        <w:ind w:left="1424" w:hanging="439"/>
        <w:spacing w:after="0" w:line="263" w:lineRule="auto"/>
        <w:tabs>
          <w:tab w:leader="none" w:pos="142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if Alexo pays Stanford a $10 maintenance payment for year Y, and according to Section 7.9 $3 in earned royalties are due Stanford for Net Sales in year Y, Alexo will not need to pay Stanford any earned royalty payment for that year. Alexo will not be able to offset the remaining $7 against a future year’s earned royalties.</w:t>
      </w:r>
    </w:p>
    <w:p>
      <w:pPr>
        <w:spacing w:after="0" w:line="207" w:lineRule="exact"/>
        <w:rPr>
          <w:sz w:val="20"/>
          <w:szCs w:val="20"/>
          <w:color w:val="auto"/>
        </w:rPr>
      </w:pPr>
    </w:p>
    <w:p>
      <w:pPr>
        <w:ind w:left="964" w:right="40" w:hanging="539"/>
        <w:spacing w:after="0" w:line="261" w:lineRule="auto"/>
        <w:tabs>
          <w:tab w:leader="none" w:pos="944"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8"/>
          <w:szCs w:val="18"/>
          <w:b w:val="1"/>
          <w:bCs w:val="1"/>
          <w:color w:val="auto"/>
        </w:rPr>
        <w:t xml:space="preserve">Obligation to Pay Royalties. </w:t>
      </w:r>
      <w:r>
        <w:rPr>
          <w:rFonts w:ascii="Arial" w:cs="Arial" w:eastAsia="Arial" w:hAnsi="Arial"/>
          <w:sz w:val="18"/>
          <w:szCs w:val="18"/>
          <w:color w:val="auto"/>
        </w:rPr>
        <w:t>A royalty is due Stanford under this Agreement for any activity conducted under the licenses granted. For</w:t>
      </w:r>
      <w:r>
        <w:rPr>
          <w:rFonts w:ascii="Arial" w:cs="Arial" w:eastAsia="Arial" w:hAnsi="Arial"/>
          <w:sz w:val="18"/>
          <w:szCs w:val="18"/>
          <w:b w:val="1"/>
          <w:bCs w:val="1"/>
          <w:color w:val="auto"/>
        </w:rPr>
        <w:t xml:space="preserve"> </w:t>
      </w:r>
      <w:r>
        <w:rPr>
          <w:rFonts w:ascii="Arial" w:cs="Arial" w:eastAsia="Arial" w:hAnsi="Arial"/>
          <w:sz w:val="18"/>
          <w:szCs w:val="18"/>
          <w:color w:val="auto"/>
        </w:rPr>
        <w:t>convenience’s sake, the amount of that royalty is calculated using Net Sales. Nonetheless, if certain Licensed Products are [***], and those Licensed Products are [***], Alexo will pay Stanford an earned royalty for its exercise of rights based on the Net Sales of those Licensed Products.</w:t>
      </w:r>
    </w:p>
    <w:p>
      <w:pPr>
        <w:spacing w:after="0" w:line="207"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b w:val="1"/>
          <w:bCs w:val="1"/>
          <w:color w:val="auto"/>
        </w:rPr>
        <w:t xml:space="preserve">No Escrow. </w:t>
      </w:r>
      <w:r>
        <w:rPr>
          <w:rFonts w:ascii="Arial" w:cs="Arial" w:eastAsia="Arial" w:hAnsi="Arial"/>
          <w:sz w:val="16"/>
          <w:szCs w:val="16"/>
          <w:color w:val="auto"/>
        </w:rPr>
        <w:t>Alexo shall not pay royalties into any escrow or other similar account.</w:t>
      </w:r>
    </w:p>
    <w:p>
      <w:pPr>
        <w:spacing w:after="0" w:line="252" w:lineRule="exact"/>
        <w:rPr>
          <w:sz w:val="20"/>
          <w:szCs w:val="20"/>
          <w:color w:val="auto"/>
        </w:rPr>
      </w:pPr>
    </w:p>
    <w:p>
      <w:pPr>
        <w:jc w:val="both"/>
        <w:ind w:left="964" w:right="160" w:hanging="539"/>
        <w:spacing w:after="0" w:line="266" w:lineRule="auto"/>
        <w:tabs>
          <w:tab w:leader="none" w:pos="944"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8"/>
          <w:szCs w:val="18"/>
          <w:b w:val="1"/>
          <w:bCs w:val="1"/>
          <w:color w:val="auto"/>
        </w:rPr>
        <w:t xml:space="preserve">Currency. </w:t>
      </w:r>
      <w:r>
        <w:rPr>
          <w:rFonts w:ascii="Arial" w:cs="Arial" w:eastAsia="Arial" w:hAnsi="Arial"/>
          <w:sz w:val="18"/>
          <w:szCs w:val="18"/>
          <w:color w:val="auto"/>
        </w:rPr>
        <w:t>Alexo will calculate the royalty on sales in currencies other than U.S. Dollars using the appropriate foreign exchange rate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currency quoted by the Wall Street Journal on the close of business on the last banking day of each calendar quarter. Alexo will make royalty payments to Stanford in U.S. Dollars.</w:t>
      </w:r>
    </w:p>
    <w:p>
      <w:pPr>
        <w:spacing w:after="0" w:line="203" w:lineRule="exact"/>
        <w:rPr>
          <w:sz w:val="20"/>
          <w:szCs w:val="20"/>
          <w:color w:val="auto"/>
        </w:rPr>
      </w:pPr>
    </w:p>
    <w:p>
      <w:pPr>
        <w:ind w:left="964" w:right="20" w:hanging="539"/>
        <w:spacing w:after="0" w:line="282" w:lineRule="auto"/>
        <w:tabs>
          <w:tab w:leader="none" w:pos="944"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8"/>
          <w:szCs w:val="18"/>
          <w:b w:val="1"/>
          <w:bCs w:val="1"/>
          <w:color w:val="auto"/>
        </w:rPr>
        <w:t xml:space="preserve">Non-U.S. Taxes. </w:t>
      </w:r>
      <w:r>
        <w:rPr>
          <w:rFonts w:ascii="Arial" w:cs="Arial" w:eastAsia="Arial" w:hAnsi="Arial"/>
          <w:sz w:val="18"/>
          <w:szCs w:val="18"/>
          <w:color w:val="auto"/>
        </w:rPr>
        <w:t>Alexo will pay all non-U.S. taxes related to royalty payments. These payments are not deductible from any payments due</w:t>
      </w:r>
      <w:r>
        <w:rPr>
          <w:rFonts w:ascii="Arial" w:cs="Arial" w:eastAsia="Arial" w:hAnsi="Arial"/>
          <w:sz w:val="18"/>
          <w:szCs w:val="18"/>
          <w:b w:val="1"/>
          <w:bCs w:val="1"/>
          <w:color w:val="auto"/>
        </w:rPr>
        <w:t xml:space="preserve"> </w:t>
      </w:r>
      <w:r>
        <w:rPr>
          <w:rFonts w:ascii="Arial" w:cs="Arial" w:eastAsia="Arial" w:hAnsi="Arial"/>
          <w:sz w:val="18"/>
          <w:szCs w:val="18"/>
          <w:color w:val="auto"/>
        </w:rPr>
        <w:t>to Stanford.</w:t>
      </w:r>
    </w:p>
    <w:p>
      <w:pPr>
        <w:spacing w:after="0" w:line="189"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6"/>
          <w:szCs w:val="16"/>
          <w:b w:val="1"/>
          <w:bCs w:val="1"/>
          <w:color w:val="auto"/>
        </w:rPr>
        <w:t xml:space="preserve">Interest. </w:t>
      </w:r>
      <w:r>
        <w:rPr>
          <w:rFonts w:ascii="Arial" w:cs="Arial" w:eastAsia="Arial" w:hAnsi="Arial"/>
          <w:sz w:val="16"/>
          <w:szCs w:val="16"/>
          <w:color w:val="auto"/>
        </w:rPr>
        <w:t>Any payments not made when due will bear interest at the lower of (a) the Prime Rate published in the Wall Street Journal plus</w:t>
      </w:r>
    </w:p>
    <w:p>
      <w:pPr>
        <w:spacing w:after="0" w:line="27" w:lineRule="exact"/>
        <w:rPr>
          <w:sz w:val="20"/>
          <w:szCs w:val="20"/>
          <w:color w:val="auto"/>
        </w:rPr>
      </w:pPr>
    </w:p>
    <w:p>
      <w:pPr>
        <w:ind w:left="1404" w:hanging="432"/>
        <w:spacing w:after="0"/>
        <w:tabs>
          <w:tab w:leader="none" w:pos="1404" w:val="left"/>
        </w:tabs>
        <w:numPr>
          <w:ilvl w:val="1"/>
          <w:numId w:val="317"/>
        </w:numPr>
        <w:rPr>
          <w:rFonts w:ascii="Arial" w:cs="Arial" w:eastAsia="Arial" w:hAnsi="Arial"/>
          <w:sz w:val="18"/>
          <w:szCs w:val="18"/>
          <w:color w:val="auto"/>
        </w:rPr>
      </w:pPr>
      <w:r>
        <w:rPr>
          <w:rFonts w:ascii="Arial" w:cs="Arial" w:eastAsia="Arial" w:hAnsi="Arial"/>
          <w:sz w:val="18"/>
          <w:szCs w:val="18"/>
          <w:color w:val="auto"/>
        </w:rPr>
        <w:t>basis points or (b) the maximum rate permitted by law.</w:t>
      </w:r>
    </w:p>
    <w:p>
      <w:pPr>
        <w:spacing w:after="0" w:line="355" w:lineRule="exact"/>
        <w:rPr>
          <w:rFonts w:ascii="Arial" w:cs="Arial" w:eastAsia="Arial" w:hAnsi="Arial"/>
          <w:sz w:val="18"/>
          <w:szCs w:val="18"/>
          <w:color w:val="auto"/>
        </w:rPr>
      </w:pPr>
    </w:p>
    <w:p>
      <w:pPr>
        <w:ind w:left="424" w:hanging="424"/>
        <w:spacing w:after="0"/>
        <w:tabs>
          <w:tab w:leader="none" w:pos="424"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ROYALTY REPORTS, PAYMENTS, AND ACCOUNTING</w:t>
      </w:r>
    </w:p>
    <w:p>
      <w:pPr>
        <w:spacing w:after="0" w:line="130" w:lineRule="exact"/>
        <w:rPr>
          <w:rFonts w:ascii="Arial" w:cs="Arial" w:eastAsia="Arial" w:hAnsi="Arial"/>
          <w:sz w:val="18"/>
          <w:szCs w:val="18"/>
          <w:b w:val="1"/>
          <w:bCs w:val="1"/>
          <w:color w:val="auto"/>
        </w:rPr>
      </w:pPr>
    </w:p>
    <w:p>
      <w:pPr>
        <w:ind w:left="964" w:right="40" w:hanging="540"/>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 xml:space="preserve">8.1 </w:t>
      </w:r>
      <w:r>
        <w:rPr>
          <w:rFonts w:ascii="Arial" w:cs="Arial" w:eastAsia="Arial" w:hAnsi="Arial"/>
          <w:sz w:val="17"/>
          <w:szCs w:val="17"/>
          <w:b w:val="1"/>
          <w:bCs w:val="1"/>
          <w:color w:val="auto"/>
        </w:rPr>
        <w:t>Quarterly Earned Royalty Payment and Report.</w:t>
      </w:r>
      <w:r>
        <w:rPr>
          <w:rFonts w:ascii="Arial" w:cs="Arial" w:eastAsia="Arial" w:hAnsi="Arial"/>
          <w:sz w:val="17"/>
          <w:szCs w:val="17"/>
          <w:color w:val="auto"/>
        </w:rPr>
        <w:t xml:space="preserve"> Beginning with the first sale of a Licensed Product by Alexo or a sublicensee, Alexo will submit to Stanford a written report (even if there are no sales) and an earned royalty payment within [***] days after the end of each calendar quarter. This report will be in the form of Appendix B and will state the number, description, and aggregate Net Sales of Licensed Product during the completed calendar quarter. The report will include an overview of the process and documents relied upon to permit Stanford to understand how the earned royalties are calculated. With each report Alexo will include any earned royalty payment due Stanford for the completed calendar quarter (as calculated under Section 7.9).</w:t>
      </w:r>
    </w:p>
    <w:p>
      <w:pPr>
        <w:spacing w:after="0" w:line="200" w:lineRule="exact"/>
        <w:rPr>
          <w:rFonts w:ascii="Arial" w:cs="Arial" w:eastAsia="Arial" w:hAnsi="Arial"/>
          <w:sz w:val="18"/>
          <w:szCs w:val="18"/>
          <w:b w:val="1"/>
          <w:bCs w:val="1"/>
          <w:color w:val="auto"/>
        </w:rPr>
      </w:pPr>
    </w:p>
    <w:p>
      <w:pPr>
        <w:ind w:left="964" w:right="360" w:hanging="5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No Refund.</w:t>
      </w:r>
      <w:r>
        <w:rPr>
          <w:rFonts w:ascii="Arial" w:cs="Arial" w:eastAsia="Arial" w:hAnsi="Arial"/>
          <w:sz w:val="18"/>
          <w:szCs w:val="18"/>
          <w:color w:val="auto"/>
        </w:rPr>
        <w:t xml:space="preserve"> In the event that a validity or non-infringement challenge of a Licensed Patent brought by Alexo is successful, Alexo will have no right to recoup any royalties paid before or during the period challenge.</w:t>
      </w:r>
    </w:p>
    <w:p>
      <w:pPr>
        <w:spacing w:after="0" w:line="98" w:lineRule="exact"/>
        <w:rPr>
          <w:sz w:val="20"/>
          <w:szCs w:val="20"/>
          <w:color w:val="auto"/>
        </w:rPr>
      </w:pPr>
    </w:p>
    <w:p>
      <w:pPr>
        <w:ind w:left="424" w:right="260" w:hanging="424"/>
        <w:spacing w:after="0" w:line="277" w:lineRule="auto"/>
        <w:tabs>
          <w:tab w:leader="none" w:pos="42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004"/>
          </w:cols>
          <w:pgMar w:left="436" w:top="274" w:right="459" w:bottom="1440" w:gutter="0" w:footer="0" w:header="0"/>
        </w:sectPr>
      </w:pPr>
    </w:p>
    <w:bookmarkStart w:id="403" w:name="page404"/>
    <w:bookmarkEnd w:id="403"/>
    <w:p>
      <w:pPr>
        <w:ind w:left="964" w:right="40" w:hanging="539"/>
        <w:spacing w:after="0" w:line="266"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8.3</w:t>
      </w:r>
      <w:r>
        <w:rPr>
          <w:sz w:val="20"/>
          <w:szCs w:val="20"/>
          <w:color w:val="auto"/>
        </w:rPr>
        <w:tab/>
      </w:r>
      <w:r>
        <w:rPr>
          <w:rFonts w:ascii="Arial" w:cs="Arial" w:eastAsia="Arial" w:hAnsi="Arial"/>
          <w:sz w:val="18"/>
          <w:szCs w:val="18"/>
          <w:b w:val="1"/>
          <w:bCs w:val="1"/>
          <w:color w:val="auto"/>
        </w:rPr>
        <w:t xml:space="preserve">Termination Report. </w:t>
      </w:r>
      <w:r>
        <w:rPr>
          <w:rFonts w:ascii="Arial" w:cs="Arial" w:eastAsia="Arial" w:hAnsi="Arial"/>
          <w:sz w:val="18"/>
          <w:szCs w:val="18"/>
          <w:color w:val="auto"/>
        </w:rPr>
        <w:t>Alexo will pay to Stanford all applicable royalties and submit to Stanford a written report within [***] days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terminates. Alexo will continue to submit earned royalty payments and reports to Stanford after the license terminates, until all Licensed Products made or imported under the license have been sold.</w:t>
      </w:r>
    </w:p>
    <w:p>
      <w:pPr>
        <w:spacing w:after="0" w:line="203" w:lineRule="exact"/>
        <w:rPr>
          <w:sz w:val="20"/>
          <w:szCs w:val="20"/>
          <w:color w:val="auto"/>
        </w:rPr>
      </w:pPr>
    </w:p>
    <w:p>
      <w:pPr>
        <w:ind w:left="964" w:hanging="539"/>
        <w:spacing w:after="0" w:line="274" w:lineRule="auto"/>
        <w:tabs>
          <w:tab w:leader="none" w:pos="94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b w:val="1"/>
          <w:bCs w:val="1"/>
          <w:color w:val="auto"/>
        </w:rPr>
        <w:t xml:space="preserve">Accounting. </w:t>
      </w:r>
      <w:r>
        <w:rPr>
          <w:rFonts w:ascii="Arial" w:cs="Arial" w:eastAsia="Arial" w:hAnsi="Arial"/>
          <w:sz w:val="17"/>
          <w:szCs w:val="17"/>
          <w:color w:val="auto"/>
        </w:rPr>
        <w:t>Alexo will maintain complete and accurate records showing sufficient information to permit Stanford to determine the</w:t>
      </w:r>
      <w:r>
        <w:rPr>
          <w:rFonts w:ascii="Arial" w:cs="Arial" w:eastAsia="Arial" w:hAnsi="Arial"/>
          <w:sz w:val="17"/>
          <w:szCs w:val="17"/>
          <w:b w:val="1"/>
          <w:bCs w:val="1"/>
          <w:color w:val="auto"/>
        </w:rPr>
        <w:t xml:space="preserve"> </w:t>
      </w:r>
      <w:r>
        <w:rPr>
          <w:rFonts w:ascii="Arial" w:cs="Arial" w:eastAsia="Arial" w:hAnsi="Arial"/>
          <w:sz w:val="17"/>
          <w:szCs w:val="17"/>
          <w:color w:val="auto"/>
        </w:rPr>
        <w:t>accuracy of royalty payments (including manufacture and sale), sublicensing revenue, and milestone achievement, in respect of a Licensed Product for [***] years from the date of sale of that unit of Licensed Product. Records shall be kept in accordance with Generally Accepted Accounting Practices or International Financial Reporting Standards, as applicable, and will include general-ledger records showing cash receipts and expenses, and records that include: production records, customers invoices, and related information in sufficient detail to enable Stanford to determine the royalties and other amounts payable under this Agreement.</w:t>
      </w:r>
    </w:p>
    <w:p>
      <w:pPr>
        <w:spacing w:after="0" w:line="200" w:lineRule="exact"/>
        <w:rPr>
          <w:sz w:val="20"/>
          <w:szCs w:val="20"/>
          <w:color w:val="auto"/>
        </w:rPr>
      </w:pPr>
    </w:p>
    <w:p>
      <w:pPr>
        <w:ind w:left="964" w:hanging="539"/>
        <w:spacing w:after="0" w:line="270" w:lineRule="auto"/>
        <w:tabs>
          <w:tab w:leader="none" w:pos="944"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b w:val="1"/>
          <w:bCs w:val="1"/>
          <w:color w:val="auto"/>
        </w:rPr>
        <w:t xml:space="preserve">Audit by Stanford. </w:t>
      </w:r>
      <w:r>
        <w:rPr>
          <w:rFonts w:ascii="Arial" w:cs="Arial" w:eastAsia="Arial" w:hAnsi="Arial"/>
          <w:sz w:val="17"/>
          <w:szCs w:val="17"/>
          <w:color w:val="auto"/>
        </w:rPr>
        <w:t>Alexo will allow an independent, certified public accountant selected by Stanford and reasonably acceptable to Alexo,</w:t>
      </w:r>
      <w:r>
        <w:rPr>
          <w:rFonts w:ascii="Arial" w:cs="Arial" w:eastAsia="Arial" w:hAnsi="Arial"/>
          <w:sz w:val="17"/>
          <w:szCs w:val="17"/>
          <w:b w:val="1"/>
          <w:bCs w:val="1"/>
          <w:color w:val="auto"/>
        </w:rPr>
        <w:t xml:space="preserve"> </w:t>
      </w:r>
      <w:r>
        <w:rPr>
          <w:rFonts w:ascii="Arial" w:cs="Arial" w:eastAsia="Arial" w:hAnsi="Arial"/>
          <w:sz w:val="17"/>
          <w:szCs w:val="17"/>
          <w:color w:val="auto"/>
        </w:rPr>
        <w:t>which acceptance will not be unreasonably withheld or delayed to audit or inspect those records of Alexo relating to any amounts payable to Stanford under this Agreement for the purpose of verifying the accuracy of the reports required under Section 8.1. Such inspection will be conducted during Alexo’s normal business hours at such place where such records are customarily kept, no more than [***]. Stanford agrees to hold in confidence all information concerning royalty payments and reports, and all information learned in the course of any audit or inspection, except to the extent necessary for Stanford to reveal such information in order to enforce its rights under this Agreement or if disclosure is required by law, regulation or judicial order. Any person or entity conducting such audit or inspection will agree in writing with Alexo to: (a) treat all records reviewed in the course of the audit or inspection as the confidential information of Alexo; (b) disclose to Stanford only the amount and accuracy of payments reported and actually paid or otherwise payable under this Agreement and the specific details concerning any discrepancies.</w:t>
      </w:r>
    </w:p>
    <w:p>
      <w:pPr>
        <w:spacing w:after="0" w:line="204" w:lineRule="exact"/>
        <w:rPr>
          <w:sz w:val="20"/>
          <w:szCs w:val="20"/>
          <w:color w:val="auto"/>
        </w:rPr>
      </w:pPr>
    </w:p>
    <w:p>
      <w:pPr>
        <w:ind w:left="964" w:hanging="539"/>
        <w:spacing w:after="0" w:line="282" w:lineRule="auto"/>
        <w:tabs>
          <w:tab w:leader="none" w:pos="944"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b w:val="1"/>
          <w:bCs w:val="1"/>
          <w:color w:val="auto"/>
        </w:rPr>
        <w:t xml:space="preserve">Paying for Audit. </w:t>
      </w:r>
      <w:r>
        <w:rPr>
          <w:rFonts w:ascii="Arial" w:cs="Arial" w:eastAsia="Arial" w:hAnsi="Arial"/>
          <w:sz w:val="18"/>
          <w:szCs w:val="18"/>
          <w:color w:val="auto"/>
        </w:rPr>
        <w:t>Stanford will pay for any audit done under Section 8.5. But if the audit reveals an underreporting of earned royalties due</w:t>
      </w:r>
      <w:r>
        <w:rPr>
          <w:rFonts w:ascii="Arial" w:cs="Arial" w:eastAsia="Arial" w:hAnsi="Arial"/>
          <w:sz w:val="18"/>
          <w:szCs w:val="18"/>
          <w:b w:val="1"/>
          <w:bCs w:val="1"/>
          <w:color w:val="auto"/>
        </w:rPr>
        <w:t xml:space="preserve"> </w:t>
      </w:r>
      <w:r>
        <w:rPr>
          <w:rFonts w:ascii="Arial" w:cs="Arial" w:eastAsia="Arial" w:hAnsi="Arial"/>
          <w:sz w:val="18"/>
          <w:szCs w:val="18"/>
          <w:color w:val="auto"/>
        </w:rPr>
        <w:t>Stanford of [***]% or more for the period being audited, Alexo will pay the audit costs.</w:t>
      </w:r>
    </w:p>
    <w:p>
      <w:pPr>
        <w:spacing w:after="0" w:line="310" w:lineRule="exact"/>
        <w:rPr>
          <w:sz w:val="20"/>
          <w:szCs w:val="20"/>
          <w:color w:val="auto"/>
        </w:rPr>
      </w:pPr>
    </w:p>
    <w:p>
      <w:pPr>
        <w:ind w:left="424" w:hanging="424"/>
        <w:spacing w:after="0"/>
        <w:tabs>
          <w:tab w:leader="none" w:pos="424"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 AND NEGATION OF WARRANTIES</w:t>
      </w:r>
    </w:p>
    <w:p>
      <w:pPr>
        <w:spacing w:after="0" w:line="130" w:lineRule="exact"/>
        <w:rPr>
          <w:rFonts w:ascii="Arial" w:cs="Arial" w:eastAsia="Arial" w:hAnsi="Arial"/>
          <w:sz w:val="18"/>
          <w:szCs w:val="18"/>
          <w:b w:val="1"/>
          <w:bCs w:val="1"/>
          <w:color w:val="auto"/>
        </w:rPr>
      </w:pPr>
    </w:p>
    <w:p>
      <w:pPr>
        <w:ind w:left="964" w:right="40" w:hanging="5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Negation of Warranties.</w:t>
      </w:r>
      <w:r>
        <w:rPr>
          <w:rFonts w:ascii="Arial" w:cs="Arial" w:eastAsia="Arial" w:hAnsi="Arial"/>
          <w:sz w:val="18"/>
          <w:szCs w:val="18"/>
          <w:color w:val="auto"/>
        </w:rPr>
        <w:t xml:space="preserve"> Stanford provides Alexo the rights granted in this Agreement AS IS and WITH ALL FAULTS. Stanford makes no representations and extends no warranties of any kind, either express or implied. Among other things, Stanford disclaims any express or implied warranty:</w:t>
      </w:r>
    </w:p>
    <w:p>
      <w:pPr>
        <w:spacing w:after="0" w:line="85" w:lineRule="exact"/>
        <w:rPr>
          <w:rFonts w:ascii="Arial" w:cs="Arial" w:eastAsia="Arial" w:hAnsi="Arial"/>
          <w:sz w:val="18"/>
          <w:szCs w:val="18"/>
          <w:b w:val="1"/>
          <w:bCs w:val="1"/>
          <w:color w:val="auto"/>
        </w:rPr>
      </w:pPr>
    </w:p>
    <w:p>
      <w:pPr>
        <w:ind w:left="1424" w:hanging="439"/>
        <w:spacing w:after="0"/>
        <w:tabs>
          <w:tab w:leader="none" w:pos="1424" w:val="left"/>
        </w:tabs>
        <w:numPr>
          <w:ilvl w:val="1"/>
          <w:numId w:val="319"/>
        </w:numPr>
        <w:rPr>
          <w:rFonts w:ascii="Arial" w:cs="Arial" w:eastAsia="Arial" w:hAnsi="Arial"/>
          <w:sz w:val="18"/>
          <w:szCs w:val="18"/>
          <w:color w:val="auto"/>
        </w:rPr>
      </w:pPr>
      <w:r>
        <w:rPr>
          <w:rFonts w:ascii="Arial" w:cs="Arial" w:eastAsia="Arial" w:hAnsi="Arial"/>
          <w:sz w:val="18"/>
          <w:szCs w:val="18"/>
          <w:color w:val="auto"/>
        </w:rPr>
        <w:t>of merchantability, of fitness for a particular purpose;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319"/>
        </w:numPr>
        <w:rPr>
          <w:rFonts w:ascii="Arial" w:cs="Arial" w:eastAsia="Arial" w:hAnsi="Arial"/>
          <w:sz w:val="18"/>
          <w:szCs w:val="18"/>
          <w:color w:val="auto"/>
        </w:rPr>
      </w:pPr>
      <w:r>
        <w:rPr>
          <w:rFonts w:ascii="Arial" w:cs="Arial" w:eastAsia="Arial" w:hAnsi="Arial"/>
          <w:sz w:val="18"/>
          <w:szCs w:val="18"/>
          <w:color w:val="auto"/>
        </w:rPr>
        <w:t>of non-infringement;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arising out of any course of dealing.</w:t>
      </w:r>
    </w:p>
    <w:p>
      <w:pPr>
        <w:spacing w:after="0" w:line="158" w:lineRule="exact"/>
        <w:rPr>
          <w:sz w:val="20"/>
          <w:szCs w:val="20"/>
          <w:color w:val="auto"/>
        </w:rPr>
      </w:pPr>
    </w:p>
    <w:p>
      <w:pPr>
        <w:ind w:left="424" w:right="280" w:hanging="424"/>
        <w:spacing w:after="0" w:line="277" w:lineRule="auto"/>
        <w:tabs>
          <w:tab w:leader="none" w:pos="42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024"/>
          </w:cols>
          <w:pgMar w:left="436" w:top="270" w:right="439" w:bottom="1440" w:gutter="0" w:footer="0" w:header="0"/>
        </w:sectPr>
      </w:pPr>
    </w:p>
    <w:bookmarkStart w:id="404" w:name="page405"/>
    <w:bookmarkEnd w:id="404"/>
    <w:p>
      <w:pPr>
        <w:ind w:left="424"/>
        <w:spacing w:after="0"/>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9.2</w:t>
      </w:r>
      <w:r>
        <w:rPr>
          <w:sz w:val="20"/>
          <w:szCs w:val="20"/>
          <w:color w:val="auto"/>
        </w:rPr>
        <w:tab/>
      </w:r>
      <w:r>
        <w:rPr>
          <w:rFonts w:ascii="Arial" w:cs="Arial" w:eastAsia="Arial" w:hAnsi="Arial"/>
          <w:sz w:val="16"/>
          <w:szCs w:val="16"/>
          <w:b w:val="1"/>
          <w:bCs w:val="1"/>
          <w:color w:val="auto"/>
        </w:rPr>
        <w:t xml:space="preserve">No Representation of Licensed Patent. </w:t>
      </w:r>
      <w:r>
        <w:rPr>
          <w:rFonts w:ascii="Arial" w:cs="Arial" w:eastAsia="Arial" w:hAnsi="Arial"/>
          <w:sz w:val="16"/>
          <w:szCs w:val="16"/>
          <w:color w:val="auto"/>
        </w:rPr>
        <w:t>Alexo also acknowledges that Stanford does not represent or warrant:</w:t>
      </w:r>
    </w:p>
    <w:p>
      <w:pPr>
        <w:spacing w:after="0" w:line="135" w:lineRule="exact"/>
        <w:rPr>
          <w:sz w:val="20"/>
          <w:szCs w:val="20"/>
          <w:color w:val="auto"/>
        </w:rPr>
      </w:pPr>
    </w:p>
    <w:p>
      <w:pPr>
        <w:ind w:left="1424" w:hanging="439"/>
        <w:spacing w:after="0"/>
        <w:tabs>
          <w:tab w:leader="none" w:pos="1424"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validity or scope of any Licensed Patents or Nonexclusive Licensed Patents;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that the exploitation of Licensed Patents or Nonexclusive Licensed Patents will be successful.</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30" w:lineRule="exact"/>
        <w:rPr>
          <w:rFonts w:ascii="Arial" w:cs="Arial" w:eastAsia="Arial" w:hAnsi="Arial"/>
          <w:sz w:val="18"/>
          <w:szCs w:val="18"/>
          <w:b w:val="1"/>
          <w:bCs w:val="1"/>
          <w:color w:val="auto"/>
        </w:rPr>
      </w:pPr>
    </w:p>
    <w:p>
      <w:pPr>
        <w:ind w:left="964" w:right="140" w:hanging="5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 xml:space="preserve">10.1 </w:t>
      </w:r>
      <w:r>
        <w:rPr>
          <w:rFonts w:ascii="Arial" w:cs="Arial" w:eastAsia="Arial" w:hAnsi="Arial"/>
          <w:sz w:val="16"/>
          <w:szCs w:val="16"/>
          <w:b w:val="1"/>
          <w:bCs w:val="1"/>
          <w:color w:val="auto"/>
        </w:rPr>
        <w:t>Indemnification.</w:t>
      </w:r>
      <w:r>
        <w:rPr>
          <w:rFonts w:ascii="Arial" w:cs="Arial" w:eastAsia="Arial" w:hAnsi="Arial"/>
          <w:sz w:val="16"/>
          <w:szCs w:val="16"/>
          <w:color w:val="auto"/>
        </w:rPr>
        <w:t xml:space="preserve"> (A) Alexo will, and will require sublicensees to, indemnify, hold harmless, and defend all Stanford Indemnitees against any claims, suits, losses, damages, costs, fees, and expenses of any kind (collectively. “Losses”) incurred by or imposed upon them in connection with any third party claims, suits or actions resulting from arising out of or related to the exercise of any rights granted Alexo under this Agreement or the breach of this Agreement by Alexo, its sublicensees or affiliates. Alexo’s indemnification under this Section 10.1(A) shall not apply to Losses that arise as a result of Stanford’s practice of the rights it reserves under Section 3.3.</w:t>
      </w:r>
    </w:p>
    <w:p>
      <w:pPr>
        <w:spacing w:after="0" w:line="49" w:lineRule="exact"/>
        <w:rPr>
          <w:rFonts w:ascii="Arial" w:cs="Arial" w:eastAsia="Arial" w:hAnsi="Arial"/>
          <w:sz w:val="18"/>
          <w:szCs w:val="18"/>
          <w:b w:val="1"/>
          <w:bCs w:val="1"/>
          <w:color w:val="auto"/>
        </w:rPr>
      </w:pPr>
    </w:p>
    <w:p>
      <w:pPr>
        <w:ind w:left="984" w:firstLine="7"/>
        <w:spacing w:after="0" w:line="273" w:lineRule="auto"/>
        <w:tabs>
          <w:tab w:leader="none" w:pos="1269" w:val="left"/>
        </w:tabs>
        <w:numPr>
          <w:ilvl w:val="1"/>
          <w:numId w:val="322"/>
        </w:numPr>
        <w:rPr>
          <w:rFonts w:ascii="Arial" w:cs="Arial" w:eastAsia="Arial" w:hAnsi="Arial"/>
          <w:sz w:val="17"/>
          <w:szCs w:val="17"/>
          <w:color w:val="auto"/>
        </w:rPr>
      </w:pPr>
      <w:r>
        <w:rPr>
          <w:rFonts w:ascii="Arial" w:cs="Arial" w:eastAsia="Arial" w:hAnsi="Arial"/>
          <w:sz w:val="17"/>
          <w:szCs w:val="17"/>
          <w:color w:val="auto"/>
        </w:rPr>
        <w:t>HHMI and its trustees, officers, employees and agents (collectively, “HHMI Indemnitees”), will be indemnified, defended by counsel acceptable to HHMI, and held harmless by Alexo from and against any claim, expense, damage, deficiency, liability, cost, loss or obligation of any kind or nature (including, without limitation, reasonable attorneys’ fees and other costs and expenses of defense), (collectively, “Claims”), based upon, arising out of, or otherwise relating to this Agreement or any Sublicense, including without limitation any cause of action relating to product liability. The previous sentence will not apply to any Claim that is determined with finality by a court of competent jurisdiction to result solely from the gross negligence or willful misconduct of an HHMI employee.</w:t>
      </w:r>
    </w:p>
    <w:p>
      <w:pPr>
        <w:spacing w:after="0" w:line="69" w:lineRule="exact"/>
        <w:rPr>
          <w:rFonts w:ascii="Arial" w:cs="Arial" w:eastAsia="Arial" w:hAnsi="Arial"/>
          <w:sz w:val="17"/>
          <w:szCs w:val="17"/>
          <w:color w:val="auto"/>
        </w:rPr>
      </w:pPr>
    </w:p>
    <w:p>
      <w:pPr>
        <w:ind w:left="984" w:firstLine="7"/>
        <w:spacing w:after="0" w:line="268" w:lineRule="auto"/>
        <w:tabs>
          <w:tab w:leader="none" w:pos="1269" w:val="left"/>
        </w:tabs>
        <w:numPr>
          <w:ilvl w:val="1"/>
          <w:numId w:val="322"/>
        </w:numPr>
        <w:rPr>
          <w:rFonts w:ascii="Arial" w:cs="Arial" w:eastAsia="Arial" w:hAnsi="Arial"/>
          <w:sz w:val="17"/>
          <w:szCs w:val="17"/>
          <w:color w:val="auto"/>
        </w:rPr>
      </w:pPr>
      <w:r>
        <w:rPr>
          <w:rFonts w:ascii="Arial" w:cs="Arial" w:eastAsia="Arial" w:hAnsi="Arial"/>
          <w:sz w:val="17"/>
          <w:szCs w:val="17"/>
          <w:color w:val="auto"/>
        </w:rPr>
        <w:t>To receive the benefit of indemnification under Section 10.1(a) or Section 10.1(b), as applicable, Stanford Indemnitees or HHMI Indemnitees must promptly notify Alexo in writing of any claim or suit brought against Stanford Indemnitees or HHMI Indemnitees in respect of which Stanford Indemnitees or HHMI Indemnitees intend(s) to invoke the provisions of this Article 10. In the case of any HHMI Indemnitee, such notice shall be given reasonably promptly following actual receipt of written notice thereof by an officer or attorney of HHMI. Notwithstanding the foregoing, the delay or failure of any Stanford Indemnitee or HHMI Indemnitee to give reasonably prompt notice to Alexo of any such claim or suit shall not affect the rights of such Stanford Indemnitee or HHMI Indemnitee under this Article 10 unless, and then solely to the extent that, such failure actually and materially prejudices the rights of Alexo. To receive the benefit of indemnification under Section 10.1(a) or Section 10.1(b), as applicable, the Stanford Indemnitees or HI-MI Indemnitees, as applicable, will provide reasonable cooperation (at Alexo’s expense) in the defense or settlement of such claim or suit; and tender to Alexo (and its insurer) full authority to defend or settle the claim or suit, subject to the limitation set forth below with respect to settlement by Alexo. Alexo shall keep the Stanford Indemnitees or HHMI Indemnitees, as applicable, informed on a current basis of its defense of any claims or suits under this Article. Alexo will not settle any claim or suit against Stanford Indemnitees or HHMI Indemnitees without Stanford’s or HHMI’s written consent, as applicable, where (1) such settlement would include any admission of liability or admission of wrong doing on the part of the indemnified</w:t>
      </w:r>
    </w:p>
    <w:p>
      <w:pPr>
        <w:spacing w:after="0" w:line="117" w:lineRule="exact"/>
        <w:rPr>
          <w:sz w:val="20"/>
          <w:szCs w:val="20"/>
          <w:color w:val="auto"/>
        </w:rPr>
      </w:pPr>
    </w:p>
    <w:p>
      <w:pPr>
        <w:ind w:left="424" w:right="260" w:hanging="424"/>
        <w:spacing w:after="0" w:line="277" w:lineRule="auto"/>
        <w:tabs>
          <w:tab w:leader="none" w:pos="424" w:val="left"/>
        </w:tabs>
        <w:numPr>
          <w:ilvl w:val="0"/>
          <w:numId w:val="323"/>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004"/>
          </w:cols>
          <w:pgMar w:left="436" w:top="270" w:right="459" w:bottom="1440" w:gutter="0" w:footer="0" w:header="0"/>
        </w:sectPr>
      </w:pPr>
    </w:p>
    <w:bookmarkStart w:id="405" w:name="page406"/>
    <w:bookmarkEnd w:id="405"/>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party, (2) such settlement would impose any restriction on Stanford Indemnitees or HHMI Indemnitees’ conduct of any of its activities, or</w:t>
      </w:r>
    </w:p>
    <w:p>
      <w:pPr>
        <w:spacing w:after="0" w:line="46" w:lineRule="exact"/>
        <w:rPr>
          <w:sz w:val="20"/>
          <w:szCs w:val="20"/>
          <w:color w:val="auto"/>
        </w:rPr>
      </w:pPr>
    </w:p>
    <w:p>
      <w:pPr>
        <w:ind w:left="984" w:right="60" w:firstLine="7"/>
        <w:spacing w:after="0" w:line="255" w:lineRule="auto"/>
        <w:tabs>
          <w:tab w:leader="none" w:pos="123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such settlement would not include an unconditional release of Stanford Indemnitees or HHMI Indemnitees from all liability for claims that are the subject matter of the settled claim. Alexo has no obligation to indemnify Stanford Indemnitees’ or HHMI Indemnitees’ in connection with any settlement made without Alexo’s written consent.</w:t>
      </w:r>
    </w:p>
    <w:p>
      <w:pPr>
        <w:spacing w:after="0" w:line="213" w:lineRule="exact"/>
        <w:rPr>
          <w:sz w:val="20"/>
          <w:szCs w:val="20"/>
          <w:color w:val="auto"/>
        </w:rPr>
      </w:pPr>
    </w:p>
    <w:p>
      <w:pPr>
        <w:ind w:left="964" w:right="200" w:hanging="539"/>
        <w:spacing w:after="0" w:line="266" w:lineRule="auto"/>
        <w:tabs>
          <w:tab w:leader="none" w:pos="94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b w:val="1"/>
          <w:bCs w:val="1"/>
          <w:color w:val="auto"/>
        </w:rPr>
        <w:t xml:space="preserve">No Indirect Liability. </w:t>
      </w:r>
      <w:r>
        <w:rPr>
          <w:rFonts w:ascii="Arial" w:cs="Arial" w:eastAsia="Arial" w:hAnsi="Arial"/>
          <w:sz w:val="18"/>
          <w:szCs w:val="18"/>
          <w:color w:val="auto"/>
        </w:rPr>
        <w:t>Stanford is not liable for any special, consequential, lost profit, expectation, punitive or other indirect damages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any claim arising out of or related to this Agreement, whether grounded in tort (including negligence), strict liability, contract, or otherwise.</w:t>
      </w:r>
    </w:p>
    <w:p>
      <w:pPr>
        <w:spacing w:after="0" w:line="203" w:lineRule="exact"/>
        <w:rPr>
          <w:sz w:val="20"/>
          <w:szCs w:val="20"/>
          <w:color w:val="auto"/>
        </w:rPr>
      </w:pPr>
    </w:p>
    <w:p>
      <w:pPr>
        <w:ind w:left="964" w:hanging="539"/>
        <w:spacing w:after="0" w:line="282" w:lineRule="auto"/>
        <w:tabs>
          <w:tab w:leader="none" w:pos="944"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b w:val="1"/>
          <w:bCs w:val="1"/>
          <w:color w:val="auto"/>
        </w:rPr>
        <w:t xml:space="preserve">Workers’ Compensation. </w:t>
      </w:r>
      <w:r>
        <w:rPr>
          <w:rFonts w:ascii="Arial" w:cs="Arial" w:eastAsia="Arial" w:hAnsi="Arial"/>
          <w:sz w:val="18"/>
          <w:szCs w:val="18"/>
          <w:color w:val="auto"/>
        </w:rPr>
        <w:t>Alexo will comply with all statutory workers’ compensation and employers’ liability requirements for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under this Agreement.</w:t>
      </w:r>
    </w:p>
    <w:p>
      <w:pPr>
        <w:spacing w:after="0" w:line="189" w:lineRule="exact"/>
        <w:rPr>
          <w:sz w:val="20"/>
          <w:szCs w:val="20"/>
          <w:color w:val="auto"/>
        </w:rPr>
      </w:pPr>
    </w:p>
    <w:p>
      <w:pPr>
        <w:ind w:left="964" w:right="40" w:hanging="539"/>
        <w:spacing w:after="0" w:line="269" w:lineRule="auto"/>
        <w:tabs>
          <w:tab w:leader="none" w:pos="9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b w:val="1"/>
          <w:bCs w:val="1"/>
          <w:color w:val="auto"/>
        </w:rPr>
        <w:t xml:space="preserve">Insurance. </w:t>
      </w:r>
      <w:r>
        <w:rPr>
          <w:rFonts w:ascii="Arial" w:cs="Arial" w:eastAsia="Arial" w:hAnsi="Arial"/>
          <w:sz w:val="17"/>
          <w:szCs w:val="17"/>
          <w:color w:val="auto"/>
        </w:rPr>
        <w:t>During the term of this Agreement, Alexo will maintain Comprehensive General Liability Insurance, including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Insurance, at all times when any Licensed Product is being clinically tested with human subjects or commercially distributed or sold, with a reputable and financially secure insurance carrier or self-insurance that is reasonably acceptable to Stanford to cover the activities of Alexo and its sublicensees. The insurance will provide minimum limits of liability of $[***] and will include all Stanford Indemnitees and HHMI Indemnitees as additional insureds. Insurance must cover claims incurred, discovered, manifested, or made during or after the expiration of this Agreement and must be placed with carriers with ratings of at least A- as rated by A.M. Best. Within [***] days of the Effective Date of this Agreement, Alexo will furnish a Certificate of Insurance evidencing primary coverage and additional insured requirements. Alexo will provide to Stanford [***] days prior written notice of cancellation or material change to this insurance coverage. Alexo will advise Stanford in writing that it maintains excess liability coverage (following form) over primary insurance for at least the minimum limits set forth above. All insurance of Alexo will be primary coverage; insurance of Stanford Indemnitees and HHMI Indemnitees will be excess and noncontributory.</w:t>
      </w:r>
    </w:p>
    <w:p>
      <w:pPr>
        <w:spacing w:after="0" w:line="330" w:lineRule="exact"/>
        <w:rPr>
          <w:sz w:val="20"/>
          <w:szCs w:val="20"/>
          <w:color w:val="auto"/>
        </w:rPr>
      </w:pPr>
    </w:p>
    <w:p>
      <w:pPr>
        <w:ind w:left="424" w:hanging="424"/>
        <w:spacing w:after="0"/>
        <w:tabs>
          <w:tab w:leader="none" w:pos="424"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EXPORT</w:t>
      </w:r>
    </w:p>
    <w:p>
      <w:pPr>
        <w:spacing w:after="0" w:line="121" w:lineRule="exact"/>
        <w:rPr>
          <w:rFonts w:ascii="Arial" w:cs="Arial" w:eastAsia="Arial" w:hAnsi="Arial"/>
          <w:sz w:val="18"/>
          <w:szCs w:val="18"/>
          <w:b w:val="1"/>
          <w:bCs w:val="1"/>
          <w:color w:val="auto"/>
        </w:rPr>
      </w:pPr>
    </w:p>
    <w:p>
      <w:pPr>
        <w:ind w:left="444" w:right="1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Alexo and its affiliates and sublicensees shall comply with all United States laws and regulations controlling the export of licensed commodities and technical data. (For the purpose of this paragraph, “licensed commodities” means any article, material or supply but does not include information; and “technical data” means tangible or intangible technical information that is subject to U.S. export regulations, including blueprints, plans, diagrams, models, formulae, tables, engineering designs and specifications, manuals and instructions.) These laws and regulations may include, but are not limited to, the Export Administration Regulations (15 CFR 730-774), the International Traffic in Arms Regulations (22 CFR 120-130) and the various economic sanctions regulations administered by the U.S. Department of the Treasury (31 CFR 500-600).</w:t>
      </w:r>
    </w:p>
    <w:p>
      <w:pPr>
        <w:spacing w:after="0" w:line="86" w:lineRule="exact"/>
        <w:rPr>
          <w:rFonts w:ascii="Arial" w:cs="Arial" w:eastAsia="Arial" w:hAnsi="Arial"/>
          <w:sz w:val="18"/>
          <w:szCs w:val="18"/>
          <w:b w:val="1"/>
          <w:bCs w:val="1"/>
          <w:color w:val="auto"/>
        </w:rPr>
      </w:pPr>
    </w:p>
    <w:p>
      <w:pPr>
        <w:ind w:left="444" w:right="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Among other things, these laws and regulations prohibit or require a license for the export or retransfer of certain commodities and technical data to specified countries, entities and persons. Alexo hereby gives written assurance that it will comply with, and will cause its affiliates and sublicensees</w:t>
      </w:r>
    </w:p>
    <w:p>
      <w:pPr>
        <w:spacing w:after="0" w:line="116" w:lineRule="exact"/>
        <w:rPr>
          <w:sz w:val="20"/>
          <w:szCs w:val="20"/>
          <w:color w:val="auto"/>
        </w:rPr>
      </w:pPr>
    </w:p>
    <w:p>
      <w:pPr>
        <w:ind w:left="424" w:right="240" w:hanging="424"/>
        <w:spacing w:after="0" w:line="277" w:lineRule="auto"/>
        <w:tabs>
          <w:tab w:leader="none" w:pos="42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0984"/>
          </w:cols>
          <w:pgMar w:left="436" w:top="274" w:right="479" w:bottom="1440" w:gutter="0" w:footer="0" w:header="0"/>
        </w:sectPr>
      </w:pPr>
    </w:p>
    <w:bookmarkStart w:id="406" w:name="page407"/>
    <w:bookmarkEnd w:id="406"/>
    <w:p>
      <w:pPr>
        <w:jc w:val="both"/>
        <w:ind w:left="44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comply with all United States export control laws and regulations, that it bears sole responsibility for any violation of such laws and regulations by itself or its affiliates or sublicensees, and that it will indemnify, defend and hold Stanford and HHMI harmless for the consequences of any such violation.</w:t>
      </w:r>
    </w:p>
    <w:p>
      <w:pPr>
        <w:spacing w:after="0" w:line="328" w:lineRule="exact"/>
        <w:rPr>
          <w:sz w:val="20"/>
          <w:szCs w:val="20"/>
          <w:color w:val="auto"/>
        </w:rPr>
      </w:pPr>
    </w:p>
    <w:p>
      <w:pPr>
        <w:ind w:left="424" w:hanging="424"/>
        <w:spacing w:after="0"/>
        <w:tabs>
          <w:tab w:leader="none" w:pos="424"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MARKING</w:t>
      </w:r>
    </w:p>
    <w:p>
      <w:pPr>
        <w:spacing w:after="0" w:line="121" w:lineRule="exact"/>
        <w:rPr>
          <w:rFonts w:ascii="Arial" w:cs="Arial" w:eastAsia="Arial" w:hAnsi="Arial"/>
          <w:sz w:val="18"/>
          <w:szCs w:val="18"/>
          <w:b w:val="1"/>
          <w:bCs w:val="1"/>
          <w:color w:val="auto"/>
        </w:rPr>
      </w:pPr>
    </w:p>
    <w:p>
      <w:pPr>
        <w:ind w:left="444"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Before any Licensed Patent issues, Alexo will mark Licensed Product with the words “Patent Pending.” Otherwise, Alexo will mark Licensed Product with the number of any issued Licensed Patent.</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STANFORD AND HHMI NAMES AND MARKS</w:t>
      </w:r>
    </w:p>
    <w:p>
      <w:pPr>
        <w:spacing w:after="0" w:line="121" w:lineRule="exact"/>
        <w:rPr>
          <w:rFonts w:ascii="Arial" w:cs="Arial" w:eastAsia="Arial" w:hAnsi="Arial"/>
          <w:sz w:val="18"/>
          <w:szCs w:val="18"/>
          <w:b w:val="1"/>
          <w:bCs w:val="1"/>
          <w:color w:val="auto"/>
        </w:rPr>
      </w:pPr>
    </w:p>
    <w:p>
      <w:pPr>
        <w:ind w:left="444" w:right="18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Alexo will not use (i) Stanford’s or HHMI’ s name or other trademarks, (ii) the name or trademarks of any organization related to Stanford or HHMI, or (iii) the name of any Stanford or HHMI faculty member, employee, student or volunteer without the prior written consent of the party (Stanford or HHMI as the case may be) whose name or trademark is being used. Permission may be withheld at Stanford’s or HHMI’ s sole discretion. This prohibition includes, but is not limited to, use in press releases, advertising, marketing materials, other promotional materials, presentations, case studies, reports, websites, application or software interfaces, and other electronic media.</w:t>
      </w:r>
    </w:p>
    <w:p>
      <w:pPr>
        <w:spacing w:after="0" w:line="320" w:lineRule="exact"/>
        <w:rPr>
          <w:rFonts w:ascii="Arial" w:cs="Arial" w:eastAsia="Arial" w:hAnsi="Arial"/>
          <w:sz w:val="18"/>
          <w:szCs w:val="18"/>
          <w:b w:val="1"/>
          <w:bCs w:val="1"/>
          <w:color w:val="auto"/>
        </w:rPr>
      </w:pPr>
    </w:p>
    <w:p>
      <w:pPr>
        <w:ind w:left="424" w:hanging="424"/>
        <w:spacing w:after="0"/>
        <w:tabs>
          <w:tab w:leader="none" w:pos="424"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PROSECUTION AND PROTECTION OF PATENTS</w:t>
      </w:r>
    </w:p>
    <w:p>
      <w:pPr>
        <w:spacing w:after="0" w:line="13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5"/>
          <w:szCs w:val="15"/>
          <w:b w:val="1"/>
          <w:bCs w:val="1"/>
          <w:color w:val="auto"/>
        </w:rPr>
        <w:t>Patent Prosecution.</w:t>
      </w:r>
    </w:p>
    <w:p>
      <w:pPr>
        <w:spacing w:after="0" w:line="121" w:lineRule="exact"/>
        <w:rPr>
          <w:sz w:val="20"/>
          <w:szCs w:val="20"/>
          <w:color w:val="auto"/>
        </w:rPr>
      </w:pPr>
    </w:p>
    <w:p>
      <w:pPr>
        <w:ind w:left="984"/>
        <w:spacing w:after="0" w:line="267" w:lineRule="auto"/>
        <w:rPr>
          <w:sz w:val="20"/>
          <w:szCs w:val="20"/>
          <w:color w:val="auto"/>
        </w:rPr>
      </w:pPr>
      <w:r>
        <w:rPr>
          <w:rFonts w:ascii="Arial" w:cs="Arial" w:eastAsia="Arial" w:hAnsi="Arial"/>
          <w:sz w:val="17"/>
          <w:szCs w:val="17"/>
          <w:color w:val="auto"/>
        </w:rPr>
        <w:t xml:space="preserve">Stanford will control, in consultation with Alexo, the preparation and prosecution of all patent applications and the maintenance of all patents related to Licensed Patents using independent patent counsel mutually acceptable to each of Stanford and Alexo. Patent counsel will directly notify Alexo and provide Alexo copies of any official communications from United States and foreign patent offices relating to prosecution of the Licensed Patents, as well as copies of relevant communications to the various patent offices so that Alexo may be informed and apprised of the continuing prosecution of Licensed Patents. Alexo will have reasonable opportunities to participate in key decisions affecting filing, prosecution and maintenance of the Licensed Patents, including, without limitation, opportunity to review and provide comment on amendments and responses in the course of the prosecution of Licensed Patents. Stanford will consider in good faith Alexo’s reasonable suggestions regarding said prosecution. Stanford will use reasonable efforts to amend any patent application to include claims reasonably requested by Alexo in order to cover a Licensed Product. Any differences between Alexo and Stanford with respect to preparation, filing, prosecution, issuance and maintenance matters will be discussed and resolved to their mutual satisfaction; </w:t>
      </w:r>
      <w:r>
        <w:rPr>
          <w:rFonts w:ascii="Arial" w:cs="Arial" w:eastAsia="Arial" w:hAnsi="Arial"/>
          <w:sz w:val="17"/>
          <w:szCs w:val="17"/>
          <w:u w:val="single" w:color="auto"/>
          <w:color w:val="auto"/>
        </w:rPr>
        <w:t>provided</w:t>
      </w:r>
      <w:r>
        <w:rPr>
          <w:rFonts w:ascii="Arial" w:cs="Arial" w:eastAsia="Arial" w:hAnsi="Arial"/>
          <w:sz w:val="17"/>
          <w:szCs w:val="17"/>
          <w:color w:val="auto"/>
        </w:rPr>
        <w:t>, that if any disagreement regards solely the costs associated with a particular proposed action, the requirement that the parties mutually agree upon resolution of the matter shall not apply. No case will be abandoned without giving Alexo at least [***] days notice and opportunity to pursue the application. Alexo will reimburse Stanford upon receipt of invoice for all documented expenses related to prosecution of the Licensed Patents upon receipt of invoice incurred in connection with the filing and prosecution of the patent applications and maintenance of the patents. If Alexo is not interested in filing patent applications covering Licensed Patents in a particular jurisdiction and Stanford determines that it wishes to file patent applications in said jurisdiction, Stanford may do so at its expense and Alexo’s license shall not include rights in such jurisdiction.</w:t>
      </w:r>
    </w:p>
    <w:p>
      <w:pPr>
        <w:spacing w:after="0" w:line="124" w:lineRule="exact"/>
        <w:rPr>
          <w:sz w:val="20"/>
          <w:szCs w:val="20"/>
          <w:color w:val="auto"/>
        </w:rPr>
      </w:pPr>
    </w:p>
    <w:p>
      <w:pPr>
        <w:ind w:left="424" w:right="260" w:hanging="424"/>
        <w:spacing w:after="0" w:line="277" w:lineRule="auto"/>
        <w:tabs>
          <w:tab w:leader="none" w:pos="42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004"/>
          </w:cols>
          <w:pgMar w:left="436" w:top="274" w:right="459" w:bottom="1440" w:gutter="0" w:footer="0" w:header="0"/>
        </w:sectPr>
      </w:pPr>
    </w:p>
    <w:bookmarkStart w:id="407" w:name="page408"/>
    <w:bookmarkEnd w:id="407"/>
    <w:p>
      <w:pPr>
        <w:ind w:left="424"/>
        <w:spacing w:after="0"/>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14.2</w:t>
      </w:r>
      <w:r>
        <w:rPr>
          <w:sz w:val="20"/>
          <w:szCs w:val="20"/>
          <w:color w:val="auto"/>
        </w:rPr>
        <w:tab/>
      </w:r>
      <w:r>
        <w:rPr>
          <w:rFonts w:ascii="Arial" w:cs="Arial" w:eastAsia="Arial" w:hAnsi="Arial"/>
          <w:sz w:val="16"/>
          <w:szCs w:val="16"/>
          <w:b w:val="1"/>
          <w:bCs w:val="1"/>
          <w:color w:val="auto"/>
        </w:rPr>
        <w:t xml:space="preserve">Patent Costs. </w:t>
      </w:r>
      <w:r>
        <w:rPr>
          <w:rFonts w:ascii="Arial" w:cs="Arial" w:eastAsia="Arial" w:hAnsi="Arial"/>
          <w:sz w:val="16"/>
          <w:szCs w:val="16"/>
          <w:color w:val="auto"/>
        </w:rPr>
        <w:t>Within [***] days after receiving a statement from Stanford, Alexo will reimburse Stanford:</w:t>
      </w:r>
    </w:p>
    <w:p>
      <w:pPr>
        <w:spacing w:after="0" w:line="135" w:lineRule="exact"/>
        <w:rPr>
          <w:sz w:val="20"/>
          <w:szCs w:val="20"/>
          <w:color w:val="auto"/>
        </w:rPr>
      </w:pPr>
    </w:p>
    <w:p>
      <w:pPr>
        <w:ind w:left="1424" w:right="440" w:hanging="439"/>
        <w:spacing w:after="0" w:line="277" w:lineRule="auto"/>
        <w:tabs>
          <w:tab w:leader="none" w:pos="142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to offset Licensed Patent’s patenting expenses, including any interference or reexamination matters, incurred by Stanford before the Effective Date; and</w:t>
      </w:r>
    </w:p>
    <w:p>
      <w:pPr>
        <w:spacing w:after="0" w:line="75" w:lineRule="exact"/>
        <w:rPr>
          <w:rFonts w:ascii="Arial" w:cs="Arial" w:eastAsia="Arial" w:hAnsi="Arial"/>
          <w:sz w:val="18"/>
          <w:szCs w:val="18"/>
          <w:color w:val="auto"/>
        </w:rPr>
      </w:pPr>
    </w:p>
    <w:p>
      <w:pPr>
        <w:jc w:val="both"/>
        <w:ind w:left="1424" w:right="340" w:hanging="439"/>
        <w:spacing w:after="0" w:line="263" w:lineRule="auto"/>
        <w:tabs>
          <w:tab w:leader="none" w:pos="142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for all Licensed Patent’s patenting expenses, including any interference or reexamination matters, incurred by Stanford after the Effective Date. In all instances, Stanford will pay the fees prescribed for large entities to the United States Patent and Trademark Office.</w:t>
      </w:r>
    </w:p>
    <w:p>
      <w:pPr>
        <w:spacing w:after="0" w:line="207" w:lineRule="exact"/>
        <w:rPr>
          <w:sz w:val="20"/>
          <w:szCs w:val="20"/>
          <w:color w:val="auto"/>
        </w:rPr>
      </w:pPr>
    </w:p>
    <w:p>
      <w:pPr>
        <w:ind w:left="964" w:right="80" w:hanging="539"/>
        <w:spacing w:after="0" w:line="289" w:lineRule="auto"/>
        <w:tabs>
          <w:tab w:leader="none" w:pos="944"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7"/>
          <w:szCs w:val="17"/>
          <w:b w:val="1"/>
          <w:bCs w:val="1"/>
          <w:color w:val="auto"/>
        </w:rPr>
        <w:t xml:space="preserve">Infringement Procedure. </w:t>
      </w:r>
      <w:r>
        <w:rPr>
          <w:rFonts w:ascii="Arial" w:cs="Arial" w:eastAsia="Arial" w:hAnsi="Arial"/>
          <w:sz w:val="17"/>
          <w:szCs w:val="17"/>
          <w:color w:val="auto"/>
        </w:rPr>
        <w:t>Alexo will promptly notify Stanford if it believes a third party infringes a Licensed Patents or if a third party</w:t>
      </w:r>
      <w:r>
        <w:rPr>
          <w:rFonts w:ascii="Arial" w:cs="Arial" w:eastAsia="Arial" w:hAnsi="Arial"/>
          <w:sz w:val="17"/>
          <w:szCs w:val="17"/>
          <w:b w:val="1"/>
          <w:bCs w:val="1"/>
          <w:color w:val="auto"/>
        </w:rPr>
        <w:t xml:space="preserve"> </w:t>
      </w:r>
      <w:r>
        <w:rPr>
          <w:rFonts w:ascii="Arial" w:cs="Arial" w:eastAsia="Arial" w:hAnsi="Arial"/>
          <w:sz w:val="17"/>
          <w:szCs w:val="17"/>
          <w:color w:val="auto"/>
        </w:rPr>
        <w:t>files a declaratory judgment action with respect to any Licensed Patents. Alexo shall have the right to institute a suit against or defend any declaratory judgment action initiated by this third party as provided in Section 14.4 through and including Section 14.8.</w:t>
      </w:r>
    </w:p>
    <w:p>
      <w:pPr>
        <w:spacing w:after="0" w:line="185" w:lineRule="exact"/>
        <w:rPr>
          <w:sz w:val="20"/>
          <w:szCs w:val="20"/>
          <w:color w:val="auto"/>
        </w:rPr>
      </w:pPr>
    </w:p>
    <w:p>
      <w:pPr>
        <w:ind w:left="964" w:right="20" w:hanging="539"/>
        <w:spacing w:after="0" w:line="258" w:lineRule="auto"/>
        <w:tabs>
          <w:tab w:leader="none" w:pos="944"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b w:val="1"/>
          <w:bCs w:val="1"/>
          <w:color w:val="auto"/>
        </w:rPr>
        <w:t xml:space="preserve">Stanford Suit. </w:t>
      </w:r>
      <w:r>
        <w:rPr>
          <w:rFonts w:ascii="Arial" w:cs="Arial" w:eastAsia="Arial" w:hAnsi="Arial"/>
          <w:sz w:val="18"/>
          <w:szCs w:val="18"/>
          <w:color w:val="auto"/>
        </w:rPr>
        <w:t>Subject to Section 14.6, Stanford has the first right to institute suit, and may name Alexo as a party for standing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for Licensed Patents and Stanford has the sole right to institute suit as it relates to Nonexclusive Licensed Patents. If Stanford decides to institute suit for Licensed Patents, it will notify Alexo in writing. If Alexo does not notify Stanford in writing that it desires to jointly prosecute the suit within [***] days after the date of the notice, Alexo will [***]. Stanford will bear the entire cost of the litigation and will [***]. Stanford will not [***]. Stanford shall impose this obligation on [***].</w:t>
      </w:r>
    </w:p>
    <w:p>
      <w:pPr>
        <w:spacing w:after="0" w:line="210"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b w:val="1"/>
          <w:bCs w:val="1"/>
          <w:color w:val="auto"/>
        </w:rPr>
        <w:t xml:space="preserve">Joint Suit. </w:t>
      </w:r>
      <w:r>
        <w:rPr>
          <w:rFonts w:ascii="Arial" w:cs="Arial" w:eastAsia="Arial" w:hAnsi="Arial"/>
          <w:sz w:val="16"/>
          <w:szCs w:val="16"/>
          <w:color w:val="auto"/>
        </w:rPr>
        <w:t>If Stanford and Alexo so agree, they may institute suit or defend the declaratory judgment action jointly. If so, they will:</w:t>
      </w:r>
    </w:p>
    <w:p>
      <w:pPr>
        <w:spacing w:after="0" w:line="135" w:lineRule="exact"/>
        <w:rPr>
          <w:sz w:val="20"/>
          <w:szCs w:val="20"/>
          <w:color w:val="auto"/>
        </w:rPr>
      </w:pPr>
    </w:p>
    <w:p>
      <w:pPr>
        <w:ind w:left="1424" w:hanging="439"/>
        <w:spacing w:after="0"/>
        <w:tabs>
          <w:tab w:leader="none" w:pos="142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prosecute the suit in both their names;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bear the out-of-pocket costs [***];</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share any recovery or settlement [***];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agree how they will exercise control over the action.</w:t>
      </w:r>
    </w:p>
    <w:p>
      <w:pPr>
        <w:spacing w:after="0" w:line="248" w:lineRule="exact"/>
        <w:rPr>
          <w:sz w:val="20"/>
          <w:szCs w:val="20"/>
          <w:color w:val="auto"/>
        </w:rPr>
      </w:pPr>
    </w:p>
    <w:p>
      <w:pPr>
        <w:jc w:val="center"/>
        <w:ind w:right="-423"/>
        <w:spacing w:after="0"/>
        <w:tabs>
          <w:tab w:leader="none" w:pos="20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b w:val="1"/>
          <w:bCs w:val="1"/>
          <w:color w:val="auto"/>
        </w:rPr>
        <w:t xml:space="preserve">Alexo Suit. </w:t>
      </w:r>
      <w:r>
        <w:rPr>
          <w:rFonts w:ascii="Arial" w:cs="Arial" w:eastAsia="Arial" w:hAnsi="Arial"/>
          <w:sz w:val="16"/>
          <w:szCs w:val="16"/>
          <w:color w:val="auto"/>
        </w:rPr>
        <w:t>With respect to patents licensed exclusively to Alexo, Alexo shall have a [***] option to pursue infringers. If Alexo [***], or if</w:t>
      </w:r>
    </w:p>
    <w:p>
      <w:pPr>
        <w:spacing w:after="0" w:line="27" w:lineRule="exact"/>
        <w:rPr>
          <w:sz w:val="20"/>
          <w:szCs w:val="20"/>
          <w:color w:val="auto"/>
        </w:rPr>
      </w:pPr>
    </w:p>
    <w:p>
      <w:pPr>
        <w:ind w:left="964" w:right="240"/>
        <w:spacing w:after="0" w:line="292" w:lineRule="auto"/>
        <w:rPr>
          <w:sz w:val="20"/>
          <w:szCs w:val="20"/>
          <w:color w:val="auto"/>
        </w:rPr>
      </w:pPr>
      <w:r>
        <w:rPr>
          <w:rFonts w:ascii="Arial" w:cs="Arial" w:eastAsia="Arial" w:hAnsi="Arial"/>
          <w:sz w:val="16"/>
          <w:szCs w:val="16"/>
          <w:color w:val="auto"/>
        </w:rPr>
        <w:t>Alexo [***], Stanford may [***]. Alexo will diligently pursue the suit and Alexo will bear the entire cost of the litigation, including expenses and counsel fees incurred by Stanford. Alexo will keep Stanford reasonably apprised of all developments in the suit, and will seek Stanford’s input and approval on any substantive submissions or positions taken in the litigation regarding the scope, validity and enforceability of the Licensed Patent. Alexo will not prosecute, settle or otherwise compromise any such suit in a manner that adversely affects Stanford’s interests without Stanford’s prior written consent. Stanford may be named as a party only if:</w:t>
      </w:r>
    </w:p>
    <w:p>
      <w:pPr>
        <w:spacing w:after="0" w:line="68" w:lineRule="exact"/>
        <w:rPr>
          <w:sz w:val="20"/>
          <w:szCs w:val="20"/>
          <w:color w:val="auto"/>
        </w:rPr>
      </w:pPr>
    </w:p>
    <w:p>
      <w:pPr>
        <w:ind w:left="1424" w:hanging="439"/>
        <w:spacing w:after="0"/>
        <w:tabs>
          <w:tab w:leader="none" w:pos="1424" w:val="left"/>
        </w:tabs>
        <w:numPr>
          <w:ilvl w:val="1"/>
          <w:numId w:val="331"/>
        </w:numPr>
        <w:rPr>
          <w:rFonts w:ascii="Arial" w:cs="Arial" w:eastAsia="Arial" w:hAnsi="Arial"/>
          <w:sz w:val="16"/>
          <w:szCs w:val="16"/>
          <w:color w:val="auto"/>
        </w:rPr>
      </w:pPr>
      <w:r>
        <w:rPr>
          <w:rFonts w:ascii="Arial" w:cs="Arial" w:eastAsia="Arial" w:hAnsi="Arial"/>
          <w:sz w:val="16"/>
          <w:szCs w:val="16"/>
          <w:color w:val="auto"/>
        </w:rPr>
        <w:t>Alexo’s and Stanford’s respective counsel recommend that such action is necessary in their reasonable opinion to achieve standing;</w:t>
      </w:r>
    </w:p>
    <w:p>
      <w:pPr>
        <w:spacing w:after="0" w:line="180" w:lineRule="exact"/>
        <w:rPr>
          <w:rFonts w:ascii="Arial" w:cs="Arial" w:eastAsia="Arial" w:hAnsi="Arial"/>
          <w:sz w:val="16"/>
          <w:szCs w:val="16"/>
          <w:color w:val="auto"/>
        </w:rPr>
      </w:pPr>
    </w:p>
    <w:p>
      <w:pPr>
        <w:ind w:left="424" w:right="260" w:hanging="424"/>
        <w:spacing w:after="0" w:line="277" w:lineRule="auto"/>
        <w:tabs>
          <w:tab w:leader="none" w:pos="42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004"/>
          </w:cols>
          <w:pgMar w:left="436" w:top="270" w:right="459" w:bottom="1440" w:gutter="0" w:footer="0" w:header="0"/>
        </w:sectPr>
      </w:pPr>
    </w:p>
    <w:bookmarkStart w:id="408" w:name="page409"/>
    <w:bookmarkEnd w:id="408"/>
    <w:p>
      <w:pPr>
        <w:ind w:left="1424" w:hanging="439"/>
        <w:spacing w:after="0"/>
        <w:tabs>
          <w:tab w:leader="none" w:pos="1424" w:val="left"/>
        </w:tabs>
        <w:numPr>
          <w:ilvl w:val="0"/>
          <w:numId w:val="3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Stanford is not the first named party in the action; and</w:t>
      </w:r>
    </w:p>
    <w:p>
      <w:pPr>
        <w:spacing w:after="0" w:line="130" w:lineRule="exact"/>
        <w:rPr>
          <w:rFonts w:ascii="Arial" w:cs="Arial" w:eastAsia="Arial" w:hAnsi="Arial"/>
          <w:sz w:val="18"/>
          <w:szCs w:val="18"/>
          <w:color w:val="auto"/>
        </w:rPr>
      </w:pPr>
    </w:p>
    <w:p>
      <w:pPr>
        <w:ind w:left="1424" w:right="160" w:hanging="439"/>
        <w:spacing w:after="0" w:line="277" w:lineRule="auto"/>
        <w:tabs>
          <w:tab w:leader="none" w:pos="142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pleadings and any public statements about the action state that Alexo is pursuing the action and that Alexo has the right to join Stanford as a party.</w:t>
      </w:r>
    </w:p>
    <w:p>
      <w:pPr>
        <w:spacing w:after="0" w:line="72"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b w:val="1"/>
          <w:bCs w:val="1"/>
          <w:color w:val="auto"/>
        </w:rPr>
        <w:t xml:space="preserve">Recovery. </w:t>
      </w:r>
      <w:r>
        <w:rPr>
          <w:rFonts w:ascii="Arial" w:cs="Arial" w:eastAsia="Arial" w:hAnsi="Arial"/>
          <w:sz w:val="16"/>
          <w:szCs w:val="16"/>
          <w:color w:val="auto"/>
        </w:rPr>
        <w:t>If Alexo sues under Section 14.6, then any recovery in excess of any unrecovered litigation costs and fees will be shared with</w:t>
      </w:r>
    </w:p>
    <w:p>
      <w:pPr>
        <w:spacing w:after="0" w:line="27" w:lineRule="exact"/>
        <w:rPr>
          <w:sz w:val="20"/>
          <w:szCs w:val="20"/>
          <w:color w:val="auto"/>
        </w:rPr>
      </w:pPr>
    </w:p>
    <w:p>
      <w:pPr>
        <w:ind w:left="964"/>
        <w:spacing w:after="0"/>
        <w:rPr>
          <w:sz w:val="20"/>
          <w:szCs w:val="20"/>
          <w:color w:val="auto"/>
        </w:rPr>
      </w:pPr>
      <w:r>
        <w:rPr>
          <w:rFonts w:ascii="Arial" w:cs="Arial" w:eastAsia="Arial" w:hAnsi="Arial"/>
          <w:sz w:val="18"/>
          <w:szCs w:val="18"/>
          <w:color w:val="auto"/>
        </w:rPr>
        <w:t>Stanford as follows:</w:t>
      </w:r>
    </w:p>
    <w:p>
      <w:pPr>
        <w:spacing w:after="0" w:line="11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ind w:left="964" w:right="140" w:hanging="539"/>
        <w:spacing w:after="0" w:line="266" w:lineRule="auto"/>
        <w:tabs>
          <w:tab w:leader="none" w:pos="944"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b w:val="1"/>
          <w:bCs w:val="1"/>
          <w:color w:val="auto"/>
        </w:rPr>
        <w:t xml:space="preserve">Abandonment of Suit. </w:t>
      </w:r>
      <w:r>
        <w:rPr>
          <w:rFonts w:ascii="Arial" w:cs="Arial" w:eastAsia="Arial" w:hAnsi="Arial"/>
          <w:sz w:val="18"/>
          <w:szCs w:val="18"/>
          <w:color w:val="auto"/>
        </w:rPr>
        <w:t>If either Stanford or Alexo commences a suit and then wants to abandon the suit, it will give timely notice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The other party may continue prosecutions of the suit after Stanford and Alexo agree on the sharing of expenses and any recovery in the suit.</w:t>
      </w:r>
    </w:p>
    <w:p>
      <w:pPr>
        <w:spacing w:after="0" w:line="324" w:lineRule="exact"/>
        <w:rPr>
          <w:sz w:val="20"/>
          <w:szCs w:val="20"/>
          <w:color w:val="auto"/>
        </w:rPr>
      </w:pPr>
    </w:p>
    <w:p>
      <w:pPr>
        <w:ind w:left="424" w:hanging="424"/>
        <w:spacing w:after="0"/>
        <w:tabs>
          <w:tab w:leader="none" w:pos="424"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30" w:lineRule="exact"/>
        <w:rPr>
          <w:rFonts w:ascii="Arial" w:cs="Arial" w:eastAsia="Arial" w:hAnsi="Arial"/>
          <w:sz w:val="18"/>
          <w:szCs w:val="18"/>
          <w:b w:val="1"/>
          <w:bCs w:val="1"/>
          <w:color w:val="auto"/>
        </w:rPr>
      </w:pPr>
    </w:p>
    <w:p>
      <w:pPr>
        <w:ind w:left="964" w:hanging="5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Termination by Alexo.</w:t>
      </w:r>
      <w:r>
        <w:rPr>
          <w:rFonts w:ascii="Arial" w:cs="Arial" w:eastAsia="Arial" w:hAnsi="Arial"/>
          <w:sz w:val="18"/>
          <w:szCs w:val="18"/>
          <w:color w:val="auto"/>
        </w:rPr>
        <w:t xml:space="preserve"> Alexo may terminate this Agreement on a Licensed Product-by-Licensed product basis by giving Stanford written notice at least 60 days in advance of the effective date of termination selected by Alexo.</w:t>
      </w:r>
    </w:p>
    <w:p>
      <w:pPr>
        <w:spacing w:after="0" w:line="188"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15.2   Termination by Stanford.</w:t>
      </w:r>
    </w:p>
    <w:p>
      <w:pPr>
        <w:spacing w:after="0" w:line="134" w:lineRule="exact"/>
        <w:rPr>
          <w:rFonts w:ascii="Arial" w:cs="Arial" w:eastAsia="Arial" w:hAnsi="Arial"/>
          <w:sz w:val="18"/>
          <w:szCs w:val="18"/>
          <w:b w:val="1"/>
          <w:bCs w:val="1"/>
          <w:color w:val="auto"/>
        </w:rPr>
      </w:pPr>
    </w:p>
    <w:p>
      <w:pPr>
        <w:ind w:left="1424" w:hanging="439"/>
        <w:spacing w:after="0"/>
        <w:tabs>
          <w:tab w:leader="none" w:pos="1424" w:val="left"/>
        </w:tabs>
        <w:numPr>
          <w:ilvl w:val="1"/>
          <w:numId w:val="333"/>
        </w:numPr>
        <w:rPr>
          <w:rFonts w:ascii="Arial" w:cs="Arial" w:eastAsia="Arial" w:hAnsi="Arial"/>
          <w:sz w:val="18"/>
          <w:szCs w:val="18"/>
          <w:color w:val="auto"/>
        </w:rPr>
      </w:pPr>
      <w:r>
        <w:rPr>
          <w:rFonts w:ascii="Arial" w:cs="Arial" w:eastAsia="Arial" w:hAnsi="Arial"/>
          <w:sz w:val="18"/>
          <w:szCs w:val="18"/>
          <w:color w:val="auto"/>
        </w:rPr>
        <w:t>Stanford may also terminate this Agreement on a Licensed Product-by-Licensed product basis if Alexo:</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333"/>
        </w:numPr>
        <w:rPr>
          <w:rFonts w:ascii="Arial" w:cs="Arial" w:eastAsia="Arial" w:hAnsi="Arial"/>
          <w:sz w:val="18"/>
          <w:szCs w:val="18"/>
          <w:color w:val="auto"/>
        </w:rPr>
      </w:pPr>
      <w:r>
        <w:rPr>
          <w:rFonts w:ascii="Arial" w:cs="Arial" w:eastAsia="Arial" w:hAnsi="Arial"/>
          <w:sz w:val="18"/>
          <w:szCs w:val="18"/>
          <w:color w:val="auto"/>
        </w:rPr>
        <w:t>is delinquent on any report or payment;</w:t>
      </w:r>
    </w:p>
    <w:p>
      <w:pPr>
        <w:spacing w:after="0" w:line="130" w:lineRule="exact"/>
        <w:rPr>
          <w:rFonts w:ascii="Arial" w:cs="Arial" w:eastAsia="Arial" w:hAnsi="Arial"/>
          <w:sz w:val="18"/>
          <w:szCs w:val="18"/>
          <w:color w:val="auto"/>
        </w:rPr>
      </w:pPr>
    </w:p>
    <w:p>
      <w:pPr>
        <w:ind w:left="1964" w:right="180" w:hanging="533"/>
        <w:spacing w:after="0" w:line="308" w:lineRule="auto"/>
        <w:tabs>
          <w:tab w:leader="none" w:pos="1964" w:val="left"/>
        </w:tabs>
        <w:numPr>
          <w:ilvl w:val="2"/>
          <w:numId w:val="333"/>
        </w:numPr>
        <w:rPr>
          <w:rFonts w:ascii="Arial" w:cs="Arial" w:eastAsia="Arial" w:hAnsi="Arial"/>
          <w:sz w:val="17"/>
          <w:szCs w:val="17"/>
          <w:color w:val="auto"/>
        </w:rPr>
      </w:pPr>
      <w:r>
        <w:rPr>
          <w:rFonts w:ascii="Arial" w:cs="Arial" w:eastAsia="Arial" w:hAnsi="Arial"/>
          <w:sz w:val="17"/>
          <w:szCs w:val="17"/>
          <w:color w:val="auto"/>
        </w:rPr>
        <w:t>is not diligently developing and commercializing Licensed Product with respect to a market or indication and a third party seeks rights with respect to such indication or market and Alexo does not within [***] either (A) [***] or (B) [***];</w:t>
      </w:r>
    </w:p>
    <w:p>
      <w:pPr>
        <w:spacing w:after="0" w:line="51" w:lineRule="exact"/>
        <w:rPr>
          <w:rFonts w:ascii="Arial" w:cs="Arial" w:eastAsia="Arial" w:hAnsi="Arial"/>
          <w:sz w:val="17"/>
          <w:szCs w:val="17"/>
          <w:color w:val="auto"/>
        </w:rPr>
      </w:pPr>
    </w:p>
    <w:p>
      <w:pPr>
        <w:ind w:left="1964" w:hanging="533"/>
        <w:spacing w:after="0"/>
        <w:tabs>
          <w:tab w:leader="none" w:pos="1964" w:val="left"/>
        </w:tabs>
        <w:numPr>
          <w:ilvl w:val="2"/>
          <w:numId w:val="333"/>
        </w:numPr>
        <w:rPr>
          <w:rFonts w:ascii="Arial" w:cs="Arial" w:eastAsia="Arial" w:hAnsi="Arial"/>
          <w:sz w:val="18"/>
          <w:szCs w:val="18"/>
          <w:color w:val="auto"/>
        </w:rPr>
      </w:pPr>
      <w:r>
        <w:rPr>
          <w:rFonts w:ascii="Arial" w:cs="Arial" w:eastAsia="Arial" w:hAnsi="Arial"/>
          <w:sz w:val="18"/>
          <w:szCs w:val="18"/>
          <w:color w:val="auto"/>
        </w:rPr>
        <w:t>misses a milestone described in Appendix A;</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333"/>
        </w:numPr>
        <w:rPr>
          <w:rFonts w:ascii="Arial" w:cs="Arial" w:eastAsia="Arial" w:hAnsi="Arial"/>
          <w:sz w:val="18"/>
          <w:szCs w:val="18"/>
          <w:color w:val="auto"/>
        </w:rPr>
      </w:pPr>
      <w:r>
        <w:rPr>
          <w:rFonts w:ascii="Arial" w:cs="Arial" w:eastAsia="Arial" w:hAnsi="Arial"/>
          <w:sz w:val="18"/>
          <w:szCs w:val="18"/>
          <w:color w:val="auto"/>
        </w:rPr>
        <w:t>is in breach of any provision of this Agreement; or</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333"/>
        </w:numPr>
        <w:rPr>
          <w:rFonts w:ascii="Arial" w:cs="Arial" w:eastAsia="Arial" w:hAnsi="Arial"/>
          <w:sz w:val="18"/>
          <w:szCs w:val="18"/>
          <w:color w:val="auto"/>
        </w:rPr>
      </w:pPr>
      <w:r>
        <w:rPr>
          <w:rFonts w:ascii="Arial" w:cs="Arial" w:eastAsia="Arial" w:hAnsi="Arial"/>
          <w:sz w:val="18"/>
          <w:szCs w:val="18"/>
          <w:color w:val="auto"/>
        </w:rPr>
        <w:t>provides any false report.</w:t>
      </w:r>
    </w:p>
    <w:p>
      <w:pPr>
        <w:spacing w:after="0" w:line="130" w:lineRule="exact"/>
        <w:rPr>
          <w:rFonts w:ascii="Arial" w:cs="Arial" w:eastAsia="Arial" w:hAnsi="Arial"/>
          <w:sz w:val="18"/>
          <w:szCs w:val="18"/>
          <w:color w:val="auto"/>
        </w:rPr>
      </w:pPr>
    </w:p>
    <w:p>
      <w:pPr>
        <w:ind w:left="1424" w:right="160" w:hanging="439"/>
        <w:spacing w:after="0" w:line="277" w:lineRule="auto"/>
        <w:tabs>
          <w:tab w:leader="none" w:pos="1424"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Termination under this Section 15.2 will take effect 60 days after written notice by Stanford unless Alexo remedies the problem in that 60-day period.</w:t>
      </w:r>
    </w:p>
    <w:p>
      <w:pPr>
        <w:spacing w:after="0" w:line="103" w:lineRule="exact"/>
        <w:rPr>
          <w:sz w:val="20"/>
          <w:szCs w:val="20"/>
          <w:color w:val="auto"/>
        </w:rPr>
      </w:pPr>
    </w:p>
    <w:p>
      <w:pPr>
        <w:ind w:left="424" w:right="200" w:hanging="424"/>
        <w:spacing w:after="0" w:line="277" w:lineRule="auto"/>
        <w:tabs>
          <w:tab w:leader="none" w:pos="42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0944"/>
          </w:cols>
          <w:pgMar w:left="436" w:top="274" w:right="519" w:bottom="1440" w:gutter="0" w:footer="0" w:header="0"/>
        </w:sectPr>
      </w:pPr>
    </w:p>
    <w:bookmarkStart w:id="409" w:name="page410"/>
    <w:bookmarkEnd w:id="409"/>
    <w:p>
      <w:pPr>
        <w:ind w:left="424"/>
        <w:spacing w:after="0"/>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15.3</w:t>
      </w:r>
      <w:r>
        <w:rPr>
          <w:sz w:val="20"/>
          <w:szCs w:val="20"/>
          <w:color w:val="auto"/>
        </w:rPr>
        <w:tab/>
      </w:r>
      <w:r>
        <w:rPr>
          <w:rFonts w:ascii="Arial" w:cs="Arial" w:eastAsia="Arial" w:hAnsi="Arial"/>
          <w:sz w:val="16"/>
          <w:szCs w:val="16"/>
          <w:b w:val="1"/>
          <w:bCs w:val="1"/>
          <w:color w:val="auto"/>
        </w:rPr>
        <w:t xml:space="preserve">Surviving Provisions. </w:t>
      </w:r>
      <w:r>
        <w:rPr>
          <w:rFonts w:ascii="Arial" w:cs="Arial" w:eastAsia="Arial" w:hAnsi="Arial"/>
          <w:sz w:val="16"/>
          <w:szCs w:val="16"/>
          <w:color w:val="auto"/>
        </w:rPr>
        <w:t>Surviving any termination or expiration are:</w:t>
      </w:r>
    </w:p>
    <w:p>
      <w:pPr>
        <w:spacing w:after="0" w:line="135" w:lineRule="exact"/>
        <w:rPr>
          <w:sz w:val="20"/>
          <w:szCs w:val="20"/>
          <w:color w:val="auto"/>
        </w:rPr>
      </w:pPr>
    </w:p>
    <w:p>
      <w:pPr>
        <w:ind w:left="1424" w:hanging="439"/>
        <w:spacing w:after="0"/>
        <w:tabs>
          <w:tab w:leader="none" w:pos="1424"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Alexo’s obligation to pay royalties accrued or accruable;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any claim of Alexo or Stanford, accrued or to accrue, because of any breach or default by the other party;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the provisions of Articles 8, 9, 10, and 19.6 and any other provision that by its nature is intended to survive.</w:t>
      </w:r>
    </w:p>
    <w:p>
      <w:pPr>
        <w:spacing w:after="0" w:line="130" w:lineRule="exact"/>
        <w:rPr>
          <w:rFonts w:ascii="Arial" w:cs="Arial" w:eastAsia="Arial" w:hAnsi="Arial"/>
          <w:sz w:val="18"/>
          <w:szCs w:val="18"/>
          <w:color w:val="auto"/>
        </w:rPr>
      </w:pPr>
    </w:p>
    <w:p>
      <w:pPr>
        <w:ind w:left="1424" w:right="220" w:hanging="439"/>
        <w:spacing w:after="0" w:line="308" w:lineRule="auto"/>
        <w:tabs>
          <w:tab w:leader="none" w:pos="1424" w:val="left"/>
        </w:tabs>
        <w:numPr>
          <w:ilvl w:val="1"/>
          <w:numId w:val="335"/>
        </w:numPr>
        <w:rPr>
          <w:rFonts w:ascii="Arial" w:cs="Arial" w:eastAsia="Arial" w:hAnsi="Arial"/>
          <w:sz w:val="17"/>
          <w:szCs w:val="17"/>
          <w:color w:val="auto"/>
        </w:rPr>
      </w:pPr>
      <w:r>
        <w:rPr>
          <w:rFonts w:ascii="Arial" w:cs="Arial" w:eastAsia="Arial" w:hAnsi="Arial"/>
          <w:sz w:val="17"/>
          <w:szCs w:val="17"/>
          <w:color w:val="auto"/>
        </w:rPr>
        <w:t>Sublicenses granted in accordance with this Agreement shall survive termination, provided the sublicensee agrees in writing that: [***]. All payments due to Alexo from such sublicensees under the Sublicense will [***], but Alexo shall [***].</w:t>
      </w:r>
    </w:p>
    <w:p>
      <w:pPr>
        <w:spacing w:after="0" w:line="290" w:lineRule="exact"/>
        <w:rPr>
          <w:rFonts w:ascii="Arial" w:cs="Arial" w:eastAsia="Arial" w:hAnsi="Arial"/>
          <w:sz w:val="17"/>
          <w:szCs w:val="17"/>
          <w:color w:val="auto"/>
        </w:rPr>
      </w:pPr>
    </w:p>
    <w:p>
      <w:pPr>
        <w:ind w:left="424" w:hanging="424"/>
        <w:spacing w:after="0"/>
        <w:tabs>
          <w:tab w:leader="none" w:pos="424"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30" w:lineRule="exact"/>
        <w:rPr>
          <w:rFonts w:ascii="Arial" w:cs="Arial" w:eastAsia="Arial" w:hAnsi="Arial"/>
          <w:sz w:val="18"/>
          <w:szCs w:val="18"/>
          <w:b w:val="1"/>
          <w:bCs w:val="1"/>
          <w:color w:val="auto"/>
        </w:rPr>
      </w:pPr>
    </w:p>
    <w:p>
      <w:pPr>
        <w:ind w:left="964" w:right="140" w:hanging="5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16.1 </w:t>
      </w:r>
      <w:r>
        <w:rPr>
          <w:rFonts w:ascii="Arial" w:cs="Arial" w:eastAsia="Arial" w:hAnsi="Arial"/>
          <w:sz w:val="18"/>
          <w:szCs w:val="18"/>
          <w:b w:val="1"/>
          <w:bCs w:val="1"/>
          <w:color w:val="auto"/>
        </w:rPr>
        <w:t>Permitted Assignment by Alexo.</w:t>
      </w:r>
      <w:r>
        <w:rPr>
          <w:rFonts w:ascii="Arial" w:cs="Arial" w:eastAsia="Arial" w:hAnsi="Arial"/>
          <w:sz w:val="18"/>
          <w:szCs w:val="18"/>
          <w:color w:val="auto"/>
        </w:rPr>
        <w:t xml:space="preserve"> Subject to Section 16.3, Alexo may assign this Agreement as part of a sale or change of control, regardless of whether such a sale or change of control occurs through an asset sale, stock sale, merger or other combination, or any other transfer of:</w:t>
      </w:r>
    </w:p>
    <w:p>
      <w:pPr>
        <w:spacing w:after="0" w:line="85" w:lineRule="exact"/>
        <w:rPr>
          <w:rFonts w:ascii="Arial" w:cs="Arial" w:eastAsia="Arial" w:hAnsi="Arial"/>
          <w:sz w:val="18"/>
          <w:szCs w:val="18"/>
          <w:b w:val="1"/>
          <w:bCs w:val="1"/>
          <w:color w:val="auto"/>
        </w:rPr>
      </w:pPr>
    </w:p>
    <w:p>
      <w:pPr>
        <w:ind w:left="1424" w:hanging="439"/>
        <w:spacing w:after="0"/>
        <w:tabs>
          <w:tab w:leader="none" w:pos="1424"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Alexo’s entire business;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that part of Alexo’s business that exercises all rights granted under this Agreement.</w:t>
      </w:r>
    </w:p>
    <w:p>
      <w:pPr>
        <w:spacing w:after="0" w:line="130" w:lineRule="exact"/>
        <w:rPr>
          <w:rFonts w:ascii="Arial" w:cs="Arial" w:eastAsia="Arial" w:hAnsi="Arial"/>
          <w:sz w:val="18"/>
          <w:szCs w:val="18"/>
          <w:color w:val="auto"/>
        </w:rPr>
      </w:pPr>
    </w:p>
    <w:p>
      <w:pPr>
        <w:ind w:left="1424" w:right="260" w:hanging="439"/>
        <w:spacing w:after="0" w:line="311" w:lineRule="auto"/>
        <w:tabs>
          <w:tab w:leader="none" w:pos="1424" w:val="left"/>
        </w:tabs>
        <w:numPr>
          <w:ilvl w:val="1"/>
          <w:numId w:val="336"/>
        </w:numPr>
        <w:rPr>
          <w:rFonts w:ascii="Arial" w:cs="Arial" w:eastAsia="Arial" w:hAnsi="Arial"/>
          <w:sz w:val="16"/>
          <w:szCs w:val="16"/>
          <w:color w:val="auto"/>
        </w:rPr>
      </w:pPr>
      <w:r>
        <w:rPr>
          <w:rFonts w:ascii="Arial" w:cs="Arial" w:eastAsia="Arial" w:hAnsi="Arial"/>
          <w:sz w:val="16"/>
          <w:szCs w:val="16"/>
          <w:color w:val="auto"/>
        </w:rPr>
        <w:t>For the avoidance of doubt, it is understood and agreed that a change of control shall not include (i) the grant of a sublicense or (ii) any transaction or series of related transactions effected primarily for the purpose of providing financing to Alexo or (iii) any transaction or series of related transactions effected primarily for the purpose of reincorporating in another jurisdiction.</w:t>
      </w:r>
    </w:p>
    <w:p>
      <w:pPr>
        <w:spacing w:after="0" w:line="172" w:lineRule="exact"/>
        <w:rPr>
          <w:sz w:val="20"/>
          <w:szCs w:val="20"/>
          <w:color w:val="auto"/>
        </w:rPr>
      </w:pPr>
    </w:p>
    <w:p>
      <w:pPr>
        <w:ind w:left="964" w:hanging="539"/>
        <w:spacing w:after="0" w:line="256" w:lineRule="auto"/>
        <w:tabs>
          <w:tab w:leader="none" w:pos="944"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b w:val="1"/>
          <w:bCs w:val="1"/>
          <w:color w:val="auto"/>
        </w:rPr>
        <w:t xml:space="preserve">Any Other Assignment by Alexo. </w:t>
      </w:r>
      <w:r>
        <w:rPr>
          <w:rFonts w:ascii="Arial" w:cs="Arial" w:eastAsia="Arial" w:hAnsi="Arial"/>
          <w:sz w:val="18"/>
          <w:szCs w:val="18"/>
          <w:color w:val="auto"/>
        </w:rPr>
        <w:t>Any other attempt to assign this Agreement by Alexo is null and void; provided that Alexo may assign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in any transaction or series of related transactions among Alexo and any entity that, directly or indirectly, is controlled by, controls or is under common control with Alexo. For purposes of this Section 16.2 only, “control” means the direct or indirect ownership of more than fifty percent (50%) of the voting or income interest in the applicable entity (or such lesser maximum percentage permitted in those jurisdictions where majority ownership by foreign entities is prohibited) or the possession otherwise, directly or indirectly, of the power to direct the management or policies of such entity.</w:t>
      </w:r>
    </w:p>
    <w:p>
      <w:pPr>
        <w:spacing w:after="0" w:line="214"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b w:val="1"/>
          <w:bCs w:val="1"/>
          <w:color w:val="auto"/>
        </w:rPr>
        <w:t xml:space="preserve">Conditions of Assignment. </w:t>
      </w:r>
      <w:r>
        <w:rPr>
          <w:rFonts w:ascii="Arial" w:cs="Arial" w:eastAsia="Arial" w:hAnsi="Arial"/>
          <w:sz w:val="16"/>
          <w:szCs w:val="16"/>
          <w:color w:val="auto"/>
        </w:rPr>
        <w:t>Prior to any assignment, the following conditions must be met:</w:t>
      </w:r>
    </w:p>
    <w:p>
      <w:pPr>
        <w:spacing w:after="0" w:line="135" w:lineRule="exact"/>
        <w:rPr>
          <w:sz w:val="20"/>
          <w:szCs w:val="20"/>
          <w:color w:val="auto"/>
        </w:rPr>
      </w:pPr>
    </w:p>
    <w:p>
      <w:pPr>
        <w:ind w:left="1424" w:hanging="439"/>
        <w:spacing w:after="0"/>
        <w:tabs>
          <w:tab w:leader="none" w:pos="1424"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Alexo must give Stanford [***] written notice of the assignment, including the new assignee’s contact information;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the new assignee must agree in writing to Stanford to be bound by this Agreement;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337"/>
        </w:numPr>
        <w:rPr>
          <w:rFonts w:ascii="Arial" w:cs="Arial" w:eastAsia="Arial" w:hAnsi="Arial"/>
          <w:sz w:val="18"/>
          <w:szCs w:val="18"/>
          <w:color w:val="auto"/>
        </w:rPr>
      </w:pPr>
      <w:r>
        <w:rPr>
          <w:rFonts w:ascii="Arial" w:cs="Arial" w:eastAsia="Arial" w:hAnsi="Arial"/>
          <w:sz w:val="18"/>
          <w:szCs w:val="18"/>
          <w:color w:val="auto"/>
        </w:rPr>
        <w:t>Stanford must have received [***].</w:t>
      </w:r>
    </w:p>
    <w:p>
      <w:pPr>
        <w:spacing w:after="0" w:line="157" w:lineRule="exact"/>
        <w:rPr>
          <w:rFonts w:ascii="Arial" w:cs="Arial" w:eastAsia="Arial" w:hAnsi="Arial"/>
          <w:sz w:val="18"/>
          <w:szCs w:val="18"/>
          <w:color w:val="auto"/>
        </w:rPr>
      </w:pPr>
    </w:p>
    <w:p>
      <w:pPr>
        <w:ind w:left="424" w:right="200" w:hanging="424"/>
        <w:spacing w:after="0" w:line="277" w:lineRule="auto"/>
        <w:tabs>
          <w:tab w:leader="none" w:pos="42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0944"/>
          </w:cols>
          <w:pgMar w:left="436" w:top="270" w:right="519" w:bottom="1440" w:gutter="0" w:footer="0" w:header="0"/>
        </w:sectPr>
      </w:pPr>
    </w:p>
    <w:bookmarkStart w:id="410" w:name="page411"/>
    <w:bookmarkEnd w:id="410"/>
    <w:p>
      <w:pPr>
        <w:ind w:left="964" w:right="40" w:hanging="539"/>
        <w:spacing w:after="0" w:line="282"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16.4</w:t>
      </w:r>
      <w:r>
        <w:rPr>
          <w:sz w:val="20"/>
          <w:szCs w:val="20"/>
          <w:color w:val="auto"/>
        </w:rPr>
        <w:tab/>
      </w:r>
      <w:r>
        <w:rPr>
          <w:rFonts w:ascii="Arial" w:cs="Arial" w:eastAsia="Arial" w:hAnsi="Arial"/>
          <w:sz w:val="18"/>
          <w:szCs w:val="18"/>
          <w:b w:val="1"/>
          <w:bCs w:val="1"/>
          <w:color w:val="auto"/>
        </w:rPr>
        <w:t xml:space="preserve">After the Assignment. </w:t>
      </w:r>
      <w:r>
        <w:rPr>
          <w:rFonts w:ascii="Arial" w:cs="Arial" w:eastAsia="Arial" w:hAnsi="Arial"/>
          <w:sz w:val="18"/>
          <w:szCs w:val="18"/>
          <w:color w:val="auto"/>
        </w:rPr>
        <w:t>Upon a permitted assignment of this Agreement pursuant to Article 16.3, Alexo will be released of liability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term “Alexo” in this Agreement will mean the assignee.</w:t>
      </w:r>
    </w:p>
    <w:p>
      <w:pPr>
        <w:spacing w:after="0" w:line="189" w:lineRule="exact"/>
        <w:rPr>
          <w:sz w:val="20"/>
          <w:szCs w:val="20"/>
          <w:color w:val="auto"/>
        </w:rPr>
      </w:pPr>
    </w:p>
    <w:p>
      <w:pPr>
        <w:ind w:left="964" w:right="720" w:hanging="539"/>
        <w:spacing w:after="0" w:line="282" w:lineRule="auto"/>
        <w:tabs>
          <w:tab w:leader="none" w:pos="944"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8"/>
          <w:szCs w:val="18"/>
          <w:b w:val="1"/>
          <w:bCs w:val="1"/>
          <w:color w:val="auto"/>
        </w:rPr>
        <w:t xml:space="preserve">Bankruptcy. </w:t>
      </w:r>
      <w:r>
        <w:rPr>
          <w:rFonts w:ascii="Arial" w:cs="Arial" w:eastAsia="Arial" w:hAnsi="Arial"/>
          <w:sz w:val="18"/>
          <w:szCs w:val="18"/>
          <w:color w:val="auto"/>
        </w:rPr>
        <w:t>In the event of a bankruptcy, assignment is permitted only to a party that can provide adequate assurance of future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diligent development and sales, of Licensed Product.</w:t>
      </w:r>
    </w:p>
    <w:p>
      <w:pPr>
        <w:spacing w:after="0" w:line="310" w:lineRule="exact"/>
        <w:rPr>
          <w:sz w:val="20"/>
          <w:szCs w:val="20"/>
          <w:color w:val="auto"/>
        </w:rPr>
      </w:pPr>
    </w:p>
    <w:p>
      <w:pPr>
        <w:ind w:left="424" w:hanging="424"/>
        <w:spacing w:after="0"/>
        <w:tabs>
          <w:tab w:leader="none" w:pos="424"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30" w:lineRule="exact"/>
        <w:rPr>
          <w:rFonts w:ascii="Arial" w:cs="Arial" w:eastAsia="Arial" w:hAnsi="Arial"/>
          <w:sz w:val="18"/>
          <w:szCs w:val="18"/>
          <w:b w:val="1"/>
          <w:bCs w:val="1"/>
          <w:color w:val="auto"/>
        </w:rPr>
      </w:pPr>
    </w:p>
    <w:p>
      <w:pPr>
        <w:ind w:left="964" w:hanging="5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17.1 </w:t>
      </w:r>
      <w:r>
        <w:rPr>
          <w:rFonts w:ascii="Arial" w:cs="Arial" w:eastAsia="Arial" w:hAnsi="Arial"/>
          <w:sz w:val="18"/>
          <w:szCs w:val="18"/>
          <w:b w:val="1"/>
          <w:bCs w:val="1"/>
          <w:color w:val="auto"/>
        </w:rPr>
        <w:t>Dispute Resolution by Arbitration.</w:t>
      </w:r>
      <w:r>
        <w:rPr>
          <w:rFonts w:ascii="Arial" w:cs="Arial" w:eastAsia="Arial" w:hAnsi="Arial"/>
          <w:sz w:val="18"/>
          <w:szCs w:val="18"/>
          <w:color w:val="auto"/>
        </w:rPr>
        <w:t xml:space="preserve"> Any dispute between the parties regarding [***] will be settled by arbitration in accordance with the JAMS Arbitration Rules and Procedures. The parties are not obligated to settle any other dispute that may arise under this Agreement by arbitration. Notwithstanding the foregoing, no dispute affecting the rights or property of HHMI shall be subject to the arbitration provisions set forth in this Article 17.</w:t>
      </w:r>
    </w:p>
    <w:p>
      <w:pPr>
        <w:spacing w:after="0" w:line="206" w:lineRule="exact"/>
        <w:rPr>
          <w:rFonts w:ascii="Arial" w:cs="Arial" w:eastAsia="Arial" w:hAnsi="Arial"/>
          <w:sz w:val="18"/>
          <w:szCs w:val="18"/>
          <w:b w:val="1"/>
          <w:bCs w:val="1"/>
          <w:color w:val="auto"/>
        </w:rPr>
      </w:pPr>
    </w:p>
    <w:p>
      <w:pPr>
        <w:ind w:left="964" w:hanging="5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17.2 </w:t>
      </w:r>
      <w:r>
        <w:rPr>
          <w:rFonts w:ascii="Arial" w:cs="Arial" w:eastAsia="Arial" w:hAnsi="Arial"/>
          <w:sz w:val="18"/>
          <w:szCs w:val="18"/>
          <w:b w:val="1"/>
          <w:bCs w:val="1"/>
          <w:color w:val="auto"/>
        </w:rPr>
        <w:t>Request for Arbitration.</w:t>
      </w:r>
      <w:r>
        <w:rPr>
          <w:rFonts w:ascii="Arial" w:cs="Arial" w:eastAsia="Arial" w:hAnsi="Arial"/>
          <w:sz w:val="18"/>
          <w:szCs w:val="18"/>
          <w:color w:val="auto"/>
        </w:rPr>
        <w:t xml:space="preserve"> Either party may request such arbitration. Stanford and Alexo will mutually agree in writing on a third party arbitrator within [***] of the arbitration request. The arbitrator’s decision will be final and nonappealable and may be entered in any court having jurisdiction.</w:t>
      </w:r>
    </w:p>
    <w:p>
      <w:pPr>
        <w:spacing w:after="0" w:line="202" w:lineRule="exact"/>
        <w:rPr>
          <w:rFonts w:ascii="Arial" w:cs="Arial" w:eastAsia="Arial" w:hAnsi="Arial"/>
          <w:sz w:val="18"/>
          <w:szCs w:val="18"/>
          <w:b w:val="1"/>
          <w:bCs w:val="1"/>
          <w:color w:val="auto"/>
        </w:rPr>
      </w:pPr>
    </w:p>
    <w:p>
      <w:pPr>
        <w:ind w:left="964" w:right="200" w:hanging="5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17.3 </w:t>
      </w:r>
      <w:r>
        <w:rPr>
          <w:rFonts w:ascii="Arial" w:cs="Arial" w:eastAsia="Arial" w:hAnsi="Arial"/>
          <w:sz w:val="18"/>
          <w:szCs w:val="18"/>
          <w:b w:val="1"/>
          <w:bCs w:val="1"/>
          <w:color w:val="auto"/>
        </w:rPr>
        <w:t>Discovery.</w:t>
      </w:r>
      <w:r>
        <w:rPr>
          <w:rFonts w:ascii="Arial" w:cs="Arial" w:eastAsia="Arial" w:hAnsi="Arial"/>
          <w:sz w:val="18"/>
          <w:szCs w:val="18"/>
          <w:color w:val="auto"/>
        </w:rPr>
        <w:t xml:space="preserve"> The parties will be entitled to discovery as if the arbitration were a civil suit in the California Superior Court. The arbitrator may limit the scope, time, and issues involved in discovery.</w:t>
      </w:r>
    </w:p>
    <w:p>
      <w:pPr>
        <w:spacing w:after="0" w:line="188"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7"/>
          <w:szCs w:val="17"/>
          <w:color w:val="auto"/>
        </w:rPr>
        <w:t xml:space="preserve">17.4   </w:t>
      </w:r>
      <w:r>
        <w:rPr>
          <w:rFonts w:ascii="Arial" w:cs="Arial" w:eastAsia="Arial" w:hAnsi="Arial"/>
          <w:sz w:val="17"/>
          <w:szCs w:val="17"/>
          <w:b w:val="1"/>
          <w:bCs w:val="1"/>
          <w:color w:val="auto"/>
        </w:rPr>
        <w:t>Place of Arbitration.</w:t>
      </w:r>
      <w:r>
        <w:rPr>
          <w:rFonts w:ascii="Arial" w:cs="Arial" w:eastAsia="Arial" w:hAnsi="Arial"/>
          <w:sz w:val="17"/>
          <w:szCs w:val="17"/>
          <w:color w:val="auto"/>
        </w:rPr>
        <w:t xml:space="preserve"> The arbitration will be held in Stanford, California unless the parties mutually agree in writing to another place.</w:t>
      </w:r>
    </w:p>
    <w:p>
      <w:pPr>
        <w:spacing w:after="0" w:line="263" w:lineRule="exact"/>
        <w:rPr>
          <w:rFonts w:ascii="Arial" w:cs="Arial" w:eastAsia="Arial" w:hAnsi="Arial"/>
          <w:sz w:val="18"/>
          <w:szCs w:val="18"/>
          <w:b w:val="1"/>
          <w:bCs w:val="1"/>
          <w:color w:val="auto"/>
        </w:rPr>
      </w:pPr>
    </w:p>
    <w:p>
      <w:pPr>
        <w:ind w:left="964" w:right="140" w:hanging="5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17.5 </w:t>
      </w:r>
      <w:r>
        <w:rPr>
          <w:rFonts w:ascii="Arial" w:cs="Arial" w:eastAsia="Arial" w:hAnsi="Arial"/>
          <w:sz w:val="18"/>
          <w:szCs w:val="18"/>
          <w:b w:val="1"/>
          <w:bCs w:val="1"/>
          <w:color w:val="auto"/>
        </w:rPr>
        <w:t>Patent Validity.</w:t>
      </w:r>
      <w:r>
        <w:rPr>
          <w:rFonts w:ascii="Arial" w:cs="Arial" w:eastAsia="Arial" w:hAnsi="Arial"/>
          <w:sz w:val="18"/>
          <w:szCs w:val="18"/>
          <w:color w:val="auto"/>
        </w:rPr>
        <w:t xml:space="preserve"> Any dispute regarding the validity of any Licensed Patent shall be litigated in the courts located in Santa Clara County, California, and the parties agree not to challenge personal jurisdiction in that forum.</w:t>
      </w:r>
    </w:p>
    <w:p>
      <w:pPr>
        <w:spacing w:after="0" w:line="310" w:lineRule="exact"/>
        <w:rPr>
          <w:rFonts w:ascii="Arial" w:cs="Arial" w:eastAsia="Arial" w:hAnsi="Arial"/>
          <w:sz w:val="18"/>
          <w:szCs w:val="18"/>
          <w:b w:val="1"/>
          <w:bCs w:val="1"/>
          <w:color w:val="auto"/>
        </w:rPr>
      </w:pPr>
    </w:p>
    <w:p>
      <w:pPr>
        <w:ind w:left="424" w:hanging="424"/>
        <w:spacing w:after="0"/>
        <w:tabs>
          <w:tab w:leader="none" w:pos="424"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0" w:lineRule="exact"/>
        <w:rPr>
          <w:rFonts w:ascii="Arial" w:cs="Arial" w:eastAsia="Arial" w:hAnsi="Arial"/>
          <w:sz w:val="18"/>
          <w:szCs w:val="18"/>
          <w:b w:val="1"/>
          <w:bCs w:val="1"/>
          <w:color w:val="auto"/>
        </w:rPr>
      </w:pPr>
    </w:p>
    <w:p>
      <w:pPr>
        <w:ind w:left="964" w:right="160" w:hanging="5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18.1 </w:t>
      </w:r>
      <w:r>
        <w:rPr>
          <w:rFonts w:ascii="Arial" w:cs="Arial" w:eastAsia="Arial" w:hAnsi="Arial"/>
          <w:sz w:val="18"/>
          <w:szCs w:val="18"/>
          <w:b w:val="1"/>
          <w:bCs w:val="1"/>
          <w:color w:val="auto"/>
        </w:rPr>
        <w:t>Legal Action.</w:t>
      </w:r>
      <w:r>
        <w:rPr>
          <w:rFonts w:ascii="Arial" w:cs="Arial" w:eastAsia="Arial" w:hAnsi="Arial"/>
          <w:sz w:val="18"/>
          <w:szCs w:val="18"/>
          <w:color w:val="auto"/>
        </w:rPr>
        <w:t xml:space="preserve"> Alexo will provide written notice to Stanford at least [***] prior to bringing an action seeking to invalidate any Licensed Patents or a declaration of non-infringement. Alexo will include with such written notice [***].</w:t>
      </w:r>
    </w:p>
    <w:p>
      <w:pPr>
        <w:spacing w:after="0" w:line="189"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b w:val="1"/>
          <w:bCs w:val="1"/>
          <w:color w:val="auto"/>
        </w:rPr>
        <w:t xml:space="preserve">All Notices. </w:t>
      </w:r>
      <w:r>
        <w:rPr>
          <w:rFonts w:ascii="Arial" w:cs="Arial" w:eastAsia="Arial" w:hAnsi="Arial"/>
          <w:sz w:val="16"/>
          <w:szCs w:val="16"/>
          <w:color w:val="auto"/>
        </w:rPr>
        <w:t>All notices under this Agreement are deemed fully given when written, addressed, and sent as follows: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general notices to Alexo are mailed or emailed to:</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Alexo Therapeutics International</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Alexo Therapeutics,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
      </w:r>
    </w:p>
    <w:p>
      <w:pPr>
        <w:spacing w:after="0" w:line="143" w:lineRule="exact"/>
        <w:rPr>
          <w:sz w:val="20"/>
          <w:szCs w:val="20"/>
          <w:color w:val="auto"/>
        </w:rPr>
      </w:pPr>
    </w:p>
    <w:p>
      <w:pPr>
        <w:ind w:left="424" w:right="160" w:hanging="424"/>
        <w:spacing w:after="0" w:line="277" w:lineRule="auto"/>
        <w:tabs>
          <w:tab w:leader="none" w:pos="42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0904"/>
          </w:cols>
          <w:pgMar w:left="436" w:top="270" w:right="559" w:bottom="1440" w:gutter="0" w:footer="0" w:header="0"/>
        </w:sectPr>
      </w:pPr>
    </w:p>
    <w:bookmarkStart w:id="411" w:name="page412"/>
    <w:bookmarkEnd w:id="41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financial invoices to Alexo (i.e., accounting contact) are e-mailed to: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Alexo Therapeutics International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Alexo Therapeutics,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progress report invoices to Alexo (i.e., technical contact) are e-mailed to: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Alexo Therapeutics International</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Alexo Therapeutics,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general notices to Stanford are e-mailed or mailed to: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Technology Licensing</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1705 El Camino Real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Palo Alto, CA 94306-1106</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info@otlmail.stanford.edu</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payments to Stanford are mailed to: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Stanford University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Technology Licensing</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Department #44439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P.O. Box 44000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San Francisco, CA 94144-4439</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progress reports to Stanford are e-mailed or mailed to: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Technology Licensing</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3000 El Camino Real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Building 5, Suite 300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Palo Alto, CA 94306-1106</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info@otImail.stanford.edu</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Either party may change its address with written notice to the other party.</w:t>
      </w:r>
    </w:p>
    <w:p>
      <w:pPr>
        <w:spacing w:after="0" w:line="370" w:lineRule="exact"/>
        <w:rPr>
          <w:sz w:val="20"/>
          <w:szCs w:val="20"/>
          <w:color w:val="auto"/>
        </w:rPr>
      </w:pPr>
    </w:p>
    <w:p>
      <w:pPr>
        <w:ind w:left="424" w:hanging="424"/>
        <w:spacing w:after="0"/>
        <w:tabs>
          <w:tab w:leader="none" w:pos="424"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0"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 xml:space="preserve">19.1   </w:t>
      </w:r>
      <w:r>
        <w:rPr>
          <w:rFonts w:ascii="Arial" w:cs="Arial" w:eastAsia="Arial" w:hAnsi="Arial"/>
          <w:sz w:val="18"/>
          <w:szCs w:val="18"/>
          <w:b w:val="1"/>
          <w:bCs w:val="1"/>
          <w:color w:val="auto"/>
        </w:rPr>
        <w:t>Waiver.</w:t>
      </w:r>
      <w:r>
        <w:rPr>
          <w:rFonts w:ascii="Arial" w:cs="Arial" w:eastAsia="Arial" w:hAnsi="Arial"/>
          <w:sz w:val="18"/>
          <w:szCs w:val="18"/>
          <w:color w:val="auto"/>
        </w:rPr>
        <w:t xml:space="preserve"> No term of this Agreement can be waived except by the written consent of the party waiving compliance.</w:t>
      </w:r>
    </w:p>
    <w:p>
      <w:pPr>
        <w:spacing w:after="0" w:line="162" w:lineRule="exact"/>
        <w:rPr>
          <w:sz w:val="20"/>
          <w:szCs w:val="20"/>
          <w:color w:val="auto"/>
        </w:rPr>
      </w:pPr>
    </w:p>
    <w:p>
      <w:pPr>
        <w:ind w:left="424" w:hanging="424"/>
        <w:spacing w:after="0" w:line="277" w:lineRule="auto"/>
        <w:tabs>
          <w:tab w:leader="none" w:pos="42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83"/>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0744"/>
          </w:cols>
          <w:pgMar w:left="436" w:top="274" w:right="719" w:bottom="1440" w:gutter="0" w:footer="0" w:header="0"/>
        </w:sectPr>
      </w:pPr>
    </w:p>
    <w:bookmarkStart w:id="412" w:name="page413"/>
    <w:bookmarkEnd w:id="412"/>
    <w:p>
      <w:pPr>
        <w:ind w:left="964" w:right="540" w:hanging="539"/>
        <w:spacing w:after="0" w:line="282"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19.2</w:t>
      </w:r>
      <w:r>
        <w:rPr>
          <w:sz w:val="20"/>
          <w:szCs w:val="20"/>
          <w:color w:val="auto"/>
        </w:rPr>
        <w:tab/>
      </w: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Agreement and any dispute arising under it is governed by the laws of the State of California,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applicable to agreements negotiated, executed, and performed within California.</w:t>
      </w:r>
    </w:p>
    <w:p>
      <w:pPr>
        <w:spacing w:after="0" w:line="189" w:lineRule="exact"/>
        <w:rPr>
          <w:sz w:val="20"/>
          <w:szCs w:val="20"/>
          <w:color w:val="auto"/>
        </w:rPr>
      </w:pPr>
    </w:p>
    <w:p>
      <w:pPr>
        <w:ind w:left="964" w:right="240" w:hanging="539"/>
        <w:spacing w:after="0" w:line="258" w:lineRule="auto"/>
        <w:tabs>
          <w:tab w:leader="none" w:pos="944"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The parties have read this Agreement and agree to be bound by its terms, and further agree that it constitutes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and entire agreement of the parties and supersedes all previous communications, oral or written, and all other communications between them relating to the license and to the subject hereof. This Agreement may not be amended except by writing executed by authorized representatives of both parties. No representations or statements of any kind made by either party, which are not expressly stated herein, will be binding on such party.</w:t>
      </w:r>
    </w:p>
    <w:p>
      <w:pPr>
        <w:spacing w:after="0" w:line="210" w:lineRule="exact"/>
        <w:rPr>
          <w:sz w:val="20"/>
          <w:szCs w:val="20"/>
          <w:color w:val="auto"/>
        </w:rPr>
      </w:pPr>
    </w:p>
    <w:p>
      <w:pPr>
        <w:ind w:left="964" w:right="200" w:hanging="539"/>
        <w:spacing w:after="0" w:line="289" w:lineRule="auto"/>
        <w:tabs>
          <w:tab w:leader="none" w:pos="944"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7"/>
          <w:szCs w:val="17"/>
          <w:b w:val="1"/>
          <w:bCs w:val="1"/>
          <w:color w:val="auto"/>
        </w:rPr>
        <w:t xml:space="preserve">Exclusive Forum. </w:t>
      </w:r>
      <w:r>
        <w:rPr>
          <w:rFonts w:ascii="Arial" w:cs="Arial" w:eastAsia="Arial" w:hAnsi="Arial"/>
          <w:sz w:val="17"/>
          <w:szCs w:val="17"/>
          <w:color w:val="auto"/>
        </w:rPr>
        <w:t>The state and federal courts having jurisdiction over Stanford, California, United States of America, provide the</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 forum for any court action between the parties relating to this Agreement. Alexo submits to the jurisdiction of such courts, and waives any claim that such a court lacks jurisdiction over Alexo or constitutes an inconvenient or improper forum.</w:t>
      </w:r>
    </w:p>
    <w:p>
      <w:pPr>
        <w:spacing w:after="0" w:line="185"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b w:val="1"/>
          <w:bCs w:val="1"/>
          <w:color w:val="auto"/>
        </w:rPr>
        <w:t xml:space="preserve">Headings. </w:t>
      </w:r>
      <w:r>
        <w:rPr>
          <w:rFonts w:ascii="Arial" w:cs="Arial" w:eastAsia="Arial" w:hAnsi="Arial"/>
          <w:sz w:val="16"/>
          <w:szCs w:val="16"/>
          <w:color w:val="auto"/>
        </w:rPr>
        <w:t>No headings in this Agreement affect its interpretation.</w:t>
      </w:r>
    </w:p>
    <w:p>
      <w:pPr>
        <w:spacing w:after="0" w:line="252" w:lineRule="exact"/>
        <w:rPr>
          <w:sz w:val="20"/>
          <w:szCs w:val="20"/>
          <w:color w:val="auto"/>
        </w:rPr>
      </w:pPr>
    </w:p>
    <w:p>
      <w:pPr>
        <w:ind w:left="964" w:right="100" w:hanging="539"/>
        <w:spacing w:after="0" w:line="266" w:lineRule="auto"/>
        <w:tabs>
          <w:tab w:leader="none" w:pos="944"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8"/>
          <w:szCs w:val="18"/>
          <w:b w:val="1"/>
          <w:bCs w:val="1"/>
          <w:color w:val="auto"/>
        </w:rPr>
        <w:t xml:space="preserve">HHMI Third Party Beneficiary Status. </w:t>
      </w:r>
      <w:r>
        <w:rPr>
          <w:rFonts w:ascii="Arial" w:cs="Arial" w:eastAsia="Arial" w:hAnsi="Arial"/>
          <w:sz w:val="18"/>
          <w:szCs w:val="18"/>
          <w:color w:val="auto"/>
        </w:rPr>
        <w:t>HHMI is not a party to this Agreement and has no liability to Alexo, Affiliates, any sublicensee,</w:t>
      </w:r>
      <w:r>
        <w:rPr>
          <w:rFonts w:ascii="Arial" w:cs="Arial" w:eastAsia="Arial" w:hAnsi="Arial"/>
          <w:sz w:val="18"/>
          <w:szCs w:val="18"/>
          <w:b w:val="1"/>
          <w:bCs w:val="1"/>
          <w:color w:val="auto"/>
        </w:rPr>
        <w:t xml:space="preserve"> </w:t>
      </w:r>
      <w:r>
        <w:rPr>
          <w:rFonts w:ascii="Arial" w:cs="Arial" w:eastAsia="Arial" w:hAnsi="Arial"/>
          <w:sz w:val="18"/>
          <w:szCs w:val="18"/>
          <w:color w:val="auto"/>
        </w:rPr>
        <w:t>or user of anything covered in this Agreement, but HHMI is an intended third-party beneficiary of this Agreement and certain of its provisions are for the benefit of HHMI and are enforceable by HHMI in its own name.</w:t>
      </w:r>
    </w:p>
    <w:p>
      <w:pPr>
        <w:spacing w:after="0" w:line="203" w:lineRule="exact"/>
        <w:rPr>
          <w:sz w:val="20"/>
          <w:szCs w:val="20"/>
          <w:color w:val="auto"/>
        </w:rPr>
      </w:pPr>
    </w:p>
    <w:p>
      <w:pPr>
        <w:ind w:left="964" w:hanging="539"/>
        <w:spacing w:after="0" w:line="289" w:lineRule="auto"/>
        <w:tabs>
          <w:tab w:leader="none" w:pos="944"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7"/>
          <w:szCs w:val="17"/>
          <w:b w:val="1"/>
          <w:bCs w:val="1"/>
          <w:color w:val="auto"/>
        </w:rPr>
        <w:t xml:space="preserve">Electronic Copy. </w:t>
      </w:r>
      <w:r>
        <w:rPr>
          <w:rFonts w:ascii="Arial" w:cs="Arial" w:eastAsia="Arial" w:hAnsi="Arial"/>
          <w:sz w:val="17"/>
          <w:szCs w:val="17"/>
          <w:color w:val="auto"/>
        </w:rPr>
        <w:t>The parties to this document agree that a copy of the original signature (including an electronic copy) may be used for</w:t>
      </w:r>
      <w:r>
        <w:rPr>
          <w:rFonts w:ascii="Arial" w:cs="Arial" w:eastAsia="Arial" w:hAnsi="Arial"/>
          <w:sz w:val="17"/>
          <w:szCs w:val="17"/>
          <w:b w:val="1"/>
          <w:bCs w:val="1"/>
          <w:color w:val="auto"/>
        </w:rPr>
        <w:t xml:space="preserve"> </w:t>
      </w:r>
      <w:r>
        <w:rPr>
          <w:rFonts w:ascii="Arial" w:cs="Arial" w:eastAsia="Arial" w:hAnsi="Arial"/>
          <w:sz w:val="17"/>
          <w:szCs w:val="17"/>
          <w:color w:val="auto"/>
        </w:rPr>
        <w:t>any and all purposes for which the original signature may have been used. The parties further waive any right to challenge the admissibility or authenticity of this document in a court of law based solely on the absence of an original signature.</w:t>
      </w:r>
    </w:p>
    <w:p>
      <w:pPr>
        <w:spacing w:after="0" w:line="94" w:lineRule="exact"/>
        <w:rPr>
          <w:sz w:val="20"/>
          <w:szCs w:val="20"/>
          <w:color w:val="auto"/>
        </w:rPr>
      </w:pPr>
    </w:p>
    <w:p>
      <w:pPr>
        <w:ind w:left="424" w:right="260" w:hanging="424"/>
        <w:spacing w:after="0" w:line="277" w:lineRule="auto"/>
        <w:tabs>
          <w:tab w:leader="none" w:pos="42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004"/>
          </w:cols>
          <w:pgMar w:left="436" w:top="270" w:right="459" w:bottom="1440" w:gutter="0" w:footer="0" w:header="0"/>
        </w:sectPr>
      </w:pPr>
    </w:p>
    <w:bookmarkStart w:id="413" w:name="page414"/>
    <w:bookmarkEnd w:id="41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execute this Agreement in duplicate originals by their duly authorized officers or representatives.</w:t>
      </w:r>
    </w:p>
    <w:p>
      <w:pPr>
        <w:spacing w:after="0" w:line="252" w:lineRule="exact"/>
        <w:rPr>
          <w:sz w:val="20"/>
          <w:szCs w:val="20"/>
          <w:color w:val="auto"/>
        </w:rPr>
      </w:pPr>
    </w:p>
    <w:p>
      <w:pPr>
        <w:ind w:left="104"/>
        <w:spacing w:after="0"/>
        <w:rPr>
          <w:sz w:val="20"/>
          <w:szCs w:val="20"/>
          <w:color w:val="auto"/>
        </w:rPr>
      </w:pPr>
      <w:r>
        <w:rPr>
          <w:rFonts w:ascii="Arial" w:cs="Arial" w:eastAsia="Arial" w:hAnsi="Arial"/>
          <w:sz w:val="18"/>
          <w:szCs w:val="18"/>
          <w:color w:val="auto"/>
        </w:rPr>
        <w:t>THE BOARD OF TRUSTEES OF THE LELAND</w:t>
      </w:r>
    </w:p>
    <w:p>
      <w:pPr>
        <w:spacing w:after="0" w:line="23" w:lineRule="exact"/>
        <w:rPr>
          <w:sz w:val="20"/>
          <w:szCs w:val="20"/>
          <w:color w:val="auto"/>
        </w:rPr>
      </w:pPr>
    </w:p>
    <w:p>
      <w:pPr>
        <w:ind w:left="284"/>
        <w:spacing w:after="0"/>
        <w:rPr>
          <w:sz w:val="20"/>
          <w:szCs w:val="20"/>
          <w:color w:val="auto"/>
        </w:rPr>
      </w:pPr>
      <w:r>
        <w:rPr>
          <w:rFonts w:ascii="Arial" w:cs="Arial" w:eastAsia="Arial" w:hAnsi="Arial"/>
          <w:sz w:val="18"/>
          <w:szCs w:val="18"/>
          <w:color w:val="auto"/>
        </w:rPr>
        <w:t>STANFORD JUNIOR UNIVERSITY</w:t>
      </w:r>
    </w:p>
    <w:p>
      <w:pPr>
        <w:spacing w:after="0" w:line="319" w:lineRule="exact"/>
        <w:rPr>
          <w:sz w:val="20"/>
          <w:szCs w:val="20"/>
          <w:color w:val="auto"/>
        </w:rPr>
      </w:pPr>
    </w:p>
    <w:tbl>
      <w:tblPr>
        <w:tblLayout w:type="fixed"/>
        <w:tblInd w:w="104"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w w:val="97"/>
              </w:rPr>
              <w:t>Signature:</w:t>
            </w:r>
          </w:p>
        </w:tc>
        <w:tc>
          <w:tcPr>
            <w:tcW w:w="3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Kirsten Leute</w:t>
            </w:r>
          </w:p>
        </w:tc>
      </w:tr>
      <w:tr>
        <w:trPr>
          <w:trHeight w:val="210"/>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Kirsten Leute</w:t>
            </w:r>
          </w:p>
        </w:tc>
      </w:tr>
      <w:tr>
        <w:trPr>
          <w:trHeight w:val="195"/>
        </w:trPr>
        <w:tc>
          <w:tcPr>
            <w:tcW w:w="820" w:type="dxa"/>
            <w:vAlign w:val="bottom"/>
          </w:tcPr>
          <w:p>
            <w:pPr>
              <w:spacing w:after="0"/>
              <w:rPr>
                <w:sz w:val="16"/>
                <w:szCs w:val="16"/>
                <w:color w:val="auto"/>
              </w:rPr>
            </w:pPr>
          </w:p>
        </w:tc>
        <w:tc>
          <w:tcPr>
            <w:tcW w:w="3480" w:type="dxa"/>
            <w:vAlign w:val="bottom"/>
          </w:tcPr>
          <w:p>
            <w:pPr>
              <w:ind w:left="60"/>
              <w:spacing w:after="0" w:line="195" w:lineRule="exact"/>
              <w:rPr>
                <w:sz w:val="20"/>
                <w:szCs w:val="20"/>
                <w:color w:val="auto"/>
              </w:rPr>
            </w:pPr>
            <w:r>
              <w:rPr>
                <w:rFonts w:ascii="Arial" w:cs="Arial" w:eastAsia="Arial" w:hAnsi="Arial"/>
                <w:sz w:val="18"/>
                <w:szCs w:val="18"/>
                <w:color w:val="auto"/>
              </w:rPr>
              <w:t>Acting Director, Office of Technology</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Licensing</w:t>
            </w:r>
          </w:p>
        </w:tc>
      </w:tr>
      <w:tr>
        <w:trPr>
          <w:trHeight w:val="209"/>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3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March 24, 2015</w:t>
            </w:r>
          </w:p>
        </w:tc>
      </w:tr>
    </w:tbl>
    <w:p>
      <w:pPr>
        <w:spacing w:after="0" w:line="31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Alexo Therapeutics International</w:t>
      </w:r>
    </w:p>
    <w:p>
      <w:pPr>
        <w:spacing w:after="0" w:line="333" w:lineRule="exact"/>
        <w:rPr>
          <w:sz w:val="20"/>
          <w:szCs w:val="20"/>
          <w:color w:val="auto"/>
        </w:rPr>
      </w:pPr>
    </w:p>
    <w:tbl>
      <w:tblPr>
        <w:tblLayout w:type="fixed"/>
        <w:tblInd w:w="444"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Corey Goodman</w:t>
            </w: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Corey Goodman</w:t>
            </w: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Chair, Board of Directors</w:t>
            </w: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March 24, 2015</w:t>
            </w:r>
          </w:p>
        </w:tc>
      </w:tr>
    </w:tbl>
    <w:p>
      <w:pPr>
        <w:spacing w:after="0" w:line="134" w:lineRule="exact"/>
        <w:rPr>
          <w:sz w:val="20"/>
          <w:szCs w:val="20"/>
          <w:color w:val="auto"/>
        </w:rPr>
      </w:pPr>
    </w:p>
    <w:p>
      <w:pPr>
        <w:ind w:left="424" w:hanging="424"/>
        <w:spacing w:after="0" w:line="277" w:lineRule="auto"/>
        <w:tabs>
          <w:tab w:leader="none" w:pos="424" w:val="left"/>
        </w:tabs>
        <w:numPr>
          <w:ilvl w:val="0"/>
          <w:numId w:val="343"/>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83"/>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0744"/>
          </w:cols>
          <w:pgMar w:left="436" w:top="274" w:right="719" w:bottom="1440" w:gutter="0" w:footer="0" w:header="0"/>
        </w:sectPr>
      </w:pPr>
    </w:p>
    <w:bookmarkStart w:id="414" w:name="page415"/>
    <w:bookmarkEnd w:id="4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 - Milestones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24" w:right="280" w:hanging="424"/>
        <w:spacing w:after="0" w:line="277" w:lineRule="auto"/>
        <w:tabs>
          <w:tab w:leader="none" w:pos="42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024"/>
          </w:cols>
          <w:pgMar w:left="436" w:top="270" w:right="439" w:bottom="1440" w:gutter="0" w:footer="0" w:header="0"/>
        </w:sectPr>
      </w:pPr>
    </w:p>
    <w:bookmarkStart w:id="415" w:name="page416"/>
    <w:bookmarkEnd w:id="415"/>
    <w:p>
      <w:pPr>
        <w:ind w:left="796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B — Sample Reporting Form</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Stanford Docket No. S</w:t>
      </w:r>
    </w:p>
    <w:p>
      <w:pPr>
        <w:spacing w:after="0" w:line="117" w:lineRule="exact"/>
        <w:rPr>
          <w:sz w:val="20"/>
          <w:szCs w:val="20"/>
          <w:color w:val="auto"/>
        </w:rPr>
      </w:pPr>
    </w:p>
    <w:p>
      <w:pPr>
        <w:ind w:left="444" w:right="4500" w:hanging="439"/>
        <w:spacing w:after="0" w:line="277" w:lineRule="auto"/>
        <w:rPr>
          <w:sz w:val="20"/>
          <w:szCs w:val="20"/>
          <w:color w:val="auto"/>
        </w:rPr>
      </w:pPr>
      <w:r>
        <w:rPr>
          <w:rFonts w:ascii="Arial" w:cs="Arial" w:eastAsia="Arial" w:hAnsi="Arial"/>
          <w:sz w:val="18"/>
          <w:szCs w:val="18"/>
          <w:color w:val="auto"/>
        </w:rPr>
        <w:t>This report is provided pursuant to the license agreement between Stanford University and (Alexo Name)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License Agreement Effective Date: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Name(s) of Licensed Products being reported:</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29"/>
        </w:trPr>
        <w:tc>
          <w:tcPr>
            <w:tcW w:w="55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Report Covering Period</w:t>
            </w:r>
          </w:p>
        </w:tc>
        <w:tc>
          <w:tcPr>
            <w:tcW w:w="546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55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Yearly Maintenance Fee</w:t>
            </w:r>
          </w:p>
        </w:tc>
        <w:tc>
          <w:tcPr>
            <w:tcW w:w="5460" w:type="dxa"/>
            <w:vAlign w:val="bottom"/>
            <w:tcBorders>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r>
        <w:trPr>
          <w:trHeight w:val="209"/>
        </w:trPr>
        <w:tc>
          <w:tcPr>
            <w:tcW w:w="55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Number of Sublicenses Executed</w:t>
            </w:r>
          </w:p>
        </w:tc>
        <w:tc>
          <w:tcPr>
            <w:tcW w:w="5460" w:type="dxa"/>
            <w:vAlign w:val="bottom"/>
            <w:tcBorders>
              <w:bottom w:val="single" w:sz="8" w:color="auto"/>
              <w:right w:val="single" w:sz="8" w:color="auto"/>
            </w:tcBorders>
          </w:tcPr>
          <w:p>
            <w:pPr>
              <w:spacing w:after="0"/>
              <w:rPr>
                <w:sz w:val="18"/>
                <w:szCs w:val="18"/>
                <w:color w:val="auto"/>
              </w:rPr>
            </w:pPr>
          </w:p>
        </w:tc>
      </w:tr>
      <w:tr>
        <w:trPr>
          <w:trHeight w:val="195"/>
        </w:trPr>
        <w:tc>
          <w:tcPr>
            <w:tcW w:w="55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Gross Revenue</w:t>
            </w:r>
          </w:p>
        </w:tc>
        <w:tc>
          <w:tcPr>
            <w:tcW w:w="5460" w:type="dxa"/>
            <w:vAlign w:val="bottom"/>
            <w:tcBorders>
              <w:right w:val="single" w:sz="8" w:color="auto"/>
            </w:tcBorders>
          </w:tcPr>
          <w:p>
            <w:pPr>
              <w:spacing w:after="0"/>
              <w:rPr>
                <w:sz w:val="16"/>
                <w:szCs w:val="16"/>
                <w:color w:val="auto"/>
              </w:rPr>
            </w:pPr>
          </w:p>
        </w:tc>
      </w:tr>
      <w:tr>
        <w:trPr>
          <w:trHeight w:val="216"/>
        </w:trPr>
        <w:tc>
          <w:tcPr>
            <w:tcW w:w="5580" w:type="dxa"/>
            <w:vAlign w:val="bottom"/>
            <w:tcBorders>
              <w:left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U.S. Gross Revenue</w:t>
            </w:r>
          </w:p>
        </w:tc>
        <w:tc>
          <w:tcPr>
            <w:tcW w:w="5460" w:type="dxa"/>
            <w:vAlign w:val="bottom"/>
            <w:tcBorders>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r>
        <w:trPr>
          <w:trHeight w:val="237"/>
        </w:trPr>
        <w:tc>
          <w:tcPr>
            <w:tcW w:w="558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Non-U.S. Gross Revenue</w:t>
            </w:r>
          </w:p>
        </w:tc>
        <w:tc>
          <w:tcPr>
            <w:tcW w:w="5460" w:type="dxa"/>
            <w:vAlign w:val="bottom"/>
            <w:tcBorders>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r>
        <w:trPr>
          <w:trHeight w:val="202"/>
        </w:trPr>
        <w:tc>
          <w:tcPr>
            <w:tcW w:w="5580" w:type="dxa"/>
            <w:vAlign w:val="bottom"/>
            <w:tcBorders>
              <w:left w:val="single" w:sz="8" w:color="auto"/>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Net Sales</w:t>
            </w:r>
          </w:p>
        </w:tc>
        <w:tc>
          <w:tcPr>
            <w:tcW w:w="5460" w:type="dxa"/>
            <w:vAlign w:val="bottom"/>
            <w:tcBorders>
              <w:right w:val="single" w:sz="8" w:color="auto"/>
            </w:tcBorders>
          </w:tcPr>
          <w:p>
            <w:pPr>
              <w:spacing w:after="0"/>
              <w:rPr>
                <w:sz w:val="17"/>
                <w:szCs w:val="17"/>
                <w:color w:val="auto"/>
              </w:rPr>
            </w:pPr>
          </w:p>
        </w:tc>
      </w:tr>
      <w:tr>
        <w:trPr>
          <w:trHeight w:val="216"/>
        </w:trPr>
        <w:tc>
          <w:tcPr>
            <w:tcW w:w="5580" w:type="dxa"/>
            <w:vAlign w:val="bottom"/>
            <w:tcBorders>
              <w:left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U.S. Gross Revenue</w:t>
            </w:r>
          </w:p>
        </w:tc>
        <w:tc>
          <w:tcPr>
            <w:tcW w:w="5460" w:type="dxa"/>
            <w:vAlign w:val="bottom"/>
            <w:tcBorders>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r>
        <w:trPr>
          <w:trHeight w:val="237"/>
        </w:trPr>
        <w:tc>
          <w:tcPr>
            <w:tcW w:w="558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Non-U.S. Gross Revenue</w:t>
            </w:r>
          </w:p>
        </w:tc>
        <w:tc>
          <w:tcPr>
            <w:tcW w:w="5460" w:type="dxa"/>
            <w:vAlign w:val="bottom"/>
            <w:tcBorders>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Royalty Calculation</w:t>
            </w:r>
          </w:p>
        </w:tc>
        <w:tc>
          <w:tcPr>
            <w:tcW w:w="5460" w:type="dxa"/>
            <w:vAlign w:val="bottom"/>
            <w:tcBorders>
              <w:bottom w:val="single" w:sz="8" w:color="auto"/>
              <w:right w:val="single" w:sz="8" w:color="auto"/>
            </w:tcBorders>
          </w:tcPr>
          <w:p>
            <w:pPr>
              <w:spacing w:after="0"/>
              <w:rPr>
                <w:sz w:val="18"/>
                <w:szCs w:val="18"/>
                <w:color w:val="auto"/>
              </w:rPr>
            </w:pPr>
          </w:p>
        </w:tc>
      </w:tr>
      <w:tr>
        <w:trPr>
          <w:trHeight w:val="210"/>
        </w:trPr>
        <w:tc>
          <w:tcPr>
            <w:tcW w:w="55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Royalty Subtotal</w:t>
            </w:r>
          </w:p>
        </w:tc>
        <w:tc>
          <w:tcPr>
            <w:tcW w:w="5460" w:type="dxa"/>
            <w:vAlign w:val="bottom"/>
            <w:tcBorders>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r>
        <w:trPr>
          <w:trHeight w:val="209"/>
        </w:trPr>
        <w:tc>
          <w:tcPr>
            <w:tcW w:w="55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Credit</w:t>
            </w:r>
          </w:p>
        </w:tc>
        <w:tc>
          <w:tcPr>
            <w:tcW w:w="5460" w:type="dxa"/>
            <w:vAlign w:val="bottom"/>
            <w:tcBorders>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r>
        <w:trPr>
          <w:trHeight w:val="209"/>
        </w:trPr>
        <w:tc>
          <w:tcPr>
            <w:tcW w:w="55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Royalty Due</w:t>
            </w:r>
          </w:p>
        </w:tc>
        <w:tc>
          <w:tcPr>
            <w:tcW w:w="5460" w:type="dxa"/>
            <w:vAlign w:val="bottom"/>
            <w:tcBorders>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Comments:</w:t>
      </w:r>
    </w:p>
    <w:p>
      <w:pPr>
        <w:spacing w:after="0" w:line="158" w:lineRule="exact"/>
        <w:rPr>
          <w:sz w:val="20"/>
          <w:szCs w:val="20"/>
          <w:color w:val="auto"/>
        </w:rPr>
      </w:pPr>
    </w:p>
    <w:p>
      <w:pPr>
        <w:ind w:left="424" w:right="280" w:hanging="424"/>
        <w:spacing w:after="0" w:line="277" w:lineRule="auto"/>
        <w:tabs>
          <w:tab w:leader="none" w:pos="424" w:val="left"/>
        </w:tabs>
        <w:numPr>
          <w:ilvl w:val="0"/>
          <w:numId w:val="345"/>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024"/>
          </w:cols>
          <w:pgMar w:left="436" w:top="270" w:right="439" w:bottom="1440" w:gutter="0" w:footer="0" w:header="0"/>
        </w:sectPr>
      </w:pPr>
    </w:p>
    <w:bookmarkStart w:id="416" w:name="page417"/>
    <w:bookmarkEnd w:id="416"/>
    <w:p>
      <w:pPr>
        <w:ind w:left="756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C — Client and Billing Agreement</w:t>
      </w:r>
    </w:p>
    <w:p>
      <w:pPr>
        <w:spacing w:after="0" w:line="252" w:lineRule="exact"/>
        <w:rPr>
          <w:sz w:val="20"/>
          <w:szCs w:val="20"/>
          <w:color w:val="auto"/>
        </w:rPr>
      </w:pPr>
    </w:p>
    <w:p>
      <w:pPr>
        <w:jc w:val="both"/>
        <w:ind w:left="444" w:right="20" w:hanging="422"/>
        <w:spacing w:after="0" w:line="291" w:lineRule="auto"/>
        <w:rPr>
          <w:sz w:val="20"/>
          <w:szCs w:val="20"/>
          <w:color w:val="auto"/>
        </w:rPr>
      </w:pPr>
      <w:r>
        <w:rPr>
          <w:rFonts w:ascii="Arial" w:cs="Arial" w:eastAsia="Arial" w:hAnsi="Arial"/>
          <w:sz w:val="16"/>
          <w:szCs w:val="16"/>
          <w:color w:val="auto"/>
        </w:rPr>
        <w:t>The Board of Trustees of the Leland Stanford Junior University (“STANFORD”); and Alexo Therapeutics International a Cayman Islands exempted company, with a mailing address at [951 Gateway Blvd, Suite 201, South San Francisco, CA 94080], (“ALEXO”); have agreed to use the law firm</w:t>
      </w:r>
    </w:p>
    <w:p>
      <w:pPr>
        <w:ind w:left="444" w:right="180"/>
        <w:spacing w:after="0" w:line="260" w:lineRule="auto"/>
        <w:rPr>
          <w:sz w:val="20"/>
          <w:szCs w:val="20"/>
          <w:color w:val="auto"/>
        </w:rPr>
      </w:pPr>
      <w:r>
        <w:rPr>
          <w:rFonts w:ascii="Arial" w:cs="Arial" w:eastAsia="Arial" w:hAnsi="Arial"/>
          <w:sz w:val="18"/>
          <w:szCs w:val="18"/>
          <w:color w:val="auto"/>
        </w:rPr>
        <w:t>of (“FIRM”) to prepare, file and prosecute the pending patent applications listed in Exhibit A attached hereto and maintain the patents that issue thereon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-172720</wp:posOffset>
            </wp:positionV>
            <wp:extent cx="8001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WHEREAS, FIRM desires to perform the legal services related to obtaining and maintaining the Patents; and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WHEREAS, STANFORD remains the client of the FIRM; and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WHEREAS, ALEXO is the licensee of STANFORD’s interest in the Patents;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NOW THEREFORE, in consideration of the premises and the faithful performance of the covenants herein contained, IT IS AGREED:</w:t>
      </w:r>
    </w:p>
    <w:p>
      <w:pPr>
        <w:spacing w:after="0" w:line="131" w:lineRule="exact"/>
        <w:rPr>
          <w:sz w:val="20"/>
          <w:szCs w:val="20"/>
          <w:color w:val="auto"/>
        </w:rPr>
      </w:pPr>
    </w:p>
    <w:p>
      <w:pPr>
        <w:ind w:left="424" w:right="40" w:hanging="424"/>
        <w:spacing w:after="0" w:line="311" w:lineRule="auto"/>
        <w:tabs>
          <w:tab w:leader="none" w:pos="424" w:val="left"/>
        </w:tabs>
        <w:numPr>
          <w:ilvl w:val="0"/>
          <w:numId w:val="346"/>
        </w:numPr>
        <w:rPr>
          <w:rFonts w:ascii="Arial" w:cs="Arial" w:eastAsia="Arial" w:hAnsi="Arial"/>
          <w:sz w:val="16"/>
          <w:szCs w:val="16"/>
          <w:color w:val="auto"/>
        </w:rPr>
      </w:pPr>
      <w:r>
        <w:rPr>
          <w:rFonts w:ascii="Arial" w:cs="Arial" w:eastAsia="Arial" w:hAnsi="Arial"/>
          <w:sz w:val="16"/>
          <w:szCs w:val="16"/>
          <w:color w:val="auto"/>
        </w:rPr>
        <w:t>FIRM can interact directly with ALEXO on all patent prosecution matters related to the Patents and will copy STANFORD on all correspondence. STANFORD will be notified by FIRM prior to any substantive actions and will have final approval on proceeding with such actions. In addition, as prosecution proceeds, FIRM will notify STANFORD if there is any change in inventorship from the originally filed application.</w:t>
      </w:r>
    </w:p>
    <w:p>
      <w:pPr>
        <w:spacing w:after="0" w:line="54" w:lineRule="exact"/>
        <w:rPr>
          <w:rFonts w:ascii="Arial" w:cs="Arial" w:eastAsia="Arial" w:hAnsi="Arial"/>
          <w:sz w:val="16"/>
          <w:szCs w:val="16"/>
          <w:color w:val="auto"/>
        </w:rPr>
      </w:pPr>
    </w:p>
    <w:p>
      <w:pPr>
        <w:ind w:left="424" w:right="280" w:hanging="424"/>
        <w:spacing w:after="0" w:line="259" w:lineRule="auto"/>
        <w:tabs>
          <w:tab w:leader="none" w:pos="424"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ALEXO is responsible for the payment of all charges and fees by FIRM related to the prosecution and maintenance of the Patents. FIRM will invoice ALEXO and ALEXO must pay FIRM directly for all charges. If STANFORD requests, STANFORD will be copied on all invoices and payments. FIRM must inform STANFORD within 90 days if the licensee is delinquent on payment. Otherwise, STANFORD will not be responsible for those expenses.</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346"/>
        </w:numPr>
        <w:rPr>
          <w:rFonts w:ascii="Arial" w:cs="Arial" w:eastAsia="Arial" w:hAnsi="Arial"/>
          <w:sz w:val="18"/>
          <w:szCs w:val="18"/>
          <w:color w:val="auto"/>
        </w:rPr>
      </w:pPr>
      <w:r>
        <w:rPr>
          <w:rFonts w:ascii="Arial" w:cs="Arial" w:eastAsia="Arial" w:hAnsi="Arial"/>
          <w:sz w:val="18"/>
          <w:szCs w:val="18"/>
          <w:color w:val="auto"/>
        </w:rPr>
        <w:t>Notices and copies of all correspondence should be sent to the following:</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ALEXO:</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Name, Title</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Alexo</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STANFORD:</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Office of Technology Licensing</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Stanford University</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3000 El Camino Real</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Building 5, Suite 300</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Palo Alto, CA 94306-1106</w:t>
      </w:r>
    </w:p>
    <w:p>
      <w:pPr>
        <w:spacing w:after="0" w:line="143" w:lineRule="exact"/>
        <w:rPr>
          <w:sz w:val="20"/>
          <w:szCs w:val="20"/>
          <w:color w:val="auto"/>
        </w:rPr>
      </w:pPr>
    </w:p>
    <w:p>
      <w:pPr>
        <w:ind w:left="424" w:right="280" w:hanging="424"/>
        <w:spacing w:after="0" w:line="277" w:lineRule="auto"/>
        <w:tabs>
          <w:tab w:leader="none" w:pos="42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024"/>
          </w:cols>
          <w:pgMar w:left="436" w:top="270" w:right="439" w:bottom="1440" w:gutter="0" w:footer="0" w:header="0"/>
        </w:sectPr>
      </w:pPr>
    </w:p>
    <w:bookmarkStart w:id="417" w:name="page418"/>
    <w:bookmarkEnd w:id="41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FIRM:</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Attorney Name</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Law Firm Address</w:t>
      </w:r>
    </w:p>
    <w:p>
      <w:pPr>
        <w:spacing w:after="0" w:line="116" w:lineRule="exact"/>
        <w:rPr>
          <w:sz w:val="20"/>
          <w:szCs w:val="20"/>
          <w:color w:val="auto"/>
        </w:rPr>
      </w:pPr>
    </w:p>
    <w:p>
      <w:pPr>
        <w:ind w:left="424" w:right="40" w:hanging="424"/>
        <w:spacing w:after="0" w:line="263" w:lineRule="auto"/>
        <w:tabs>
          <w:tab w:leader="none" w:pos="42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parties to this document agree that a copy of the original signature (including an electronic copy) may be used for any and all purposes for which the original signature may have been used. The parties further waive any right to challenge the admissibility or authenticity of this document in a court of law based solely on the absence of an original signature.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ACCEPTED AND AGREED TO:</w:t>
      </w:r>
    </w:p>
    <w:p>
      <w:pPr>
        <w:spacing w:after="0" w:line="374" w:lineRule="exact"/>
        <w:rPr>
          <w:sz w:val="20"/>
          <w:szCs w:val="20"/>
          <w:color w:val="auto"/>
        </w:rPr>
      </w:pPr>
    </w:p>
    <w:p>
      <w:pPr>
        <w:ind w:left="4"/>
        <w:spacing w:after="0"/>
        <w:rPr>
          <w:sz w:val="20"/>
          <w:szCs w:val="20"/>
          <w:color w:val="auto"/>
        </w:rPr>
      </w:pPr>
      <w:r>
        <w:rPr>
          <w:rFonts w:ascii="Arial" w:cs="Arial" w:eastAsia="Arial" w:hAnsi="Arial"/>
          <w:sz w:val="18"/>
          <w:szCs w:val="18"/>
          <w:color w:val="auto"/>
        </w:rPr>
        <w:t>STANFORD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14605</wp:posOffset>
            </wp:positionV>
            <wp:extent cx="24345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Katharine Ku</w:t>
      </w:r>
    </w:p>
    <w:p>
      <w:pPr>
        <w:spacing w:after="0" w:line="23"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Title:</w:t>
        <w:tab/>
        <w:t>Director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5715</wp:posOffset>
            </wp:positionV>
            <wp:extent cx="24345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31" w:lineRule="exact"/>
        <w:rPr>
          <w:sz w:val="20"/>
          <w:szCs w:val="20"/>
          <w:color w:val="auto"/>
        </w:rPr>
      </w:pPr>
    </w:p>
    <w:p>
      <w:pPr>
        <w:ind w:left="4"/>
        <w:spacing w:after="0"/>
        <w:rPr>
          <w:sz w:val="20"/>
          <w:szCs w:val="20"/>
          <w:color w:val="auto"/>
        </w:rPr>
      </w:pPr>
      <w:r>
        <w:rPr>
          <w:rFonts w:ascii="Arial" w:cs="Arial" w:eastAsia="Arial" w:hAnsi="Arial"/>
          <w:sz w:val="18"/>
          <w:szCs w:val="18"/>
          <w:color w:val="auto"/>
        </w:rPr>
        <w:t>Alexo Therapeutics International</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14605</wp:posOffset>
            </wp:positionV>
            <wp:extent cx="24345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5715</wp:posOffset>
            </wp:positionV>
            <wp:extent cx="243459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23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Law Firm Name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14605</wp:posOffset>
            </wp:positionV>
            <wp:extent cx="24345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5715</wp:posOffset>
            </wp:positionV>
            <wp:extent cx="24345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80" w:lineRule="exact"/>
        <w:rPr>
          <w:sz w:val="20"/>
          <w:szCs w:val="20"/>
          <w:color w:val="auto"/>
        </w:rPr>
      </w:pPr>
    </w:p>
    <w:p>
      <w:pPr>
        <w:ind w:left="424" w:hanging="424"/>
        <w:spacing w:after="0" w:line="277" w:lineRule="auto"/>
        <w:tabs>
          <w:tab w:leader="none" w:pos="424" w:val="left"/>
        </w:tabs>
        <w:numPr>
          <w:ilvl w:val="0"/>
          <w:numId w:val="349"/>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83"/>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0744"/>
          </w:cols>
          <w:pgMar w:left="436" w:top="274" w:right="719" w:bottom="1440" w:gutter="0" w:footer="0" w:header="0"/>
        </w:sectPr>
      </w:pPr>
    </w:p>
    <w:bookmarkStart w:id="418" w:name="page419"/>
    <w:bookmarkEnd w:id="418"/>
    <w:p>
      <w:pPr>
        <w:ind w:left="800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D — Equity Purchase Rights</w:t>
      </w:r>
    </w:p>
    <w:p>
      <w:pPr>
        <w:spacing w:after="0" w:line="279" w:lineRule="exact"/>
        <w:rPr>
          <w:sz w:val="20"/>
          <w:szCs w:val="20"/>
          <w:color w:val="auto"/>
        </w:rPr>
      </w:pPr>
    </w:p>
    <w:p>
      <w:pPr>
        <w:ind w:left="424" w:right="160" w:hanging="431"/>
        <w:spacing w:after="0" w:line="254" w:lineRule="auto"/>
        <w:tabs>
          <w:tab w:leader="none" w:pos="404" w:val="left"/>
        </w:tabs>
        <w:rPr>
          <w:sz w:val="20"/>
          <w:szCs w:val="20"/>
          <w:color w:val="auto"/>
        </w:rPr>
      </w:pPr>
      <w:r>
        <w:rPr>
          <w:rFonts w:ascii="Arial" w:cs="Arial" w:eastAsia="Arial" w:hAnsi="Arial"/>
          <w:sz w:val="18"/>
          <w:szCs w:val="18"/>
          <w:color w:val="auto"/>
        </w:rPr>
        <w:t>7.4</w:t>
        <w:tab/>
        <w:t>[***] Purchase Right. In any private offering of Parent’s equity securities (or securities convertible into or exercisable for Parent’s equity securities) for cash (or in satisfaction of debt issued for cash) having its final closing held on or after the date of this Agreement, Stanford may purchase for cash up to [***]% of the securities issued in such offering. This right will expire following the [***] round of bona fide equity investment in Parent from a single investor or group of investors that includes at least one venture capital, professional angel, corporate or other similar institutional investor (other than Stanford) and that either (i) [***] or (ii) [***]. For the avoidance of doubt, any securities Stanford may acquire or have the right to acquire under Sections 7.2 and 7.3 shall not reduce or increase the number of securities Stanford may purchase under this Section 7.4.</w:t>
      </w:r>
    </w:p>
    <w:p>
      <w:pPr>
        <w:spacing w:after="0" w:line="22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Future Offerings; Limitation on Right to Purchase. In any private offering of Parent’s equity securities (or securities convertible into or exercisable</w:t>
      </w:r>
    </w:p>
    <w:p>
      <w:pPr>
        <w:spacing w:after="0" w:line="23" w:lineRule="exact"/>
        <w:rPr>
          <w:sz w:val="20"/>
          <w:szCs w:val="20"/>
          <w:color w:val="auto"/>
        </w:rPr>
      </w:pPr>
    </w:p>
    <w:p>
      <w:pPr>
        <w:ind w:left="424"/>
        <w:spacing w:after="0"/>
        <w:rPr>
          <w:sz w:val="20"/>
          <w:szCs w:val="20"/>
          <w:color w:val="auto"/>
        </w:rPr>
      </w:pPr>
      <w:r>
        <w:rPr>
          <w:rFonts w:ascii="Arial" w:cs="Arial" w:eastAsia="Arial" w:hAnsi="Arial"/>
          <w:sz w:val="16"/>
          <w:szCs w:val="16"/>
          <w:color w:val="auto"/>
        </w:rPr>
        <w:t>for Parent’s equity securities) in exchange for cash (or in satisfaction of debt issued for cash) after the offering described in Section 7.4, Stanford</w:t>
      </w:r>
    </w:p>
    <w:p>
      <w:pPr>
        <w:spacing w:after="0" w:line="32" w:lineRule="exact"/>
        <w:rPr>
          <w:sz w:val="20"/>
          <w:szCs w:val="20"/>
          <w:color w:val="auto"/>
        </w:rPr>
      </w:pPr>
    </w:p>
    <w:p>
      <w:pPr>
        <w:ind w:left="424"/>
        <w:spacing w:after="0"/>
        <w:rPr>
          <w:sz w:val="20"/>
          <w:szCs w:val="20"/>
          <w:color w:val="auto"/>
        </w:rPr>
      </w:pPr>
      <w:r>
        <w:rPr>
          <w:rFonts w:ascii="Arial" w:cs="Arial" w:eastAsia="Arial" w:hAnsi="Arial"/>
          <w:sz w:val="16"/>
          <w:szCs w:val="16"/>
          <w:color w:val="auto"/>
        </w:rPr>
        <w:t>may purchase for cash that number of the securities issued in such offering as is necessary for Stanford to maintain its pro rata ownership interest</w:t>
      </w:r>
    </w:p>
    <w:p>
      <w:pPr>
        <w:spacing w:after="0" w:line="32" w:lineRule="exact"/>
        <w:rPr>
          <w:sz w:val="20"/>
          <w:szCs w:val="20"/>
          <w:color w:val="auto"/>
        </w:rPr>
      </w:pPr>
    </w:p>
    <w:p>
      <w:pPr>
        <w:ind w:left="424"/>
        <w:spacing w:after="0"/>
        <w:rPr>
          <w:sz w:val="20"/>
          <w:szCs w:val="20"/>
          <w:color w:val="auto"/>
        </w:rPr>
      </w:pPr>
      <w:r>
        <w:rPr>
          <w:rFonts w:ascii="Arial" w:cs="Arial" w:eastAsia="Arial" w:hAnsi="Arial"/>
          <w:sz w:val="17"/>
          <w:szCs w:val="17"/>
          <w:color w:val="auto"/>
        </w:rPr>
        <w:t>in Parent Preferred Shares on a Fully-Diluted Basis. For the avoidance of doubt: (i) any securities Stanford may acquire or have the right to</w:t>
      </w:r>
    </w:p>
    <w:p>
      <w:pPr>
        <w:spacing w:after="0" w:line="21" w:lineRule="exact"/>
        <w:rPr>
          <w:sz w:val="20"/>
          <w:szCs w:val="20"/>
          <w:color w:val="auto"/>
        </w:rPr>
      </w:pPr>
    </w:p>
    <w:p>
      <w:pPr>
        <w:ind w:left="424"/>
        <w:spacing w:after="0"/>
        <w:rPr>
          <w:sz w:val="20"/>
          <w:szCs w:val="20"/>
          <w:color w:val="auto"/>
        </w:rPr>
      </w:pPr>
      <w:r>
        <w:rPr>
          <w:rFonts w:ascii="Arial" w:cs="Arial" w:eastAsia="Arial" w:hAnsi="Arial"/>
          <w:sz w:val="17"/>
          <w:szCs w:val="17"/>
          <w:color w:val="auto"/>
        </w:rPr>
        <w:t>acquire under Section 7.3 shall not reduce or increase the number of securities Stanford may purchase under this Section 7.5; (ii) if both</w:t>
      </w:r>
    </w:p>
    <w:p>
      <w:pPr>
        <w:spacing w:after="0" w:line="21" w:lineRule="exact"/>
        <w:rPr>
          <w:sz w:val="20"/>
          <w:szCs w:val="20"/>
          <w:color w:val="auto"/>
        </w:rPr>
      </w:pPr>
    </w:p>
    <w:p>
      <w:pPr>
        <w:ind w:left="424"/>
        <w:spacing w:after="0"/>
        <w:rPr>
          <w:sz w:val="20"/>
          <w:szCs w:val="20"/>
          <w:color w:val="auto"/>
        </w:rPr>
      </w:pPr>
      <w:r>
        <w:rPr>
          <w:rFonts w:ascii="Arial" w:cs="Arial" w:eastAsia="Arial" w:hAnsi="Arial"/>
          <w:sz w:val="16"/>
          <w:szCs w:val="16"/>
          <w:color w:val="auto"/>
        </w:rPr>
        <w:t>Section 7.4 and this Section 7.5 apply to an offering, the provision granting Stanford the superior rights will govern; and (iii) Stanford shall not be</w:t>
      </w:r>
    </w:p>
    <w:p>
      <w:pPr>
        <w:spacing w:after="0" w:line="32" w:lineRule="exact"/>
        <w:rPr>
          <w:sz w:val="20"/>
          <w:szCs w:val="20"/>
          <w:color w:val="auto"/>
        </w:rPr>
      </w:pPr>
    </w:p>
    <w:p>
      <w:pPr>
        <w:ind w:left="424"/>
        <w:spacing w:after="0"/>
        <w:rPr>
          <w:sz w:val="20"/>
          <w:szCs w:val="20"/>
          <w:color w:val="auto"/>
        </w:rPr>
      </w:pPr>
      <w:r>
        <w:rPr>
          <w:rFonts w:ascii="Arial" w:cs="Arial" w:eastAsia="Arial" w:hAnsi="Arial"/>
          <w:sz w:val="16"/>
          <w:szCs w:val="16"/>
          <w:color w:val="auto"/>
        </w:rPr>
        <w:t>obligated to purchase under Section 7.4 or 7.5 any Parent securities it has the right to acquire under Section 7.3. This participation right will expire</w:t>
      </w:r>
    </w:p>
    <w:p>
      <w:pPr>
        <w:spacing w:after="0" w:line="32" w:lineRule="exact"/>
        <w:rPr>
          <w:sz w:val="20"/>
          <w:szCs w:val="20"/>
          <w:color w:val="auto"/>
        </w:rPr>
      </w:pPr>
    </w:p>
    <w:p>
      <w:pPr>
        <w:ind w:left="424"/>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Purchase Terms and Procedures; Financial Information; Notices.</w:t>
      </w:r>
    </w:p>
    <w:p>
      <w:pPr>
        <w:spacing w:after="0" w:line="131" w:lineRule="exact"/>
        <w:rPr>
          <w:sz w:val="20"/>
          <w:szCs w:val="20"/>
          <w:color w:val="auto"/>
        </w:rPr>
      </w:pPr>
    </w:p>
    <w:p>
      <w:pPr>
        <w:ind w:left="964" w:hanging="532"/>
        <w:spacing w:after="0"/>
        <w:tabs>
          <w:tab w:leader="none" w:pos="964" w:val="left"/>
        </w:tabs>
        <w:numPr>
          <w:ilvl w:val="1"/>
          <w:numId w:val="350"/>
        </w:numPr>
        <w:rPr>
          <w:rFonts w:ascii="Arial" w:cs="Arial" w:eastAsia="Arial" w:hAnsi="Arial"/>
          <w:sz w:val="18"/>
          <w:szCs w:val="18"/>
          <w:color w:val="auto"/>
        </w:rPr>
      </w:pPr>
      <w:r>
        <w:rPr>
          <w:rFonts w:ascii="Arial" w:cs="Arial" w:eastAsia="Arial" w:hAnsi="Arial"/>
          <w:sz w:val="18"/>
          <w:szCs w:val="18"/>
          <w:color w:val="auto"/>
        </w:rPr>
        <w:t>In any offering subject to Section 7.4 or 7.5:</w:t>
      </w:r>
    </w:p>
    <w:p>
      <w:pPr>
        <w:spacing w:after="0" w:line="130" w:lineRule="exact"/>
        <w:rPr>
          <w:rFonts w:ascii="Arial" w:cs="Arial" w:eastAsia="Arial" w:hAnsi="Arial"/>
          <w:sz w:val="18"/>
          <w:szCs w:val="18"/>
          <w:color w:val="auto"/>
        </w:rPr>
      </w:pPr>
    </w:p>
    <w:p>
      <w:pPr>
        <w:ind w:left="1424" w:right="80" w:hanging="439"/>
        <w:spacing w:after="0" w:line="296" w:lineRule="auto"/>
        <w:tabs>
          <w:tab w:leader="none" w:pos="1424" w:val="left"/>
        </w:tabs>
        <w:numPr>
          <w:ilvl w:val="2"/>
          <w:numId w:val="350"/>
        </w:numPr>
        <w:rPr>
          <w:rFonts w:ascii="Arial" w:cs="Arial" w:eastAsia="Arial" w:hAnsi="Arial"/>
          <w:sz w:val="16"/>
          <w:szCs w:val="16"/>
          <w:color w:val="auto"/>
        </w:rPr>
      </w:pPr>
      <w:r>
        <w:rPr>
          <w:rFonts w:ascii="Arial" w:cs="Arial" w:eastAsia="Arial" w:hAnsi="Arial"/>
          <w:sz w:val="16"/>
          <w:szCs w:val="16"/>
          <w:color w:val="auto"/>
        </w:rPr>
        <w:t>Parent will give Stanford notice of the terms of the offering, including: (i) the names of the investors, the allocation of shares among them and the total amounts to be invested by each of them in such offering; (ii) pre- and post-(projected) financing capitalization table; (iii) investor presentation (if available); (iv) an introduction to the lead investor in such offering for the purpose of discussing the lead investor’s due diligence process; and (v) such other documents and information as Stanford may reasonably request for the purpose of making an investment decision or verifying the number of shares it is entitled to purchase in such offering;</w:t>
      </w:r>
    </w:p>
    <w:p>
      <w:pPr>
        <w:spacing w:after="0" w:line="66" w:lineRule="exact"/>
        <w:rPr>
          <w:rFonts w:ascii="Arial" w:cs="Arial" w:eastAsia="Arial" w:hAnsi="Arial"/>
          <w:sz w:val="16"/>
          <w:szCs w:val="16"/>
          <w:color w:val="auto"/>
        </w:rPr>
      </w:pPr>
    </w:p>
    <w:p>
      <w:pPr>
        <w:jc w:val="both"/>
        <w:ind w:left="1424" w:right="220" w:hanging="439"/>
        <w:spacing w:after="0" w:line="263" w:lineRule="auto"/>
        <w:tabs>
          <w:tab w:leader="none" w:pos="1424" w:val="left"/>
        </w:tabs>
        <w:numPr>
          <w:ilvl w:val="2"/>
          <w:numId w:val="350"/>
        </w:numPr>
        <w:rPr>
          <w:rFonts w:ascii="Arial" w:cs="Arial" w:eastAsia="Arial" w:hAnsi="Arial"/>
          <w:sz w:val="18"/>
          <w:szCs w:val="18"/>
          <w:color w:val="auto"/>
        </w:rPr>
      </w:pPr>
      <w:r>
        <w:rPr>
          <w:rFonts w:ascii="Arial" w:cs="Arial" w:eastAsia="Arial" w:hAnsi="Arial"/>
          <w:sz w:val="18"/>
          <w:szCs w:val="18"/>
          <w:color w:val="auto"/>
        </w:rPr>
        <w:t>Stanford’s purchase right shall be on the same terms and conditions as the other investors in such offering and Stanford shall enter into any necessary agreement with Parent and such other investors for the purpose of implementing the provisions of Sections 7.4, 7.5, and 7.6, except that [***];</w:t>
      </w:r>
    </w:p>
    <w:p>
      <w:pPr>
        <w:spacing w:after="0" w:line="89" w:lineRule="exact"/>
        <w:rPr>
          <w:rFonts w:ascii="Arial" w:cs="Arial" w:eastAsia="Arial" w:hAnsi="Arial"/>
          <w:sz w:val="18"/>
          <w:szCs w:val="18"/>
          <w:color w:val="auto"/>
        </w:rPr>
      </w:pPr>
    </w:p>
    <w:p>
      <w:pPr>
        <w:jc w:val="both"/>
        <w:ind w:left="1424" w:right="160" w:hanging="439"/>
        <w:spacing w:after="0" w:line="263" w:lineRule="auto"/>
        <w:tabs>
          <w:tab w:leader="none" w:pos="1424" w:val="left"/>
        </w:tabs>
        <w:numPr>
          <w:ilvl w:val="2"/>
          <w:numId w:val="350"/>
        </w:numPr>
        <w:rPr>
          <w:rFonts w:ascii="Arial" w:cs="Arial" w:eastAsia="Arial" w:hAnsi="Arial"/>
          <w:sz w:val="18"/>
          <w:szCs w:val="18"/>
          <w:color w:val="auto"/>
        </w:rPr>
      </w:pPr>
      <w:r>
        <w:rPr>
          <w:rFonts w:ascii="Arial" w:cs="Arial" w:eastAsia="Arial" w:hAnsi="Arial"/>
          <w:sz w:val="18"/>
          <w:szCs w:val="18"/>
          <w:color w:val="auto"/>
        </w:rPr>
        <w:t>Stanford may elect to exercise its right of purchase, in whole or in part, by notice given to Parent within 15 Stanford business days (i.e., days other than Saturdays, Sundays, and holidays or other days on which Stanford is officially closed) after receipt of Parent’s notice; and</w:t>
      </w:r>
    </w:p>
    <w:p>
      <w:pPr>
        <w:spacing w:after="0" w:line="116" w:lineRule="exact"/>
        <w:rPr>
          <w:rFonts w:ascii="Arial" w:cs="Arial" w:eastAsia="Arial" w:hAnsi="Arial"/>
          <w:sz w:val="18"/>
          <w:szCs w:val="18"/>
          <w:color w:val="auto"/>
        </w:rPr>
      </w:pPr>
    </w:p>
    <w:p>
      <w:pPr>
        <w:ind w:left="424" w:right="280" w:hanging="424"/>
        <w:spacing w:after="0" w:line="277" w:lineRule="auto"/>
        <w:tabs>
          <w:tab w:leader="none" w:pos="42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024"/>
          </w:cols>
          <w:pgMar w:left="436" w:top="270" w:right="439" w:bottom="1440" w:gutter="0" w:footer="0" w:header="0"/>
        </w:sectPr>
      </w:pPr>
    </w:p>
    <w:bookmarkStart w:id="419" w:name="page420"/>
    <w:bookmarkEnd w:id="419"/>
    <w:p>
      <w:pPr>
        <w:ind w:left="1424" w:right="160" w:hanging="439"/>
        <w:spacing w:after="0" w:line="263" w:lineRule="auto"/>
        <w:tabs>
          <w:tab w:leader="none" w:pos="1424" w:val="left"/>
        </w:tabs>
        <w:numPr>
          <w:ilvl w:val="2"/>
          <w:numId w:val="3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Stanford elects not to purchase, or fails to give an election notice within such period, Stanford’s purchase right will not apply to the offering if (and only if and to the extent) it is consummated within [***] on the same or less favorable (to the investor) terms as stated in Parent’s notice to Stanford.</w:t>
      </w:r>
    </w:p>
    <w:p>
      <w:pPr>
        <w:spacing w:after="0" w:line="85" w:lineRule="exact"/>
        <w:rPr>
          <w:rFonts w:ascii="Arial" w:cs="Arial" w:eastAsia="Arial" w:hAnsi="Arial"/>
          <w:sz w:val="18"/>
          <w:szCs w:val="18"/>
          <w:color w:val="auto"/>
        </w:rPr>
      </w:pPr>
    </w:p>
    <w:p>
      <w:pPr>
        <w:ind w:left="964" w:hanging="532"/>
        <w:spacing w:after="0" w:line="283" w:lineRule="auto"/>
        <w:tabs>
          <w:tab w:leader="none" w:pos="964" w:val="left"/>
        </w:tabs>
        <w:numPr>
          <w:ilvl w:val="1"/>
          <w:numId w:val="352"/>
        </w:numPr>
        <w:rPr>
          <w:rFonts w:ascii="Arial" w:cs="Arial" w:eastAsia="Arial" w:hAnsi="Arial"/>
          <w:sz w:val="16"/>
          <w:szCs w:val="16"/>
          <w:color w:val="auto"/>
        </w:rPr>
      </w:pPr>
      <w:r>
        <w:rPr>
          <w:rFonts w:ascii="Arial" w:cs="Arial" w:eastAsia="Arial" w:hAnsi="Arial"/>
          <w:sz w:val="16"/>
          <w:szCs w:val="16"/>
          <w:color w:val="auto"/>
        </w:rPr>
        <w:t xml:space="preserve">Stanford’s rights under Sections 7.4 and 7.5 will not apply to: </w:t>
      </w:r>
      <w:r>
        <w:rPr>
          <w:rFonts w:ascii="Arial" w:cs="Arial" w:eastAsia="Arial" w:hAnsi="Arial"/>
          <w:sz w:val="16"/>
          <w:szCs w:val="16"/>
          <w:b w:val="1"/>
          <w:bCs w:val="1"/>
          <w:color w:val="auto"/>
        </w:rPr>
        <w:t>(1)</w:t>
      </w:r>
      <w:r>
        <w:rPr>
          <w:rFonts w:ascii="Arial" w:cs="Arial" w:eastAsia="Arial" w:hAnsi="Arial"/>
          <w:sz w:val="16"/>
          <w:szCs w:val="16"/>
          <w:color w:val="auto"/>
        </w:rPr>
        <w:t xml:space="preserve"> Ordinary Shares issued or issuable as a dividend or other distribution on Preferred Shares; </w:t>
      </w:r>
      <w:r>
        <w:rPr>
          <w:rFonts w:ascii="Arial" w:cs="Arial" w:eastAsia="Arial" w:hAnsi="Arial"/>
          <w:sz w:val="16"/>
          <w:szCs w:val="16"/>
          <w:b w:val="1"/>
          <w:bCs w:val="1"/>
          <w:color w:val="auto"/>
        </w:rPr>
        <w:t>(2)</w:t>
      </w:r>
      <w:r>
        <w:rPr>
          <w:rFonts w:ascii="Arial" w:cs="Arial" w:eastAsia="Arial" w:hAnsi="Arial"/>
          <w:sz w:val="16"/>
          <w:szCs w:val="16"/>
          <w:color w:val="auto"/>
        </w:rPr>
        <w:t xml:space="preserve"> Ordinary Shares issued or issuable by reason of a dividend or other distribution on Ordinary Shares </w:t>
      </w:r>
      <w:r>
        <w:rPr>
          <w:rFonts w:ascii="Arial" w:cs="Arial" w:eastAsia="Arial" w:hAnsi="Arial"/>
          <w:sz w:val="16"/>
          <w:szCs w:val="16"/>
          <w:b w:val="1"/>
          <w:bCs w:val="1"/>
          <w:color w:val="auto"/>
        </w:rPr>
        <w:t>(3)</w:t>
      </w:r>
      <w:r>
        <w:rPr>
          <w:rFonts w:ascii="Arial" w:cs="Arial" w:eastAsia="Arial" w:hAnsi="Arial"/>
          <w:sz w:val="16"/>
          <w:szCs w:val="16"/>
          <w:color w:val="auto"/>
        </w:rPr>
        <w:t xml:space="preserve"> Ordinary Shares issued or issuable upon conversion of shares of Preferred Shares; </w:t>
      </w:r>
      <w:r>
        <w:rPr>
          <w:rFonts w:ascii="Arial" w:cs="Arial" w:eastAsia="Arial" w:hAnsi="Arial"/>
          <w:sz w:val="16"/>
          <w:szCs w:val="16"/>
          <w:b w:val="1"/>
          <w:bCs w:val="1"/>
          <w:color w:val="auto"/>
        </w:rPr>
        <w:t>(4)</w:t>
      </w:r>
      <w:r>
        <w:rPr>
          <w:rFonts w:ascii="Arial" w:cs="Arial" w:eastAsia="Arial" w:hAnsi="Arial"/>
          <w:sz w:val="16"/>
          <w:szCs w:val="16"/>
          <w:color w:val="auto"/>
        </w:rPr>
        <w:t xml:space="preserve"> Ordinary Shares or options or restricted stock awards or other rights therefore issued or issuable to directors, officers, employees or consultants of Parent in consideration for their service to Parent pursuant to any written agreement, plan or arrangement (including, without limitation, any stock option plan, stock purchase plan, stock purchase agreement or subscription agreement) approved by the Parent Board of Directors, including a majority of those Directors designated by holders of Preferred Shares; </w:t>
      </w:r>
      <w:r>
        <w:rPr>
          <w:rFonts w:ascii="Arial" w:cs="Arial" w:eastAsia="Arial" w:hAnsi="Arial"/>
          <w:sz w:val="16"/>
          <w:szCs w:val="16"/>
          <w:b w:val="1"/>
          <w:bCs w:val="1"/>
          <w:color w:val="auto"/>
        </w:rPr>
        <w:t>(5)</w:t>
      </w:r>
      <w:r>
        <w:rPr>
          <w:rFonts w:ascii="Arial" w:cs="Arial" w:eastAsia="Arial" w:hAnsi="Arial"/>
          <w:sz w:val="16"/>
          <w:szCs w:val="16"/>
          <w:color w:val="auto"/>
        </w:rPr>
        <w:t xml:space="preserve"> securities issued to the public in a firm commitment underwritten public offering pursuant to an effective registration statement filed under the Securities Act of 1933, as amended; </w:t>
      </w:r>
      <w:r>
        <w:rPr>
          <w:rFonts w:ascii="Arial" w:cs="Arial" w:eastAsia="Arial" w:hAnsi="Arial"/>
          <w:sz w:val="16"/>
          <w:szCs w:val="16"/>
          <w:b w:val="1"/>
          <w:bCs w:val="1"/>
          <w:color w:val="auto"/>
        </w:rPr>
        <w:t>(6)</w:t>
      </w:r>
      <w:r>
        <w:rPr>
          <w:rFonts w:ascii="Arial" w:cs="Arial" w:eastAsia="Arial" w:hAnsi="Arial"/>
          <w:sz w:val="16"/>
          <w:szCs w:val="16"/>
          <w:color w:val="auto"/>
        </w:rPr>
        <w:t xml:space="preserve"> securities issued pursuant to the acquisition by the Parent of another corporation or other entity by consolidation, corporate reorganizations, or merger, or purchase of all or substantially all of the assets of such corporation or other entity as approved by the Parent Board of Directors, including a majority of those Directors designated by the holders of Series A Preferred; </w:t>
      </w:r>
      <w:r>
        <w:rPr>
          <w:rFonts w:ascii="Arial" w:cs="Arial" w:eastAsia="Arial" w:hAnsi="Arial"/>
          <w:sz w:val="16"/>
          <w:szCs w:val="16"/>
          <w:b w:val="1"/>
          <w:bCs w:val="1"/>
          <w:color w:val="auto"/>
        </w:rPr>
        <w:t>(7)</w:t>
      </w:r>
      <w:r>
        <w:rPr>
          <w:rFonts w:ascii="Arial" w:cs="Arial" w:eastAsia="Arial" w:hAnsi="Arial"/>
          <w:sz w:val="16"/>
          <w:szCs w:val="16"/>
          <w:color w:val="auto"/>
        </w:rPr>
        <w:t xml:space="preserve"> securities issued in connection with equipment leasing, real estate, bank financing or similar transactions approved by the Parent Board of Directors, including a majority of those Directors designated by the holders of the Preferred Shares; and </w:t>
      </w:r>
      <w:r>
        <w:rPr>
          <w:rFonts w:ascii="Arial" w:cs="Arial" w:eastAsia="Arial" w:hAnsi="Arial"/>
          <w:sz w:val="16"/>
          <w:szCs w:val="16"/>
          <w:b w:val="1"/>
          <w:bCs w:val="1"/>
          <w:color w:val="auto"/>
        </w:rPr>
        <w:t>(8)</w:t>
      </w:r>
      <w:r>
        <w:rPr>
          <w:rFonts w:ascii="Arial" w:cs="Arial" w:eastAsia="Arial" w:hAnsi="Arial"/>
          <w:sz w:val="16"/>
          <w:szCs w:val="16"/>
          <w:color w:val="auto"/>
        </w:rPr>
        <w:t xml:space="preserve"> any securities issued or issuable upon conversion, exercise or exchange of any other securities that are covered by</w:t>
      </w:r>
    </w:p>
    <w:p>
      <w:pPr>
        <w:spacing w:after="0" w:line="5" w:lineRule="exact"/>
        <w:rPr>
          <w:rFonts w:ascii="Arial" w:cs="Arial" w:eastAsia="Arial" w:hAnsi="Arial"/>
          <w:sz w:val="16"/>
          <w:szCs w:val="16"/>
          <w:color w:val="auto"/>
        </w:rPr>
      </w:pPr>
    </w:p>
    <w:p>
      <w:pPr>
        <w:ind w:left="964"/>
        <w:spacing w:after="0"/>
        <w:rPr>
          <w:rFonts w:ascii="Arial" w:cs="Arial" w:eastAsia="Arial" w:hAnsi="Arial"/>
          <w:sz w:val="16"/>
          <w:szCs w:val="16"/>
          <w:color w:val="auto"/>
        </w:rPr>
      </w:pPr>
      <w:r>
        <w:rPr>
          <w:rFonts w:ascii="Arial" w:cs="Arial" w:eastAsia="Arial" w:hAnsi="Arial"/>
          <w:sz w:val="18"/>
          <w:szCs w:val="18"/>
          <w:color w:val="auto"/>
        </w:rPr>
        <w:t>(1)-(7).</w:t>
      </w:r>
    </w:p>
    <w:p>
      <w:pPr>
        <w:spacing w:after="0" w:line="116" w:lineRule="exact"/>
        <w:rPr>
          <w:rFonts w:ascii="Arial" w:cs="Arial" w:eastAsia="Arial" w:hAnsi="Arial"/>
          <w:sz w:val="16"/>
          <w:szCs w:val="16"/>
          <w:color w:val="auto"/>
        </w:rPr>
      </w:pPr>
    </w:p>
    <w:p>
      <w:pPr>
        <w:ind w:left="964" w:hanging="532"/>
        <w:spacing w:after="0" w:line="296" w:lineRule="auto"/>
        <w:tabs>
          <w:tab w:leader="none" w:pos="964" w:val="left"/>
        </w:tabs>
        <w:numPr>
          <w:ilvl w:val="1"/>
          <w:numId w:val="352"/>
        </w:numPr>
        <w:rPr>
          <w:rFonts w:ascii="Arial" w:cs="Arial" w:eastAsia="Arial" w:hAnsi="Arial"/>
          <w:sz w:val="16"/>
          <w:szCs w:val="16"/>
          <w:color w:val="auto"/>
        </w:rPr>
      </w:pPr>
      <w:r>
        <w:rPr>
          <w:rFonts w:ascii="Arial" w:cs="Arial" w:eastAsia="Arial" w:hAnsi="Arial"/>
          <w:sz w:val="16"/>
          <w:szCs w:val="16"/>
          <w:color w:val="auto"/>
        </w:rPr>
        <w:t>The rights granted in Sections 7.4 and 7.5 will terminate (in addition to any earlier termination pursuant to their terms): (i) immediately before the closing of a firm commitment underwritten public offering of Parent’s Ordinary Shares, (ii) upon the conversion of all shares of Preferred Shares into Ordinary Shares, or (iii) upon the closing of a sale or change of control of the Parent as described in Section 16.1(A), regardless of whether such a sale or change of control occurs through an asset sale, stock sale, merger or other combination; provided that [***], then this Section 7.7(C)(iii) shall also apply upon the closing of a sale or change of control of Parent as described in Section 16.1(B).</w:t>
      </w:r>
    </w:p>
    <w:p>
      <w:pPr>
        <w:spacing w:after="0" w:line="66" w:lineRule="exact"/>
        <w:rPr>
          <w:rFonts w:ascii="Arial" w:cs="Arial" w:eastAsia="Arial" w:hAnsi="Arial"/>
          <w:sz w:val="16"/>
          <w:szCs w:val="16"/>
          <w:color w:val="auto"/>
        </w:rPr>
      </w:pPr>
    </w:p>
    <w:p>
      <w:pPr>
        <w:ind w:left="964" w:right="120" w:hanging="532"/>
        <w:spacing w:after="0" w:line="311" w:lineRule="auto"/>
        <w:tabs>
          <w:tab w:leader="none" w:pos="964" w:val="left"/>
        </w:tabs>
        <w:numPr>
          <w:ilvl w:val="1"/>
          <w:numId w:val="352"/>
        </w:numPr>
        <w:rPr>
          <w:rFonts w:ascii="Arial" w:cs="Arial" w:eastAsia="Arial" w:hAnsi="Arial"/>
          <w:sz w:val="16"/>
          <w:szCs w:val="16"/>
          <w:color w:val="auto"/>
        </w:rPr>
      </w:pPr>
      <w:r>
        <w:rPr>
          <w:rFonts w:ascii="Arial" w:cs="Arial" w:eastAsia="Arial" w:hAnsi="Arial"/>
          <w:sz w:val="16"/>
          <w:szCs w:val="16"/>
          <w:color w:val="auto"/>
        </w:rPr>
        <w:t>Parent shall furnish to Stanford, at the same time it provides such information to holders of the its Preferred Shares, Parent’s annual financial statements and annual operating plan, including an annual report of the holders of Parent’s capital stock and other securities, and such other information as Stanford may reasonably request from time to time for the purpose of valuing its interest in Parent.</w:t>
      </w:r>
    </w:p>
    <w:p>
      <w:pPr>
        <w:spacing w:after="0" w:line="54" w:lineRule="exact"/>
        <w:rPr>
          <w:rFonts w:ascii="Arial" w:cs="Arial" w:eastAsia="Arial" w:hAnsi="Arial"/>
          <w:sz w:val="16"/>
          <w:szCs w:val="16"/>
          <w:color w:val="auto"/>
        </w:rPr>
      </w:pPr>
    </w:p>
    <w:p>
      <w:pPr>
        <w:jc w:val="both"/>
        <w:ind w:left="964" w:hanging="532"/>
        <w:spacing w:after="0" w:line="263" w:lineRule="auto"/>
        <w:tabs>
          <w:tab w:leader="none" w:pos="964" w:val="left"/>
        </w:tabs>
        <w:numPr>
          <w:ilvl w:val="1"/>
          <w:numId w:val="352"/>
        </w:numPr>
        <w:rPr>
          <w:rFonts w:ascii="Arial" w:cs="Arial" w:eastAsia="Arial" w:hAnsi="Arial"/>
          <w:sz w:val="18"/>
          <w:szCs w:val="18"/>
          <w:color w:val="auto"/>
        </w:rPr>
      </w:pPr>
      <w:r>
        <w:rPr>
          <w:rFonts w:ascii="Arial" w:cs="Arial" w:eastAsia="Arial" w:hAnsi="Arial"/>
          <w:sz w:val="18"/>
          <w:szCs w:val="18"/>
          <w:color w:val="auto"/>
        </w:rPr>
        <w:t>Notwithstanding any notice provision in this Agreement to the contrary, any notice given under this Agreement that refers or relates to any of Section 7.3 through and including Section 7.6 shall be copied concurrently to pvfnotices@stanford.edu; provided, however, that delivery of the copy will not by itself constitute notice for any purpose under this Agreement.</w:t>
      </w:r>
    </w:p>
    <w:p>
      <w:pPr>
        <w:spacing w:after="0" w:line="116" w:lineRule="exact"/>
        <w:rPr>
          <w:rFonts w:ascii="Arial" w:cs="Arial" w:eastAsia="Arial" w:hAnsi="Arial"/>
          <w:sz w:val="18"/>
          <w:szCs w:val="18"/>
          <w:color w:val="auto"/>
        </w:rPr>
      </w:pPr>
    </w:p>
    <w:p>
      <w:pPr>
        <w:ind w:left="424" w:right="280" w:hanging="424"/>
        <w:spacing w:after="0" w:line="277" w:lineRule="auto"/>
        <w:tabs>
          <w:tab w:leader="none" w:pos="42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024"/>
          </w:cols>
          <w:pgMar w:left="436" w:top="274" w:right="439" w:bottom="1440" w:gutter="0" w:footer="0" w:header="0"/>
        </w:sectPr>
      </w:pPr>
    </w:p>
    <w:bookmarkStart w:id="420" w:name="page421"/>
    <w:bookmarkEnd w:id="420"/>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EXCLUSIVE (EQUITY) AGREEMENT AMENDMENT NO. 1</w:t>
      </w:r>
    </w:p>
    <w:p>
      <w:pPr>
        <w:spacing w:after="0" w:line="229" w:lineRule="exact"/>
        <w:rPr>
          <w:sz w:val="20"/>
          <w:szCs w:val="20"/>
          <w:color w:val="auto"/>
        </w:rPr>
      </w:pPr>
    </w:p>
    <w:p>
      <w:pPr>
        <w:jc w:val="both"/>
        <w:ind w:left="4" w:right="140" w:firstLine="440"/>
        <w:spacing w:after="0" w:line="286" w:lineRule="auto"/>
        <w:rPr>
          <w:sz w:val="20"/>
          <w:szCs w:val="20"/>
          <w:color w:val="auto"/>
        </w:rPr>
      </w:pPr>
      <w:r>
        <w:rPr>
          <w:rFonts w:ascii="Arial" w:cs="Arial" w:eastAsia="Arial" w:hAnsi="Arial"/>
          <w:sz w:val="17"/>
          <w:szCs w:val="17"/>
          <w:color w:val="auto"/>
        </w:rPr>
        <w:t>THE BOARD OF TRUSTEES OF THE LELAND STANFORD JUNIOR UNIVERSITY (“Stanford”), an institution of higher education having powers under the laws of the State of California, and Alexo Therapeutics International, (“Alexo”), a Cayman Islands exempted company, entered into the certain Exclusive (Equity) Agreement (“Agreement”) effective on the 24th day of March, 2015 (“Effective Date”).</w:t>
      </w:r>
    </w:p>
    <w:p>
      <w:pPr>
        <w:spacing w:after="0" w:line="165"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Pursuant to Section 19.3 of the Agreement, Stanford and Alexo wish to enter into this Amendment No. 1 to the Agreement (“Amendment No. 1”) effective as of April 24, 2015 (the “Amendment Date”). Capitalized terms used in this Amendment No. 1 and not defined herein are used with the meanings ascribed to them in the Agreement.</w:t>
      </w:r>
    </w:p>
    <w:p>
      <w:pPr>
        <w:spacing w:after="0" w:line="207" w:lineRule="exact"/>
        <w:rPr>
          <w:sz w:val="20"/>
          <w:szCs w:val="20"/>
          <w:color w:val="auto"/>
        </w:rPr>
      </w:pPr>
    </w:p>
    <w:p>
      <w:pPr>
        <w:ind w:left="424" w:right="2460" w:hanging="424"/>
        <w:spacing w:after="0" w:line="423" w:lineRule="auto"/>
        <w:tabs>
          <w:tab w:leader="none" w:pos="424"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Licensed Field of Use Definition. </w:t>
      </w:r>
      <w:r>
        <w:rPr>
          <w:rFonts w:ascii="Arial" w:cs="Arial" w:eastAsia="Arial" w:hAnsi="Arial"/>
          <w:sz w:val="18"/>
          <w:szCs w:val="18"/>
          <w:color w:val="auto"/>
        </w:rPr>
        <w:t>Section 2.9(3) of the Agreement is hereby amended to read in full as follows: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“(3) The SIRPa Component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66" w:lineRule="exact"/>
        <w:rPr>
          <w:rFonts w:ascii="Arial" w:cs="Arial" w:eastAsia="Arial" w:hAnsi="Arial"/>
          <w:sz w:val="18"/>
          <w:szCs w:val="18"/>
          <w:b w:val="1"/>
          <w:bCs w:val="1"/>
          <w:color w:val="auto"/>
        </w:rPr>
      </w:pPr>
    </w:p>
    <w:p>
      <w:pPr>
        <w:ind w:left="424" w:hanging="424"/>
        <w:spacing w:after="0"/>
        <w:tabs>
          <w:tab w:leader="none" w:pos="424"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Nonexclusive Licensed Patents Definition. </w:t>
      </w:r>
      <w:r>
        <w:rPr>
          <w:rFonts w:ascii="Arial" w:cs="Arial" w:eastAsia="Arial" w:hAnsi="Arial"/>
          <w:sz w:val="18"/>
          <w:szCs w:val="18"/>
          <w:color w:val="auto"/>
        </w:rPr>
        <w:t>Section 2.14 of the Agreement is hereby amended to read in full as follows:</w:t>
      </w:r>
    </w:p>
    <w:p>
      <w:pPr>
        <w:spacing w:after="0" w:line="134" w:lineRule="exact"/>
        <w:rPr>
          <w:rFonts w:ascii="Arial" w:cs="Arial" w:eastAsia="Arial" w:hAnsi="Arial"/>
          <w:sz w:val="18"/>
          <w:szCs w:val="18"/>
          <w:b w:val="1"/>
          <w:bCs w:val="1"/>
          <w:color w:val="auto"/>
        </w:rPr>
      </w:pPr>
    </w:p>
    <w:p>
      <w:pPr>
        <w:ind w:left="964" w:hanging="540"/>
        <w:spacing w:after="0" w:line="296"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“2.14 </w:t>
      </w:r>
      <w:r>
        <w:rPr>
          <w:rFonts w:ascii="Arial" w:cs="Arial" w:eastAsia="Arial" w:hAnsi="Arial"/>
          <w:sz w:val="16"/>
          <w:szCs w:val="16"/>
          <w:color w:val="auto"/>
        </w:rPr>
        <w:t>“Nonexclusive Licensed Patents” means Stanford’s U.S. Patent Application Serial Nos. [***]; (2) any continuation, division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continuation-in-part (to the extent such continuation-in-part relates to the Licensed Products and the Licensed Field of Use) of such patent application; (3) any reissue, reexamination or extension of such patent application; or (4) any foreign patent application or Letters Patent or supplementary protection certificates or the equivalent thereof in respect of such patent application, that would be infringed by the practice of the Licensed Patents to make, have made, use, import and sell Licensed Products for use in the Licensed Field of Use.”</w:t>
      </w:r>
    </w:p>
    <w:p>
      <w:pPr>
        <w:spacing w:after="0" w:line="184" w:lineRule="exact"/>
        <w:rPr>
          <w:rFonts w:ascii="Arial" w:cs="Arial" w:eastAsia="Arial" w:hAnsi="Arial"/>
          <w:sz w:val="18"/>
          <w:szCs w:val="18"/>
          <w:b w:val="1"/>
          <w:bCs w:val="1"/>
          <w:color w:val="auto"/>
        </w:rPr>
      </w:pPr>
    </w:p>
    <w:p>
      <w:pPr>
        <w:ind w:left="424" w:hanging="424"/>
        <w:spacing w:after="0"/>
        <w:tabs>
          <w:tab w:leader="none" w:pos="424"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Scope of Non-exclusive License. </w:t>
      </w:r>
      <w:r>
        <w:rPr>
          <w:rFonts w:ascii="Arial" w:cs="Arial" w:eastAsia="Arial" w:hAnsi="Arial"/>
          <w:sz w:val="18"/>
          <w:szCs w:val="18"/>
          <w:color w:val="auto"/>
        </w:rPr>
        <w:t>Section 3.1 of the Agreement is hereby amended to read in full as follows:</w:t>
      </w:r>
    </w:p>
    <w:p>
      <w:pPr>
        <w:spacing w:after="0" w:line="135" w:lineRule="exact"/>
        <w:rPr>
          <w:sz w:val="20"/>
          <w:szCs w:val="20"/>
          <w:color w:val="auto"/>
        </w:rPr>
      </w:pPr>
    </w:p>
    <w:p>
      <w:pPr>
        <w:ind w:left="964" w:right="20" w:hanging="539"/>
        <w:spacing w:after="0" w:line="301" w:lineRule="auto"/>
        <w:tabs>
          <w:tab w:leader="none" w:pos="944" w:val="left"/>
        </w:tabs>
        <w:rPr>
          <w:sz w:val="20"/>
          <w:szCs w:val="20"/>
          <w:color w:val="auto"/>
        </w:rPr>
      </w:pPr>
      <w:r>
        <w:rPr>
          <w:rFonts w:ascii="Arial" w:cs="Arial" w:eastAsia="Arial" w:hAnsi="Arial"/>
          <w:sz w:val="16"/>
          <w:szCs w:val="16"/>
          <w:b w:val="1"/>
          <w:bCs w:val="1"/>
          <w:i w:val="1"/>
          <w:iCs w:val="1"/>
          <w:color w:val="auto"/>
        </w:rPr>
        <w:t>“3.1</w:t>
        <w:tab/>
        <w:t xml:space="preserve">Grant. </w:t>
      </w:r>
      <w:r>
        <w:rPr>
          <w:rFonts w:ascii="Arial" w:cs="Arial" w:eastAsia="Arial" w:hAnsi="Arial"/>
          <w:sz w:val="16"/>
          <w:szCs w:val="16"/>
          <w:color w:val="auto"/>
        </w:rPr>
        <w:t>Subject to the terms and conditions of this Agreement, Stanford grants Alexo (i) a exclusive, royalty-bearing, license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Licensed Patents, including the right to make, have made, use, import, offer to sell and sell Licensed Products in the Licensed Territory in the Licensed Field of Use; and (ii) a non-exclusive, royalty-bearing license under the Nonexclusive Licensed Patents, including the right to make, have made, use, import, offer to sell and sell Licensed Products in the Licensed Territory in the Licensed Field of Use.</w:t>
      </w:r>
    </w:p>
    <w:p>
      <w:pPr>
        <w:spacing w:after="0" w:line="63" w:lineRule="exact"/>
        <w:rPr>
          <w:sz w:val="20"/>
          <w:szCs w:val="20"/>
          <w:color w:val="auto"/>
        </w:rPr>
      </w:pPr>
    </w:p>
    <w:p>
      <w:pPr>
        <w:ind w:left="984"/>
        <w:spacing w:after="0"/>
        <w:tabs>
          <w:tab w:leader="none" w:pos="1404" w:val="left"/>
        </w:tabs>
        <w:rPr>
          <w:sz w:val="20"/>
          <w:szCs w:val="20"/>
          <w:color w:val="auto"/>
        </w:rPr>
      </w:pPr>
      <w:r>
        <w:rPr>
          <w:rFonts w:ascii="Arial" w:cs="Arial" w:eastAsia="Arial" w:hAnsi="Arial"/>
          <w:sz w:val="18"/>
          <w:szCs w:val="18"/>
          <w:i w:val="1"/>
          <w:iCs w:val="1"/>
          <w:color w:val="auto"/>
        </w:rPr>
        <w:t>For</w:t>
      </w:r>
      <w:r>
        <w:rPr>
          <w:sz w:val="20"/>
          <w:szCs w:val="20"/>
          <w:color w:val="auto"/>
        </w:rPr>
        <w:tab/>
      </w:r>
      <w:r>
        <w:rPr>
          <w:rFonts w:ascii="Arial" w:cs="Arial" w:eastAsia="Arial" w:hAnsi="Arial"/>
          <w:sz w:val="17"/>
          <w:szCs w:val="17"/>
          <w:i w:val="1"/>
          <w:iCs w:val="1"/>
          <w:color w:val="auto"/>
        </w:rPr>
        <w:t xml:space="preserve">clarification, the non-exclusive license to the U.S. provisional patent application </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58" w:lineRule="exact"/>
        <w:rPr>
          <w:sz w:val="20"/>
          <w:szCs w:val="20"/>
          <w:color w:val="auto"/>
        </w:rPr>
      </w:pPr>
    </w:p>
    <w:p>
      <w:pPr>
        <w:ind w:left="424" w:right="260" w:hanging="424"/>
        <w:spacing w:after="0" w:line="277" w:lineRule="auto"/>
        <w:tabs>
          <w:tab w:leader="none" w:pos="42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04"/>
          </w:cols>
          <w:pgMar w:left="436" w:top="270" w:right="459" w:bottom="1440" w:gutter="0" w:footer="0" w:header="0"/>
        </w:sectPr>
      </w:pPr>
    </w:p>
    <w:bookmarkStart w:id="421" w:name="page422"/>
    <w:bookmarkEnd w:id="421"/>
    <w:p>
      <w:pPr>
        <w:ind w:left="424" w:hanging="424"/>
        <w:spacing w:after="0"/>
        <w:tabs>
          <w:tab w:leader="none" w:pos="424"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Common Stock Equity Interest. </w:t>
      </w:r>
      <w:r>
        <w:rPr>
          <w:rFonts w:ascii="Arial" w:cs="Arial" w:eastAsia="Arial" w:hAnsi="Arial"/>
          <w:sz w:val="18"/>
          <w:szCs w:val="18"/>
          <w:color w:val="auto"/>
        </w:rPr>
        <w:t>Section 7.2 of the Agreement is hereby amended to read in full as follows:</w:t>
      </w:r>
    </w:p>
    <w:p>
      <w:pPr>
        <w:spacing w:after="0" w:line="134" w:lineRule="exact"/>
        <w:rPr>
          <w:rFonts w:ascii="Arial" w:cs="Arial" w:eastAsia="Arial" w:hAnsi="Arial"/>
          <w:sz w:val="18"/>
          <w:szCs w:val="18"/>
          <w:b w:val="1"/>
          <w:bCs w:val="1"/>
          <w:color w:val="auto"/>
        </w:rPr>
      </w:pPr>
    </w:p>
    <w:p>
      <w:pPr>
        <w:ind w:left="964" w:right="20" w:hanging="540"/>
        <w:spacing w:after="0" w:line="291"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“7.2 Equity Interest</w:t>
      </w:r>
      <w:r>
        <w:rPr>
          <w:rFonts w:ascii="Arial" w:cs="Arial" w:eastAsia="Arial" w:hAnsi="Arial"/>
          <w:sz w:val="16"/>
          <w:szCs w:val="16"/>
          <w:color w:val="auto"/>
        </w:rPr>
        <w:t>. As further consideration, Alexo will cause Alexo Therapeutics Limited, a Private Irish Company Limited by Shares that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sole shareholder of Alexo (“Parent’), to grant to Stanford [***] Ordinary Shares of stock in Parent. When issued, those shares will represent [***]% of the stock in Parent on a Fully Diluted Basis. Alexo agrees to provide Stanford with the capitalization table upon which the above calculation is made. All shares issued pursuant to this Section 7.2 and Section 7.3 shall be issued pursuant to a Stock Issuance Agreement between Parent and the recipient of the shares containing standard representations and warranties and other provisions with respect to the shares and the recipient’s qualifications under applicable securities laws to receive the shares. At that time, such Stock Issuance Agreement will provide share valuation information as needed in order for Stanford to issue 1099s to the inventors listed below.</w:t>
      </w:r>
    </w:p>
    <w:p>
      <w:pPr>
        <w:spacing w:after="0" w:line="58" w:lineRule="exact"/>
        <w:rPr>
          <w:sz w:val="20"/>
          <w:szCs w:val="20"/>
          <w:color w:val="auto"/>
        </w:rPr>
      </w:pPr>
    </w:p>
    <w:p>
      <w:pPr>
        <w:ind w:left="984" w:right="120"/>
        <w:spacing w:after="0" w:line="308" w:lineRule="auto"/>
        <w:rPr>
          <w:sz w:val="20"/>
          <w:szCs w:val="20"/>
          <w:color w:val="auto"/>
        </w:rPr>
      </w:pPr>
      <w:r>
        <w:rPr>
          <w:rFonts w:ascii="Arial" w:cs="Arial" w:eastAsia="Arial" w:hAnsi="Arial"/>
          <w:sz w:val="17"/>
          <w:szCs w:val="17"/>
          <w:i w:val="1"/>
          <w:iCs w:val="1"/>
          <w:color w:val="auto"/>
        </w:rPr>
        <w:t xml:space="preserve">Subject to compliance with applicable securities laws, Alexo will cause Parent to issue </w:t>
      </w:r>
      <w:r>
        <w:rPr>
          <w:rFonts w:ascii="Arial" w:cs="Arial" w:eastAsia="Arial" w:hAnsi="Arial"/>
          <w:sz w:val="17"/>
          <w:szCs w:val="17"/>
          <w:color w:val="auto"/>
        </w:rPr>
        <w:t>[***]</w:t>
      </w:r>
      <w:r>
        <w:rPr>
          <w:rFonts w:ascii="Arial" w:cs="Arial" w:eastAsia="Arial" w:hAnsi="Arial"/>
          <w:sz w:val="17"/>
          <w:szCs w:val="17"/>
          <w:i w:val="1"/>
          <w:iCs w:val="1"/>
          <w:color w:val="auto"/>
        </w:rPr>
        <w:t>% of all shares granted to Stanford pursuant to Section 0 and Section 7.3 directly to and in the name of the inventors listed below allocated as stated below:</w:t>
      </w:r>
    </w:p>
    <w:p>
      <w:pPr>
        <w:spacing w:after="0" w:line="38" w:lineRule="exact"/>
        <w:rPr>
          <w:sz w:val="20"/>
          <w:szCs w:val="20"/>
          <w:color w:val="auto"/>
        </w:rPr>
      </w:pPr>
    </w:p>
    <w:p>
      <w:pPr>
        <w:ind w:left="1424" w:hanging="433"/>
        <w:spacing w:after="0"/>
        <w:tabs>
          <w:tab w:leader="none" w:pos="1424" w:val="left"/>
        </w:tabs>
        <w:numPr>
          <w:ilvl w:val="1"/>
          <w:numId w:val="356"/>
        </w:numPr>
        <w:rPr>
          <w:rFonts w:ascii="Arial" w:cs="Arial" w:eastAsia="Arial" w:hAnsi="Arial"/>
          <w:sz w:val="18"/>
          <w:szCs w:val="18"/>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1424" w:hanging="433"/>
        <w:spacing w:after="0"/>
        <w:tabs>
          <w:tab w:leader="none" w:pos="1424" w:val="left"/>
        </w:tabs>
        <w:numPr>
          <w:ilvl w:val="1"/>
          <w:numId w:val="356"/>
        </w:numPr>
        <w:rPr>
          <w:rFonts w:ascii="Arial" w:cs="Arial" w:eastAsia="Arial" w:hAnsi="Arial"/>
          <w:sz w:val="18"/>
          <w:szCs w:val="18"/>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1424" w:hanging="433"/>
        <w:spacing w:after="0"/>
        <w:tabs>
          <w:tab w:leader="none" w:pos="1424" w:val="left"/>
        </w:tabs>
        <w:numPr>
          <w:ilvl w:val="1"/>
          <w:numId w:val="356"/>
        </w:numPr>
        <w:rPr>
          <w:rFonts w:ascii="Arial" w:cs="Arial" w:eastAsia="Arial" w:hAnsi="Arial"/>
          <w:sz w:val="18"/>
          <w:szCs w:val="18"/>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1424" w:hanging="433"/>
        <w:spacing w:after="0"/>
        <w:tabs>
          <w:tab w:leader="none" w:pos="1424" w:val="left"/>
        </w:tabs>
        <w:numPr>
          <w:ilvl w:val="1"/>
          <w:numId w:val="356"/>
        </w:numPr>
        <w:rPr>
          <w:rFonts w:ascii="Arial" w:cs="Arial" w:eastAsia="Arial" w:hAnsi="Arial"/>
          <w:sz w:val="18"/>
          <w:szCs w:val="18"/>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1424" w:hanging="433"/>
        <w:spacing w:after="0"/>
        <w:tabs>
          <w:tab w:leader="none" w:pos="1424" w:val="left"/>
        </w:tabs>
        <w:numPr>
          <w:ilvl w:val="1"/>
          <w:numId w:val="356"/>
        </w:numPr>
        <w:rPr>
          <w:rFonts w:ascii="Arial" w:cs="Arial" w:eastAsia="Arial" w:hAnsi="Arial"/>
          <w:sz w:val="18"/>
          <w:szCs w:val="18"/>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48" w:lineRule="exact"/>
        <w:rPr>
          <w:rFonts w:ascii="Arial" w:cs="Arial" w:eastAsia="Arial" w:hAnsi="Arial"/>
          <w:sz w:val="18"/>
          <w:szCs w:val="18"/>
          <w:color w:val="auto"/>
        </w:rPr>
      </w:pPr>
    </w:p>
    <w:p>
      <w:pPr>
        <w:ind w:left="424" w:right="140" w:hanging="424"/>
        <w:spacing w:after="0" w:line="282" w:lineRule="auto"/>
        <w:tabs>
          <w:tab w:leader="none" w:pos="424"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Patent Prosecution with respect to Split Patent Application. </w:t>
      </w:r>
      <w:r>
        <w:rPr>
          <w:rFonts w:ascii="Arial" w:cs="Arial" w:eastAsia="Arial" w:hAnsi="Arial"/>
          <w:sz w:val="18"/>
          <w:szCs w:val="18"/>
          <w:color w:val="auto"/>
        </w:rPr>
        <w:t>Section 14.1 of the Agreement is hereby amended to add the following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end of Section 14.1:</w:t>
      </w:r>
    </w:p>
    <w:p>
      <w:pPr>
        <w:spacing w:after="0" w:line="166" w:lineRule="exact"/>
        <w:rPr>
          <w:sz w:val="20"/>
          <w:szCs w:val="20"/>
          <w:color w:val="auto"/>
        </w:rPr>
      </w:pPr>
    </w:p>
    <w:p>
      <w:pPr>
        <w:ind w:left="4"/>
        <w:spacing w:after="0" w:line="277" w:lineRule="auto"/>
        <w:rPr>
          <w:sz w:val="20"/>
          <w:szCs w:val="20"/>
          <w:color w:val="auto"/>
        </w:rPr>
      </w:pPr>
      <w:r>
        <w:rPr>
          <w:rFonts w:ascii="Arial" w:cs="Arial" w:eastAsia="Arial" w:hAnsi="Arial"/>
          <w:sz w:val="18"/>
          <w:szCs w:val="18"/>
          <w:i w:val="1"/>
          <w:iCs w:val="1"/>
          <w:color w:val="auto"/>
        </w:rPr>
        <w:t xml:space="preserve">“Notwithstanding any provision of this Agreement to the contrary, Stanford covenants and agrees that Stanford will ensure that a SIRPa Component will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93" w:lineRule="exact"/>
        <w:rPr>
          <w:sz w:val="20"/>
          <w:szCs w:val="20"/>
          <w:color w:val="auto"/>
        </w:rPr>
      </w:pPr>
    </w:p>
    <w:p>
      <w:pPr>
        <w:ind w:left="424" w:right="120" w:hanging="424"/>
        <w:spacing w:after="0" w:line="266" w:lineRule="auto"/>
        <w:tabs>
          <w:tab w:leader="none" w:pos="424"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Ratification. </w:t>
      </w:r>
      <w:r>
        <w:rPr>
          <w:rFonts w:ascii="Arial" w:cs="Arial" w:eastAsia="Arial" w:hAnsi="Arial"/>
          <w:sz w:val="18"/>
          <w:szCs w:val="18"/>
          <w:color w:val="auto"/>
        </w:rPr>
        <w:t>Except to the extent expressly amended by this Amendment No. 1, all of the terms, provisions and conditions of the Agreement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ratified and confirmed and shall remain in full force and effect. The term “Agreement”, as used in the Agreement, shall henceforth be deemed to be a reference to the Agreement as amended by this Amendment No. 1.</w:t>
      </w:r>
    </w:p>
    <w:p>
      <w:pPr>
        <w:spacing w:after="0" w:line="202" w:lineRule="exact"/>
        <w:rPr>
          <w:rFonts w:ascii="Arial" w:cs="Arial" w:eastAsia="Arial" w:hAnsi="Arial"/>
          <w:sz w:val="18"/>
          <w:szCs w:val="18"/>
          <w:b w:val="1"/>
          <w:bCs w:val="1"/>
          <w:color w:val="auto"/>
        </w:rPr>
      </w:pPr>
    </w:p>
    <w:p>
      <w:pPr>
        <w:ind w:left="424" w:right="200" w:hanging="424"/>
        <w:spacing w:after="0" w:line="282" w:lineRule="auto"/>
        <w:tabs>
          <w:tab w:leader="none" w:pos="424"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This Amendment No. 1 may be executed in counterparts, each of which will be deemed an original with all such counterparts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constituting one instrument</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i w:val="1"/>
          <w:iCs w:val="1"/>
          <w:color w:val="auto"/>
        </w:rPr>
        <w:t>[Remainder of this page intentionally left blank — signature page follows]</w:t>
      </w:r>
    </w:p>
    <w:p>
      <w:pPr>
        <w:spacing w:after="0" w:line="158" w:lineRule="exact"/>
        <w:rPr>
          <w:sz w:val="20"/>
          <w:szCs w:val="20"/>
          <w:color w:val="auto"/>
        </w:rPr>
      </w:pPr>
    </w:p>
    <w:p>
      <w:pPr>
        <w:ind w:left="424" w:right="260" w:hanging="424"/>
        <w:spacing w:after="0" w:line="277" w:lineRule="auto"/>
        <w:tabs>
          <w:tab w:leader="none" w:pos="42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04"/>
          </w:cols>
          <w:pgMar w:left="436" w:top="270" w:right="459" w:bottom="1440" w:gutter="0" w:footer="0" w:header="0"/>
        </w:sectPr>
      </w:pPr>
    </w:p>
    <w:bookmarkStart w:id="422" w:name="page423"/>
    <w:bookmarkEnd w:id="422"/>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execute this Amendment No. 1 in duplicate originals by their duly authorized officers or representatives.</w:t>
      </w:r>
    </w:p>
    <w:p>
      <w:pPr>
        <w:spacing w:after="0" w:line="264" w:lineRule="exact"/>
        <w:rPr>
          <w:sz w:val="20"/>
          <w:szCs w:val="20"/>
          <w:color w:val="auto"/>
        </w:rPr>
      </w:pPr>
    </w:p>
    <w:tbl>
      <w:tblPr>
        <w:tblLayout w:type="fixed"/>
        <w:tblInd w:w="5404"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8"/>
                <w:szCs w:val="18"/>
                <w:color w:val="auto"/>
              </w:rPr>
              <w:t>THE BOARD OF TRUSTEES OF THE LELAND</w:t>
            </w:r>
          </w:p>
        </w:tc>
      </w:tr>
      <w:tr>
        <w:trPr>
          <w:trHeight w:val="230"/>
        </w:trPr>
        <w:tc>
          <w:tcPr>
            <w:tcW w:w="880" w:type="dxa"/>
            <w:vAlign w:val="bottom"/>
          </w:tcPr>
          <w:p>
            <w:pPr>
              <w:spacing w:after="0"/>
              <w:rPr>
                <w:sz w:val="20"/>
                <w:szCs w:val="20"/>
                <w:color w:val="auto"/>
              </w:rPr>
            </w:pPr>
          </w:p>
        </w:tc>
        <w:tc>
          <w:tcPr>
            <w:tcW w:w="4740" w:type="dxa"/>
            <w:vAlign w:val="bottom"/>
          </w:tcPr>
          <w:p>
            <w:pPr>
              <w:ind w:left="560"/>
              <w:spacing w:after="0"/>
              <w:rPr>
                <w:sz w:val="20"/>
                <w:szCs w:val="20"/>
                <w:color w:val="auto"/>
              </w:rPr>
            </w:pPr>
            <w:r>
              <w:rPr>
                <w:rFonts w:ascii="Arial" w:cs="Arial" w:eastAsia="Arial" w:hAnsi="Arial"/>
                <w:sz w:val="18"/>
                <w:szCs w:val="18"/>
                <w:color w:val="auto"/>
              </w:rPr>
              <w:t>STANFORD JUNIOR UNIVERSITY</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Katherine Ku</w:t>
            </w: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Katharine Ku</w:t>
            </w: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Executive Director, Office of Technology Licensing</w:t>
            </w: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April 24, 2015</w:t>
            </w:r>
          </w:p>
        </w:tc>
      </w:tr>
      <w:tr>
        <w:trPr>
          <w:trHeight w:val="453"/>
        </w:trPr>
        <w:tc>
          <w:tcPr>
            <w:tcW w:w="5620" w:type="dxa"/>
            <w:vAlign w:val="bottom"/>
            <w:gridSpan w:val="2"/>
          </w:tcPr>
          <w:p>
            <w:pPr>
              <w:spacing w:after="0"/>
              <w:rPr>
                <w:sz w:val="20"/>
                <w:szCs w:val="20"/>
                <w:color w:val="auto"/>
              </w:rPr>
            </w:pPr>
            <w:r>
              <w:rPr>
                <w:rFonts w:ascii="Arial" w:cs="Arial" w:eastAsia="Arial" w:hAnsi="Arial"/>
                <w:sz w:val="18"/>
                <w:szCs w:val="18"/>
                <w:color w:val="auto"/>
              </w:rPr>
              <w:t>Alexo Therapeutics International</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Corey Goodman</w:t>
            </w: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Corey Goodman</w:t>
            </w: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Chair, Board of Directors</w:t>
            </w: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April 24, 2015</w:t>
            </w:r>
          </w:p>
        </w:tc>
      </w:tr>
    </w:tbl>
    <w:p>
      <w:pPr>
        <w:spacing w:after="0" w:line="134" w:lineRule="exact"/>
        <w:rPr>
          <w:sz w:val="20"/>
          <w:szCs w:val="20"/>
          <w:color w:val="auto"/>
        </w:rPr>
      </w:pPr>
    </w:p>
    <w:p>
      <w:pPr>
        <w:ind w:left="424" w:right="280" w:hanging="424"/>
        <w:spacing w:after="0" w:line="277" w:lineRule="auto"/>
        <w:tabs>
          <w:tab w:leader="none" w:pos="42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ectPr>
          <w:pgSz w:w="11900" w:h="16838" w:orient="portrait"/>
          <w:cols w:equalWidth="0" w:num="1">
            <w:col w:w="11024"/>
          </w:cols>
          <w:pgMar w:left="436" w:top="274" w:right="439" w:bottom="1440" w:gutter="0" w:footer="0" w:header="0"/>
        </w:sectPr>
      </w:pPr>
    </w:p>
    <w:bookmarkStart w:id="423" w:name="page424"/>
    <w:bookmarkEnd w:id="42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EXCLUSIVE (EQUITY) AGREEMENT AMENDMENT NO. 2</w:t>
      </w:r>
    </w:p>
    <w:p>
      <w:pPr>
        <w:spacing w:after="0" w:line="229"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THE BOARD OF TRUSTEES OF THE LELAND STANFORD JUNIOR UNIVERSITY (“Stanford”), an institution of higher education having powers under the laws of the State of California, and Alexo Therapeutics International, (“Alexo”), a Cayman Islands exempted company, entered into the certain Exclusive (Equity) Agreement effective on the 24th day of March, 2015 (“Effective Date”), as amended by Exclusive (Equity) Agreement Amendment No. 1 effective as of April 24, 2015, (as amended, the “Agreement”).</w:t>
      </w:r>
    </w:p>
    <w:p>
      <w:pPr>
        <w:spacing w:after="0" w:line="187" w:lineRule="exact"/>
        <w:rPr>
          <w:sz w:val="20"/>
          <w:szCs w:val="20"/>
          <w:color w:val="auto"/>
        </w:rPr>
      </w:pPr>
    </w:p>
    <w:p>
      <w:pPr>
        <w:jc w:val="both"/>
        <w:ind w:left="4" w:right="520"/>
        <w:spacing w:after="0" w:line="263" w:lineRule="auto"/>
        <w:rPr>
          <w:sz w:val="20"/>
          <w:szCs w:val="20"/>
          <w:color w:val="auto"/>
        </w:rPr>
      </w:pPr>
      <w:r>
        <w:rPr>
          <w:rFonts w:ascii="Arial" w:cs="Arial" w:eastAsia="Arial" w:hAnsi="Arial"/>
          <w:sz w:val="18"/>
          <w:szCs w:val="18"/>
          <w:color w:val="auto"/>
        </w:rPr>
        <w:t>Pursuant to Section 19.3 of the Agreement, Stanford and Alexo wish to enter into this Amendment No. 2 to the Agreement (“Amendment No. 2”) effective as of May 15, 2015 (the “Amendment Date”). Capitalized terms used in this Amendment No. 2 and not defined herein are used with the meanings ascribed to them in the Agreement.</w:t>
      </w:r>
    </w:p>
    <w:p>
      <w:pPr>
        <w:spacing w:after="0" w:line="85" w:lineRule="exact"/>
        <w:rPr>
          <w:sz w:val="20"/>
          <w:szCs w:val="20"/>
          <w:color w:val="auto"/>
        </w:rPr>
      </w:pPr>
    </w:p>
    <w:p>
      <w:pPr>
        <w:ind w:left="424" w:hanging="424"/>
        <w:spacing w:after="0"/>
        <w:tabs>
          <w:tab w:leader="none" w:pos="424"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Nonexclusive Licensed Patents Definition. </w:t>
      </w:r>
      <w:r>
        <w:rPr>
          <w:rFonts w:ascii="Arial" w:cs="Arial" w:eastAsia="Arial" w:hAnsi="Arial"/>
          <w:sz w:val="18"/>
          <w:szCs w:val="18"/>
          <w:color w:val="auto"/>
        </w:rPr>
        <w:t>Section 2.14 of the Agreement is hereby amended to read in full as follows:</w:t>
      </w:r>
    </w:p>
    <w:p>
      <w:pPr>
        <w:spacing w:after="0" w:line="134" w:lineRule="exact"/>
        <w:rPr>
          <w:rFonts w:ascii="Arial" w:cs="Arial" w:eastAsia="Arial" w:hAnsi="Arial"/>
          <w:sz w:val="18"/>
          <w:szCs w:val="18"/>
          <w:b w:val="1"/>
          <w:bCs w:val="1"/>
          <w:color w:val="auto"/>
        </w:rPr>
      </w:pPr>
    </w:p>
    <w:p>
      <w:pPr>
        <w:ind w:left="964" w:right="40" w:hanging="540"/>
        <w:spacing w:after="0" w:line="296"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“2.14 </w:t>
      </w:r>
      <w:r>
        <w:rPr>
          <w:rFonts w:ascii="Arial" w:cs="Arial" w:eastAsia="Arial" w:hAnsi="Arial"/>
          <w:sz w:val="16"/>
          <w:szCs w:val="16"/>
          <w:i w:val="1"/>
          <w:iCs w:val="1"/>
          <w:color w:val="auto"/>
        </w:rPr>
        <w:t>“Nonexclusive Licensed Patents” means Stanford’s U.S. Patent Application Serial Nos.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 (2) any continuation, division 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continuation-in-part (to the extent such continuation-in-part relates to the Licensed Products and the Licensed Field of Use) of such patent application; (3) any reissue, reexamination or extension of such patent application; or (4) any foreign patent application or Letters Patent or supplementary protection certificates or the equivalent thereof in respect of such patent application, that would be infringed by the practice of the Licensed Patents to make, have made, use, import and sell Licensed Products for use in the Licensed Field of Use.”</w:t>
      </w:r>
    </w:p>
    <w:p>
      <w:pPr>
        <w:spacing w:after="0" w:line="62" w:lineRule="exact"/>
        <w:rPr>
          <w:rFonts w:ascii="Arial" w:cs="Arial" w:eastAsia="Arial" w:hAnsi="Arial"/>
          <w:sz w:val="18"/>
          <w:szCs w:val="18"/>
          <w:b w:val="1"/>
          <w:bCs w:val="1"/>
          <w:color w:val="auto"/>
        </w:rPr>
      </w:pPr>
    </w:p>
    <w:p>
      <w:pPr>
        <w:ind w:left="424" w:right="140" w:hanging="424"/>
        <w:spacing w:after="0" w:line="266" w:lineRule="auto"/>
        <w:tabs>
          <w:tab w:leader="none" w:pos="424"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Ratification. </w:t>
      </w:r>
      <w:r>
        <w:rPr>
          <w:rFonts w:ascii="Arial" w:cs="Arial" w:eastAsia="Arial" w:hAnsi="Arial"/>
          <w:sz w:val="18"/>
          <w:szCs w:val="18"/>
          <w:color w:val="auto"/>
        </w:rPr>
        <w:t>Except to the extent expressly amended by this Amendment No. 2, all of the terms, provisions and conditions of the Agreement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ratified and confirmed and shall remain in full force and effect. The term “Agreement”, as used in the Agreement, shall henceforth be deemed to be a reference to the Agreement as amended by this Amendment No. 2.</w:t>
      </w:r>
    </w:p>
    <w:p>
      <w:pPr>
        <w:spacing w:after="0" w:line="81" w:lineRule="exact"/>
        <w:rPr>
          <w:rFonts w:ascii="Arial" w:cs="Arial" w:eastAsia="Arial" w:hAnsi="Arial"/>
          <w:sz w:val="18"/>
          <w:szCs w:val="18"/>
          <w:b w:val="1"/>
          <w:bCs w:val="1"/>
          <w:color w:val="auto"/>
        </w:rPr>
      </w:pPr>
    </w:p>
    <w:p>
      <w:pPr>
        <w:ind w:left="424" w:right="220" w:hanging="424"/>
        <w:spacing w:after="0" w:line="282" w:lineRule="auto"/>
        <w:tabs>
          <w:tab w:leader="none" w:pos="424"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This Amendment No. 2 may be executed in counterparts, each of which will be deemed an original with all such counterparts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constituting one instrument</w:t>
      </w:r>
    </w:p>
    <w:p>
      <w:pPr>
        <w:spacing w:after="0" w:line="382" w:lineRule="exact"/>
        <w:rPr>
          <w:sz w:val="20"/>
          <w:szCs w:val="20"/>
          <w:color w:val="auto"/>
        </w:rPr>
      </w:pPr>
    </w:p>
    <w:p>
      <w:pPr>
        <w:ind w:left="2824" w:hanging="98"/>
        <w:spacing w:after="0"/>
        <w:tabs>
          <w:tab w:leader="none" w:pos="2824" w:val="left"/>
        </w:tabs>
        <w:numPr>
          <w:ilvl w:val="1"/>
          <w:numId w:val="3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Remainder of this page intentionally left blank — signature page follows]</w:t>
      </w:r>
    </w:p>
    <w:p>
      <w:pPr>
        <w:spacing w:after="0" w:line="157" w:lineRule="exact"/>
        <w:rPr>
          <w:rFonts w:ascii="Arial" w:cs="Arial" w:eastAsia="Arial" w:hAnsi="Arial"/>
          <w:sz w:val="18"/>
          <w:szCs w:val="18"/>
          <w:b w:val="1"/>
          <w:bCs w:val="1"/>
          <w:i w:val="1"/>
          <w:iCs w:val="1"/>
          <w:color w:val="auto"/>
        </w:rPr>
      </w:pPr>
    </w:p>
    <w:p>
      <w:pPr>
        <w:ind w:left="424" w:right="280" w:hanging="424"/>
        <w:spacing w:after="0" w:line="277" w:lineRule="auto"/>
        <w:tabs>
          <w:tab w:leader="none" w:pos="424" w:val="left"/>
        </w:tabs>
        <w:numPr>
          <w:ilvl w:val="0"/>
          <w:numId w:val="361"/>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4"/>
          </w:cols>
          <w:pgMar w:left="436" w:top="270" w:right="439" w:bottom="1440" w:gutter="0" w:footer="0" w:header="0"/>
        </w:sectPr>
      </w:pPr>
    </w:p>
    <w:bookmarkStart w:id="424" w:name="page425"/>
    <w:bookmarkEnd w:id="424"/>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execute this Amendment No. 2 in duplicate originals by their duly authorized officers or representatives.</w:t>
      </w:r>
    </w:p>
    <w:p>
      <w:pPr>
        <w:spacing w:after="0" w:line="264" w:lineRule="exact"/>
        <w:rPr>
          <w:sz w:val="20"/>
          <w:szCs w:val="20"/>
          <w:color w:val="auto"/>
        </w:rPr>
      </w:pPr>
    </w:p>
    <w:tbl>
      <w:tblPr>
        <w:tblLayout w:type="fixed"/>
        <w:tblInd w:w="5404"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8"/>
                <w:szCs w:val="18"/>
                <w:color w:val="auto"/>
              </w:rPr>
              <w:t>THE BOARD OF TRUSTEES OF THE LELAND</w:t>
            </w:r>
          </w:p>
        </w:tc>
      </w:tr>
      <w:tr>
        <w:trPr>
          <w:trHeight w:val="230"/>
        </w:trPr>
        <w:tc>
          <w:tcPr>
            <w:tcW w:w="880" w:type="dxa"/>
            <w:vAlign w:val="bottom"/>
          </w:tcPr>
          <w:p>
            <w:pPr>
              <w:spacing w:after="0"/>
              <w:rPr>
                <w:sz w:val="20"/>
                <w:szCs w:val="20"/>
                <w:color w:val="auto"/>
              </w:rPr>
            </w:pPr>
          </w:p>
        </w:tc>
        <w:tc>
          <w:tcPr>
            <w:tcW w:w="4740" w:type="dxa"/>
            <w:vAlign w:val="bottom"/>
          </w:tcPr>
          <w:p>
            <w:pPr>
              <w:ind w:left="540"/>
              <w:spacing w:after="0"/>
              <w:rPr>
                <w:sz w:val="20"/>
                <w:szCs w:val="20"/>
                <w:color w:val="auto"/>
              </w:rPr>
            </w:pPr>
            <w:r>
              <w:rPr>
                <w:rFonts w:ascii="Arial" w:cs="Arial" w:eastAsia="Arial" w:hAnsi="Arial"/>
                <w:sz w:val="18"/>
                <w:szCs w:val="18"/>
                <w:color w:val="auto"/>
              </w:rPr>
              <w:t>STANFORD TUNIOR UNIVERSITY</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Katherine Ku</w:t>
            </w: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Katharine Ku</w:t>
            </w: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Director, Office of Technology Licensing</w:t>
            </w: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May 15, 2015</w:t>
            </w:r>
          </w:p>
        </w:tc>
      </w:tr>
      <w:tr>
        <w:trPr>
          <w:trHeight w:val="453"/>
        </w:trPr>
        <w:tc>
          <w:tcPr>
            <w:tcW w:w="5620" w:type="dxa"/>
            <w:vAlign w:val="bottom"/>
            <w:gridSpan w:val="2"/>
          </w:tcPr>
          <w:p>
            <w:pPr>
              <w:spacing w:after="0"/>
              <w:rPr>
                <w:sz w:val="20"/>
                <w:szCs w:val="20"/>
                <w:color w:val="auto"/>
              </w:rPr>
            </w:pPr>
            <w:r>
              <w:rPr>
                <w:rFonts w:ascii="Arial" w:cs="Arial" w:eastAsia="Arial" w:hAnsi="Arial"/>
                <w:sz w:val="18"/>
                <w:szCs w:val="18"/>
                <w:color w:val="auto"/>
              </w:rPr>
              <w:t>Alexo Therapeutics International</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Corey Goodman</w:t>
            </w: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Corey Goodman</w:t>
            </w: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Chair, Board of Directors</w:t>
            </w: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May 15, 2015</w:t>
            </w:r>
          </w:p>
        </w:tc>
      </w:tr>
    </w:tbl>
    <w:p>
      <w:pPr>
        <w:spacing w:after="0" w:line="134" w:lineRule="exact"/>
        <w:rPr>
          <w:sz w:val="20"/>
          <w:szCs w:val="20"/>
          <w:color w:val="auto"/>
        </w:rPr>
      </w:pPr>
    </w:p>
    <w:p>
      <w:pPr>
        <w:ind w:left="424" w:right="280" w:hanging="424"/>
        <w:spacing w:after="0" w:line="277" w:lineRule="auto"/>
        <w:tabs>
          <w:tab w:leader="none" w:pos="42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24"/>
          </w:cols>
          <w:pgMar w:left="436" w:top="274" w:right="439" w:bottom="1440" w:gutter="0" w:footer="0" w:header="0"/>
        </w:sectPr>
      </w:pPr>
    </w:p>
    <w:bookmarkStart w:id="425" w:name="page426"/>
    <w:bookmarkEnd w:id="425"/>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ind w:left="4" w:right="100"/>
        <w:spacing w:after="0" w:line="268" w:lineRule="auto"/>
        <w:rPr>
          <w:sz w:val="20"/>
          <w:szCs w:val="20"/>
          <w:color w:val="auto"/>
        </w:rPr>
      </w:pPr>
      <w:r>
        <w:rPr>
          <w:rFonts w:ascii="Arial" w:cs="Arial" w:eastAsia="Arial" w:hAnsi="Arial"/>
          <w:sz w:val="17"/>
          <w:szCs w:val="17"/>
          <w:b w:val="1"/>
          <w:bCs w:val="1"/>
          <w:color w:val="auto"/>
        </w:rPr>
        <w:t xml:space="preserve">THIS LOAN AND SECURITY AGREEMENT </w:t>
      </w:r>
      <w:r>
        <w:rPr>
          <w:rFonts w:ascii="Arial" w:cs="Arial" w:eastAsia="Arial" w:hAnsi="Arial"/>
          <w:sz w:val="17"/>
          <w:szCs w:val="17"/>
          <w:color w:val="auto"/>
        </w:rPr>
        <w:t>(as amended, restated, modified or otherwise supplemented from time to time, this “</w:t>
      </w:r>
      <w:r>
        <w:rPr>
          <w:rFonts w:ascii="Arial" w:cs="Arial" w:eastAsia="Arial" w:hAnsi="Arial"/>
          <w:sz w:val="17"/>
          <w:szCs w:val="17"/>
          <w:b w:val="1"/>
          <w:bCs w:val="1"/>
          <w:color w:val="auto"/>
        </w:rPr>
        <w:t>Agreement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dated as of December 20, 2019 (the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among (a) </w:t>
      </w:r>
      <w:r>
        <w:rPr>
          <w:rFonts w:ascii="Arial" w:cs="Arial" w:eastAsia="Arial" w:hAnsi="Arial"/>
          <w:sz w:val="17"/>
          <w:szCs w:val="17"/>
          <w:b w:val="1"/>
          <w:bCs w:val="1"/>
          <w:color w:val="auto"/>
        </w:rPr>
        <w:t>SILICON VALLEY BANK</w:t>
      </w:r>
      <w:r>
        <w:rPr>
          <w:rFonts w:ascii="Arial" w:cs="Arial" w:eastAsia="Arial" w:hAnsi="Arial"/>
          <w:sz w:val="17"/>
          <w:szCs w:val="17"/>
          <w:color w:val="auto"/>
        </w:rPr>
        <w:t>, a California corporation, in its capacity as administrative agent and collateral agent (“</w:t>
      </w:r>
      <w:r>
        <w:rPr>
          <w:rFonts w:ascii="Arial" w:cs="Arial" w:eastAsia="Arial" w:hAnsi="Arial"/>
          <w:sz w:val="17"/>
          <w:szCs w:val="17"/>
          <w:b w:val="1"/>
          <w:bCs w:val="1"/>
          <w:color w:val="auto"/>
        </w:rPr>
        <w:t>Agent</w:t>
      </w:r>
      <w:r>
        <w:rPr>
          <w:rFonts w:ascii="Arial" w:cs="Arial" w:eastAsia="Arial" w:hAnsi="Arial"/>
          <w:sz w:val="17"/>
          <w:szCs w:val="17"/>
          <w:color w:val="auto"/>
        </w:rPr>
        <w:t xml:space="preserve">”), (b) </w:t>
      </w:r>
      <w:r>
        <w:rPr>
          <w:rFonts w:ascii="Arial" w:cs="Arial" w:eastAsia="Arial" w:hAnsi="Arial"/>
          <w:sz w:val="17"/>
          <w:szCs w:val="17"/>
          <w:b w:val="1"/>
          <w:bCs w:val="1"/>
          <w:color w:val="auto"/>
        </w:rPr>
        <w:t>SILICON VALLEY BANK</w:t>
      </w:r>
      <w:r>
        <w:rPr>
          <w:rFonts w:ascii="Arial" w:cs="Arial" w:eastAsia="Arial" w:hAnsi="Arial"/>
          <w:sz w:val="17"/>
          <w:szCs w:val="17"/>
          <w:color w:val="auto"/>
        </w:rPr>
        <w:t>, a California corporation, as a lender (“</w:t>
      </w:r>
      <w:r>
        <w:rPr>
          <w:rFonts w:ascii="Arial" w:cs="Arial" w:eastAsia="Arial" w:hAnsi="Arial"/>
          <w:sz w:val="17"/>
          <w:szCs w:val="17"/>
          <w:b w:val="1"/>
          <w:bCs w:val="1"/>
          <w:color w:val="auto"/>
        </w:rPr>
        <w:t>SVB</w:t>
      </w:r>
      <w:r>
        <w:rPr>
          <w:rFonts w:ascii="Arial" w:cs="Arial" w:eastAsia="Arial" w:hAnsi="Arial"/>
          <w:sz w:val="17"/>
          <w:szCs w:val="17"/>
          <w:color w:val="auto"/>
        </w:rPr>
        <w:t xml:space="preserve">”), (c) </w:t>
      </w:r>
      <w:r>
        <w:rPr>
          <w:rFonts w:ascii="Arial" w:cs="Arial" w:eastAsia="Arial" w:hAnsi="Arial"/>
          <w:sz w:val="17"/>
          <w:szCs w:val="17"/>
          <w:b w:val="1"/>
          <w:bCs w:val="1"/>
          <w:color w:val="auto"/>
        </w:rPr>
        <w:t>WESTRIVER</w:t>
      </w:r>
      <w:r>
        <w:rPr>
          <w:rFonts w:ascii="Arial" w:cs="Arial" w:eastAsia="Arial" w:hAnsi="Arial"/>
          <w:sz w:val="17"/>
          <w:szCs w:val="17"/>
          <w:color w:val="auto"/>
        </w:rPr>
        <w:t xml:space="preserve"> </w:t>
      </w:r>
      <w:r>
        <w:rPr>
          <w:rFonts w:ascii="Arial" w:cs="Arial" w:eastAsia="Arial" w:hAnsi="Arial"/>
          <w:sz w:val="17"/>
          <w:szCs w:val="17"/>
          <w:b w:val="1"/>
          <w:bCs w:val="1"/>
          <w:color w:val="auto"/>
        </w:rPr>
        <w:t>INNOVATION LENDING FUND VIII, L.P.</w:t>
      </w:r>
      <w:r>
        <w:rPr>
          <w:rFonts w:ascii="Arial" w:cs="Arial" w:eastAsia="Arial" w:hAnsi="Arial"/>
          <w:sz w:val="17"/>
          <w:szCs w:val="17"/>
          <w:color w:val="auto"/>
        </w:rPr>
        <w:t>, a Delaware limited partnership (“</w:t>
      </w:r>
      <w:r>
        <w:rPr>
          <w:rFonts w:ascii="Arial" w:cs="Arial" w:eastAsia="Arial" w:hAnsi="Arial"/>
          <w:sz w:val="17"/>
          <w:szCs w:val="17"/>
          <w:b w:val="1"/>
          <w:bCs w:val="1"/>
          <w:color w:val="auto"/>
        </w:rPr>
        <w:t>WestRiver</w:t>
      </w:r>
      <w:r>
        <w:rPr>
          <w:rFonts w:ascii="Arial" w:cs="Arial" w:eastAsia="Arial" w:hAnsi="Arial"/>
          <w:sz w:val="17"/>
          <w:szCs w:val="17"/>
          <w:color w:val="auto"/>
        </w:rPr>
        <w:t>”), as a lender (SVB and WestRiver and each of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from time to time a party hereto are referred to herein collectively as the “</w:t>
      </w:r>
      <w:r>
        <w:rPr>
          <w:rFonts w:ascii="Arial" w:cs="Arial" w:eastAsia="Arial" w:hAnsi="Arial"/>
          <w:sz w:val="17"/>
          <w:szCs w:val="17"/>
          <w:b w:val="1"/>
          <w:bCs w:val="1"/>
          <w:color w:val="auto"/>
        </w:rPr>
        <w:t>Lenders</w:t>
      </w:r>
      <w:r>
        <w:rPr>
          <w:rFonts w:ascii="Arial" w:cs="Arial" w:eastAsia="Arial" w:hAnsi="Arial"/>
          <w:sz w:val="17"/>
          <w:szCs w:val="17"/>
          <w:color w:val="auto"/>
        </w:rPr>
        <w:t>” and each individually as a “</w:t>
      </w:r>
      <w:r>
        <w:rPr>
          <w:rFonts w:ascii="Arial" w:cs="Arial" w:eastAsia="Arial" w:hAnsi="Arial"/>
          <w:sz w:val="17"/>
          <w:szCs w:val="17"/>
          <w:b w:val="1"/>
          <w:bCs w:val="1"/>
          <w:color w:val="auto"/>
        </w:rPr>
        <w:t>Lender</w:t>
      </w:r>
      <w:r>
        <w:rPr>
          <w:rFonts w:ascii="Arial" w:cs="Arial" w:eastAsia="Arial" w:hAnsi="Arial"/>
          <w:sz w:val="17"/>
          <w:szCs w:val="17"/>
          <w:color w:val="auto"/>
        </w:rPr>
        <w:t xml:space="preserve">”), and (d) (i) </w:t>
      </w:r>
      <w:r>
        <w:rPr>
          <w:rFonts w:ascii="Arial" w:cs="Arial" w:eastAsia="Arial" w:hAnsi="Arial"/>
          <w:sz w:val="17"/>
          <w:szCs w:val="17"/>
          <w:b w:val="1"/>
          <w:bCs w:val="1"/>
          <w:color w:val="auto"/>
        </w:rPr>
        <w:t>ALEXO THERAPEUTICS INTERNATIONAL</w:t>
      </w:r>
      <w:r>
        <w:rPr>
          <w:rFonts w:ascii="Arial" w:cs="Arial" w:eastAsia="Arial" w:hAnsi="Arial"/>
          <w:sz w:val="17"/>
          <w:szCs w:val="17"/>
          <w:color w:val="auto"/>
        </w:rPr>
        <w:t>, an exempted company incorporated under the laws of the Cayman Islands (“</w:t>
      </w:r>
      <w:r>
        <w:rPr>
          <w:rFonts w:ascii="Arial" w:cs="Arial" w:eastAsia="Arial" w:hAnsi="Arial"/>
          <w:sz w:val="17"/>
          <w:szCs w:val="17"/>
          <w:b w:val="1"/>
          <w:bCs w:val="1"/>
          <w:color w:val="auto"/>
        </w:rPr>
        <w:t>Alexo</w:t>
      </w:r>
      <w:r>
        <w:rPr>
          <w:rFonts w:ascii="Arial" w:cs="Arial" w:eastAsia="Arial" w:hAnsi="Arial"/>
          <w:sz w:val="17"/>
          <w:szCs w:val="17"/>
          <w:color w:val="auto"/>
        </w:rPr>
        <w:t>”), and</w:t>
      </w:r>
    </w:p>
    <w:p>
      <w:pPr>
        <w:spacing w:after="0" w:line="5" w:lineRule="exact"/>
        <w:rPr>
          <w:sz w:val="20"/>
          <w:szCs w:val="20"/>
          <w:color w:val="auto"/>
        </w:rPr>
      </w:pPr>
    </w:p>
    <w:p>
      <w:pPr>
        <w:ind w:left="4" w:right="300" w:hanging="4"/>
        <w:spacing w:after="0" w:line="255" w:lineRule="auto"/>
        <w:tabs>
          <w:tab w:leader="none" w:pos="269"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SIRPANT THERAPEUTICS</w:t>
      </w:r>
      <w:r>
        <w:rPr>
          <w:rFonts w:ascii="Arial" w:cs="Arial" w:eastAsia="Arial" w:hAnsi="Arial"/>
          <w:sz w:val="18"/>
          <w:szCs w:val="18"/>
          <w:color w:val="auto"/>
        </w:rPr>
        <w:t>, an exempted company incorporated under the laws of the Cayman Islands (“</w:t>
      </w:r>
      <w:r>
        <w:rPr>
          <w:rFonts w:ascii="Arial" w:cs="Arial" w:eastAsia="Arial" w:hAnsi="Arial"/>
          <w:sz w:val="18"/>
          <w:szCs w:val="18"/>
          <w:b w:val="1"/>
          <w:bCs w:val="1"/>
          <w:color w:val="auto"/>
        </w:rPr>
        <w:t>Sirpant</w:t>
      </w:r>
      <w:r>
        <w:rPr>
          <w:rFonts w:ascii="Arial" w:cs="Arial" w:eastAsia="Arial" w:hAnsi="Arial"/>
          <w:sz w:val="18"/>
          <w:szCs w:val="18"/>
          <w:color w:val="auto"/>
        </w:rPr>
        <w:t>”; together with Alexo,</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individually and collectively, jointly and severally, the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Agent and the Lenders shall lend to Borrower, and Borrower shall repay Agent and the Lenders. The parties agree as follows:</w:t>
      </w:r>
    </w:p>
    <w:p>
      <w:pPr>
        <w:spacing w:after="0" w:line="294" w:lineRule="exact"/>
        <w:rPr>
          <w:sz w:val="20"/>
          <w:szCs w:val="20"/>
          <w:color w:val="auto"/>
        </w:rPr>
      </w:pPr>
    </w:p>
    <w:p>
      <w:pPr>
        <w:ind w:left="444"/>
        <w:spacing w:after="0"/>
        <w:rPr>
          <w:sz w:val="20"/>
          <w:szCs w:val="20"/>
          <w:color w:val="auto"/>
        </w:rPr>
      </w:pPr>
      <w:r>
        <w:rPr>
          <w:rFonts w:ascii="Arial" w:cs="Arial" w:eastAsia="Arial" w:hAnsi="Arial"/>
          <w:sz w:val="18"/>
          <w:szCs w:val="18"/>
          <w:b w:val="1"/>
          <w:bCs w:val="1"/>
          <w:u w:val="single" w:color="auto"/>
          <w:color w:val="auto"/>
        </w:rPr>
        <w:t>ACCOUNTING AND OTHER TERMS</w:t>
      </w:r>
    </w:p>
    <w:p>
      <w:pPr>
        <w:spacing w:after="0" w:line="121" w:lineRule="exact"/>
        <w:rPr>
          <w:sz w:val="20"/>
          <w:szCs w:val="20"/>
          <w:color w:val="auto"/>
        </w:rPr>
      </w:pPr>
    </w:p>
    <w:p>
      <w:pPr>
        <w:ind w:left="4" w:right="220" w:firstLine="440"/>
        <w:spacing w:after="0" w:line="273" w:lineRule="auto"/>
        <w:rPr>
          <w:sz w:val="20"/>
          <w:szCs w:val="20"/>
          <w:color w:val="auto"/>
        </w:rPr>
      </w:pPr>
      <w:r>
        <w:rPr>
          <w:rFonts w:ascii="Arial" w:cs="Arial" w:eastAsia="Arial" w:hAnsi="Arial"/>
          <w:sz w:val="17"/>
          <w:szCs w:val="17"/>
          <w:color w:val="auto"/>
        </w:rPr>
        <w:t>Accounting terms not defined in this Agreement shall be construed following GAAP. Calculations and determinations must be made following GAAP. In addition, any obligations of a Person under a lease (whether existing now or entered into in the future) that is not (or would not be) a capital lease obligation under GAAP as in effect as of the date of this Agreement shall not be treated as a capital lease obligation solely as a result of the adoption of changes in GAAP). Capitalized terms not otherwise defined in this Agreement shall have the meanings set forth in Section 14 of this Agreement. All other terms contained in this Agreement, unless otherwise indicated, shall have the meaning provided by the Code to the extent such terms are defined therein. All references to “Dollars” or “$” are United States Dollars, unless otherwise noted.</w:t>
      </w:r>
    </w:p>
    <w:p>
      <w:pPr>
        <w:spacing w:after="0" w:line="282" w:lineRule="exact"/>
        <w:rPr>
          <w:sz w:val="20"/>
          <w:szCs w:val="20"/>
          <w:color w:val="auto"/>
        </w:rPr>
      </w:pPr>
    </w:p>
    <w:p>
      <w:pPr>
        <w:ind w:left="444"/>
        <w:spacing w:after="0"/>
        <w:rPr>
          <w:sz w:val="20"/>
          <w:szCs w:val="20"/>
          <w:color w:val="auto"/>
        </w:rPr>
      </w:pPr>
      <w:r>
        <w:rPr>
          <w:rFonts w:ascii="Arial" w:cs="Arial" w:eastAsia="Arial" w:hAnsi="Arial"/>
          <w:sz w:val="18"/>
          <w:szCs w:val="18"/>
          <w:b w:val="1"/>
          <w:bCs w:val="1"/>
          <w:u w:val="single" w:color="auto"/>
          <w:color w:val="auto"/>
        </w:rPr>
        <w:t>LOAN AND TERMS OF PAYMENT</w:t>
      </w:r>
    </w:p>
    <w:p>
      <w:pPr>
        <w:spacing w:after="0" w:line="117" w:lineRule="exact"/>
        <w:rPr>
          <w:sz w:val="20"/>
          <w:szCs w:val="20"/>
          <w:color w:val="auto"/>
        </w:rPr>
      </w:pPr>
    </w:p>
    <w:p>
      <w:pPr>
        <w:ind w:left="4" w:right="100" w:firstLine="440"/>
        <w:spacing w:after="0" w:line="266" w:lineRule="auto"/>
        <w:rPr>
          <w:sz w:val="20"/>
          <w:szCs w:val="20"/>
          <w:color w:val="auto"/>
        </w:rPr>
      </w:pPr>
      <w:r>
        <w:rPr>
          <w:rFonts w:ascii="Arial" w:cs="Arial" w:eastAsia="Arial" w:hAnsi="Arial"/>
          <w:sz w:val="18"/>
          <w:szCs w:val="18"/>
          <w:b w:val="1"/>
          <w:bCs w:val="1"/>
          <w:color w:val="auto"/>
        </w:rPr>
        <w:t>Promise to Pay</w:t>
      </w:r>
      <w:r>
        <w:rPr>
          <w:rFonts w:ascii="Arial" w:cs="Arial" w:eastAsia="Arial" w:hAnsi="Arial"/>
          <w:sz w:val="18"/>
          <w:szCs w:val="18"/>
          <w:color w:val="auto"/>
        </w:rPr>
        <w:t>. Borrower hereby unconditionally promises to pay to Agent, for the ratable benefit of each Lender, the outstanding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all Credit Extensions advanced to Borrower by such Lender and accrued and unpaid interest thereon, together with any fees as and when due in accordance with this Agreement.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Term Loan Advances.</w:t>
      </w:r>
    </w:p>
    <w:p>
      <w:pPr>
        <w:spacing w:after="0" w:line="229" w:lineRule="exact"/>
        <w:rPr>
          <w:sz w:val="20"/>
          <w:szCs w:val="20"/>
          <w:color w:val="auto"/>
        </w:rPr>
      </w:pPr>
    </w:p>
    <w:p>
      <w:pPr>
        <w:ind w:left="4" w:right="80" w:firstLine="987"/>
        <w:spacing w:after="0" w:line="254" w:lineRule="auto"/>
        <w:tabs>
          <w:tab w:leader="none" w:pos="1375" w:val="left"/>
        </w:tabs>
        <w:numPr>
          <w:ilvl w:val="1"/>
          <w:numId w:val="364"/>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Subject to the terms and conditions of this Agreement, upon Borrower’s request, the Lenders, severally and not jointly, shall make one (1) term loan advance to Borrower on or about the Effective Date in an original principal amount of Six Million Dollars ($6,000,000.00) according to each Lender’s Term Loan Commitment as set forth on Schedule 1 hereto (the “</w:t>
      </w:r>
      <w:r>
        <w:rPr>
          <w:rFonts w:ascii="Arial" w:cs="Arial" w:eastAsia="Arial" w:hAnsi="Arial"/>
          <w:sz w:val="18"/>
          <w:szCs w:val="18"/>
          <w:b w:val="1"/>
          <w:bCs w:val="1"/>
          <w:color w:val="auto"/>
        </w:rPr>
        <w:t>Term A Loan Advance</w:t>
      </w:r>
      <w:r>
        <w:rPr>
          <w:rFonts w:ascii="Arial" w:cs="Arial" w:eastAsia="Arial" w:hAnsi="Arial"/>
          <w:sz w:val="18"/>
          <w:szCs w:val="18"/>
          <w:color w:val="auto"/>
        </w:rPr>
        <w:t>”). Subject to the terms and conditions of this Agreement, upon Borrower’s request, during the Draw Period, the Lenders, severally and not jointly, shall make one (1) term loan advance available to Borrower in an original principal amount of Four Million Dollars ($4,000,000.00) according to each Lender’s Term Loan Commitment as set forth on Schedule 1 hereto (the “</w:t>
      </w:r>
      <w:r>
        <w:rPr>
          <w:rFonts w:ascii="Arial" w:cs="Arial" w:eastAsia="Arial" w:hAnsi="Arial"/>
          <w:sz w:val="18"/>
          <w:szCs w:val="18"/>
          <w:b w:val="1"/>
          <w:bCs w:val="1"/>
          <w:color w:val="auto"/>
        </w:rPr>
        <w:t>Term B Loan Advance</w:t>
      </w:r>
      <w:r>
        <w:rPr>
          <w:rFonts w:ascii="Arial" w:cs="Arial" w:eastAsia="Arial" w:hAnsi="Arial"/>
          <w:sz w:val="18"/>
          <w:szCs w:val="18"/>
          <w:color w:val="auto"/>
        </w:rPr>
        <w:t>”). The Term A Loan Advance and the Term B Loan Advance are hereinafter referred to singly as the “</w:t>
      </w:r>
      <w:r>
        <w:rPr>
          <w:rFonts w:ascii="Arial" w:cs="Arial" w:eastAsia="Arial" w:hAnsi="Arial"/>
          <w:sz w:val="18"/>
          <w:szCs w:val="18"/>
          <w:b w:val="1"/>
          <w:bCs w:val="1"/>
          <w:color w:val="auto"/>
        </w:rPr>
        <w:t>Term Loan Advance</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Loan Advances</w:t>
      </w:r>
      <w:r>
        <w:rPr>
          <w:rFonts w:ascii="Arial" w:cs="Arial" w:eastAsia="Arial" w:hAnsi="Arial"/>
          <w:sz w:val="18"/>
          <w:szCs w:val="18"/>
          <w:color w:val="auto"/>
        </w:rPr>
        <w:t>”. After repayment, no Term Loan Advance (or any portion thereof) may be reborrowed.</w:t>
      </w:r>
    </w:p>
    <w:p>
      <w:pPr>
        <w:spacing w:after="0" w:line="191" w:lineRule="exact"/>
        <w:rPr>
          <w:rFonts w:ascii="Arial" w:cs="Arial" w:eastAsia="Arial" w:hAnsi="Arial"/>
          <w:sz w:val="18"/>
          <w:szCs w:val="18"/>
          <w:color w:val="auto"/>
        </w:rPr>
      </w:pPr>
    </w:p>
    <w:p>
      <w:pPr>
        <w:ind w:left="4" w:right="40" w:firstLine="987"/>
        <w:spacing w:after="0" w:line="311" w:lineRule="auto"/>
        <w:tabs>
          <w:tab w:leader="none" w:pos="1385" w:val="left"/>
        </w:tabs>
        <w:numPr>
          <w:ilvl w:val="1"/>
          <w:numId w:val="364"/>
        </w:numPr>
        <w:rPr>
          <w:rFonts w:ascii="Arial" w:cs="Arial" w:eastAsia="Arial" w:hAnsi="Arial"/>
          <w:sz w:val="16"/>
          <w:szCs w:val="16"/>
          <w:color w:val="auto"/>
        </w:rPr>
      </w:pPr>
      <w:r>
        <w:rPr>
          <w:rFonts w:ascii="Arial" w:cs="Arial" w:eastAsia="Arial" w:hAnsi="Arial"/>
          <w:sz w:val="16"/>
          <w:szCs w:val="16"/>
          <w:u w:val="single" w:color="auto"/>
          <w:color w:val="auto"/>
        </w:rPr>
        <w:t>Interest Period</w:t>
      </w:r>
      <w:r>
        <w:rPr>
          <w:rFonts w:ascii="Arial" w:cs="Arial" w:eastAsia="Arial" w:hAnsi="Arial"/>
          <w:sz w:val="16"/>
          <w:szCs w:val="16"/>
          <w:color w:val="auto"/>
        </w:rPr>
        <w:t>. Commencing on the first (1</w:t>
      </w:r>
      <w:r>
        <w:rPr>
          <w:rFonts w:ascii="Arial" w:cs="Arial" w:eastAsia="Arial" w:hAnsi="Arial"/>
          <w:sz w:val="13"/>
          <w:szCs w:val="13"/>
          <w:color w:val="auto"/>
        </w:rPr>
        <w:t>st</w:t>
      </w:r>
      <w:r>
        <w:rPr>
          <w:rFonts w:ascii="Arial" w:cs="Arial" w:eastAsia="Arial" w:hAnsi="Arial"/>
          <w:sz w:val="16"/>
          <w:szCs w:val="16"/>
          <w:color w:val="auto"/>
        </w:rPr>
        <w:t>) Payment Date of the month following the month in which the Funding Date of the applicable Term Loan Advance occurs and continuing on the Payment Date of each month thereafter, Borrower shall make monthly payments of interest to Agent, for the account of the Lenders, in arrears, on the principal amount of each Term Loan Advance, at the rate set forth in Section 2.3(a).</w:t>
      </w:r>
    </w:p>
    <w:p>
      <w:pPr>
        <w:spacing w:after="0" w:line="148" w:lineRule="exact"/>
        <w:rPr>
          <w:rFonts w:ascii="Arial" w:cs="Arial" w:eastAsia="Arial" w:hAnsi="Arial"/>
          <w:sz w:val="16"/>
          <w:szCs w:val="16"/>
          <w:color w:val="auto"/>
        </w:rPr>
      </w:pPr>
    </w:p>
    <w:p>
      <w:pPr>
        <w:ind w:left="4" w:right="180" w:firstLine="987"/>
        <w:spacing w:after="0" w:line="274" w:lineRule="auto"/>
        <w:tabs>
          <w:tab w:leader="none" w:pos="1375" w:val="left"/>
        </w:tabs>
        <w:numPr>
          <w:ilvl w:val="1"/>
          <w:numId w:val="364"/>
        </w:numPr>
        <w:rPr>
          <w:rFonts w:ascii="Arial" w:cs="Arial" w:eastAsia="Arial" w:hAnsi="Arial"/>
          <w:sz w:val="17"/>
          <w:szCs w:val="17"/>
          <w:color w:val="auto"/>
        </w:rPr>
      </w:pPr>
      <w:r>
        <w:rPr>
          <w:rFonts w:ascii="Arial" w:cs="Arial" w:eastAsia="Arial" w:hAnsi="Arial"/>
          <w:sz w:val="17"/>
          <w:szCs w:val="17"/>
          <w:u w:val="single" w:color="auto"/>
          <w:color w:val="auto"/>
        </w:rPr>
        <w:t>Repayment of the Term Loan Advances</w:t>
      </w:r>
      <w:r>
        <w:rPr>
          <w:rFonts w:ascii="Arial" w:cs="Arial" w:eastAsia="Arial" w:hAnsi="Arial"/>
          <w:sz w:val="17"/>
          <w:szCs w:val="17"/>
          <w:color w:val="auto"/>
        </w:rPr>
        <w:t>. Commencing on the Term Loan Amortization Date, and continuing on each Payment Date thereafter, Borrower shall repay the aggregate outstanding Term Loan Advances to Agent, for the account of the Lenders, in (i) twenty-one</w:t>
      </w:r>
    </w:p>
    <w:p>
      <w:pPr>
        <w:ind w:left="4" w:right="320" w:hanging="4"/>
        <w:spacing w:after="0" w:line="255" w:lineRule="auto"/>
        <w:tabs>
          <w:tab w:leader="none" w:pos="349" w:val="left"/>
        </w:tabs>
        <w:numPr>
          <w:ilvl w:val="0"/>
          <w:numId w:val="365"/>
        </w:numPr>
        <w:rPr>
          <w:rFonts w:ascii="Arial" w:cs="Arial" w:eastAsia="Arial" w:hAnsi="Arial"/>
          <w:sz w:val="18"/>
          <w:szCs w:val="18"/>
          <w:color w:val="auto"/>
        </w:rPr>
      </w:pPr>
      <w:r>
        <w:rPr>
          <w:rFonts w:ascii="Arial" w:cs="Arial" w:eastAsia="Arial" w:hAnsi="Arial"/>
          <w:sz w:val="18"/>
          <w:szCs w:val="18"/>
          <w:color w:val="auto"/>
        </w:rPr>
        <w:t>consecutive equal monthly installments of principal, plus (ii) monthly payments of accrued interest at the rate set forth in Section 2.3(a). All outstanding principal and accrued and unpaid interest with respect to the Term Loan Advances, and all other outstanding Obligations under the Term Loan Advances, are due and payable in full on the Term Loan Maturity Date.</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26" w:name="page427"/>
    <w:bookmarkEnd w:id="426"/>
    <w:p>
      <w:pPr>
        <w:ind w:left="4" w:right="60" w:firstLine="987"/>
        <w:spacing w:after="0" w:line="291" w:lineRule="auto"/>
        <w:tabs>
          <w:tab w:leader="none" w:pos="1385" w:val="left"/>
        </w:tabs>
        <w:numPr>
          <w:ilvl w:val="1"/>
          <w:numId w:val="36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Permitted Prepayment</w:t>
      </w:r>
      <w:r>
        <w:rPr>
          <w:rFonts w:ascii="Arial" w:cs="Arial" w:eastAsia="Arial" w:hAnsi="Arial"/>
          <w:sz w:val="16"/>
          <w:szCs w:val="16"/>
          <w:color w:val="auto"/>
        </w:rPr>
        <w:t>. Borrower shall have the option to prepay all, but not less than all, of the Term Loan Advances advanced by the Lenders under this Agreement, provided Borrower (i) provides written notice to Agent of its election to prepay the Term Loan Advances at least ten</w:t>
      </w:r>
    </w:p>
    <w:p>
      <w:pPr>
        <w:jc w:val="both"/>
        <w:ind w:left="4" w:right="160" w:hanging="4"/>
        <w:spacing w:after="0" w:line="281" w:lineRule="auto"/>
        <w:tabs>
          <w:tab w:leader="none" w:pos="349" w:val="left"/>
        </w:tabs>
        <w:numPr>
          <w:ilvl w:val="0"/>
          <w:numId w:val="367"/>
        </w:numPr>
        <w:rPr>
          <w:rFonts w:ascii="Arial" w:cs="Arial" w:eastAsia="Arial" w:hAnsi="Arial"/>
          <w:sz w:val="16"/>
          <w:szCs w:val="16"/>
          <w:color w:val="auto"/>
        </w:rPr>
      </w:pPr>
      <w:r>
        <w:rPr>
          <w:rFonts w:ascii="Arial" w:cs="Arial" w:eastAsia="Arial" w:hAnsi="Arial"/>
          <w:sz w:val="16"/>
          <w:szCs w:val="16"/>
          <w:color w:val="auto"/>
        </w:rPr>
        <w:t>days prior to such prepayment, and (ii) pays to Agent, for the account of the Lenders in accordance with its respective Pro Rata Share, on the date of such prepayment (A) the outstanding principal of the Term Loan Advances plus accrued and unpaid interest thereon, (B) the Prepayment Premium,</w:t>
      </w:r>
    </w:p>
    <w:p>
      <w:pPr>
        <w:spacing w:after="0" w:line="1" w:lineRule="exact"/>
        <w:rPr>
          <w:rFonts w:ascii="Arial" w:cs="Arial" w:eastAsia="Arial" w:hAnsi="Arial"/>
          <w:sz w:val="16"/>
          <w:szCs w:val="16"/>
          <w:color w:val="auto"/>
        </w:rPr>
      </w:pPr>
    </w:p>
    <w:p>
      <w:pPr>
        <w:ind w:left="4" w:right="220"/>
        <w:spacing w:after="0" w:line="260" w:lineRule="auto"/>
        <w:rPr>
          <w:rFonts w:ascii="Arial" w:cs="Arial" w:eastAsia="Arial" w:hAnsi="Arial"/>
          <w:sz w:val="16"/>
          <w:szCs w:val="16"/>
          <w:color w:val="auto"/>
        </w:rPr>
      </w:pPr>
      <w:r>
        <w:rPr>
          <w:rFonts w:ascii="Arial" w:cs="Arial" w:eastAsia="Arial" w:hAnsi="Arial"/>
          <w:sz w:val="18"/>
          <w:szCs w:val="18"/>
          <w:color w:val="auto"/>
        </w:rPr>
        <w:t>(C) the Final Payment and (D) all other sums, if any, that shall have become due and payable, including Lenders’ Expenses and interest at the Default Rate with respect to any past due amounts.</w:t>
      </w:r>
    </w:p>
    <w:p>
      <w:pPr>
        <w:spacing w:after="0" w:line="185" w:lineRule="exact"/>
        <w:rPr>
          <w:rFonts w:ascii="Arial" w:cs="Arial" w:eastAsia="Arial" w:hAnsi="Arial"/>
          <w:sz w:val="16"/>
          <w:szCs w:val="16"/>
          <w:color w:val="auto"/>
        </w:rPr>
      </w:pPr>
    </w:p>
    <w:p>
      <w:pPr>
        <w:ind w:left="4" w:right="200" w:firstLine="987"/>
        <w:spacing w:after="0" w:line="275" w:lineRule="auto"/>
        <w:tabs>
          <w:tab w:leader="none" w:pos="1375" w:val="left"/>
        </w:tabs>
        <w:numPr>
          <w:ilvl w:val="1"/>
          <w:numId w:val="367"/>
        </w:numPr>
        <w:rPr>
          <w:rFonts w:ascii="Arial" w:cs="Arial" w:eastAsia="Arial" w:hAnsi="Arial"/>
          <w:sz w:val="17"/>
          <w:szCs w:val="17"/>
          <w:color w:val="auto"/>
        </w:rPr>
      </w:pPr>
      <w:r>
        <w:rPr>
          <w:rFonts w:ascii="Arial" w:cs="Arial" w:eastAsia="Arial" w:hAnsi="Arial"/>
          <w:sz w:val="17"/>
          <w:szCs w:val="17"/>
          <w:u w:val="single" w:color="auto"/>
          <w:color w:val="auto"/>
        </w:rPr>
        <w:t>Mandatory Prepayment Upon an Acceleration</w:t>
      </w:r>
      <w:r>
        <w:rPr>
          <w:rFonts w:ascii="Arial" w:cs="Arial" w:eastAsia="Arial" w:hAnsi="Arial"/>
          <w:sz w:val="17"/>
          <w:szCs w:val="17"/>
          <w:color w:val="auto"/>
        </w:rPr>
        <w:t>. If the Term Loan Advances are accelerated by Agent, following the occurrence and during the continuance of an Event of Default, Borrower shall immediately pay to Agent, for the account of the Lenders in accordance with its respective Pro Rata Share, an amount equal to the sum of (i) all outstanding principal plus accrued and unpaid interest with respect to the Term Loan Advances, (ii) the Prepayment Premium, (iii) the Final Payment and (iv) all other sums, if any, that shall have become due and payable, including Lenders’ Expenses and interest at the Default Rate with respect to any past due amounts.</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Payment of Interest on the Credit Extensions.</w:t>
      </w:r>
    </w:p>
    <w:p>
      <w:pPr>
        <w:spacing w:after="0" w:line="229" w:lineRule="exact"/>
        <w:rPr>
          <w:sz w:val="20"/>
          <w:szCs w:val="20"/>
          <w:color w:val="auto"/>
        </w:rPr>
      </w:pPr>
    </w:p>
    <w:p>
      <w:pPr>
        <w:ind w:left="4" w:right="20" w:firstLine="987"/>
        <w:spacing w:after="0" w:line="263" w:lineRule="auto"/>
        <w:tabs>
          <w:tab w:leader="none" w:pos="1355"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Subject to Section 2.3(b), the principal amount outstanding under each Term Loan Advance shall accrue interest at a floating per annum rate equal to the greater of (i) seven percent (7.00%) and (ii) two percent (2.00%) above the Prime Rate, which interest, in each case, shall be payable monthly in accordance with Section 2.3(d) below.</w:t>
      </w:r>
    </w:p>
    <w:p>
      <w:pPr>
        <w:spacing w:after="0" w:line="183" w:lineRule="exact"/>
        <w:rPr>
          <w:rFonts w:ascii="Arial" w:cs="Arial" w:eastAsia="Arial" w:hAnsi="Arial"/>
          <w:sz w:val="18"/>
          <w:szCs w:val="18"/>
          <w:color w:val="auto"/>
        </w:rPr>
      </w:pPr>
    </w:p>
    <w:p>
      <w:pPr>
        <w:ind w:left="4" w:firstLine="987"/>
        <w:spacing w:after="0" w:line="255" w:lineRule="auto"/>
        <w:tabs>
          <w:tab w:leader="none" w:pos="1385"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Obligations shall bear interest at a rate per annum which is five percent (5.0%) above the rate that is otherwise applicable thereto (the “</w:t>
      </w:r>
      <w:r>
        <w:rPr>
          <w:rFonts w:ascii="Arial" w:cs="Arial" w:eastAsia="Arial" w:hAnsi="Arial"/>
          <w:sz w:val="18"/>
          <w:szCs w:val="18"/>
          <w:b w:val="1"/>
          <w:bCs w:val="1"/>
          <w:color w:val="auto"/>
        </w:rPr>
        <w:t>Default Rate</w:t>
      </w:r>
      <w:r>
        <w:rPr>
          <w:rFonts w:ascii="Arial" w:cs="Arial" w:eastAsia="Arial" w:hAnsi="Arial"/>
          <w:sz w:val="18"/>
          <w:szCs w:val="18"/>
          <w:color w:val="auto"/>
        </w:rPr>
        <w:t>”). Fees and expenses which are required to be paid by Borrower pursuant to the Loan Documents (including, without limitation, Lenders’ Expenses) but are not paid when due shall bear interest until paid at a rate equal to the highest rate applicable to the Obligations. Payment or acceptance of the increased interest rate provided in this Section 2.3(b) is not a permitted alternative to timely payment and shall not constitute a waiver of any Event of Default or otherwise prejudice or limit any rights or remedies of Agent or any Lender.</w:t>
      </w:r>
    </w:p>
    <w:p>
      <w:pPr>
        <w:spacing w:after="0" w:line="192" w:lineRule="exact"/>
        <w:rPr>
          <w:rFonts w:ascii="Arial" w:cs="Arial" w:eastAsia="Arial" w:hAnsi="Arial"/>
          <w:sz w:val="18"/>
          <w:szCs w:val="18"/>
          <w:color w:val="auto"/>
        </w:rPr>
      </w:pPr>
    </w:p>
    <w:p>
      <w:pPr>
        <w:ind w:left="4" w:right="600" w:firstLine="987"/>
        <w:spacing w:after="0" w:line="277" w:lineRule="auto"/>
        <w:tabs>
          <w:tab w:leader="none" w:pos="1385"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Adjustment to Interest Rate</w:t>
      </w:r>
      <w:r>
        <w:rPr>
          <w:rFonts w:ascii="Arial" w:cs="Arial" w:eastAsia="Arial" w:hAnsi="Arial"/>
          <w:sz w:val="18"/>
          <w:szCs w:val="18"/>
          <w:color w:val="auto"/>
        </w:rPr>
        <w:t>. Changes to the interest rate of any Credit Extension based on changes to the Prime Rate shall be effective on the effective date of any change to the Prime Rate and to the extent of any such change.</w:t>
      </w:r>
    </w:p>
    <w:p>
      <w:pPr>
        <w:spacing w:after="0" w:line="170" w:lineRule="exact"/>
        <w:rPr>
          <w:rFonts w:ascii="Arial" w:cs="Arial" w:eastAsia="Arial" w:hAnsi="Arial"/>
          <w:sz w:val="18"/>
          <w:szCs w:val="18"/>
          <w:color w:val="auto"/>
        </w:rPr>
      </w:pPr>
    </w:p>
    <w:p>
      <w:pPr>
        <w:ind w:left="4" w:right="60" w:firstLine="987"/>
        <w:spacing w:after="0" w:line="257" w:lineRule="auto"/>
        <w:tabs>
          <w:tab w:leader="none" w:pos="1345"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Payment; Interest Computation</w:t>
      </w:r>
      <w:r>
        <w:rPr>
          <w:rFonts w:ascii="Arial" w:cs="Arial" w:eastAsia="Arial" w:hAnsi="Arial"/>
          <w:sz w:val="18"/>
          <w:szCs w:val="18"/>
          <w:color w:val="auto"/>
        </w:rPr>
        <w:t>. Interest is payable monthly on the Payment Date and shall be computed on the basis of a 360-day year for the actual number of days elapsed. In computing interest, (i) all payments received after 12:00 p.m. Pacific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Fees</w:t>
      </w:r>
      <w:r>
        <w:rPr>
          <w:rFonts w:ascii="Arial" w:cs="Arial" w:eastAsia="Arial" w:hAnsi="Arial"/>
          <w:sz w:val="18"/>
          <w:szCs w:val="18"/>
          <w:color w:val="auto"/>
        </w:rPr>
        <w:t>. Borrower shall pay to Agent:</w:t>
      </w:r>
    </w:p>
    <w:p>
      <w:pPr>
        <w:spacing w:after="0" w:line="121" w:lineRule="exact"/>
        <w:rPr>
          <w:sz w:val="20"/>
          <w:szCs w:val="20"/>
          <w:color w:val="auto"/>
        </w:rPr>
      </w:pPr>
    </w:p>
    <w:p>
      <w:pPr>
        <w:ind w:left="4" w:right="260" w:firstLine="987"/>
        <w:spacing w:after="0" w:line="277" w:lineRule="auto"/>
        <w:tabs>
          <w:tab w:leader="none" w:pos="1345"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Final Payment</w:t>
      </w:r>
      <w:r>
        <w:rPr>
          <w:rFonts w:ascii="Arial" w:cs="Arial" w:eastAsia="Arial" w:hAnsi="Arial"/>
          <w:sz w:val="18"/>
          <w:szCs w:val="18"/>
          <w:color w:val="auto"/>
        </w:rPr>
        <w:t>. The Final Payment, when due hereunder, to be shared between the Lenders pursuant to their respective Term Loan Commitment Percentages;</w:t>
      </w:r>
    </w:p>
    <w:p>
      <w:pPr>
        <w:spacing w:after="0" w:line="170" w:lineRule="exact"/>
        <w:rPr>
          <w:rFonts w:ascii="Arial" w:cs="Arial" w:eastAsia="Arial" w:hAnsi="Arial"/>
          <w:sz w:val="18"/>
          <w:szCs w:val="18"/>
          <w:color w:val="auto"/>
        </w:rPr>
      </w:pPr>
    </w:p>
    <w:p>
      <w:pPr>
        <w:ind w:left="4" w:right="20" w:firstLine="987"/>
        <w:spacing w:after="0" w:line="277" w:lineRule="auto"/>
        <w:tabs>
          <w:tab w:leader="none" w:pos="1385"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Prepayment Premium</w:t>
      </w:r>
      <w:r>
        <w:rPr>
          <w:rFonts w:ascii="Arial" w:cs="Arial" w:eastAsia="Arial" w:hAnsi="Arial"/>
          <w:sz w:val="18"/>
          <w:szCs w:val="18"/>
          <w:color w:val="auto"/>
        </w:rPr>
        <w:t>. The Prepayment Premium, when due hereunder, to be shared between the Lenders pursuant to their respective Term Loan Commitment Percentages; and</w:t>
      </w:r>
    </w:p>
    <w:p>
      <w:pPr>
        <w:spacing w:after="0" w:line="170" w:lineRule="exact"/>
        <w:rPr>
          <w:rFonts w:ascii="Arial" w:cs="Arial" w:eastAsia="Arial" w:hAnsi="Arial"/>
          <w:sz w:val="18"/>
          <w:szCs w:val="18"/>
          <w:color w:val="auto"/>
        </w:rPr>
      </w:pPr>
    </w:p>
    <w:p>
      <w:pPr>
        <w:ind w:left="4" w:right="260" w:firstLine="987"/>
        <w:spacing w:after="0" w:line="342" w:lineRule="auto"/>
        <w:tabs>
          <w:tab w:leader="none" w:pos="1345" w:val="left"/>
        </w:tabs>
        <w:numPr>
          <w:ilvl w:val="0"/>
          <w:numId w:val="369"/>
        </w:numPr>
        <w:rPr>
          <w:rFonts w:ascii="Arial" w:cs="Arial" w:eastAsia="Arial" w:hAnsi="Arial"/>
          <w:sz w:val="16"/>
          <w:szCs w:val="16"/>
          <w:color w:val="auto"/>
        </w:rPr>
      </w:pPr>
      <w:r>
        <w:rPr>
          <w:rFonts w:ascii="Arial" w:cs="Arial" w:eastAsia="Arial" w:hAnsi="Arial"/>
          <w:sz w:val="16"/>
          <w:szCs w:val="16"/>
          <w:u w:val="single" w:color="auto"/>
          <w:color w:val="auto"/>
        </w:rPr>
        <w:t>Lenders’ Expenses</w:t>
      </w:r>
      <w:r>
        <w:rPr>
          <w:rFonts w:ascii="Arial" w:cs="Arial" w:eastAsia="Arial" w:hAnsi="Arial"/>
          <w:sz w:val="16"/>
          <w:szCs w:val="16"/>
          <w:color w:val="auto"/>
        </w:rPr>
        <w:t>. All Lenders’ Expenses (including reasonable and documented attorneys’ fees and expenses for documentation and negotiation of this Agreement) incurred through and after the Effective Date, when due (or, if no stated due date, upon demand by Agent).</w:t>
      </w:r>
    </w:p>
    <w:p>
      <w:pPr>
        <w:spacing w:after="0" w:line="124"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Unless otherwise provided in this Agreement or in a separate writing by Agent, Borrower shall not be entitled to any credit, rebate, or repayment of any fees earned by Agent or any Lender pursuant to this Agreement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427" w:name="page428"/>
    <w:bookmarkEnd w:id="427"/>
    <w:p>
      <w:pPr>
        <w:ind w:right="1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 termination of this Agreement or the suspension or termination of any Lender’s obligation to make loans and advances hereunder. Agent may deduct amounts owing by Borrower under the clauses of this Section 2.4 pursuant to the terms of Section 2.5(e). Agent shall provide Borrower written notice of deductions made from the Designated Deposit Account pursuant to the terms of the clauses of this Section 2.4.</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Payments; Pro Rata Treatment; Application of Payments; Debit of Accounts</w:t>
      </w:r>
      <w:r>
        <w:rPr>
          <w:rFonts w:ascii="Arial" w:cs="Arial" w:eastAsia="Arial" w:hAnsi="Arial"/>
          <w:sz w:val="18"/>
          <w:szCs w:val="18"/>
          <w:color w:val="auto"/>
        </w:rPr>
        <w:t>.</w:t>
      </w:r>
    </w:p>
    <w:p>
      <w:pPr>
        <w:spacing w:after="0" w:line="229" w:lineRule="exact"/>
        <w:rPr>
          <w:sz w:val="20"/>
          <w:szCs w:val="20"/>
          <w:color w:val="auto"/>
        </w:rPr>
      </w:pPr>
    </w:p>
    <w:p>
      <w:pPr>
        <w:ind w:right="20" w:firstLine="987"/>
        <w:spacing w:after="0" w:line="275" w:lineRule="auto"/>
        <w:tabs>
          <w:tab w:leader="none" w:pos="1421" w:val="left"/>
        </w:tabs>
        <w:numPr>
          <w:ilvl w:val="0"/>
          <w:numId w:val="370"/>
        </w:numPr>
        <w:rPr>
          <w:rFonts w:ascii="Arial" w:cs="Arial" w:eastAsia="Arial" w:hAnsi="Arial"/>
          <w:sz w:val="17"/>
          <w:szCs w:val="17"/>
          <w:color w:val="auto"/>
        </w:rPr>
      </w:pPr>
      <w:r>
        <w:rPr>
          <w:rFonts w:ascii="Arial" w:cs="Arial" w:eastAsia="Arial" w:hAnsi="Arial"/>
          <w:sz w:val="17"/>
          <w:szCs w:val="17"/>
          <w:color w:val="auto"/>
        </w:rPr>
        <w:t>All payments (including prepayments) to be made by Borrower under any Loan Document shall be made to Agent for the account of Lenders, in immediately available funds in Dollars, without setoff or counterclaim, before 12:00 p.m. Pacific time on the date when due. Agent shall distribute such payments to Lenders in like funds as set forth in Section 2.6.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76" w:lineRule="exact"/>
        <w:rPr>
          <w:rFonts w:ascii="Arial" w:cs="Arial" w:eastAsia="Arial" w:hAnsi="Arial"/>
          <w:sz w:val="17"/>
          <w:szCs w:val="17"/>
          <w:color w:val="auto"/>
        </w:rPr>
      </w:pPr>
    </w:p>
    <w:p>
      <w:pPr>
        <w:ind w:right="880" w:firstLine="987"/>
        <w:spacing w:after="0" w:line="277" w:lineRule="auto"/>
        <w:tabs>
          <w:tab w:leader="none" w:pos="1381" w:val="left"/>
        </w:tabs>
        <w:numPr>
          <w:ilvl w:val="0"/>
          <w:numId w:val="370"/>
        </w:numPr>
        <w:rPr>
          <w:rFonts w:ascii="Arial" w:cs="Arial" w:eastAsia="Arial" w:hAnsi="Arial"/>
          <w:sz w:val="18"/>
          <w:szCs w:val="18"/>
          <w:color w:val="auto"/>
        </w:rPr>
      </w:pPr>
      <w:r>
        <w:rPr>
          <w:rFonts w:ascii="Arial" w:cs="Arial" w:eastAsia="Arial" w:hAnsi="Arial"/>
          <w:sz w:val="18"/>
          <w:szCs w:val="18"/>
          <w:color w:val="auto"/>
        </w:rPr>
        <w:t>Each borrowing by Borrower from Lenders hereunder shall be made according to the respective Term Loan Commitment Percentages of the relevant Lenders.</w:t>
      </w:r>
    </w:p>
    <w:p>
      <w:pPr>
        <w:spacing w:after="0" w:line="170" w:lineRule="exact"/>
        <w:rPr>
          <w:rFonts w:ascii="Arial" w:cs="Arial" w:eastAsia="Arial" w:hAnsi="Arial"/>
          <w:sz w:val="18"/>
          <w:szCs w:val="18"/>
          <w:color w:val="auto"/>
        </w:rPr>
      </w:pPr>
    </w:p>
    <w:p>
      <w:pPr>
        <w:jc w:val="both"/>
        <w:ind w:right="140" w:firstLine="987"/>
        <w:spacing w:after="0" w:line="259" w:lineRule="auto"/>
        <w:tabs>
          <w:tab w:leader="none" w:pos="1381" w:val="left"/>
        </w:tabs>
        <w:numPr>
          <w:ilvl w:val="0"/>
          <w:numId w:val="370"/>
        </w:numPr>
        <w:rPr>
          <w:rFonts w:ascii="Arial" w:cs="Arial" w:eastAsia="Arial" w:hAnsi="Arial"/>
          <w:sz w:val="18"/>
          <w:szCs w:val="18"/>
          <w:color w:val="auto"/>
        </w:rPr>
      </w:pPr>
      <w:r>
        <w:rPr>
          <w:rFonts w:ascii="Arial" w:cs="Arial" w:eastAsia="Arial" w:hAnsi="Arial"/>
          <w:sz w:val="18"/>
          <w:szCs w:val="18"/>
          <w:color w:val="auto"/>
        </w:rPr>
        <w:t>Except as otherwise provided herein, each payment (including each prepayment) by Borrower on account of principal or interest on the Term Loan Advances shall be applied according to each Lender’s Pro Rata Share of the outstanding principal amount of the Term Loan Advances. The amount of each principal prepayment of the Term Loan Advances shall be applied to reduce the then remaining installments of the Term Loan Advances based upon each Pro Rata Share of Term Loan Advances.</w:t>
      </w:r>
    </w:p>
    <w:p>
      <w:pPr>
        <w:spacing w:after="0" w:line="186" w:lineRule="exact"/>
        <w:rPr>
          <w:rFonts w:ascii="Arial" w:cs="Arial" w:eastAsia="Arial" w:hAnsi="Arial"/>
          <w:sz w:val="18"/>
          <w:szCs w:val="18"/>
          <w:color w:val="auto"/>
        </w:rPr>
      </w:pPr>
    </w:p>
    <w:p>
      <w:pPr>
        <w:ind w:right="220" w:firstLine="987"/>
        <w:spacing w:after="0" w:line="259" w:lineRule="auto"/>
        <w:tabs>
          <w:tab w:leader="none" w:pos="1371"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Agent has the exclusive right to determine the order and manner in which all payments with respect to the Obligations may be applied. Borrower shall have no right to specify the order or the accounts to which Agent shall allocate or apply any payments required to be made by Borrower to Agent or otherwise received by Agent or any Lender under this Agreement when any such allocation or application is not specified elsewhere in this Agreement.</w:t>
      </w:r>
    </w:p>
    <w:p>
      <w:pPr>
        <w:spacing w:after="0" w:line="186" w:lineRule="exact"/>
        <w:rPr>
          <w:rFonts w:ascii="Arial" w:cs="Arial" w:eastAsia="Arial" w:hAnsi="Arial"/>
          <w:sz w:val="18"/>
          <w:szCs w:val="18"/>
          <w:color w:val="auto"/>
        </w:rPr>
      </w:pPr>
    </w:p>
    <w:p>
      <w:pPr>
        <w:ind w:right="80" w:firstLine="987"/>
        <w:spacing w:after="0" w:line="277" w:lineRule="auto"/>
        <w:tabs>
          <w:tab w:leader="none" w:pos="1371"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Agent may debit any of Borrower’s deposit accounts, including the Designated Deposit Account, for principal and interest payments or any other amounts Borrower owes Agent or any Lender when due. These debits shall not constitute a set-off.</w:t>
      </w:r>
    </w:p>
    <w:p>
      <w:pPr>
        <w:spacing w:after="0" w:line="170" w:lineRule="exact"/>
        <w:rPr>
          <w:rFonts w:ascii="Arial" w:cs="Arial" w:eastAsia="Arial" w:hAnsi="Arial"/>
          <w:sz w:val="18"/>
          <w:szCs w:val="18"/>
          <w:color w:val="auto"/>
        </w:rPr>
      </w:pPr>
    </w:p>
    <w:p>
      <w:pPr>
        <w:ind w:firstLine="987"/>
        <w:spacing w:after="0" w:line="293" w:lineRule="auto"/>
        <w:tabs>
          <w:tab w:leader="none" w:pos="1351" w:val="left"/>
        </w:tabs>
        <w:numPr>
          <w:ilvl w:val="0"/>
          <w:numId w:val="370"/>
        </w:numPr>
        <w:rPr>
          <w:rFonts w:ascii="Arial" w:cs="Arial" w:eastAsia="Arial" w:hAnsi="Arial"/>
          <w:sz w:val="16"/>
          <w:szCs w:val="16"/>
          <w:color w:val="auto"/>
        </w:rPr>
      </w:pPr>
      <w:r>
        <w:rPr>
          <w:rFonts w:ascii="Arial" w:cs="Arial" w:eastAsia="Arial" w:hAnsi="Arial"/>
          <w:sz w:val="16"/>
          <w:szCs w:val="16"/>
          <w:color w:val="auto"/>
        </w:rPr>
        <w:t>Unless Agent shall have been notified in writing by Borrower prior to the date of any payment due to be made by Borrower hereunder that Borrower will not make such payment to Agent, Agent may assume that Borrower is making such payment, and Agent may, but shall not be required to, in reliance upon such assumption, make available to Lenders their respective Pro Rata Share of a corresponding payment amount. If such payment is not made to Agent by Borrower within three (3) Business Days after such due date,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Agent or any Lender against Borrower.</w:t>
      </w:r>
    </w:p>
    <w:p>
      <w:pPr>
        <w:spacing w:after="0" w:line="160"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b w:val="1"/>
          <w:bCs w:val="1"/>
          <w:color w:val="auto"/>
        </w:rPr>
        <w:t>Settlement Procedures</w:t>
      </w:r>
      <w:r>
        <w:rPr>
          <w:rFonts w:ascii="Arial" w:cs="Arial" w:eastAsia="Arial" w:hAnsi="Arial"/>
          <w:sz w:val="18"/>
          <w:szCs w:val="18"/>
          <w:color w:val="auto"/>
        </w:rPr>
        <w:t>. If Agent receives any payment for the account of Lenders on or prior to 12:00 p.m. (Pacific time) on any Business Day,</w:t>
      </w:r>
      <w:r>
        <w:rPr>
          <w:rFonts w:ascii="Arial" w:cs="Arial" w:eastAsia="Arial" w:hAnsi="Arial"/>
          <w:sz w:val="18"/>
          <w:szCs w:val="18"/>
          <w:b w:val="1"/>
          <w:bCs w:val="1"/>
          <w:color w:val="auto"/>
        </w:rPr>
        <w:t xml:space="preserve"> </w:t>
      </w:r>
      <w:r>
        <w:rPr>
          <w:rFonts w:ascii="Arial" w:cs="Arial" w:eastAsia="Arial" w:hAnsi="Arial"/>
          <w:sz w:val="18"/>
          <w:szCs w:val="18"/>
          <w:color w:val="auto"/>
        </w:rPr>
        <w:t>Agent shall pay to each applicable Lender such Lender’s Pro Rata Share of such payment on such Business Day. If Agent receives any payment for the account of Lenders after 12:00 p.m. (Pacific time) on any Business Day, Agent shall pay to each applicable Lender such Lender’s Pro Rata Share of such payment on the next Business Day.</w:t>
      </w:r>
    </w:p>
    <w:p>
      <w:pPr>
        <w:spacing w:after="0" w:line="180"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Withholding</w:t>
      </w:r>
      <w:r>
        <w:rPr>
          <w:rFonts w:ascii="Arial" w:cs="Arial" w:eastAsia="Arial" w:hAnsi="Arial"/>
          <w:sz w:val="17"/>
          <w:szCs w:val="17"/>
          <w:color w:val="auto"/>
        </w:rPr>
        <w:t>. Payments received by Agent from Borrower under this Agreement will be made free and clear of and without deduction for any and</w:t>
      </w:r>
      <w:r>
        <w:rPr>
          <w:rFonts w:ascii="Arial" w:cs="Arial" w:eastAsia="Arial" w:hAnsi="Arial"/>
          <w:sz w:val="17"/>
          <w:szCs w:val="17"/>
          <w:b w:val="1"/>
          <w:bCs w:val="1"/>
          <w:color w:val="auto"/>
        </w:rPr>
        <w:t xml:space="preserve"> </w:t>
      </w:r>
      <w:r>
        <w:rPr>
          <w:rFonts w:ascii="Arial" w:cs="Arial" w:eastAsia="Arial" w:hAnsi="Arial"/>
          <w:sz w:val="17"/>
          <w:szCs w:val="17"/>
          <w:color w:val="auto"/>
        </w:rPr>
        <w:t>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Agent, Borrower hereby covenants and agrees that the amount due from Borrower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28" w:name="page429"/>
    <w:bookmarkEnd w:id="42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such payment or other sum payable hereunder will be increased to the extent necessary to ensure that, after the making of such required withholding or deduction, Agent receives a net sum equal to the sum which it would have received had no withholding or deduction been required, and Borrower shall pay the full amount withheld or deducted to the relevant Governmental Authority. Borrower will, upon request, furnish Agent with proof reasonably satisfactory to Agent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2.7 shall survive the termination of this Agreement.</w:t>
      </w: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CONDITIONS OF LOANS</w:t>
      </w:r>
    </w:p>
    <w:p>
      <w:pPr>
        <w:spacing w:after="0" w:line="117" w:lineRule="exact"/>
        <w:rPr>
          <w:sz w:val="20"/>
          <w:szCs w:val="20"/>
          <w:color w:val="auto"/>
        </w:rPr>
      </w:pPr>
    </w:p>
    <w:p>
      <w:pPr>
        <w:ind w:right="260" w:firstLine="440"/>
        <w:spacing w:after="0" w:line="289" w:lineRule="auto"/>
        <w:rPr>
          <w:sz w:val="20"/>
          <w:szCs w:val="20"/>
          <w:color w:val="auto"/>
        </w:rPr>
      </w:pPr>
      <w:r>
        <w:rPr>
          <w:rFonts w:ascii="Arial" w:cs="Arial" w:eastAsia="Arial" w:hAnsi="Arial"/>
          <w:sz w:val="17"/>
          <w:szCs w:val="17"/>
          <w:b w:val="1"/>
          <w:bCs w:val="1"/>
          <w:color w:val="auto"/>
        </w:rPr>
        <w:t>Conditions Precedent to Initial Credit Extension</w:t>
      </w:r>
      <w:r>
        <w:rPr>
          <w:rFonts w:ascii="Arial" w:cs="Arial" w:eastAsia="Arial" w:hAnsi="Arial"/>
          <w:sz w:val="17"/>
          <w:szCs w:val="17"/>
          <w:color w:val="auto"/>
        </w:rPr>
        <w:t>. Each Lender’s obligation to make the initial Credit Extension hereunder is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precedent that Agent shall have received, in form and substance satisfactory to Agent and the Lenders, such documents, and completion of such other matters, as Agent may reasonably deem necessary or appropriate, including, without limitation:</w:t>
      </w:r>
    </w:p>
    <w:p>
      <w:pPr>
        <w:spacing w:after="0" w:line="54" w:lineRule="exact"/>
        <w:rPr>
          <w:sz w:val="20"/>
          <w:szCs w:val="20"/>
          <w:color w:val="auto"/>
        </w:rPr>
      </w:pPr>
    </w:p>
    <w:p>
      <w:pPr>
        <w:ind w:left="1360" w:hanging="373"/>
        <w:spacing w:after="0"/>
        <w:tabs>
          <w:tab w:leader="none" w:pos="13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duly executed original signatures to the Loan Documents;</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duly executed original signatures to the Warrant;</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duly executed original signatures to the Debenture together with all notices required under the Debenture;</w:t>
      </w:r>
    </w:p>
    <w:p>
      <w:pPr>
        <w:spacing w:after="0" w:line="225" w:lineRule="exact"/>
        <w:rPr>
          <w:rFonts w:ascii="Arial" w:cs="Arial" w:eastAsia="Arial" w:hAnsi="Arial"/>
          <w:sz w:val="18"/>
          <w:szCs w:val="18"/>
          <w:color w:val="auto"/>
        </w:rPr>
      </w:pPr>
    </w:p>
    <w:p>
      <w:pPr>
        <w:ind w:right="60" w:firstLine="987"/>
        <w:spacing w:after="0" w:line="263" w:lineRule="auto"/>
        <w:tabs>
          <w:tab w:leader="none" w:pos="1381"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Operating Documents of Borrower and a good standing certificate of each Borrower issued by the Registrar of Companies in the Cayman Islands as of a date no earlier than thirty (30) days prior to the Effective Date, register of directors and officers and register of mortgages and charges of each Borrower;</w:t>
      </w:r>
    </w:p>
    <w:p>
      <w:pPr>
        <w:spacing w:after="0" w:line="183" w:lineRule="exact"/>
        <w:rPr>
          <w:rFonts w:ascii="Arial" w:cs="Arial" w:eastAsia="Arial" w:hAnsi="Arial"/>
          <w:sz w:val="18"/>
          <w:szCs w:val="18"/>
          <w:color w:val="auto"/>
        </w:rPr>
      </w:pPr>
    </w:p>
    <w:p>
      <w:pPr>
        <w:ind w:left="1420" w:hanging="433"/>
        <w:spacing w:after="0"/>
        <w:tabs>
          <w:tab w:leader="none" w:pos="14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Operating Documents of Guarantor;</w:t>
      </w:r>
    </w:p>
    <w:p>
      <w:pPr>
        <w:spacing w:after="0" w:line="225" w:lineRule="exact"/>
        <w:rPr>
          <w:rFonts w:ascii="Arial" w:cs="Arial" w:eastAsia="Arial" w:hAnsi="Arial"/>
          <w:sz w:val="18"/>
          <w:szCs w:val="18"/>
          <w:color w:val="auto"/>
        </w:rPr>
      </w:pPr>
    </w:p>
    <w:p>
      <w:pPr>
        <w:ind w:right="160" w:firstLine="987"/>
        <w:spacing w:after="0" w:line="308" w:lineRule="auto"/>
        <w:tabs>
          <w:tab w:leader="none" w:pos="1381" w:val="left"/>
        </w:tabs>
        <w:numPr>
          <w:ilvl w:val="0"/>
          <w:numId w:val="371"/>
        </w:numPr>
        <w:rPr>
          <w:rFonts w:ascii="Arial" w:cs="Arial" w:eastAsia="Arial" w:hAnsi="Arial"/>
          <w:sz w:val="17"/>
          <w:szCs w:val="17"/>
          <w:color w:val="auto"/>
        </w:rPr>
      </w:pPr>
      <w:r>
        <w:rPr>
          <w:rFonts w:ascii="Arial" w:cs="Arial" w:eastAsia="Arial" w:hAnsi="Arial"/>
          <w:sz w:val="17"/>
          <w:szCs w:val="17"/>
          <w:color w:val="auto"/>
        </w:rPr>
        <w:t>a secretary’s or director’s corporate borrowing certificate of each Borrower with respect to such Borrower’s Operating Documents, incumbency and director’s resolutions authorizing the execution and delivery of this Agreement and the other Loan Documents;</w:t>
      </w:r>
    </w:p>
    <w:p>
      <w:pPr>
        <w:spacing w:after="0" w:line="146" w:lineRule="exact"/>
        <w:rPr>
          <w:rFonts w:ascii="Arial" w:cs="Arial" w:eastAsia="Arial" w:hAnsi="Arial"/>
          <w:sz w:val="17"/>
          <w:szCs w:val="17"/>
          <w:color w:val="auto"/>
        </w:rPr>
      </w:pPr>
    </w:p>
    <w:p>
      <w:pPr>
        <w:ind w:right="300" w:firstLine="987"/>
        <w:spacing w:after="0" w:line="277" w:lineRule="auto"/>
        <w:tabs>
          <w:tab w:leader="none" w:pos="1381"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 certificate of an officer of Guarantor with respect to articles, specimen signatures and resolutions authorizing the execution and delivery of the Guaranty, the Debenture and the other Loan Documents to which the Guarantor is a party;</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duly executed original signatures to the completed Borrowing Resolutions for each Borrower;</w:t>
      </w:r>
    </w:p>
    <w:p>
      <w:pPr>
        <w:spacing w:after="0" w:line="225" w:lineRule="exact"/>
        <w:rPr>
          <w:sz w:val="20"/>
          <w:szCs w:val="20"/>
          <w:color w:val="auto"/>
        </w:rPr>
      </w:pPr>
    </w:p>
    <w:p>
      <w:pPr>
        <w:jc w:val="both"/>
        <w:ind w:right="60" w:firstLine="987"/>
        <w:spacing w:after="0" w:line="263" w:lineRule="auto"/>
        <w:tabs>
          <w:tab w:leader="none" w:pos="1451" w:val="left"/>
        </w:tabs>
        <w:numPr>
          <w:ilvl w:val="0"/>
          <w:numId w:val="372"/>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Agent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83" w:lineRule="exact"/>
        <w:rPr>
          <w:rFonts w:ascii="Arial" w:cs="Arial" w:eastAsia="Arial" w:hAnsi="Arial"/>
          <w:sz w:val="18"/>
          <w:szCs w:val="18"/>
          <w:color w:val="auto"/>
        </w:rPr>
      </w:pPr>
    </w:p>
    <w:p>
      <w:pPr>
        <w:ind w:right="480" w:firstLine="987"/>
        <w:spacing w:after="0" w:line="277" w:lineRule="auto"/>
        <w:tabs>
          <w:tab w:leader="none" w:pos="1471" w:val="left"/>
        </w:tabs>
        <w:numPr>
          <w:ilvl w:val="0"/>
          <w:numId w:val="372"/>
        </w:numPr>
        <w:rPr>
          <w:rFonts w:ascii="Arial" w:cs="Arial" w:eastAsia="Arial" w:hAnsi="Arial"/>
          <w:sz w:val="18"/>
          <w:szCs w:val="18"/>
          <w:color w:val="auto"/>
        </w:rPr>
      </w:pPr>
      <w:r>
        <w:rPr>
          <w:rFonts w:ascii="Arial" w:cs="Arial" w:eastAsia="Arial" w:hAnsi="Arial"/>
          <w:sz w:val="18"/>
          <w:szCs w:val="18"/>
          <w:color w:val="auto"/>
        </w:rPr>
        <w:t>searches at the Companies Registration Office in Ireland and High Court Central Office in respect of Guarantor together with satisfactory explanations for any acts appearing on such searches;</w:t>
      </w:r>
    </w:p>
    <w:p>
      <w:pPr>
        <w:spacing w:after="0" w:line="170" w:lineRule="exact"/>
        <w:rPr>
          <w:rFonts w:ascii="Arial" w:cs="Arial" w:eastAsia="Arial" w:hAnsi="Arial"/>
          <w:sz w:val="18"/>
          <w:szCs w:val="18"/>
          <w:color w:val="auto"/>
        </w:rPr>
      </w:pPr>
    </w:p>
    <w:p>
      <w:pPr>
        <w:ind w:left="1440" w:hanging="453"/>
        <w:spacing w:after="0"/>
        <w:tabs>
          <w:tab w:leader="none" w:pos="144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duly executed original signatures to the Collateral Assignment of License Agreement;</w:t>
      </w:r>
    </w:p>
    <w:p>
      <w:pPr>
        <w:spacing w:after="0" w:line="225" w:lineRule="exact"/>
        <w:rPr>
          <w:rFonts w:ascii="Arial" w:cs="Arial" w:eastAsia="Arial" w:hAnsi="Arial"/>
          <w:sz w:val="18"/>
          <w:szCs w:val="18"/>
          <w:color w:val="auto"/>
        </w:rPr>
      </w:pPr>
    </w:p>
    <w:p>
      <w:pPr>
        <w:ind w:left="1460" w:hanging="473"/>
        <w:spacing w:after="0"/>
        <w:tabs>
          <w:tab w:leader="none" w:pos="146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a certified copy of the Register of Mortgages and Charges of Borrower updated to reflect the security interests granted over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Collateral;</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429" w:name="page430"/>
    <w:bookmarkEnd w:id="429"/>
    <w:p>
      <w:pPr>
        <w:ind w:left="1440" w:hanging="453"/>
        <w:spacing w:after="0"/>
        <w:tabs>
          <w:tab w:leader="none" w:pos="1440" w:val="left"/>
        </w:tabs>
        <w:numPr>
          <w:ilvl w:val="0"/>
          <w:numId w:val="3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legal opinion of Borrower’s Cayman Islands counsel in respect of Borrower, in form and substance acceptable to Lenders;</w:t>
      </w:r>
    </w:p>
    <w:p>
      <w:pPr>
        <w:spacing w:after="0" w:line="236" w:lineRule="exact"/>
        <w:rPr>
          <w:rFonts w:ascii="Arial" w:cs="Arial" w:eastAsia="Arial" w:hAnsi="Arial"/>
          <w:sz w:val="17"/>
          <w:szCs w:val="17"/>
          <w:color w:val="auto"/>
        </w:rPr>
      </w:pPr>
    </w:p>
    <w:p>
      <w:pPr>
        <w:ind w:left="1400" w:hanging="413"/>
        <w:spacing w:after="0"/>
        <w:tabs>
          <w:tab w:leader="none" w:pos="140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a legal opinion of SVB’s Irish counsel in respect of Guarantor (authority/enforceability), in form and substance acceptable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11" w:lineRule="exact"/>
        <w:rPr>
          <w:sz w:val="20"/>
          <w:szCs w:val="20"/>
          <w:color w:val="auto"/>
        </w:rPr>
      </w:pPr>
    </w:p>
    <w:p>
      <w:pPr>
        <w:ind w:left="1460" w:hanging="473"/>
        <w:spacing w:after="0"/>
        <w:tabs>
          <w:tab w:leader="none" w:pos="14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Perfection Certificate of Borrower and Guarantor, together with the duly executed original signatures thereto; and</w:t>
      </w:r>
    </w:p>
    <w:p>
      <w:pPr>
        <w:spacing w:after="0" w:line="225" w:lineRule="exact"/>
        <w:rPr>
          <w:rFonts w:ascii="Arial" w:cs="Arial" w:eastAsia="Arial" w:hAnsi="Arial"/>
          <w:sz w:val="18"/>
          <w:szCs w:val="18"/>
          <w:color w:val="auto"/>
        </w:rPr>
      </w:pPr>
    </w:p>
    <w:p>
      <w:pPr>
        <w:ind w:left="1460" w:hanging="473"/>
        <w:spacing w:after="0"/>
        <w:tabs>
          <w:tab w:leader="none" w:pos="14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2.4 hereof.</w:t>
      </w:r>
    </w:p>
    <w:p>
      <w:pPr>
        <w:spacing w:after="0" w:line="221"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Conditions Precedent to all Credit Extensions</w:t>
      </w:r>
      <w:r>
        <w:rPr>
          <w:rFonts w:ascii="Arial" w:cs="Arial" w:eastAsia="Arial" w:hAnsi="Arial"/>
          <w:sz w:val="18"/>
          <w:szCs w:val="18"/>
          <w:color w:val="auto"/>
        </w:rPr>
        <w:t>. Each Lender’s obligation to make each Credit Extension, including the initial Credit Extension,</w:t>
      </w:r>
      <w:r>
        <w:rPr>
          <w:rFonts w:ascii="Arial" w:cs="Arial" w:eastAsia="Arial" w:hAnsi="Arial"/>
          <w:sz w:val="18"/>
          <w:szCs w:val="18"/>
          <w:b w:val="1"/>
          <w:bCs w:val="1"/>
          <w:color w:val="auto"/>
        </w:rPr>
        <w:t xml:space="preserve"> </w:t>
      </w:r>
      <w:r>
        <w:rPr>
          <w:rFonts w:ascii="Arial" w:cs="Arial" w:eastAsia="Arial" w:hAnsi="Arial"/>
          <w:sz w:val="18"/>
          <w:szCs w:val="18"/>
          <w:color w:val="auto"/>
        </w:rPr>
        <w:t>is subject to the following conditions precedent:</w:t>
      </w:r>
    </w:p>
    <w:p>
      <w:pPr>
        <w:spacing w:after="0" w:line="58" w:lineRule="exact"/>
        <w:rPr>
          <w:sz w:val="20"/>
          <w:szCs w:val="20"/>
          <w:color w:val="auto"/>
        </w:rPr>
      </w:pPr>
    </w:p>
    <w:p>
      <w:pPr>
        <w:ind w:right="20" w:firstLine="987"/>
        <w:spacing w:after="0" w:line="277" w:lineRule="auto"/>
        <w:tabs>
          <w:tab w:leader="none" w:pos="1391"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timely receipt by the Lenders of (i) an executed Disbursement Letter; and (ii) an executed Payment/Advance Form and any materials and documents required by Section 3.4;</w:t>
      </w:r>
    </w:p>
    <w:p>
      <w:pPr>
        <w:spacing w:after="0" w:line="170" w:lineRule="exact"/>
        <w:rPr>
          <w:rFonts w:ascii="Arial" w:cs="Arial" w:eastAsia="Arial" w:hAnsi="Arial"/>
          <w:sz w:val="18"/>
          <w:szCs w:val="18"/>
          <w:color w:val="auto"/>
        </w:rPr>
      </w:pPr>
    </w:p>
    <w:p>
      <w:pPr>
        <w:ind w:firstLine="987"/>
        <w:spacing w:after="0" w:line="253" w:lineRule="auto"/>
        <w:tabs>
          <w:tab w:leader="none" w:pos="1391"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representations and warranties in this Agreement shall be true and correct in all material respects on the date of the Disbursement Letter (and the Payment/Advance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no Event of Default shall have occurred and be continuing or result from the Credit Extension. Each Credit Extension is Borrower’s representation and warranty on that date that the representations and warranties in this Agreement remain true and correct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w:t>
      </w:r>
    </w:p>
    <w:p>
      <w:pPr>
        <w:spacing w:after="0" w:line="196" w:lineRule="exact"/>
        <w:rPr>
          <w:rFonts w:ascii="Arial" w:cs="Arial" w:eastAsia="Arial" w:hAnsi="Arial"/>
          <w:sz w:val="18"/>
          <w:szCs w:val="18"/>
          <w:color w:val="auto"/>
        </w:rPr>
      </w:pPr>
    </w:p>
    <w:p>
      <w:pPr>
        <w:ind w:right="240" w:firstLine="987"/>
        <w:spacing w:after="0" w:line="263" w:lineRule="auto"/>
        <w:tabs>
          <w:tab w:leader="none" w:pos="1461"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Agent and each Lender determine to its satisfaction that there has not been any material impairment in the general affairs, management, results of operation, financial condition or the prospect of repayment of the Obligations, or any material adverse deviation by Borrower from the most recent business plan of Borrower presented to and accepted by Agent and the Lenders.</w:t>
      </w:r>
    </w:p>
    <w:p>
      <w:pPr>
        <w:spacing w:after="0" w:line="180" w:lineRule="exact"/>
        <w:rPr>
          <w:sz w:val="20"/>
          <w:szCs w:val="20"/>
          <w:color w:val="auto"/>
        </w:rPr>
      </w:pPr>
    </w:p>
    <w:p>
      <w:pPr>
        <w:ind w:right="120" w:firstLine="440"/>
        <w:spacing w:after="0" w:line="281" w:lineRule="auto"/>
        <w:rPr>
          <w:sz w:val="20"/>
          <w:szCs w:val="20"/>
          <w:color w:val="auto"/>
        </w:rPr>
      </w:pPr>
      <w:r>
        <w:rPr>
          <w:rFonts w:ascii="Arial" w:cs="Arial" w:eastAsia="Arial" w:hAnsi="Arial"/>
          <w:sz w:val="17"/>
          <w:szCs w:val="17"/>
          <w:b w:val="1"/>
          <w:bCs w:val="1"/>
          <w:color w:val="auto"/>
        </w:rPr>
        <w:t>Covenant to Deliver</w:t>
      </w:r>
      <w:r>
        <w:rPr>
          <w:rFonts w:ascii="Arial" w:cs="Arial" w:eastAsia="Arial" w:hAnsi="Arial"/>
          <w:sz w:val="17"/>
          <w:szCs w:val="17"/>
          <w:color w:val="auto"/>
        </w:rPr>
        <w:t>. Borrower agrees to deliver to Agent and each Lender each item required to be delivered to Agent and each Lender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as a condition precedent to any Credit Extension. Borrower expressly agrees that a Credit Extension made prior to the receipt by Agent and each Lender of any such item shall not constitute a waiver by Agent or Lenders of Borrower’s obligation to deliver such item, and the making of any Credit Extension in the absence of a required item shall be in each Lender’s sole discretion.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Procedures for Borrowing.</w:t>
      </w:r>
    </w:p>
    <w:p>
      <w:pPr>
        <w:spacing w:after="0" w:line="229" w:lineRule="exact"/>
        <w:rPr>
          <w:sz w:val="20"/>
          <w:szCs w:val="20"/>
          <w:color w:val="auto"/>
        </w:rPr>
      </w:pPr>
    </w:p>
    <w:p>
      <w:pPr>
        <w:ind w:firstLine="987"/>
        <w:spacing w:after="0" w:line="254" w:lineRule="auto"/>
        <w:tabs>
          <w:tab w:leader="none" w:pos="1391"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Term Loan Advances</w:t>
      </w:r>
      <w:r>
        <w:rPr>
          <w:rFonts w:ascii="Arial" w:cs="Arial" w:eastAsia="Arial" w:hAnsi="Arial"/>
          <w:sz w:val="18"/>
          <w:szCs w:val="18"/>
          <w:color w:val="auto"/>
        </w:rPr>
        <w:t>. Subject to the prior satisfaction of all other applicable conditions to the making of a Credit Extension set forth in this Agreement, to obtain a Credit Extension, Borrower shall notify Agent (which notice shall be irrevocable) by electronic mail, facsimile, or telephone by 12:00 p.m. Pacific time at least five (5) Business Days before the proposed Funding Date of such Credit Extension. Together with any such electronic or facsimile notification, Borrower shall deliver to Agent by electronic mail or facsimile a completed Disbursement Letter (and Payment/Advance Form) executed by an Authorized Signer. Agent may rely on any telephone notice given by a person whom Agent believes is an Authorized Signer. On the Funding Date, Agent shall credit the Credit Extensions to the Designated Deposit Account. Agent may make Credit Extensions under this Agreement based on instructions from an Authorized Signer or without instructions if the Credit Extensions are necessary to meet Obligations which have become due.</w:t>
      </w:r>
    </w:p>
    <w:p>
      <w:pPr>
        <w:spacing w:after="0" w:line="191" w:lineRule="exact"/>
        <w:rPr>
          <w:rFonts w:ascii="Arial" w:cs="Arial" w:eastAsia="Arial" w:hAnsi="Arial"/>
          <w:sz w:val="18"/>
          <w:szCs w:val="18"/>
          <w:color w:val="auto"/>
        </w:rPr>
      </w:pPr>
    </w:p>
    <w:p>
      <w:pPr>
        <w:ind w:right="120" w:firstLine="987"/>
        <w:spacing w:after="0" w:line="277" w:lineRule="auto"/>
        <w:tabs>
          <w:tab w:leader="none" w:pos="1571"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Funding</w:t>
      </w:r>
      <w:r>
        <w:rPr>
          <w:rFonts w:ascii="Arial" w:cs="Arial" w:eastAsia="Arial" w:hAnsi="Arial"/>
          <w:sz w:val="18"/>
          <w:szCs w:val="18"/>
          <w:color w:val="auto"/>
        </w:rPr>
        <w:t>. In determining compliance with any condition hereunder to the making of a Credit Extension that, by its terms, must be fulfilled to the satisfaction of a Lender, Agent may presume that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430" w:name="page431"/>
    <w:bookmarkEnd w:id="430"/>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 is satisfactory to such Lender unless Agent shall have received notice to the contrary from such Lender prior to the making of such Credit Extension. Unless Agent shall have been notified in writing by any Lender prior to the date of any Credit Extension, that such Lender will not make the amount that would constitute its share of such borrowing available to Agent, Agent may assume that such Lender is making such amount available to Agent, and Agent may, in reliance upon such assumption, make available to Borrower a corresponding amount. If such amount is not made available to Agent by the required time on the Funding Date therefor, such Lender shall pay to Agent, on demand, such amount with interest thereon, at a rate equal to the greater of (i) the Federal Funds Effective Rate or (ii) a rate determined by Agent in accordance with banking industry rules on interbank compensation, for the period until such Lender makes such amount immediately available to Agent. If such Lender’s share of such Credit Extension is not made available to Agent by such Lender within five (5) Business Days after such Funding Date, Agent shall also be entitled to recover such amount with interest thereon at the rate per annum applicable to the Term Loan Advances, on demand, from Borrower.</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CREATION OF SECURITY INTEREST</w:t>
      </w:r>
    </w:p>
    <w:p>
      <w:pPr>
        <w:spacing w:after="0" w:line="117" w:lineRule="exact"/>
        <w:rPr>
          <w:sz w:val="20"/>
          <w:szCs w:val="20"/>
          <w:color w:val="auto"/>
        </w:rPr>
      </w:pPr>
    </w:p>
    <w:p>
      <w:pPr>
        <w:jc w:val="both"/>
        <w:ind w:right="120" w:firstLine="440"/>
        <w:spacing w:after="0" w:line="303" w:lineRule="auto"/>
        <w:rPr>
          <w:sz w:val="20"/>
          <w:szCs w:val="20"/>
          <w:color w:val="auto"/>
        </w:rPr>
      </w:pPr>
      <w:r>
        <w:rPr>
          <w:rFonts w:ascii="Arial" w:cs="Arial" w:eastAsia="Arial" w:hAnsi="Arial"/>
          <w:sz w:val="16"/>
          <w:szCs w:val="16"/>
          <w:b w:val="1"/>
          <w:bCs w:val="1"/>
          <w:color w:val="auto"/>
        </w:rPr>
        <w:t>Grant of Security Interest</w:t>
      </w:r>
      <w:r>
        <w:rPr>
          <w:rFonts w:ascii="Arial" w:cs="Arial" w:eastAsia="Arial" w:hAnsi="Arial"/>
          <w:sz w:val="16"/>
          <w:szCs w:val="16"/>
          <w:color w:val="auto"/>
        </w:rPr>
        <w:t>. Borrower hereby grants Agent, for the ratable benefit of the Lenders, to secure the payment and performance in full</w:t>
      </w:r>
      <w:r>
        <w:rPr>
          <w:rFonts w:ascii="Arial" w:cs="Arial" w:eastAsia="Arial" w:hAnsi="Arial"/>
          <w:sz w:val="16"/>
          <w:szCs w:val="16"/>
          <w:b w:val="1"/>
          <w:bCs w:val="1"/>
          <w:color w:val="auto"/>
        </w:rPr>
        <w:t xml:space="preserve"> </w:t>
      </w:r>
      <w:r>
        <w:rPr>
          <w:rFonts w:ascii="Arial" w:cs="Arial" w:eastAsia="Arial" w:hAnsi="Arial"/>
          <w:sz w:val="16"/>
          <w:szCs w:val="16"/>
          <w:color w:val="auto"/>
        </w:rPr>
        <w:t>of all of the Obligations, a continuing security interest in, and pledges to Agent, for the ratable benefit of the Lenders, the Collateral, wherever located, whether now owned or hereafter acquired or arising, and all proceeds and products thereof. For clarity, any reference to “Agent’s Lien” or any granting of collateral to Agent in this Agreement or any Loan Document means the Lien granted to Agent for the ratable benefit of the Lenders.</w:t>
      </w:r>
    </w:p>
    <w:p>
      <w:pPr>
        <w:spacing w:after="0" w:line="15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Borrower acknowledges that it previously has entered, and/or may in the future enter, into Bank Services Agreements with SVB. Regardless of the terms of any Bank Services Agreement, Borrower agrees that any amounts Borrower owes SVB thereunder shall be deemed to be Obligations hereunder and that it is the intent of Borrower and SVB to have all such Obligations secured by the first priority perfected security interest in the Collateral granted herein, and by any and all other security agreements, mortgages or other collateral granted to Agent by Borrower and/or Guarantor as security for the Obligations, now or in the future. The Collateral may also be subject to Permitted Liens.</w:t>
      </w:r>
    </w:p>
    <w:p>
      <w:pPr>
        <w:spacing w:after="0" w:line="176"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If this Agreement is terminated, Agent’s Lien in the Collateral shall continue until the Obligations (other than inchoate indemnity obligations) are repaid in full in cash. Upon payment in full in cash of the Obligations (other than inchoate indemnity obligations) and at such time as the Lenders’ obligation to make Credit Extensions has terminated, Agent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Agent shall terminate the security interest granted herein upon Borrower providing to SVB cash collateral acceptable to SVB in its good faith business judgment for Bank Services, if any. In the event such Bank Services consist of outstanding Letters of Credit, Borrower shall provide to SVB cash collateral in an amount equal to (x) if such Letters of Credit are denominated in Dollars, then at least one hundred five percent (105.0%); and (y) if such Letters of Credit are denominated in a Foreign Currency, then at least one hundred ten percent (110.0%), of the Dollar Equivalent of the face amount of all such Letters of Credit plus, in each case, all interest, fees, and costs due or to become due in connection therewith (as estimated by SVB in its business judgment), to secure all of the Obligations relating to such Letters of Credit.</w:t>
      </w:r>
    </w:p>
    <w:p>
      <w:pPr>
        <w:spacing w:after="0" w:line="164"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Priority of Security Interest</w:t>
      </w:r>
      <w:r>
        <w:rPr>
          <w:rFonts w:ascii="Arial" w:cs="Arial" w:eastAsia="Arial" w:hAnsi="Arial"/>
          <w:sz w:val="18"/>
          <w:szCs w:val="18"/>
          <w:color w:val="auto"/>
        </w:rPr>
        <w:t>. Borrower represents, warrants, and covenants that the security interests granted herein are and shall at all times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be a first priority perfected security interests in the Collateral. The Collateral may also be subject to Permitted Liens. If Borrower shall acquire a commercial tort claim, Borrower shall promptly notify Agent in a writing signed by Borrower of the general details thereof and grant to Agent, for the ratable benefit of the Lenders, in such writing a security interest therein and in the proceeds thereof, all upon the terms of this Agreement, with such writing to be in form and substance reasonably satisfactory to Agent.</w:t>
      </w:r>
    </w:p>
    <w:p>
      <w:pPr>
        <w:spacing w:after="0" w:line="183"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Authorization to File Financing Statements</w:t>
      </w:r>
      <w:r>
        <w:rPr>
          <w:rFonts w:ascii="Arial" w:cs="Arial" w:eastAsia="Arial" w:hAnsi="Arial"/>
          <w:sz w:val="18"/>
          <w:szCs w:val="18"/>
          <w:color w:val="auto"/>
        </w:rPr>
        <w:t>. Borrower hereby authorizes Agent, on behalf of the Lenders, to file financing statements,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Borrower, with all appropriate jurisdictions to perfect or protect Agent’s and Lenders’ interest or rights hereunder, including a notice that any disposition of the Collateral, by Borrower or any other Person, shall be deemed to violate the rights of Agent under the Code. Such financing statements may indicate the Collateral as “all assets of the Debtor” or words of similar effect, or as being of an equal or lesser scope, or with greater detail, all in Agent’s discretion.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31" w:name="page432"/>
    <w:bookmarkEnd w:id="431"/>
    <w:p>
      <w:pPr>
        <w:ind w:left="4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REPRESENTATIONS AND WARRANTIES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Borrower represents and warrants as follows:</w:t>
      </w:r>
    </w:p>
    <w:p>
      <w:pPr>
        <w:spacing w:after="0" w:line="113"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Due Organization, Authorization; Power and Authority</w:t>
      </w:r>
      <w:r>
        <w:rPr>
          <w:rFonts w:ascii="Arial" w:cs="Arial" w:eastAsia="Arial" w:hAnsi="Arial"/>
          <w:sz w:val="16"/>
          <w:szCs w:val="16"/>
          <w:color w:val="auto"/>
        </w:rPr>
        <w:t>. Borrower is duly existing, incorporated and in good standing in its jurisdiction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formation or incorporation and (to the extent applicable) in good standing as a Registered Organization (as applicable) in its jurisdiction of formation or incorporation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each Borrower has delivered to Agent and each Lender a completed certificate signed by Borrower and Guarantor, entitled “Perfection Certificate” (the “</w:t>
      </w:r>
      <w:r>
        <w:rPr>
          <w:rFonts w:ascii="Arial" w:cs="Arial" w:eastAsia="Arial" w:hAnsi="Arial"/>
          <w:sz w:val="16"/>
          <w:szCs w:val="16"/>
          <w:b w:val="1"/>
          <w:bCs w:val="1"/>
          <w:color w:val="auto"/>
        </w:rPr>
        <w:t>Perfection Certificate</w:t>
      </w:r>
      <w:r>
        <w:rPr>
          <w:rFonts w:ascii="Arial" w:cs="Arial" w:eastAsia="Arial" w:hAnsi="Arial"/>
          <w:sz w:val="16"/>
          <w:szCs w:val="16"/>
          <w:color w:val="auto"/>
        </w:rPr>
        <w:t>”). Borrower represents and warrants to Agent and each Lender that (a) Borrower’s exact legal name is that indicated on the Perfection Certificate and on the signature page hereof; (b) Borrower is an organization of the type and is organized or incorporated in the jurisdiction set forth in the Perfection Certificate; (c) the Perfection Certificate accurately sets forth Borrower’s organizational identification or registration number or accurately states that Borrower has none; (d) the Perfection Certificate accurately sets forth Borrower’s registered office (if applicable), or, if more than one, its chief executive office as well as Borrower’s mailing address (if different than its chief executive office); (e) Borrower (and each of its predecessors) has not, in the past five (5) years, changed its jurisdiction of formation or incorporation, organizational structure or type, or any organizational number assigned by its jurisdiction; and (f) all other information set forth on the Perfection Certificate pertaining to Borrower and each of its Subsidiaries is accurate and complete (it being understood and agreed that Borrower may from time to time update certain information in the Perfection Certificate after the Effective Date to the extent permitted by one or more specific provisions in this Agreement and that the Perfection Certificate shall be deemed to be updated to reflect the incorporation of any information disclosed by Borrower to Agent in writing pursuant to Section 7.2 hereof). If Borrower is not now a Registered Organization but later becomes one, Borrower shall promptly notify Agent of such occurrence and provide Agent with Borrower’s organizational identification or registration number.</w:t>
      </w:r>
    </w:p>
    <w:p>
      <w:pPr>
        <w:spacing w:after="0" w:line="178"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color w:val="auto"/>
        </w:rPr>
        <w:t>The execution, delivery and performance by Borrower of the Loan Documents to which it is a party have been duly authorized by Borrower, and do not (i) conflict with any of Borrower’s Operating Documents or organizational/constitutional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on the part of Borrower (except such Governmental Approvals which have already been obtained and are in full force and effect, filings and registrations contemplated by this Agreement),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62" w:lineRule="exact"/>
        <w:rPr>
          <w:sz w:val="20"/>
          <w:szCs w:val="20"/>
          <w:color w:val="auto"/>
        </w:rPr>
      </w:pPr>
    </w:p>
    <w:p>
      <w:pPr>
        <w:ind w:right="60" w:firstLine="440"/>
        <w:spacing w:after="0" w:line="256" w:lineRule="auto"/>
        <w:rPr>
          <w:sz w:val="20"/>
          <w:szCs w:val="20"/>
          <w:color w:val="auto"/>
        </w:rPr>
      </w:pPr>
      <w:r>
        <w:rPr>
          <w:rFonts w:ascii="Arial" w:cs="Arial" w:eastAsia="Arial" w:hAnsi="Arial"/>
          <w:sz w:val="18"/>
          <w:szCs w:val="18"/>
          <w:b w:val="1"/>
          <w:bCs w:val="1"/>
          <w:color w:val="auto"/>
        </w:rPr>
        <w:t>Collateral</w:t>
      </w:r>
      <w:r>
        <w:rPr>
          <w:rFonts w:ascii="Arial" w:cs="Arial" w:eastAsia="Arial" w:hAnsi="Arial"/>
          <w:sz w:val="18"/>
          <w:szCs w:val="18"/>
          <w:color w:val="auto"/>
        </w:rPr>
        <w:t>. Borrower has good title to, rights in, and the power to transfer each item of the Collateral upon which it purports to grant a Lien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other Loan Documents, free and clear of any and all Liens except Permitted Liens. Borrower has no Collateral Accounts at or with any bank or financial institution other than SVB or SVB’s Affiliates except for the Collateral Accounts described in the Perfection Certificate delivered to Agent and each Lender in connection herewith and which Borrower has given Agent notice and taken such actions as are necessary to give Agent, for the ratable benefit of the Lenders, a perfected security interest therein, pursuant to the terms of Section 6.6(b). The Accounts are bona fide, existing obligations of the Account Debtors.</w:t>
      </w:r>
    </w:p>
    <w:p>
      <w:pPr>
        <w:spacing w:after="0" w:line="19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Collateral is not in the possession of any third party bailee (such as a warehouse) except as otherwise provided in the Perfection Certificate or as permitted pursuant to Section 7.2. None of the components of the Collateral shall be maintained at locations other than as provided in the Perfection Certificate or as permitted pursuant to Section 7.2.</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Inventory is in all material respects of good and marketable quality, free from material defects.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432" w:name="page433"/>
    <w:bookmarkEnd w:id="432"/>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is the sole owner of the Intellectual Property which it owns or purports to own except for (a) non-exclusive licenses granted to its customers in the ordinary course of business, (b) over-the-counter software that is commercially available to the public, and (c) material Intellectual Property licensed to Borrower and noted on the Perfection Certificate.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noted on the Perfection Certificate, Borrower is not a party to, nor is bound by, any Restricted License.</w:t>
      </w:r>
    </w:p>
    <w:p>
      <w:pPr>
        <w:spacing w:after="0" w:line="221" w:lineRule="exact"/>
        <w:rPr>
          <w:sz w:val="20"/>
          <w:szCs w:val="20"/>
          <w:color w:val="auto"/>
        </w:rPr>
      </w:pPr>
    </w:p>
    <w:p>
      <w:pPr>
        <w:ind w:right="480" w:firstLine="440"/>
        <w:spacing w:after="0" w:line="347"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 There are no actions or proceedings pending or, to the knowledge of any Responsible Officer, threatened in writing by or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or any of its Subsidiaries involving more than, individually or in the aggregate, Two Hundred Fifty Thousand Dollars ($250,000.00).</w:t>
      </w:r>
    </w:p>
    <w:p>
      <w:pPr>
        <w:spacing w:after="0" w:line="116" w:lineRule="exact"/>
        <w:rPr>
          <w:sz w:val="20"/>
          <w:szCs w:val="20"/>
          <w:color w:val="auto"/>
        </w:rPr>
      </w:pPr>
    </w:p>
    <w:p>
      <w:pPr>
        <w:ind w:right="160" w:firstLine="440"/>
        <w:spacing w:after="0" w:line="258" w:lineRule="auto"/>
        <w:rPr>
          <w:sz w:val="20"/>
          <w:szCs w:val="20"/>
          <w:color w:val="auto"/>
        </w:rPr>
      </w:pPr>
      <w:r>
        <w:rPr>
          <w:rFonts w:ascii="Arial" w:cs="Arial" w:eastAsia="Arial" w:hAnsi="Arial"/>
          <w:sz w:val="18"/>
          <w:szCs w:val="18"/>
          <w:b w:val="1"/>
          <w:bCs w:val="1"/>
          <w:color w:val="auto"/>
        </w:rPr>
        <w:t>Financial Statements; Financial Condition</w:t>
      </w:r>
      <w:r>
        <w:rPr>
          <w:rFonts w:ascii="Arial" w:cs="Arial" w:eastAsia="Arial" w:hAnsi="Arial"/>
          <w:sz w:val="18"/>
          <w:szCs w:val="18"/>
          <w:color w:val="auto"/>
        </w:rPr>
        <w:t>. All consolidated and consolidating financial statements for ALX Ireland and its direct and indirect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delivered to Agent and the Lenders fairly present in all material respects ALX Ireland’s and its direct and indirect Subsidiaries’ consolidated financial condition and each such entity’s consolidated results of operations. There has not been any material deterioration in ALX Ireland’s and its direct and indirect Subsidiaries’ consolidated financial condition since the date of the most recent financial statements submitted to Agent and the Lenders.</w:t>
      </w:r>
    </w:p>
    <w:p>
      <w:pPr>
        <w:spacing w:after="0" w:line="183"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Solvency</w:t>
      </w:r>
      <w:r>
        <w:rPr>
          <w:rFonts w:ascii="Arial" w:cs="Arial" w:eastAsia="Arial" w:hAnsi="Arial"/>
          <w:sz w:val="18"/>
          <w:szCs w:val="18"/>
          <w:color w:val="auto"/>
        </w:rPr>
        <w:t>. The fair salable value of Borrower’s consolidated assets (including goodwill minus disposition costs) exceeds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liabilities; Borrower is not left with unreasonably small capital after the transactions in this Agreement; and Borrower is able to pay its debts (including trade debts) as they mature/fall due.</w:t>
      </w:r>
    </w:p>
    <w:p>
      <w:pPr>
        <w:spacing w:after="0" w:line="176"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b w:val="1"/>
          <w:bCs w:val="1"/>
          <w:color w:val="auto"/>
        </w:rPr>
        <w:t>Regulatory Compliance</w:t>
      </w:r>
      <w:r>
        <w:rPr>
          <w:rFonts w:ascii="Arial" w:cs="Arial" w:eastAsia="Arial" w:hAnsi="Arial"/>
          <w:sz w:val="16"/>
          <w:szCs w:val="16"/>
          <w:color w:val="auto"/>
        </w:rPr>
        <w:t>. Borrower is not an “investment company” or a company “controlled” by an “investment company”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 or, to Borrower’s knowledge, by previous Persons, in disposing, producing, storing, treating, or transporting any hazardous substance other than in compliance with all applicable laws. Borrower and each of its Subsidiaries have obtained all consents, approvals and authorizations of, made all declarations or filings with, and given all notices to, all Governmental Authorities that are necessary to continue their respective businesses as currently conducted, except where the failure to do so would not reasonably be expected to have a material adverse effect on Borrower’s business.</w:t>
      </w:r>
    </w:p>
    <w:p>
      <w:pPr>
        <w:spacing w:after="0" w:line="166"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Subsidiaries; Investments</w:t>
      </w:r>
      <w:r>
        <w:rPr>
          <w:rFonts w:ascii="Arial" w:cs="Arial" w:eastAsia="Arial" w:hAnsi="Arial"/>
          <w:sz w:val="18"/>
          <w:szCs w:val="18"/>
          <w:color w:val="auto"/>
        </w:rPr>
        <w:t>. Borrower does not own any stock, partnership, or other ownership interest or other equity securities or shares except</w:t>
      </w:r>
      <w:r>
        <w:rPr>
          <w:rFonts w:ascii="Arial" w:cs="Arial" w:eastAsia="Arial" w:hAnsi="Arial"/>
          <w:sz w:val="18"/>
          <w:szCs w:val="18"/>
          <w:b w:val="1"/>
          <w:bCs w:val="1"/>
          <w:color w:val="auto"/>
        </w:rPr>
        <w:t xml:space="preserve"> </w:t>
      </w:r>
      <w:r>
        <w:rPr>
          <w:rFonts w:ascii="Arial" w:cs="Arial" w:eastAsia="Arial" w:hAnsi="Arial"/>
          <w:sz w:val="18"/>
          <w:szCs w:val="18"/>
          <w:color w:val="auto"/>
        </w:rPr>
        <w:t>for Permitted Investments.</w:t>
      </w:r>
    </w:p>
    <w:p>
      <w:pPr>
        <w:spacing w:after="0" w:line="162" w:lineRule="exact"/>
        <w:rPr>
          <w:sz w:val="20"/>
          <w:szCs w:val="20"/>
          <w:color w:val="auto"/>
        </w:rPr>
      </w:pPr>
    </w:p>
    <w:p>
      <w:pPr>
        <w:ind w:right="60" w:firstLine="440"/>
        <w:spacing w:after="0" w:line="277" w:lineRule="auto"/>
        <w:rPr>
          <w:sz w:val="20"/>
          <w:szCs w:val="20"/>
          <w:color w:val="auto"/>
        </w:rPr>
      </w:pPr>
      <w:r>
        <w:rPr>
          <w:rFonts w:ascii="Arial" w:cs="Arial" w:eastAsia="Arial" w:hAnsi="Arial"/>
          <w:sz w:val="17"/>
          <w:szCs w:val="17"/>
          <w:b w:val="1"/>
          <w:bCs w:val="1"/>
          <w:color w:val="auto"/>
        </w:rPr>
        <w:t>Tax Returns and Payments; Pension Contributions</w:t>
      </w:r>
      <w:r>
        <w:rPr>
          <w:rFonts w:ascii="Arial" w:cs="Arial" w:eastAsia="Arial" w:hAnsi="Arial"/>
          <w:sz w:val="17"/>
          <w:szCs w:val="17"/>
          <w:color w:val="auto"/>
        </w:rPr>
        <w:t>. Borrower has timely filed all required tax returns and reports, and Borrower has timely</w:t>
      </w:r>
      <w:r>
        <w:rPr>
          <w:rFonts w:ascii="Arial" w:cs="Arial" w:eastAsia="Arial" w:hAnsi="Arial"/>
          <w:sz w:val="17"/>
          <w:szCs w:val="17"/>
          <w:b w:val="1"/>
          <w:bCs w:val="1"/>
          <w:color w:val="auto"/>
        </w:rPr>
        <w:t xml:space="preserve"> </w:t>
      </w:r>
      <w:r>
        <w:rPr>
          <w:rFonts w:ascii="Arial" w:cs="Arial" w:eastAsia="Arial" w:hAnsi="Arial"/>
          <w:sz w:val="17"/>
          <w:szCs w:val="17"/>
          <w:color w:val="auto"/>
        </w:rPr>
        <w:t>paid all national,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Fifty Thousand Dollars ($50,000.00).</w:t>
      </w:r>
    </w:p>
    <w:p>
      <w:pPr>
        <w:spacing w:after="0" w:line="172"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To the extent Borrower defers payment of any contested taxes, Borrower shall (i) notify Agent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in excess of Fifty Thousand Dollars ($50,000.00). Borrower has paid all amounts necessary to fund all present pension, profit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433" w:name="page434"/>
    <w:bookmarkEnd w:id="43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sharing and deferred compensation plans of Borrower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83"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Use of Proceeds</w:t>
      </w:r>
      <w:r>
        <w:rPr>
          <w:rFonts w:ascii="Arial" w:cs="Arial" w:eastAsia="Arial" w:hAnsi="Arial"/>
          <w:sz w:val="18"/>
          <w:szCs w:val="18"/>
          <w:color w:val="auto"/>
        </w:rPr>
        <w:t>. Borrower shall use the proceeds of the Credit Extensions as working capital and to fund its general business requirements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not for personal, family, household or agricultural purposes or for any purpose which would be prohibited under sections 82 or 239 of the Irish Companies Act 2014.</w:t>
      </w:r>
    </w:p>
    <w:p>
      <w:pPr>
        <w:spacing w:after="0" w:line="17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b w:val="1"/>
          <w:bCs w:val="1"/>
          <w:color w:val="auto"/>
        </w:rPr>
        <w:t>Full Disclosure</w:t>
      </w:r>
      <w:r>
        <w:rPr>
          <w:rFonts w:ascii="Arial" w:cs="Arial" w:eastAsia="Arial" w:hAnsi="Arial"/>
          <w:sz w:val="18"/>
          <w:szCs w:val="18"/>
          <w:color w:val="auto"/>
        </w:rPr>
        <w:t>. No written representation, warranty or other statement of Borrower in any certificate or written statement given to Agent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Lender in connection with the Loan Documents, or the transactions contemplated thereby, as of the date such representation, warranty, or other statement was made, taken together with all such written certificates and written statements given to Agent or any Lender, contains any untrue statement of a material fact or omits to state a material fact necessary to make the statements contained in the certificates or statements not misleading (it being recognized by Agent and each Lender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89"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 xml:space="preserve">Definition of “Knowledge.” </w:t>
      </w:r>
      <w:r>
        <w:rPr>
          <w:rFonts w:ascii="Arial" w:cs="Arial" w:eastAsia="Arial" w:hAnsi="Arial"/>
          <w:sz w:val="18"/>
          <w:szCs w:val="18"/>
          <w:color w:val="auto"/>
        </w:rPr>
        <w:t>For purposes of the Loan Documents, whenever a representation or warranty is made to Borrower’s knowledge or</w:t>
      </w:r>
      <w:r>
        <w:rPr>
          <w:rFonts w:ascii="Arial" w:cs="Arial" w:eastAsia="Arial" w:hAnsi="Arial"/>
          <w:sz w:val="18"/>
          <w:szCs w:val="18"/>
          <w:b w:val="1"/>
          <w:bCs w:val="1"/>
          <w:color w:val="auto"/>
        </w:rPr>
        <w:t xml:space="preserve"> </w:t>
      </w:r>
      <w:r>
        <w:rPr>
          <w:rFonts w:ascii="Arial" w:cs="Arial" w:eastAsia="Arial" w:hAnsi="Arial"/>
          <w:sz w:val="18"/>
          <w:szCs w:val="18"/>
          <w:color w:val="auto"/>
        </w:rPr>
        <w:t>awareness, to the “best of” Borrower’s knowledge, or with a similar qualification, knowledge or awareness means the actual knowledge, after reasonable investigation, of any Responsible Officer.</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AFFIRMATIVE COVENANTS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Borrower shall do all of the following:</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Government Compliance.</w:t>
      </w:r>
    </w:p>
    <w:p>
      <w:pPr>
        <w:spacing w:after="0" w:line="229" w:lineRule="exact"/>
        <w:rPr>
          <w:sz w:val="20"/>
          <w:szCs w:val="20"/>
          <w:color w:val="auto"/>
        </w:rPr>
      </w:pPr>
    </w:p>
    <w:p>
      <w:pPr>
        <w:ind w:right="240" w:firstLine="987"/>
        <w:spacing w:after="0" w:line="259" w:lineRule="auto"/>
        <w:tabs>
          <w:tab w:leader="none" w:pos="1471" w:val="left"/>
        </w:tabs>
        <w:numPr>
          <w:ilvl w:val="0"/>
          <w:numId w:val="377"/>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w:t>
      </w:r>
    </w:p>
    <w:p>
      <w:pPr>
        <w:spacing w:after="0" w:line="186" w:lineRule="exact"/>
        <w:rPr>
          <w:rFonts w:ascii="Arial" w:cs="Arial" w:eastAsia="Arial" w:hAnsi="Arial"/>
          <w:sz w:val="18"/>
          <w:szCs w:val="18"/>
          <w:color w:val="auto"/>
        </w:rPr>
      </w:pPr>
    </w:p>
    <w:p>
      <w:pPr>
        <w:ind w:right="60" w:firstLine="987"/>
        <w:spacing w:after="0" w:line="263" w:lineRule="auto"/>
        <w:tabs>
          <w:tab w:leader="none" w:pos="1471" w:val="left"/>
        </w:tabs>
        <w:numPr>
          <w:ilvl w:val="0"/>
          <w:numId w:val="377"/>
        </w:numPr>
        <w:rPr>
          <w:rFonts w:ascii="Arial" w:cs="Arial" w:eastAsia="Arial" w:hAnsi="Arial"/>
          <w:sz w:val="18"/>
          <w:szCs w:val="18"/>
          <w:color w:val="auto"/>
        </w:rPr>
      </w:pPr>
      <w:r>
        <w:rPr>
          <w:rFonts w:ascii="Arial" w:cs="Arial" w:eastAsia="Arial" w:hAnsi="Arial"/>
          <w:sz w:val="18"/>
          <w:szCs w:val="18"/>
          <w:color w:val="auto"/>
        </w:rPr>
        <w:t>Obtain all of the Governmental Approvals necessary for the performance by Borrower of its obligations under the Loan Documents to which it is a party and the grant of a security interest to Agent, for the ratable benefit of the Lenders, in the Collateral. Subject to the prior sentence hereof, Borrower shall promptly provide copies of any such obtained Governmental Approvals to Agent.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Financial Statements, Reports, Certificates</w:t>
      </w:r>
      <w:r>
        <w:rPr>
          <w:rFonts w:ascii="Arial" w:cs="Arial" w:eastAsia="Arial" w:hAnsi="Arial"/>
          <w:sz w:val="18"/>
          <w:szCs w:val="18"/>
          <w:color w:val="auto"/>
        </w:rPr>
        <w:t>. Provide Agent and each Lender with the following:</w:t>
      </w:r>
    </w:p>
    <w:p>
      <w:pPr>
        <w:spacing w:after="0" w:line="121" w:lineRule="exact"/>
        <w:rPr>
          <w:sz w:val="20"/>
          <w:szCs w:val="20"/>
          <w:color w:val="auto"/>
        </w:rPr>
      </w:pPr>
    </w:p>
    <w:p>
      <w:pPr>
        <w:ind w:right="140" w:firstLine="987"/>
        <w:spacing w:after="0" w:line="259" w:lineRule="auto"/>
        <w:tabs>
          <w:tab w:leader="none" w:pos="1471"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Monthly Financial Statements</w:t>
      </w:r>
      <w:r>
        <w:rPr>
          <w:rFonts w:ascii="Arial" w:cs="Arial" w:eastAsia="Arial" w:hAnsi="Arial"/>
          <w:sz w:val="18"/>
          <w:szCs w:val="18"/>
          <w:color w:val="auto"/>
        </w:rPr>
        <w:t>. As soon as available, but no later than thirty (30) days after the last day of each month, company prepared consolidated and consolidating balance sheet and income statement covering ALX Ireland’s and its direct and indirect Subsidiaries’ consolidated operations for such month certified by a Responsible Officer and in a form of presentation reasonably acceptable to Agent (the “</w:t>
      </w:r>
      <w:r>
        <w:rPr>
          <w:rFonts w:ascii="Arial" w:cs="Arial" w:eastAsia="Arial" w:hAnsi="Arial"/>
          <w:sz w:val="18"/>
          <w:szCs w:val="18"/>
          <w:b w:val="1"/>
          <w:bCs w:val="1"/>
          <w:color w:val="auto"/>
        </w:rPr>
        <w:t>Monthly</w:t>
      </w:r>
      <w:r>
        <w:rPr>
          <w:rFonts w:ascii="Arial" w:cs="Arial" w:eastAsia="Arial" w:hAnsi="Arial"/>
          <w:sz w:val="18"/>
          <w:szCs w:val="18"/>
          <w:color w:val="auto"/>
        </w:rPr>
        <w:t xml:space="preserve"> </w:t>
      </w:r>
      <w:r>
        <w:rPr>
          <w:rFonts w:ascii="Arial" w:cs="Arial" w:eastAsia="Arial" w:hAnsi="Arial"/>
          <w:sz w:val="18"/>
          <w:szCs w:val="18"/>
          <w:b w:val="1"/>
          <w:bCs w:val="1"/>
          <w:color w:val="auto"/>
        </w:rPr>
        <w:t>Financial Statements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00" w:firstLine="987"/>
        <w:spacing w:after="0" w:line="279" w:lineRule="auto"/>
        <w:tabs>
          <w:tab w:leader="none" w:pos="1471" w:val="left"/>
        </w:tabs>
        <w:numPr>
          <w:ilvl w:val="0"/>
          <w:numId w:val="378"/>
        </w:numPr>
        <w:rPr>
          <w:rFonts w:ascii="Arial" w:cs="Arial" w:eastAsia="Arial" w:hAnsi="Arial"/>
          <w:sz w:val="17"/>
          <w:szCs w:val="17"/>
          <w:color w:val="auto"/>
        </w:rPr>
      </w:pPr>
      <w:r>
        <w:rPr>
          <w:rFonts w:ascii="Arial" w:cs="Arial" w:eastAsia="Arial" w:hAnsi="Arial"/>
          <w:sz w:val="17"/>
          <w:szCs w:val="17"/>
          <w:u w:val="single" w:color="auto"/>
          <w:color w:val="auto"/>
        </w:rPr>
        <w:t>Monthly Compliance Certificate</w:t>
      </w:r>
      <w:r>
        <w:rPr>
          <w:rFonts w:ascii="Arial" w:cs="Arial" w:eastAsia="Arial" w:hAnsi="Arial"/>
          <w:sz w:val="17"/>
          <w:szCs w:val="17"/>
          <w:color w:val="auto"/>
        </w:rPr>
        <w:t>. Within thirty (30) days after the last day of each month and together with the Monthly Financial Statements, a duly completed Compliance Certificate signed by a Responsible Officer, certifying that as of the end of such month, Borrower was in full compliance with all of the terms and conditions of this Agreement, and setting forth calculations showing compliance with the financial covenants (if any) set forth in this Agreement and such other information as Agent or the Lenders may reasonably request;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34" w:name="page435"/>
    <w:bookmarkEnd w:id="434"/>
    <w:p>
      <w:pPr>
        <w:ind w:left="4" w:right="20" w:firstLine="987"/>
        <w:spacing w:after="0" w:line="259" w:lineRule="auto"/>
        <w:tabs>
          <w:tab w:leader="none" w:pos="1415" w:val="left"/>
        </w:tabs>
        <w:numPr>
          <w:ilvl w:val="1"/>
          <w:numId w:val="3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Board Projections</w:t>
      </w:r>
      <w:r>
        <w:rPr>
          <w:rFonts w:ascii="Arial" w:cs="Arial" w:eastAsia="Arial" w:hAnsi="Arial"/>
          <w:sz w:val="18"/>
          <w:szCs w:val="18"/>
          <w:color w:val="auto"/>
        </w:rPr>
        <w:t>. As soon as available, at least annually, and in any event no later than the earlier to occur of (i) sixty (60) days after the end of each fiscal year of ALX Ireland and (ii) ten (10) days after Board approval, and contemporaneously with any updates or changes thereto, annual Board-approved operating budget and financial projections with respect to ALX Ireland and its direct and indirect Subsidiaries, in a form of presentation reasonably acceptable to Agent;</w:t>
      </w:r>
    </w:p>
    <w:p>
      <w:pPr>
        <w:spacing w:after="0" w:line="186" w:lineRule="exact"/>
        <w:rPr>
          <w:rFonts w:ascii="Arial" w:cs="Arial" w:eastAsia="Arial" w:hAnsi="Arial"/>
          <w:sz w:val="18"/>
          <w:szCs w:val="18"/>
          <w:color w:val="auto"/>
        </w:rPr>
      </w:pPr>
    </w:p>
    <w:p>
      <w:pPr>
        <w:ind w:left="4" w:firstLine="987"/>
        <w:spacing w:after="0" w:line="273" w:lineRule="auto"/>
        <w:tabs>
          <w:tab w:leader="none" w:pos="1435" w:val="left"/>
        </w:tabs>
        <w:numPr>
          <w:ilvl w:val="1"/>
          <w:numId w:val="379"/>
        </w:numPr>
        <w:rPr>
          <w:rFonts w:ascii="Arial" w:cs="Arial" w:eastAsia="Arial" w:hAnsi="Arial"/>
          <w:sz w:val="17"/>
          <w:szCs w:val="17"/>
          <w:color w:val="auto"/>
        </w:rPr>
      </w:pPr>
      <w:r>
        <w:rPr>
          <w:rFonts w:ascii="Arial" w:cs="Arial" w:eastAsia="Arial" w:hAnsi="Arial"/>
          <w:sz w:val="17"/>
          <w:szCs w:val="17"/>
          <w:u w:val="single" w:color="auto"/>
          <w:color w:val="auto"/>
        </w:rPr>
        <w:t>Annual Audited Financial Statements</w:t>
      </w:r>
      <w:r>
        <w:rPr>
          <w:rFonts w:ascii="Arial" w:cs="Arial" w:eastAsia="Arial" w:hAnsi="Arial"/>
          <w:sz w:val="17"/>
          <w:szCs w:val="17"/>
          <w:color w:val="auto"/>
        </w:rPr>
        <w:t>. As soon as available, but no later than October 31</w:t>
      </w:r>
      <w:r>
        <w:rPr>
          <w:rFonts w:ascii="Arial" w:cs="Arial" w:eastAsia="Arial" w:hAnsi="Arial"/>
          <w:sz w:val="14"/>
          <w:szCs w:val="14"/>
          <w:color w:val="auto"/>
        </w:rPr>
        <w:t>st</w:t>
      </w:r>
      <w:r>
        <w:rPr>
          <w:rFonts w:ascii="Arial" w:cs="Arial" w:eastAsia="Arial" w:hAnsi="Arial"/>
          <w:sz w:val="17"/>
          <w:szCs w:val="17"/>
          <w:color w:val="auto"/>
        </w:rPr>
        <w:t xml:space="preserve"> of each year, beginning with ALX Ireland’s fiscal year ending December 31, 2019, audited consolidated financial statements prepared under GAAP, consistently applied, together with an unqualified opinion (other than a qualification as to going concern typical for venture backed companies similar to ALX Ireland) on the financial statements from an independent certified public accounting firm reasonably acceptable to Agent. Notwithstanding the foregoing, if the Board determines in its reasonable discretion not to require an audit for any fiscal year of ALX Ireland, then Agent shall accept company prepared annual consolidated financial statements no later than thirty (30) days after the end of such fiscal year of ALX Ireland;</w:t>
      </w:r>
    </w:p>
    <w:p>
      <w:pPr>
        <w:spacing w:after="0" w:line="177" w:lineRule="exact"/>
        <w:rPr>
          <w:rFonts w:ascii="Arial" w:cs="Arial" w:eastAsia="Arial" w:hAnsi="Arial"/>
          <w:sz w:val="17"/>
          <w:szCs w:val="17"/>
          <w:color w:val="auto"/>
        </w:rPr>
      </w:pPr>
    </w:p>
    <w:p>
      <w:pPr>
        <w:ind w:left="4" w:right="380" w:firstLine="987"/>
        <w:spacing w:after="0" w:line="277" w:lineRule="auto"/>
        <w:tabs>
          <w:tab w:leader="none" w:pos="1395" w:val="left"/>
        </w:tabs>
        <w:numPr>
          <w:ilvl w:val="1"/>
          <w:numId w:val="379"/>
        </w:numPr>
        <w:rPr>
          <w:rFonts w:ascii="Arial" w:cs="Arial" w:eastAsia="Arial" w:hAnsi="Arial"/>
          <w:sz w:val="18"/>
          <w:szCs w:val="18"/>
          <w:color w:val="auto"/>
        </w:rPr>
      </w:pPr>
      <w:r>
        <w:rPr>
          <w:rFonts w:ascii="Arial" w:cs="Arial" w:eastAsia="Arial" w:hAnsi="Arial"/>
          <w:sz w:val="18"/>
          <w:szCs w:val="18"/>
          <w:u w:val="single" w:color="auto"/>
          <w:color w:val="auto"/>
        </w:rPr>
        <w:t>Other Statements</w:t>
      </w:r>
      <w:r>
        <w:rPr>
          <w:rFonts w:ascii="Arial" w:cs="Arial" w:eastAsia="Arial" w:hAnsi="Arial"/>
          <w:sz w:val="18"/>
          <w:szCs w:val="18"/>
          <w:color w:val="auto"/>
        </w:rPr>
        <w:t>. Within five (5) days of delivery, copies of all statements, reports and notices made available to ALX Ireland’s security holders (in their capacity as such) or to any holders of Subordinated Debt (in their capacity as such);</w:t>
      </w:r>
    </w:p>
    <w:p>
      <w:pPr>
        <w:spacing w:after="0" w:line="170" w:lineRule="exact"/>
        <w:rPr>
          <w:rFonts w:ascii="Arial" w:cs="Arial" w:eastAsia="Arial" w:hAnsi="Arial"/>
          <w:sz w:val="18"/>
          <w:szCs w:val="18"/>
          <w:color w:val="auto"/>
        </w:rPr>
      </w:pPr>
    </w:p>
    <w:p>
      <w:pPr>
        <w:ind w:left="1464" w:hanging="473"/>
        <w:spacing w:after="0"/>
        <w:tabs>
          <w:tab w:leader="none" w:pos="1464" w:val="left"/>
        </w:tabs>
        <w:numPr>
          <w:ilvl w:val="1"/>
          <w:numId w:val="379"/>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In the event that ALX Ireland becomes subject to the reporting requirements under the Exchange Act, within five</w:t>
      </w:r>
    </w:p>
    <w:p>
      <w:pPr>
        <w:spacing w:after="0" w:line="34" w:lineRule="exact"/>
        <w:rPr>
          <w:rFonts w:ascii="Arial" w:cs="Arial" w:eastAsia="Arial" w:hAnsi="Arial"/>
          <w:sz w:val="17"/>
          <w:szCs w:val="17"/>
          <w:color w:val="auto"/>
        </w:rPr>
      </w:pPr>
    </w:p>
    <w:p>
      <w:pPr>
        <w:ind w:left="4" w:right="80" w:hanging="4"/>
        <w:spacing w:after="0" w:line="290" w:lineRule="auto"/>
        <w:tabs>
          <w:tab w:leader="none" w:pos="259" w:val="left"/>
        </w:tabs>
        <w:numPr>
          <w:ilvl w:val="0"/>
          <w:numId w:val="380"/>
        </w:numPr>
        <w:rPr>
          <w:rFonts w:ascii="Arial" w:cs="Arial" w:eastAsia="Arial" w:hAnsi="Arial"/>
          <w:sz w:val="16"/>
          <w:szCs w:val="16"/>
          <w:color w:val="auto"/>
        </w:rPr>
      </w:pPr>
      <w:r>
        <w:rPr>
          <w:rFonts w:ascii="Arial" w:cs="Arial" w:eastAsia="Arial" w:hAnsi="Arial"/>
          <w:sz w:val="16"/>
          <w:szCs w:val="16"/>
          <w:color w:val="auto"/>
        </w:rPr>
        <w:t>days of filing, copies of all periodic and other reports, proxy statements and other materials filed by ALX Ireland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ALX Ireland posts such documents, or provides a link thereto, on ALX Ireland’s website on the internet at ALX Ireland’s website address; provided, however, Borrower shall promptly notify Agent and the Lenders in writing (which may be by electronic mail) of the posting of any such documents;</w:t>
      </w:r>
    </w:p>
    <w:p>
      <w:pPr>
        <w:spacing w:after="0" w:line="163" w:lineRule="exact"/>
        <w:rPr>
          <w:rFonts w:ascii="Arial" w:cs="Arial" w:eastAsia="Arial" w:hAnsi="Arial"/>
          <w:sz w:val="16"/>
          <w:szCs w:val="16"/>
          <w:color w:val="auto"/>
        </w:rPr>
      </w:pPr>
    </w:p>
    <w:p>
      <w:pPr>
        <w:ind w:left="4" w:right="220" w:firstLine="987"/>
        <w:spacing w:after="0" w:line="263" w:lineRule="auto"/>
        <w:tabs>
          <w:tab w:leader="none" w:pos="1475" w:val="left"/>
        </w:tabs>
        <w:numPr>
          <w:ilvl w:val="1"/>
          <w:numId w:val="380"/>
        </w:numPr>
        <w:rPr>
          <w:rFonts w:ascii="Arial" w:cs="Arial" w:eastAsia="Arial" w:hAnsi="Arial"/>
          <w:sz w:val="18"/>
          <w:szCs w:val="18"/>
          <w:color w:val="auto"/>
        </w:rPr>
      </w:pPr>
      <w:r>
        <w:rPr>
          <w:rFonts w:ascii="Arial" w:cs="Arial" w:eastAsia="Arial" w:hAnsi="Arial"/>
          <w:sz w:val="18"/>
          <w:szCs w:val="18"/>
          <w:u w:val="single" w:color="auto"/>
          <w:color w:val="auto"/>
        </w:rPr>
        <w:t>Legal Action Notice</w:t>
      </w:r>
      <w:r>
        <w:rPr>
          <w:rFonts w:ascii="Arial" w:cs="Arial" w:eastAsia="Arial" w:hAnsi="Arial"/>
          <w:sz w:val="18"/>
          <w:szCs w:val="18"/>
          <w:color w:val="auto"/>
        </w:rPr>
        <w:t>. A prompt report of any legal actions pending or threatened in writing against Borrower or any of its Subsidiaries that could reasonably be expected to result in damages or costs to Borrower or any of its Subsidiaries of, individually or in the aggregate, Two Hundred Fifty Thousand Dollars ($250,000.00) or more;</w:t>
      </w:r>
    </w:p>
    <w:p>
      <w:pPr>
        <w:spacing w:after="0" w:line="183" w:lineRule="exact"/>
        <w:rPr>
          <w:rFonts w:ascii="Arial" w:cs="Arial" w:eastAsia="Arial" w:hAnsi="Arial"/>
          <w:sz w:val="18"/>
          <w:szCs w:val="18"/>
          <w:color w:val="auto"/>
        </w:rPr>
      </w:pPr>
    </w:p>
    <w:p>
      <w:pPr>
        <w:ind w:left="4" w:firstLine="987"/>
        <w:spacing w:after="0" w:line="259" w:lineRule="auto"/>
        <w:tabs>
          <w:tab w:leader="none" w:pos="1555" w:val="left"/>
        </w:tabs>
        <w:numPr>
          <w:ilvl w:val="1"/>
          <w:numId w:val="380"/>
        </w:numPr>
        <w:rPr>
          <w:rFonts w:ascii="Arial" w:cs="Arial" w:eastAsia="Arial" w:hAnsi="Arial"/>
          <w:sz w:val="18"/>
          <w:szCs w:val="18"/>
          <w:color w:val="auto"/>
        </w:rPr>
      </w:pPr>
      <w:r>
        <w:rPr>
          <w:rFonts w:ascii="Arial" w:cs="Arial" w:eastAsia="Arial" w:hAnsi="Arial"/>
          <w:sz w:val="18"/>
          <w:szCs w:val="18"/>
          <w:u w:val="single" w:color="auto"/>
          <w:color w:val="auto"/>
        </w:rPr>
        <w:t>Beneficial Ownership Information</w:t>
      </w:r>
      <w:r>
        <w:rPr>
          <w:rFonts w:ascii="Arial" w:cs="Arial" w:eastAsia="Arial" w:hAnsi="Arial"/>
          <w:sz w:val="18"/>
          <w:szCs w:val="18"/>
          <w:color w:val="auto"/>
        </w:rPr>
        <w:t>. Prompt written notice of any changes to the beneficial ownership information set out in Section 14 of the Perfection Certificate. Borrower understands and acknowledges that each Lender relies on such true, accurate and up-to-date beneficial ownership information to meet such Lender’s regulatory obligations to obtain, verify and record information about the beneficial owners of its legal entity customers; and</w:t>
      </w:r>
    </w:p>
    <w:p>
      <w:pPr>
        <w:spacing w:after="0" w:line="186" w:lineRule="exact"/>
        <w:rPr>
          <w:rFonts w:ascii="Arial" w:cs="Arial" w:eastAsia="Arial" w:hAnsi="Arial"/>
          <w:sz w:val="18"/>
          <w:szCs w:val="18"/>
          <w:color w:val="auto"/>
        </w:rPr>
      </w:pPr>
    </w:p>
    <w:p>
      <w:pPr>
        <w:ind w:left="1464" w:hanging="473"/>
        <w:spacing w:after="0"/>
        <w:tabs>
          <w:tab w:leader="none" w:pos="1464" w:val="left"/>
        </w:tabs>
        <w:numPr>
          <w:ilvl w:val="1"/>
          <w:numId w:val="380"/>
        </w:numPr>
        <w:rPr>
          <w:rFonts w:ascii="Arial" w:cs="Arial" w:eastAsia="Arial" w:hAnsi="Arial"/>
          <w:sz w:val="18"/>
          <w:szCs w:val="18"/>
          <w:color w:val="auto"/>
        </w:rPr>
      </w:pPr>
      <w:r>
        <w:rPr>
          <w:rFonts w:ascii="Arial" w:cs="Arial" w:eastAsia="Arial" w:hAnsi="Arial"/>
          <w:sz w:val="18"/>
          <w:szCs w:val="18"/>
          <w:u w:val="single" w:color="auto"/>
          <w:color w:val="auto"/>
        </w:rPr>
        <w:t>Other Financial Information</w:t>
      </w:r>
      <w:r>
        <w:rPr>
          <w:rFonts w:ascii="Arial" w:cs="Arial" w:eastAsia="Arial" w:hAnsi="Arial"/>
          <w:sz w:val="18"/>
          <w:szCs w:val="18"/>
          <w:color w:val="auto"/>
        </w:rPr>
        <w:t>. Other financial information reasonably requested by Agent or any Lender.</w:t>
      </w:r>
    </w:p>
    <w:p>
      <w:pPr>
        <w:spacing w:after="0" w:line="221" w:lineRule="exact"/>
        <w:rPr>
          <w:sz w:val="20"/>
          <w:szCs w:val="20"/>
          <w:color w:val="auto"/>
        </w:rPr>
      </w:pPr>
    </w:p>
    <w:p>
      <w:pPr>
        <w:ind w:left="4" w:right="40" w:firstLine="440"/>
        <w:spacing w:after="0" w:line="314" w:lineRule="auto"/>
        <w:rPr>
          <w:sz w:val="20"/>
          <w:szCs w:val="20"/>
          <w:color w:val="auto"/>
        </w:rPr>
      </w:pPr>
      <w:r>
        <w:rPr>
          <w:rFonts w:ascii="Arial" w:cs="Arial" w:eastAsia="Arial" w:hAnsi="Arial"/>
          <w:sz w:val="16"/>
          <w:szCs w:val="16"/>
          <w:b w:val="1"/>
          <w:bCs w:val="1"/>
          <w:color w:val="auto"/>
        </w:rPr>
        <w:t>Inventory; Returns</w:t>
      </w:r>
      <w:r>
        <w:rPr>
          <w:rFonts w:ascii="Arial" w:cs="Arial" w:eastAsia="Arial" w:hAnsi="Arial"/>
          <w:sz w:val="16"/>
          <w:szCs w:val="16"/>
          <w:color w:val="auto"/>
        </w:rPr>
        <w:t>. Keep all Inventory in good and marketable condition, free from material defects. Returns and allowances between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and its Account Debtors shall follow Borrower’s customary practices as they exist at the Effective Date. Borrower must promptly notify Agent of all returns, recoveries, disputes and claims that involve more than Two Hundred Fifty Thousand Dollars ($250,000.00), individually or in the aggregate.</w:t>
      </w:r>
    </w:p>
    <w:p>
      <w:pPr>
        <w:spacing w:after="0" w:line="142" w:lineRule="exact"/>
        <w:rPr>
          <w:sz w:val="20"/>
          <w:szCs w:val="20"/>
          <w:color w:val="auto"/>
        </w:rPr>
      </w:pPr>
    </w:p>
    <w:p>
      <w:pPr>
        <w:ind w:left="4" w:right="120" w:firstLine="440"/>
        <w:spacing w:after="0" w:line="258" w:lineRule="auto"/>
        <w:rPr>
          <w:sz w:val="20"/>
          <w:szCs w:val="20"/>
          <w:color w:val="auto"/>
        </w:rPr>
      </w:pPr>
      <w:r>
        <w:rPr>
          <w:rFonts w:ascii="Arial" w:cs="Arial" w:eastAsia="Arial" w:hAnsi="Arial"/>
          <w:sz w:val="18"/>
          <w:szCs w:val="18"/>
          <w:b w:val="1"/>
          <w:bCs w:val="1"/>
          <w:color w:val="auto"/>
        </w:rPr>
        <w:t>Taxes; Pensions</w:t>
      </w:r>
      <w:r>
        <w:rPr>
          <w:rFonts w:ascii="Arial" w:cs="Arial" w:eastAsia="Arial" w:hAnsi="Arial"/>
          <w:sz w:val="18"/>
          <w:szCs w:val="18"/>
          <w:color w:val="auto"/>
        </w:rPr>
        <w:t>. Timely file and require each of its Subsidiaries to timely file, all required tax returns and reports and timely pay, and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its Subsidiaries to timely pay, all foreign, federal, state and local taxes, assessments, deposits and contributions owed by Borrower and each of its Subsidiaries, except for deferred payment of any taxes contested pursuant to the terms of Section 5.8 hereof, and shall deliver to Agent, on demand, appropriate certificates attesting to such payments, and pay all amounts necessary to fund all present pension, profit sharing and deferred compensation plans in accordance with their terms.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435" w:name="page436"/>
    <w:bookmarkEnd w:id="435"/>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Insurance.</w:t>
      </w:r>
    </w:p>
    <w:p>
      <w:pPr>
        <w:spacing w:after="0" w:line="229" w:lineRule="exact"/>
        <w:rPr>
          <w:sz w:val="20"/>
          <w:szCs w:val="20"/>
          <w:color w:val="auto"/>
        </w:rPr>
      </w:pPr>
    </w:p>
    <w:p>
      <w:pPr>
        <w:ind w:left="4" w:firstLine="987"/>
        <w:spacing w:after="0" w:line="296" w:lineRule="auto"/>
        <w:tabs>
          <w:tab w:leader="none" w:pos="1475" w:val="left"/>
        </w:tabs>
        <w:numPr>
          <w:ilvl w:val="0"/>
          <w:numId w:val="381"/>
        </w:numPr>
        <w:rPr>
          <w:rFonts w:ascii="Arial" w:cs="Arial" w:eastAsia="Arial" w:hAnsi="Arial"/>
          <w:sz w:val="16"/>
          <w:szCs w:val="16"/>
          <w:color w:val="auto"/>
        </w:rPr>
      </w:pPr>
      <w:r>
        <w:rPr>
          <w:rFonts w:ascii="Arial" w:cs="Arial" w:eastAsia="Arial" w:hAnsi="Arial"/>
          <w:sz w:val="16"/>
          <w:szCs w:val="16"/>
          <w:color w:val="auto"/>
        </w:rPr>
        <w:t>Keep its business and the Collateral insured for risks and in amounts standard for companies in Borrower’s industry and location and as Agent may reasonably request. Insurance policies shall be in a form, with financially sound and reputable insurance companies that are not Affiliates of Borrower, and in amounts that are reasonably satisfactory to Agent. All property policies shall have a lender’s loss payable endorsement showing Agent as the sole lender loss payee. All liability policies shall show, or have endorsements showing, Agent as an additional insured. Agent shall be named as lender loss payee and/or additional insured with respect to any such insurance providing coverage in respect of any Collateral.</w:t>
      </w:r>
    </w:p>
    <w:p>
      <w:pPr>
        <w:spacing w:after="0" w:line="161" w:lineRule="exact"/>
        <w:rPr>
          <w:rFonts w:ascii="Arial" w:cs="Arial" w:eastAsia="Arial" w:hAnsi="Arial"/>
          <w:sz w:val="16"/>
          <w:szCs w:val="16"/>
          <w:color w:val="auto"/>
        </w:rPr>
      </w:pPr>
    </w:p>
    <w:p>
      <w:pPr>
        <w:ind w:left="4" w:right="560" w:firstLine="987"/>
        <w:spacing w:after="0" w:line="277" w:lineRule="auto"/>
        <w:tabs>
          <w:tab w:leader="none" w:pos="145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Ensure that proceeds payable under any property policy are, at Agent’s option, payable to Agent for the ratable benefit of the Lenders on account of the Obligations.</w:t>
      </w:r>
    </w:p>
    <w:p>
      <w:pPr>
        <w:spacing w:after="0" w:line="170" w:lineRule="exact"/>
        <w:rPr>
          <w:sz w:val="20"/>
          <w:szCs w:val="20"/>
          <w:color w:val="auto"/>
        </w:rPr>
      </w:pPr>
    </w:p>
    <w:p>
      <w:pPr>
        <w:ind w:left="4" w:right="100" w:firstLine="987"/>
        <w:spacing w:after="0" w:line="255" w:lineRule="auto"/>
        <w:tabs>
          <w:tab w:leader="none" w:pos="152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At Agent’s request, Borrower shall deliver certified copies of insurance policies and evidence of all premium payments. Each provider of any such insurance required under this Section 6.5 shall agree, by endorsement upon the policy or policies issued by it or by independent instruments furnished to Agent, that it will give Agent thirty (30) days prior written notice before any such policy or policies shall be materially altered or canceled. If Borrower fails to obtain insurance as required under this Section 6.5 or to pay any amount or furnish any required proof of payment to third persons and Agent, Agent may make all or part of such payment or obtain such insurance policies required in this Section 6.5, and take any action under the policies Agent deems prudent.</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Operating Accounts.</w:t>
      </w:r>
    </w:p>
    <w:p>
      <w:pPr>
        <w:spacing w:after="0" w:line="229" w:lineRule="exact"/>
        <w:rPr>
          <w:sz w:val="20"/>
          <w:szCs w:val="20"/>
          <w:color w:val="auto"/>
        </w:rPr>
      </w:pPr>
    </w:p>
    <w:p>
      <w:pPr>
        <w:ind w:left="4" w:right="440" w:firstLine="987"/>
        <w:spacing w:after="0" w:line="342" w:lineRule="auto"/>
        <w:tabs>
          <w:tab w:leader="none" w:pos="1565" w:val="left"/>
        </w:tabs>
        <w:numPr>
          <w:ilvl w:val="0"/>
          <w:numId w:val="383"/>
        </w:numPr>
        <w:rPr>
          <w:rFonts w:ascii="Arial" w:cs="Arial" w:eastAsia="Arial" w:hAnsi="Arial"/>
          <w:sz w:val="16"/>
          <w:szCs w:val="16"/>
          <w:color w:val="auto"/>
        </w:rPr>
      </w:pPr>
      <w:r>
        <w:rPr>
          <w:rFonts w:ascii="Arial" w:cs="Arial" w:eastAsia="Arial" w:hAnsi="Arial"/>
          <w:sz w:val="16"/>
          <w:szCs w:val="16"/>
          <w:color w:val="auto"/>
        </w:rPr>
        <w:t>Maintain all of its and all of its Subsidiaries’ operating accounts and excess cash with SVB and SVB’s Affiliates. In addition, Borrower shall conduct all of its primary banking facilities with SVB, including, without limitation, letters of credit and business credit cards.</w:t>
      </w:r>
    </w:p>
    <w:p>
      <w:pPr>
        <w:spacing w:after="0" w:line="123" w:lineRule="exact"/>
        <w:rPr>
          <w:rFonts w:ascii="Arial" w:cs="Arial" w:eastAsia="Arial" w:hAnsi="Arial"/>
          <w:sz w:val="16"/>
          <w:szCs w:val="16"/>
          <w:color w:val="auto"/>
        </w:rPr>
      </w:pPr>
    </w:p>
    <w:p>
      <w:pPr>
        <w:ind w:left="4" w:right="260" w:firstLine="987"/>
        <w:spacing w:after="0" w:line="272" w:lineRule="auto"/>
        <w:tabs>
          <w:tab w:leader="none" w:pos="1535" w:val="left"/>
        </w:tabs>
        <w:numPr>
          <w:ilvl w:val="0"/>
          <w:numId w:val="383"/>
        </w:numPr>
        <w:rPr>
          <w:rFonts w:ascii="Arial" w:cs="Arial" w:eastAsia="Arial" w:hAnsi="Arial"/>
          <w:sz w:val="17"/>
          <w:szCs w:val="17"/>
          <w:color w:val="auto"/>
        </w:rPr>
      </w:pPr>
      <w:r>
        <w:rPr>
          <w:rFonts w:ascii="Arial" w:cs="Arial" w:eastAsia="Arial" w:hAnsi="Arial"/>
          <w:sz w:val="17"/>
          <w:szCs w:val="17"/>
          <w:color w:val="auto"/>
        </w:rPr>
        <w:t>Provide Agent five (5) days prior written notice before establishing any Collateral Account at or with any bank or financial institution other than SVB or SVB’s Affiliates. For each Collateral Account that Borrower at any time maintains, Borrower shall cause the applicable bank or financial institution (other than SVB) at or with which any Collateral Account is maintained to execute and deliver a Control Agreement or other appropriate instrument with respect to such Collateral Account to perfect Agent’s Lien in such Collateral Account in accordance with the terms hereunder which Control Agreement may not be terminated without the prior written consent of the Lenders. The provisions of the previous sentence shall not apply to deposit accounts exclusively used for payroll, payroll taxes and other employee wage and benefit payments to or for the benefit of Borrower’s employees and identified to Agent and the Lenders by Borrower as such.</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Protection of Intellectual Property Rights.</w:t>
      </w:r>
    </w:p>
    <w:p>
      <w:pPr>
        <w:spacing w:after="0" w:line="229" w:lineRule="exact"/>
        <w:rPr>
          <w:sz w:val="20"/>
          <w:szCs w:val="20"/>
          <w:color w:val="auto"/>
        </w:rPr>
      </w:pPr>
    </w:p>
    <w:p>
      <w:pPr>
        <w:ind w:left="1564" w:hanging="573"/>
        <w:spacing w:after="0"/>
        <w:tabs>
          <w:tab w:leader="none" w:pos="1564" w:val="left"/>
        </w:tabs>
        <w:numPr>
          <w:ilvl w:val="1"/>
          <w:numId w:val="384"/>
        </w:numPr>
        <w:rPr>
          <w:rFonts w:ascii="Arial" w:cs="Arial" w:eastAsia="Arial" w:hAnsi="Arial"/>
          <w:sz w:val="17"/>
          <w:szCs w:val="17"/>
          <w:color w:val="auto"/>
        </w:rPr>
      </w:pPr>
      <w:r>
        <w:rPr>
          <w:rFonts w:ascii="Arial" w:cs="Arial" w:eastAsia="Arial" w:hAnsi="Arial"/>
          <w:sz w:val="17"/>
          <w:szCs w:val="17"/>
          <w:color w:val="auto"/>
        </w:rPr>
        <w:t>(i) Protect, defend and maintain the validity and enforceability of its Intellectual Property material to Borrower’s business;</w:t>
      </w:r>
    </w:p>
    <w:p>
      <w:pPr>
        <w:spacing w:after="0" w:line="34" w:lineRule="exact"/>
        <w:rPr>
          <w:rFonts w:ascii="Arial" w:cs="Arial" w:eastAsia="Arial" w:hAnsi="Arial"/>
          <w:sz w:val="17"/>
          <w:szCs w:val="17"/>
          <w:color w:val="auto"/>
        </w:rPr>
      </w:pPr>
    </w:p>
    <w:p>
      <w:pPr>
        <w:jc w:val="both"/>
        <w:ind w:left="4" w:right="140" w:hanging="4"/>
        <w:spacing w:after="0" w:line="255" w:lineRule="auto"/>
        <w:tabs>
          <w:tab w:leader="none" w:pos="269" w:val="left"/>
        </w:tabs>
        <w:numPr>
          <w:ilvl w:val="0"/>
          <w:numId w:val="385"/>
        </w:numPr>
        <w:rPr>
          <w:rFonts w:ascii="Arial" w:cs="Arial" w:eastAsia="Arial" w:hAnsi="Arial"/>
          <w:sz w:val="18"/>
          <w:szCs w:val="18"/>
          <w:color w:val="auto"/>
        </w:rPr>
      </w:pPr>
      <w:r>
        <w:rPr>
          <w:rFonts w:ascii="Arial" w:cs="Arial" w:eastAsia="Arial" w:hAnsi="Arial"/>
          <w:sz w:val="18"/>
          <w:szCs w:val="18"/>
          <w:color w:val="auto"/>
        </w:rPr>
        <w:t>promptly advise Agent in writing of material infringements or any other event that could reasonably be expected to materially and adversely affect the value of its Intellectual Property material to Borrower’s business; and (iii) not allow any Intellectual Property material to Borrower’s business to be abandoned, forfeited or dedicated to the public without Agent’s written consent.</w:t>
      </w:r>
    </w:p>
    <w:p>
      <w:pPr>
        <w:spacing w:after="0" w:line="189" w:lineRule="exact"/>
        <w:rPr>
          <w:rFonts w:ascii="Arial" w:cs="Arial" w:eastAsia="Arial" w:hAnsi="Arial"/>
          <w:sz w:val="18"/>
          <w:szCs w:val="18"/>
          <w:color w:val="auto"/>
        </w:rPr>
      </w:pPr>
    </w:p>
    <w:p>
      <w:pPr>
        <w:ind w:left="1524" w:hanging="533"/>
        <w:spacing w:after="0"/>
        <w:tabs>
          <w:tab w:leader="none" w:pos="1524" w:val="left"/>
        </w:tabs>
        <w:numPr>
          <w:ilvl w:val="1"/>
          <w:numId w:val="385"/>
        </w:numPr>
        <w:rPr>
          <w:rFonts w:ascii="Arial" w:cs="Arial" w:eastAsia="Arial" w:hAnsi="Arial"/>
          <w:sz w:val="17"/>
          <w:szCs w:val="17"/>
          <w:color w:val="auto"/>
        </w:rPr>
      </w:pPr>
      <w:r>
        <w:rPr>
          <w:rFonts w:ascii="Arial" w:cs="Arial" w:eastAsia="Arial" w:hAnsi="Arial"/>
          <w:sz w:val="17"/>
          <w:szCs w:val="17"/>
          <w:color w:val="auto"/>
        </w:rPr>
        <w:t>Provide written notice to Agent within ten (10) days of entering or becoming bound by any Restricted License (other than</w:t>
      </w:r>
    </w:p>
    <w:p>
      <w:pPr>
        <w:spacing w:after="0" w:line="35" w:lineRule="exact"/>
        <w:rPr>
          <w:sz w:val="20"/>
          <w:szCs w:val="20"/>
          <w:color w:val="auto"/>
        </w:rPr>
      </w:pPr>
    </w:p>
    <w:p>
      <w:pPr>
        <w:ind w:left="4" w:right="40"/>
        <w:spacing w:after="0" w:line="271" w:lineRule="auto"/>
        <w:rPr>
          <w:sz w:val="20"/>
          <w:szCs w:val="20"/>
          <w:color w:val="auto"/>
        </w:rPr>
      </w:pPr>
      <w:r>
        <w:rPr>
          <w:rFonts w:ascii="Arial" w:cs="Arial" w:eastAsia="Arial" w:hAnsi="Arial"/>
          <w:sz w:val="17"/>
          <w:szCs w:val="17"/>
          <w:color w:val="auto"/>
        </w:rPr>
        <w:t>over-the-counter software that is commercially available to the public). Borrower shall take such steps as Agent reasonably requests to obtain the consent of, or waiver by, any person whose consent or waiver is necessary for (i) any Restricted License to be deemed “Collateral” and for Agent to have a security interest in it that might otherwise be restricted or prohibited by law or by the terms of any such Restricted License, whether now existing or entered into in the future, and (ii) Agent to have the ability in the event of a liquidation of any Collateral to dispose of such Collateral in accordance with Agent’s and the Lenders’ rights and remedies under this Agreement and the other Loan Documents.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0" w:right="459" w:bottom="1440" w:gutter="0" w:footer="0" w:header="0"/>
        </w:sectPr>
      </w:pPr>
    </w:p>
    <w:bookmarkStart w:id="436" w:name="page437"/>
    <w:bookmarkEnd w:id="436"/>
    <w:p>
      <w:pPr>
        <w:ind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Litigation Cooperation</w:t>
      </w:r>
      <w:r>
        <w:rPr>
          <w:rFonts w:ascii="Arial" w:cs="Arial" w:eastAsia="Arial" w:hAnsi="Arial"/>
          <w:sz w:val="18"/>
          <w:szCs w:val="18"/>
          <w:color w:val="auto"/>
        </w:rPr>
        <w:t>. From the date hereof and continuing through the termination of this Agreement, make available to Agent,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to Agent or any Lender, Borrower and its officers, employees and agents and Borrower’s books and records, to the extent that Agent and/or the Lenders may deem them reasonably necessary to prosecute or defend any third-party suit or proceeding instituted by or against Agent and/or any Lender with respect to any Collateral or relating to Borrower.</w:t>
      </w:r>
    </w:p>
    <w:p>
      <w:pPr>
        <w:spacing w:after="0" w:line="180"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b w:val="1"/>
          <w:bCs w:val="1"/>
          <w:color w:val="auto"/>
        </w:rPr>
        <w:t>Access to Collateral; Books and Records</w:t>
      </w:r>
      <w:r>
        <w:rPr>
          <w:rFonts w:ascii="Arial" w:cs="Arial" w:eastAsia="Arial" w:hAnsi="Arial"/>
          <w:sz w:val="16"/>
          <w:szCs w:val="16"/>
          <w:color w:val="auto"/>
        </w:rPr>
        <w:t>. Allow Agent, or its agents, at reasonable times, on one (1) Business Day’s notice (provided no notice</w:t>
      </w:r>
      <w:r>
        <w:rPr>
          <w:rFonts w:ascii="Arial" w:cs="Arial" w:eastAsia="Arial" w:hAnsi="Arial"/>
          <w:sz w:val="16"/>
          <w:szCs w:val="16"/>
          <w:b w:val="1"/>
          <w:bCs w:val="1"/>
          <w:color w:val="auto"/>
        </w:rPr>
        <w:t xml:space="preserve"> </w:t>
      </w:r>
      <w:r>
        <w:rPr>
          <w:rFonts w:ascii="Arial" w:cs="Arial" w:eastAsia="Arial" w:hAnsi="Arial"/>
          <w:sz w:val="16"/>
          <w:szCs w:val="16"/>
          <w:color w:val="auto"/>
        </w:rPr>
        <w:t>is required if an Event of Default has occurred and is continuing), to inspect the Collateral and audit and copy Borrower’ Books. Such inspections or audits shall be conducted no more often than once every twelve (12) months (or more frequently as Agent in its sole but reasonable discretion determines that conditions warrant) unless an Event of Default has occurred and is continuing in which case such inspections and audits shall occur as often as Agent shall determine is necessary. The foregoing inspections and audits shall be at Borrower’ expense and the charge therefor shall be One Thousand Dollars ($1,000.00) per person per day (or such higher amount as shall represent Agent’s then-current standard charge for the same), plus reasonable out-of-pocket expenses. In the event Borrower and Agent schedule an audit more than eight (8) days in advance, and Borrower cancels or seeks to reschedule the audit with less than eight (8) days written notice to Agent, then (without limiting any of Agent’s or any Lender’s rights or remedies) Borrower shall pay Agent a fee of Two Thousand Dollars ($2,000.00) plus any out-of-pocket expenses incurred by Agent to compensate Agent for the anticipated costs and expenses of the cancellation or rescheduling.</w:t>
      </w:r>
    </w:p>
    <w:p>
      <w:pPr>
        <w:spacing w:after="0" w:line="161"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b w:val="1"/>
          <w:bCs w:val="1"/>
          <w:color w:val="auto"/>
        </w:rPr>
        <w:t>Further Assurances</w:t>
      </w:r>
      <w:r>
        <w:rPr>
          <w:rFonts w:ascii="Arial" w:cs="Arial" w:eastAsia="Arial" w:hAnsi="Arial"/>
          <w:sz w:val="17"/>
          <w:szCs w:val="17"/>
          <w:color w:val="auto"/>
        </w:rPr>
        <w:t>. Execute any further instruments and take further action as Agent and the Lenders reasonably request to perfect or continue</w:t>
      </w:r>
      <w:r>
        <w:rPr>
          <w:rFonts w:ascii="Arial" w:cs="Arial" w:eastAsia="Arial" w:hAnsi="Arial"/>
          <w:sz w:val="17"/>
          <w:szCs w:val="17"/>
          <w:b w:val="1"/>
          <w:bCs w:val="1"/>
          <w:color w:val="auto"/>
        </w:rPr>
        <w:t xml:space="preserve"> </w:t>
      </w:r>
      <w:r>
        <w:rPr>
          <w:rFonts w:ascii="Arial" w:cs="Arial" w:eastAsia="Arial" w:hAnsi="Arial"/>
          <w:sz w:val="17"/>
          <w:szCs w:val="17"/>
          <w:color w:val="auto"/>
        </w:rPr>
        <w:t>Agent’s Lien in the Collateral or to effect the purposes of this Agreement, including but not limited to, updating its Register of Mortgages and Charges to reflect the security interests granted over the Collateral. Deliver to Agent and the Lenders, within five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effect on any of the Governmental Approvals or otherwise on the operations of Borrower or any of its Subsidiaries.</w:t>
      </w:r>
    </w:p>
    <w:p>
      <w:pPr>
        <w:spacing w:after="0" w:line="173"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6.11 Post-Closing Conditions</w:t>
      </w:r>
      <w:r>
        <w:rPr>
          <w:rFonts w:ascii="Arial" w:cs="Arial" w:eastAsia="Arial" w:hAnsi="Arial"/>
          <w:sz w:val="18"/>
          <w:szCs w:val="18"/>
          <w:color w:val="auto"/>
        </w:rPr>
        <w:t>. Within thirty (30) days after the Effective Date, Borrower shall deliver to Agent, evidence satisfactory to Agent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insurance policies and endorsements required by Section 6.5 hereof are in full force and effect, together with appropriate evidence showing lender loss payable and/or additional insured clauses or endorsements in favor of Agent.</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NEGATIVE COVENANTS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Borrower shall not do any of the following without the prior written consent of the Lenders: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Dispositions</w:t>
      </w:r>
      <w:r>
        <w:rPr>
          <w:rFonts w:ascii="Arial" w:cs="Arial" w:eastAsia="Arial" w:hAnsi="Arial"/>
          <w:sz w:val="17"/>
          <w:szCs w:val="17"/>
          <w:color w:val="auto"/>
        </w:rPr>
        <w:t>. Convey, sell, lease, transfer, assign, or otherwise dispose of (including, without limitation, pursuant to a Division) (collectively,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or permit any of its Subsidiaries to Transfer, all or any part of its business or property, except for Transfers (a) of Inventory in the ordinary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course of business; (b) of worn-out or obsolete Equipment that is, in the reasonable judgment of Borrower, no longer economically practicable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maintain or useful in the ordinary course of business of Borrower; (c) consisting of Permitted Liens, Permitted Investments, and transactions of the type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described in and permitted under Section 7.7; (d) of non-exclusive licenses for the use of the property of Borrower or its Subsidiaries in the ordinary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course of business and licenses that could not result in a legal transfer of title of the licensed property but that may be exclusive in respects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territory and that may be exclusive as to territory only as to discreet geographical areas outside of the United States; and (e) of other personal property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an aggregate value not to exceed One Hundred Thousand Dollars ($100,000.00) in any twelve (12) month period.</w:t>
      </w:r>
    </w:p>
    <w:p>
      <w:pPr>
        <w:spacing w:after="0" w:line="207" w:lineRule="exact"/>
        <w:rPr>
          <w:sz w:val="20"/>
          <w:szCs w:val="20"/>
          <w:color w:val="auto"/>
        </w:rPr>
      </w:pPr>
    </w:p>
    <w:p>
      <w:pPr>
        <w:jc w:val="both"/>
        <w:ind w:right="100" w:firstLine="440"/>
        <w:spacing w:after="0" w:line="281" w:lineRule="auto"/>
        <w:rPr>
          <w:sz w:val="20"/>
          <w:szCs w:val="20"/>
          <w:color w:val="auto"/>
        </w:rPr>
      </w:pPr>
      <w:r>
        <w:rPr>
          <w:rFonts w:ascii="Arial" w:cs="Arial" w:eastAsia="Arial" w:hAnsi="Arial"/>
          <w:sz w:val="17"/>
          <w:szCs w:val="17"/>
          <w:b w:val="1"/>
          <w:bCs w:val="1"/>
          <w:color w:val="auto"/>
        </w:rPr>
        <w:t>Changes in Business, Management, Control, or Business Locations</w:t>
      </w:r>
      <w:r>
        <w:rPr>
          <w:rFonts w:ascii="Arial" w:cs="Arial" w:eastAsia="Arial" w:hAnsi="Arial"/>
          <w:sz w:val="17"/>
          <w:szCs w:val="17"/>
          <w:color w:val="auto"/>
        </w:rPr>
        <w:t>. (a) Engage in or permit any of its Subsidiaries to engage in any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the businesses currently engaged in by Borrower and such Subsidiary, as applicable, or reasonably related thereto; (b) liquidate, wind-up or dissolve; (c) fail to provide notice to Agent and Lenders of any Key Person departing from or ceasing to be employed by Borrower within five (5) days after such Key Person’s departure from Borrower; or (d) permit or suffer any Change in Control.</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0" w:right="479" w:bottom="1440" w:gutter="0" w:footer="0" w:header="0"/>
        </w:sectPr>
      </w:pPr>
    </w:p>
    <w:bookmarkStart w:id="437" w:name="page438"/>
    <w:bookmarkEnd w:id="437"/>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shall not, without at least fifteen (15) days prior written notice to Agent: (1) add any new offices or business locations, including</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warehouses (unless such new offices or business locations (other than clinical trial sites) contain less than Fifty Thousand Dollars ($50,000.00) in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Borrower’s assets or property) or deliver any portion of the Collateral valued, individually or in the aggregate, in excess of Fifty Thousand Dollars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($50,000.00) to a bailee at a location other than (x) to a bailee and at a location already disclosed in the Perfection Certificate or (y) to a clinical trial site,</w:t>
      </w:r>
    </w:p>
    <w:p>
      <w:pPr>
        <w:spacing w:after="0" w:line="32" w:lineRule="exact"/>
        <w:rPr>
          <w:sz w:val="20"/>
          <w:szCs w:val="20"/>
          <w:color w:val="auto"/>
        </w:rPr>
      </w:pPr>
    </w:p>
    <w:p>
      <w:pPr>
        <w:ind w:left="4" w:hanging="4"/>
        <w:spacing w:after="0" w:line="268" w:lineRule="auto"/>
        <w:tabs>
          <w:tab w:leader="none" w:pos="259" w:val="left"/>
        </w:tabs>
        <w:numPr>
          <w:ilvl w:val="0"/>
          <w:numId w:val="386"/>
        </w:numPr>
        <w:rPr>
          <w:rFonts w:ascii="Arial" w:cs="Arial" w:eastAsia="Arial" w:hAnsi="Arial"/>
          <w:sz w:val="17"/>
          <w:szCs w:val="17"/>
          <w:color w:val="auto"/>
        </w:rPr>
      </w:pPr>
      <w:r>
        <w:rPr>
          <w:rFonts w:ascii="Arial" w:cs="Arial" w:eastAsia="Arial" w:hAnsi="Arial"/>
          <w:sz w:val="17"/>
          <w:szCs w:val="17"/>
          <w:color w:val="auto"/>
        </w:rPr>
        <w:t>change its jurisdiction of organization, (3) change its organizational structure or type, (4) change its legal name, or (5) change any organizational number (if any) assigned by its jurisdiction of organization. If Borrower intends to add any new offices or business locations, including warehouses, containing in excess of Fifty Thousand Dollars ($50,000.00) of Borrower’s assets or property, then Borrower will use commercially reasonable efforts to cause such landlord to execute and deliver a landlord consent in form and substance reasonably satisfactory to Agent. If Borrower intends to deliver any portion of the Collateral valued, individually or in the aggregate, in excess of Fifty Thousand Dollars ($50,000.00)) to a bailee (other than clinical trial sites), and Agent and such bailee are not already parties to a bailee agreement governing both the Collateral and the location to which Borrower intends to deliver the Collateral, then Borrower will use commercially reasonable efforts to cause such bailee to execute and deliver a bailee agreement in form and substance reasonably satisfactory to Agent.</w:t>
      </w:r>
    </w:p>
    <w:p>
      <w:pPr>
        <w:spacing w:after="0" w:line="179" w:lineRule="exact"/>
        <w:rPr>
          <w:sz w:val="20"/>
          <w:szCs w:val="20"/>
          <w:color w:val="auto"/>
        </w:rPr>
      </w:pPr>
    </w:p>
    <w:p>
      <w:pPr>
        <w:jc w:val="both"/>
        <w:ind w:left="4" w:right="220" w:firstLine="440"/>
        <w:spacing w:after="0" w:line="314" w:lineRule="auto"/>
        <w:rPr>
          <w:sz w:val="20"/>
          <w:szCs w:val="20"/>
          <w:color w:val="auto"/>
        </w:rPr>
      </w:pPr>
      <w:r>
        <w:rPr>
          <w:rFonts w:ascii="Arial" w:cs="Arial" w:eastAsia="Arial" w:hAnsi="Arial"/>
          <w:sz w:val="16"/>
          <w:szCs w:val="16"/>
          <w:b w:val="1"/>
          <w:bCs w:val="1"/>
          <w:color w:val="auto"/>
        </w:rPr>
        <w:t>Mergers or Acquisitions</w:t>
      </w:r>
      <w:r>
        <w:rPr>
          <w:rFonts w:ascii="Arial" w:cs="Arial" w:eastAsia="Arial" w:hAnsi="Arial"/>
          <w:sz w:val="16"/>
          <w:szCs w:val="16"/>
          <w:color w:val="auto"/>
        </w:rPr>
        <w:t>. Merge or consolidate, or permit any of its Subsidiaries to merge or consolidate, with any other Person, or acquire, or</w:t>
      </w:r>
      <w:r>
        <w:rPr>
          <w:rFonts w:ascii="Arial" w:cs="Arial" w:eastAsia="Arial" w:hAnsi="Arial"/>
          <w:sz w:val="16"/>
          <w:szCs w:val="16"/>
          <w:b w:val="1"/>
          <w:bCs w:val="1"/>
          <w:color w:val="auto"/>
        </w:rPr>
        <w:t xml:space="preserve"> </w:t>
      </w:r>
      <w:r>
        <w:rPr>
          <w:rFonts w:ascii="Arial" w:cs="Arial" w:eastAsia="Arial" w:hAnsi="Arial"/>
          <w:sz w:val="16"/>
          <w:szCs w:val="16"/>
          <w:color w:val="auto"/>
        </w:rPr>
        <w:t>permit any of its Subsidiaries to acquire, all or substantially all of the capital stock or property of another Person (including, without limitation, by the formation of any Subsidiary or pursuant to a Division). A Subsidiary may merge or consolidate into another Subsidiary or into Borrower.</w:t>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Indebtedness</w:t>
      </w:r>
      <w:r>
        <w:rPr>
          <w:rFonts w:ascii="Arial" w:cs="Arial" w:eastAsia="Arial" w:hAnsi="Arial"/>
          <w:sz w:val="16"/>
          <w:szCs w:val="16"/>
          <w:color w:val="auto"/>
        </w:rPr>
        <w:t>. Create, incur, assume, or be liable for any Indebtedness, or permit any Subsidiary to do so, other than Permitted Indebtedness.</w:t>
      </w:r>
    </w:p>
    <w:p>
      <w:pPr>
        <w:spacing w:after="0" w:line="248" w:lineRule="exact"/>
        <w:rPr>
          <w:sz w:val="20"/>
          <w:szCs w:val="20"/>
          <w:color w:val="auto"/>
        </w:rPr>
      </w:pPr>
    </w:p>
    <w:p>
      <w:pPr>
        <w:ind w:left="4" w:right="80" w:firstLine="440"/>
        <w:spacing w:after="0" w:line="272" w:lineRule="auto"/>
        <w:rPr>
          <w:sz w:val="20"/>
          <w:szCs w:val="20"/>
          <w:color w:val="auto"/>
        </w:rPr>
      </w:pPr>
      <w:r>
        <w:rPr>
          <w:rFonts w:ascii="Arial" w:cs="Arial" w:eastAsia="Arial" w:hAnsi="Arial"/>
          <w:sz w:val="17"/>
          <w:szCs w:val="17"/>
          <w:b w:val="1"/>
          <w:bCs w:val="1"/>
          <w:color w:val="auto"/>
        </w:rPr>
        <w:t>Encumbrance</w:t>
      </w:r>
      <w:r>
        <w:rPr>
          <w:rFonts w:ascii="Arial" w:cs="Arial" w:eastAsia="Arial" w:hAnsi="Arial"/>
          <w:sz w:val="17"/>
          <w:szCs w:val="17"/>
          <w:color w:val="auto"/>
        </w:rPr>
        <w:t>. Create, incur, allow, or suffer any Lien on any of its property, or assign or convey any right to receive income, including the sale</w:t>
      </w:r>
      <w:r>
        <w:rPr>
          <w:rFonts w:ascii="Arial" w:cs="Arial" w:eastAsia="Arial" w:hAnsi="Arial"/>
          <w:sz w:val="17"/>
          <w:szCs w:val="17"/>
          <w:b w:val="1"/>
          <w:bCs w:val="1"/>
          <w:color w:val="auto"/>
        </w:rPr>
        <w:t xml:space="preserve"> </w:t>
      </w:r>
      <w:r>
        <w:rPr>
          <w:rFonts w:ascii="Arial" w:cs="Arial" w:eastAsia="Arial" w:hAnsi="Arial"/>
          <w:sz w:val="17"/>
          <w:szCs w:val="17"/>
          <w:color w:val="auto"/>
        </w:rPr>
        <w:t>of any Accounts, or permit any of its Subsidiaries to do so, except for Permitted Liens and Transfers permitted by Section 7.1, permit any Collateral not to be subject to the first priority security interest granted herein (which Collateral may be subject to Permitted Liens), or enter into any agreement, document, instrument or other arrangement (except with or in favor of Agent, for the ratable benefit of the Lenders)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 and customary restrictions on assignment, transfer and encumbrances in license agreements under which Borrower or a Subsidiary is the licensee.</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Maintenance of Collateral Accounts</w:t>
      </w:r>
      <w:r>
        <w:rPr>
          <w:rFonts w:ascii="Arial" w:cs="Arial" w:eastAsia="Arial" w:hAnsi="Arial"/>
          <w:sz w:val="18"/>
          <w:szCs w:val="18"/>
          <w:color w:val="auto"/>
        </w:rPr>
        <w:t>. Maintain any Collateral Account except pursuant to the terms of Section 6.6(b) hereof.</w:t>
      </w:r>
    </w:p>
    <w:p>
      <w:pPr>
        <w:spacing w:after="0" w:line="225" w:lineRule="exact"/>
        <w:rPr>
          <w:sz w:val="20"/>
          <w:szCs w:val="20"/>
          <w:color w:val="auto"/>
        </w:rPr>
      </w:pPr>
    </w:p>
    <w:p>
      <w:pPr>
        <w:ind w:left="4" w:right="80" w:firstLine="440"/>
        <w:spacing w:after="0" w:line="281" w:lineRule="auto"/>
        <w:rPr>
          <w:sz w:val="20"/>
          <w:szCs w:val="20"/>
          <w:color w:val="auto"/>
        </w:rPr>
      </w:pPr>
      <w:r>
        <w:rPr>
          <w:rFonts w:ascii="Arial" w:cs="Arial" w:eastAsia="Arial" w:hAnsi="Arial"/>
          <w:sz w:val="17"/>
          <w:szCs w:val="17"/>
          <w:b w:val="1"/>
          <w:bCs w:val="1"/>
          <w:color w:val="auto"/>
        </w:rPr>
        <w:t>Distributions; Investments</w:t>
      </w:r>
      <w:r>
        <w:rPr>
          <w:rFonts w:ascii="Arial" w:cs="Arial" w:eastAsia="Arial" w:hAnsi="Arial"/>
          <w:sz w:val="17"/>
          <w:szCs w:val="17"/>
          <w:color w:val="auto"/>
        </w:rPr>
        <w:t>. (a) Pay any dividends or make any distribution or payment or redeem, retire or purchase any capital stock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Borrower may (i) convert any of its convertible securities into other securities pursuant to the terms of such convertible securities or otherwise in exchange thereof and (ii) pay dividends solely in common stock; or (b) directly or indirectly make any Investment (including, without limitation, by the formation of any Subsidiary), or permit any of its Subsidiaries to do so, other than Permitted Investments.</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Transactions with Affiliates</w:t>
      </w:r>
      <w:r>
        <w:rPr>
          <w:rFonts w:ascii="Arial" w:cs="Arial" w:eastAsia="Arial" w:hAnsi="Arial"/>
          <w:sz w:val="16"/>
          <w:szCs w:val="16"/>
          <w:color w:val="auto"/>
        </w:rPr>
        <w:t>. Directly or indirectly enter into or permit to exist any material transaction with any Affiliate of Borrower, except for</w:t>
      </w:r>
    </w:p>
    <w:p>
      <w:pPr>
        <w:spacing w:after="0" w:line="50" w:lineRule="exact"/>
        <w:rPr>
          <w:sz w:val="20"/>
          <w:szCs w:val="20"/>
          <w:color w:val="auto"/>
        </w:rPr>
      </w:pPr>
    </w:p>
    <w:p>
      <w:pPr>
        <w:ind w:left="4" w:right="60" w:hanging="4"/>
        <w:spacing w:after="0" w:line="253" w:lineRule="auto"/>
        <w:tabs>
          <w:tab w:leader="none" w:pos="249"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transactions that are in the ordinary course of Borrower’s business, upon fair and reasonable terms that are no less favorable to Borrower than would be obtained in an arm’s length transaction with a non-affiliated Person, (b) reasonable and customary compensation-related transactions or agreements or indemnification agreements in the ordinary course of business or otherwise approved by the Board or by Agent, and (c) transactions of the type described in and permitted under Section 7.7.</w:t>
      </w:r>
    </w:p>
    <w:p>
      <w:pPr>
        <w:spacing w:after="0" w:line="189" w:lineRule="exact"/>
        <w:rPr>
          <w:sz w:val="20"/>
          <w:szCs w:val="20"/>
          <w:color w:val="auto"/>
        </w:rPr>
      </w:pPr>
    </w:p>
    <w:p>
      <w:pPr>
        <w:ind w:left="4" w:right="320" w:firstLine="440"/>
        <w:spacing w:after="0" w:line="261" w:lineRule="auto"/>
        <w:rPr>
          <w:sz w:val="20"/>
          <w:szCs w:val="20"/>
          <w:color w:val="auto"/>
        </w:rPr>
      </w:pPr>
      <w:r>
        <w:rPr>
          <w:rFonts w:ascii="Arial" w:cs="Arial" w:eastAsia="Arial" w:hAnsi="Arial"/>
          <w:sz w:val="18"/>
          <w:szCs w:val="18"/>
          <w:b w:val="1"/>
          <w:bCs w:val="1"/>
          <w:color w:val="auto"/>
        </w:rPr>
        <w:t>Subordinated Debt</w:t>
      </w:r>
      <w:r>
        <w:rPr>
          <w:rFonts w:ascii="Arial" w:cs="Arial" w:eastAsia="Arial" w:hAnsi="Arial"/>
          <w:sz w:val="18"/>
          <w:szCs w:val="18"/>
          <w:color w:val="auto"/>
        </w:rPr>
        <w:t>. (a) Make or permit any payment on any Subordinated Debt, except under the terms of the subordination, intercreditor,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Agent and the Lenders.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438" w:name="page439"/>
    <w:bookmarkEnd w:id="438"/>
    <w:p>
      <w:pPr>
        <w:ind w:left="4" w:right="20" w:firstLine="440"/>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Compliance</w:t>
      </w:r>
      <w:r>
        <w:rPr>
          <w:rFonts w:ascii="Arial" w:cs="Arial" w:eastAsia="Arial" w:hAnsi="Arial"/>
          <w:sz w:val="17"/>
          <w:szCs w:val="17"/>
          <w:color w:val="auto"/>
        </w:rPr>
        <w:t>. Become an “investment company” or a company controlled by an “investment company”, under the Investment Company Act of</w:t>
      </w:r>
      <w:r>
        <w:rPr>
          <w:rFonts w:ascii="Arial" w:cs="Arial" w:eastAsia="Arial" w:hAnsi="Arial"/>
          <w:sz w:val="17"/>
          <w:szCs w:val="17"/>
          <w:b w:val="1"/>
          <w:bCs w:val="1"/>
          <w:color w:val="auto"/>
        </w:rPr>
        <w:t xml:space="preserve"> </w:t>
      </w:r>
      <w:r>
        <w:rPr>
          <w:rFonts w:ascii="Arial" w:cs="Arial" w:eastAsia="Arial" w:hAnsi="Arial"/>
          <w:sz w:val="17"/>
          <w:szCs w:val="17"/>
          <w:color w:val="auto"/>
        </w:rPr>
        <w:t>1940, as amended, or undertake as one of its important activities extending credit to purchase or carry margin stock (as defined in Regulation U of the Board of Governors of the Federal Reserve System), or use the proceeds of any Credit Extension for that purpose; fail to (a) meet the minimum funding requirements of ERISA, (b) prevent a Reportable Event or Prohibited Transaction, as defined in ERISA, from occurring, or (c) comply with the Federal Fair Labor Standards Act, the failure of any of the conditions described in clauses (a) through (c) which could reasonably be expected to have a material adverse effect on Borrower’s business, or permit any of its Subsidiaries to do so; or violate any other law or regulation, if the violation could reasonably be expected to have a material adverse effect on Borrower’s business;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285" w:lineRule="exact"/>
        <w:rPr>
          <w:sz w:val="20"/>
          <w:szCs w:val="20"/>
          <w:color w:val="auto"/>
        </w:rPr>
      </w:pPr>
    </w:p>
    <w:p>
      <w:pPr>
        <w:ind w:left="444"/>
        <w:spacing w:after="0"/>
        <w:rPr>
          <w:sz w:val="20"/>
          <w:szCs w:val="20"/>
          <w:color w:val="auto"/>
        </w:rPr>
      </w:pPr>
      <w:r>
        <w:rPr>
          <w:rFonts w:ascii="Arial" w:cs="Arial" w:eastAsia="Arial" w:hAnsi="Arial"/>
          <w:sz w:val="18"/>
          <w:szCs w:val="18"/>
          <w:b w:val="1"/>
          <w:bCs w:val="1"/>
          <w:u w:val="single" w:color="auto"/>
          <w:color w:val="auto"/>
        </w:rPr>
        <w:t>EVENTS OF DEFAULT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117" w:lineRule="exact"/>
        <w:rPr>
          <w:sz w:val="20"/>
          <w:szCs w:val="20"/>
          <w:color w:val="auto"/>
        </w:rPr>
      </w:pPr>
    </w:p>
    <w:p>
      <w:pPr>
        <w:ind w:left="4" w:right="80" w:firstLine="440"/>
        <w:spacing w:after="0" w:line="261" w:lineRule="auto"/>
        <w:rPr>
          <w:sz w:val="20"/>
          <w:szCs w:val="20"/>
          <w:color w:val="auto"/>
        </w:rPr>
      </w:pPr>
      <w:r>
        <w:rPr>
          <w:rFonts w:ascii="Arial" w:cs="Arial" w:eastAsia="Arial" w:hAnsi="Arial"/>
          <w:sz w:val="18"/>
          <w:szCs w:val="18"/>
          <w:b w:val="1"/>
          <w:bCs w:val="1"/>
          <w:color w:val="auto"/>
        </w:rPr>
        <w:t>Payment Default</w:t>
      </w:r>
      <w:r>
        <w:rPr>
          <w:rFonts w:ascii="Arial" w:cs="Arial" w:eastAsia="Arial" w:hAnsi="Arial"/>
          <w:sz w:val="18"/>
          <w:szCs w:val="18"/>
          <w:color w:val="auto"/>
        </w:rPr>
        <w:t>. Borrower fails to (a) make any payment of principal or interest on any Credit Extension when due, or (b) pay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three (3) Business Days 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Covenant Default.</w:t>
      </w:r>
    </w:p>
    <w:p>
      <w:pPr>
        <w:spacing w:after="0" w:line="229" w:lineRule="exact"/>
        <w:rPr>
          <w:sz w:val="20"/>
          <w:szCs w:val="20"/>
          <w:color w:val="auto"/>
        </w:rPr>
      </w:pPr>
    </w:p>
    <w:p>
      <w:pPr>
        <w:ind w:left="984"/>
        <w:spacing w:after="0"/>
        <w:tabs>
          <w:tab w:leader="none" w:pos="134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Borrower fails or neglects to perform any obligation in Sections 6.2, 6.4, 6.5, 6.6, 6.7(b), or 6.11, or violates any covenant in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7; or</w:t>
      </w:r>
    </w:p>
    <w:p>
      <w:pPr>
        <w:spacing w:after="0" w:line="211" w:lineRule="exact"/>
        <w:rPr>
          <w:sz w:val="20"/>
          <w:szCs w:val="20"/>
          <w:color w:val="auto"/>
        </w:rPr>
      </w:pPr>
    </w:p>
    <w:p>
      <w:pPr>
        <w:ind w:left="4" w:firstLine="987"/>
        <w:spacing w:after="0" w:line="271" w:lineRule="auto"/>
        <w:tabs>
          <w:tab w:leader="none" w:pos="1385" w:val="left"/>
        </w:tabs>
        <w:numPr>
          <w:ilvl w:val="0"/>
          <w:numId w:val="388"/>
        </w:numPr>
        <w:rPr>
          <w:rFonts w:ascii="Arial" w:cs="Arial" w:eastAsia="Arial" w:hAnsi="Arial"/>
          <w:sz w:val="17"/>
          <w:szCs w:val="17"/>
          <w:color w:val="auto"/>
        </w:rPr>
      </w:pPr>
      <w:r>
        <w:rPr>
          <w:rFonts w:ascii="Arial" w:cs="Arial" w:eastAsia="Arial" w:hAnsi="Arial"/>
          <w:sz w:val="17"/>
          <w:szCs w:val="17"/>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set forth in clause (a) above;</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Material Adverse Change</w:t>
      </w:r>
      <w:r>
        <w:rPr>
          <w:rFonts w:ascii="Arial" w:cs="Arial" w:eastAsia="Arial" w:hAnsi="Arial"/>
          <w:sz w:val="18"/>
          <w:szCs w:val="18"/>
          <w:color w:val="auto"/>
        </w:rPr>
        <w:t>. A Material Adverse Change occurs;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Attachment; Levy; Restraint on Business.</w:t>
      </w:r>
    </w:p>
    <w:p>
      <w:pPr>
        <w:spacing w:after="0" w:line="229" w:lineRule="exact"/>
        <w:rPr>
          <w:sz w:val="20"/>
          <w:szCs w:val="20"/>
          <w:color w:val="auto"/>
        </w:rPr>
      </w:pPr>
    </w:p>
    <w:p>
      <w:pPr>
        <w:jc w:val="both"/>
        <w:ind w:left="4" w:right="60" w:firstLine="987"/>
        <w:spacing w:after="0" w:line="279" w:lineRule="auto"/>
        <w:tabs>
          <w:tab w:leader="none" w:pos="1375" w:val="left"/>
        </w:tabs>
        <w:numPr>
          <w:ilvl w:val="1"/>
          <w:numId w:val="389"/>
        </w:numPr>
        <w:rPr>
          <w:rFonts w:ascii="Arial" w:cs="Arial" w:eastAsia="Arial" w:hAnsi="Arial"/>
          <w:sz w:val="17"/>
          <w:szCs w:val="17"/>
          <w:color w:val="auto"/>
        </w:rPr>
      </w:pPr>
      <w:r>
        <w:rPr>
          <w:rFonts w:ascii="Arial" w:cs="Arial" w:eastAsia="Arial" w:hAnsi="Arial"/>
          <w:sz w:val="17"/>
          <w:szCs w:val="17"/>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171" w:lineRule="exact"/>
        <w:rPr>
          <w:rFonts w:ascii="Arial" w:cs="Arial" w:eastAsia="Arial" w:hAnsi="Arial"/>
          <w:sz w:val="17"/>
          <w:szCs w:val="17"/>
          <w:color w:val="auto"/>
        </w:rPr>
      </w:pPr>
    </w:p>
    <w:p>
      <w:pPr>
        <w:ind w:left="1384" w:hanging="393"/>
        <w:spacing w:after="0"/>
        <w:tabs>
          <w:tab w:leader="none" w:pos="1384" w:val="left"/>
        </w:tabs>
        <w:numPr>
          <w:ilvl w:val="1"/>
          <w:numId w:val="389"/>
        </w:numPr>
        <w:rPr>
          <w:rFonts w:ascii="Arial" w:cs="Arial" w:eastAsia="Arial" w:hAnsi="Arial"/>
          <w:sz w:val="17"/>
          <w:szCs w:val="17"/>
          <w:color w:val="auto"/>
        </w:rPr>
      </w:pPr>
      <w:r>
        <w:rPr>
          <w:rFonts w:ascii="Arial" w:cs="Arial" w:eastAsia="Arial" w:hAnsi="Arial"/>
          <w:sz w:val="17"/>
          <w:szCs w:val="17"/>
          <w:color w:val="auto"/>
        </w:rPr>
        <w:t>(i) any material portion of Borrower’s assets is attached, seized, levied on, or comes into possession of a trustee or receiver, or</w:t>
      </w:r>
    </w:p>
    <w:p>
      <w:pPr>
        <w:spacing w:after="0" w:line="34" w:lineRule="exact"/>
        <w:rPr>
          <w:rFonts w:ascii="Arial" w:cs="Arial" w:eastAsia="Arial" w:hAnsi="Arial"/>
          <w:sz w:val="17"/>
          <w:szCs w:val="17"/>
          <w:color w:val="auto"/>
        </w:rPr>
      </w:pPr>
    </w:p>
    <w:p>
      <w:pPr>
        <w:ind w:left="264" w:hanging="264"/>
        <w:spacing w:after="0"/>
        <w:tabs>
          <w:tab w:leader="none" w:pos="26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any court order enjoins, restrains, or prevents Borrower from conducting all or any material part of its business;</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0" w:right="479" w:bottom="1440" w:gutter="0" w:footer="0" w:header="0"/>
        </w:sectPr>
      </w:pPr>
    </w:p>
    <w:bookmarkStart w:id="439" w:name="page440"/>
    <w:bookmarkEnd w:id="439"/>
    <w:p>
      <w:pPr>
        <w:ind w:right="80" w:firstLine="44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Insolvency</w:t>
      </w:r>
      <w:r>
        <w:rPr>
          <w:rFonts w:ascii="Arial" w:cs="Arial" w:eastAsia="Arial" w:hAnsi="Arial"/>
          <w:sz w:val="16"/>
          <w:szCs w:val="16"/>
          <w:color w:val="auto"/>
        </w:rPr>
        <w:t>. (a) Borrower is unable to pay its debts (including trade debts) as they become due or otherwise becomes insolvent; (b)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begins an Insolvency Proceeding; or (c) an Insolvency Proceeding is begun against Borrower and is not dismissed or stayed within thirty (30) days (but no Credit Extensions shall be made while any of the conditions described in clause (a) exist and/or until any Insolvency Proceeding is dismissed);</w:t>
      </w:r>
    </w:p>
    <w:p>
      <w:pPr>
        <w:spacing w:after="0" w:line="142"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Other Agreement</w:t>
      </w:r>
      <w:r>
        <w:rPr>
          <w:rFonts w:ascii="Arial" w:cs="Arial" w:eastAsia="Arial" w:hAnsi="Arial"/>
          <w:sz w:val="17"/>
          <w:szCs w:val="17"/>
          <w:color w:val="auto"/>
        </w:rPr>
        <w:t>s. There is, under any agreement to which Borrower or any Guarantor is a party with a third party or parties, (a) any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in a right by such third party or parties, whether or not exercised, to accelerate the maturity of any Indebtedness in an amount individually or in the aggregate in excess of Two Hundred Fifty Thousand Dollars ($250,000.00); or (b) any breach or default by Borrower or Guarantor, the result of which could reasonably be expected to have a material adverse effect on Borrower’s or any Guarantor’s business;</w:t>
      </w:r>
    </w:p>
    <w:p>
      <w:pPr>
        <w:spacing w:after="0" w:line="165"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Judgments; Penalties</w:t>
      </w:r>
      <w:r>
        <w:rPr>
          <w:rFonts w:ascii="Arial" w:cs="Arial" w:eastAsia="Arial" w:hAnsi="Arial"/>
          <w:sz w:val="17"/>
          <w:szCs w:val="17"/>
          <w:color w:val="auto"/>
        </w:rPr>
        <w:t>. One or more fines, penalties or final judgments, orders or decrees for the payment of money in an amount, individually or</w:t>
      </w:r>
      <w:r>
        <w:rPr>
          <w:rFonts w:ascii="Arial" w:cs="Arial" w:eastAsia="Arial" w:hAnsi="Arial"/>
          <w:sz w:val="17"/>
          <w:szCs w:val="17"/>
          <w:b w:val="1"/>
          <w:bCs w:val="1"/>
          <w:color w:val="auto"/>
        </w:rPr>
        <w:t xml:space="preserve"> </w:t>
      </w:r>
      <w:r>
        <w:rPr>
          <w:rFonts w:ascii="Arial" w:cs="Arial" w:eastAsia="Arial" w:hAnsi="Arial"/>
          <w:sz w:val="17"/>
          <w:szCs w:val="17"/>
          <w:color w:val="auto"/>
        </w:rPr>
        <w:t>in the aggregate, of at least Fifty Thousand Dollars ($50,000.00)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Misrepresentations</w:t>
      </w:r>
      <w:r>
        <w:rPr>
          <w:rFonts w:ascii="Arial" w:cs="Arial" w:eastAsia="Arial" w:hAnsi="Arial"/>
          <w:sz w:val="16"/>
          <w:szCs w:val="16"/>
          <w:color w:val="auto"/>
        </w:rPr>
        <w:t>. Borrower or any Person acting for Borrower makes any representation, warranty, or other statement now or later in this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Agreement, any Loan Document or in any writing delivered to Agent or any Lender or to induce Agent or any Lender to enter this Agreement or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Loan Document, and such representation, warranty, or other statement is incorrect in any material respect when made;</w:t>
      </w:r>
    </w:p>
    <w:p>
      <w:pPr>
        <w:spacing w:after="0" w:line="207"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Guaranty. </w:t>
      </w:r>
      <w:r>
        <w:rPr>
          <w:rFonts w:ascii="Arial" w:cs="Arial" w:eastAsia="Arial" w:hAnsi="Arial"/>
          <w:sz w:val="18"/>
          <w:szCs w:val="18"/>
          <w:color w:val="auto"/>
        </w:rPr>
        <w:t>(a) Any guaranty of any Obligations terminates or ceases for any reason to be in full force and effect; (b) any Guarantor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any obligation or covenant under any guaranty of the Obligations; (c) any circumstance described in Sections 8.3, 8.4, 8.5, 8.6, 8.7, or 8.8 of this Agreement occurs with respect to any Guarantor, (d) the liquidation, winding up, or termination of existence of any Guarantor; or (e) (i) a material impairment in the perfection or priority of Agent’s, for the ratable benefit of the Lenders’, Lien in the collateral provided by Guarantor or in the value of such collateral or (ii) a material adverse change in the general affairs, management, results of operation, financial condition or the prospect of repayment of the Obligations occurs with respect to any Guarantor;</w:t>
      </w:r>
    </w:p>
    <w:p>
      <w:pPr>
        <w:spacing w:after="0" w:line="187"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8"/>
          <w:szCs w:val="18"/>
          <w:b w:val="1"/>
          <w:bCs w:val="1"/>
          <w:color w:val="auto"/>
        </w:rPr>
        <w:t>Subordinated Debt</w:t>
      </w:r>
      <w:r>
        <w:rPr>
          <w:rFonts w:ascii="Arial" w:cs="Arial" w:eastAsia="Arial" w:hAnsi="Arial"/>
          <w:sz w:val="18"/>
          <w:szCs w:val="18"/>
          <w:color w:val="auto"/>
        </w:rPr>
        <w:t>. Any subordination, intercreditor, or other similar agreement evidencing the subordination of any Subordinated Debt shall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be revoked or 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w:t>
      </w:r>
    </w:p>
    <w:p>
      <w:pPr>
        <w:spacing w:after="0" w:line="180"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b w:val="1"/>
          <w:bCs w:val="1"/>
          <w:color w:val="auto"/>
        </w:rPr>
        <w:t>Governmental Approvals</w:t>
      </w:r>
      <w:r>
        <w:rPr>
          <w:rFonts w:ascii="Arial" w:cs="Arial" w:eastAsia="Arial" w:hAnsi="Arial"/>
          <w:sz w:val="18"/>
          <w:szCs w:val="18"/>
          <w:color w:val="auto"/>
        </w:rPr>
        <w:t>. Any Governmental Approval shall have been (a) revoked, rescinded, suspended, modified in an adverse manner or</w:t>
      </w:r>
      <w:r>
        <w:rPr>
          <w:rFonts w:ascii="Arial" w:cs="Arial" w:eastAsia="Arial" w:hAnsi="Arial"/>
          <w:sz w:val="18"/>
          <w:szCs w:val="18"/>
          <w:b w:val="1"/>
          <w:bCs w:val="1"/>
          <w:color w:val="auto"/>
        </w:rPr>
        <w:t xml:space="preserve"> </w:t>
      </w:r>
      <w:r>
        <w:rPr>
          <w:rFonts w:ascii="Arial" w:cs="Arial" w:eastAsia="Arial" w:hAnsi="Arial"/>
          <w:sz w:val="18"/>
          <w:szCs w:val="18"/>
          <w:color w:val="auto"/>
        </w:rPr>
        <w:t>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 or could reasonably be expected to cause, a Material Adverse Change, or (ii) adversely affects the legal qualifications of Borrower or any of its Subsidiaries to hold such Governmental Approval in any applicable jurisdiction and such revocation, rescission, suspension, modification or non-renewal could reasonably be expected to adversely affect the status of or legal qualifications of Borrower or any of its Subsidiaries to hold any Governmental Approval in any other jurisdiction; or</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Termination of the License Agreement</w:t>
      </w:r>
      <w:r>
        <w:rPr>
          <w:rFonts w:ascii="Arial" w:cs="Arial" w:eastAsia="Arial" w:hAnsi="Arial"/>
          <w:sz w:val="18"/>
          <w:szCs w:val="18"/>
          <w:color w:val="auto"/>
        </w:rPr>
        <w:t>. The License Agreement is terminated without the prior written consent of the Lenders.</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0" w:right="479" w:bottom="1440" w:gutter="0" w:footer="0" w:header="0"/>
        </w:sectPr>
      </w:pPr>
    </w:p>
    <w:bookmarkStart w:id="440" w:name="page441"/>
    <w:bookmarkEnd w:id="440"/>
    <w:p>
      <w:pPr>
        <w:ind w:left="4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 AND REMEDIES</w:t>
      </w:r>
    </w:p>
    <w:p>
      <w:pPr>
        <w:spacing w:after="0" w:line="117" w:lineRule="exact"/>
        <w:rPr>
          <w:sz w:val="20"/>
          <w:szCs w:val="20"/>
          <w:color w:val="auto"/>
        </w:rPr>
      </w:pPr>
    </w:p>
    <w:p>
      <w:pPr>
        <w:ind w:right="540" w:firstLine="440"/>
        <w:spacing w:after="0" w:line="266" w:lineRule="auto"/>
        <w:rPr>
          <w:sz w:val="20"/>
          <w:szCs w:val="20"/>
          <w:color w:val="auto"/>
        </w:rPr>
      </w:pPr>
      <w:r>
        <w:rPr>
          <w:rFonts w:ascii="Arial" w:cs="Arial" w:eastAsia="Arial" w:hAnsi="Arial"/>
          <w:sz w:val="18"/>
          <w:szCs w:val="18"/>
          <w:b w:val="1"/>
          <w:bCs w:val="1"/>
          <w:color w:val="auto"/>
        </w:rPr>
        <w:t>Rights and Remedies</w:t>
      </w:r>
      <w:r>
        <w:rPr>
          <w:rFonts w:ascii="Arial" w:cs="Arial" w:eastAsia="Arial" w:hAnsi="Arial"/>
          <w:sz w:val="18"/>
          <w:szCs w:val="18"/>
          <w:color w:val="auto"/>
        </w:rPr>
        <w:t>. Upon the occurrence and during the continuance of an Event of Default, Agent, in accordance with the Lender</w:t>
      </w:r>
      <w:r>
        <w:rPr>
          <w:rFonts w:ascii="Arial" w:cs="Arial" w:eastAsia="Arial" w:hAnsi="Arial"/>
          <w:sz w:val="18"/>
          <w:szCs w:val="18"/>
          <w:b w:val="1"/>
          <w:bCs w:val="1"/>
          <w:color w:val="auto"/>
        </w:rPr>
        <w:t xml:space="preserve"> </w:t>
      </w:r>
      <w:r>
        <w:rPr>
          <w:rFonts w:ascii="Arial" w:cs="Arial" w:eastAsia="Arial" w:hAnsi="Arial"/>
          <w:sz w:val="18"/>
          <w:szCs w:val="18"/>
          <w:color w:val="auto"/>
        </w:rPr>
        <w:t>Intercreditor Agreement or, if such rights and remedies are not addressed in the Lender Intercreditor Agreement, as directed by Lenders having a majority of the Obligations, may, without notice or demand, do any or all of the following:</w:t>
      </w:r>
    </w:p>
    <w:p>
      <w:pPr>
        <w:spacing w:after="0" w:line="72" w:lineRule="exact"/>
        <w:rPr>
          <w:sz w:val="20"/>
          <w:szCs w:val="20"/>
          <w:color w:val="auto"/>
        </w:rPr>
      </w:pPr>
    </w:p>
    <w:p>
      <w:pPr>
        <w:ind w:right="100" w:firstLine="987"/>
        <w:spacing w:after="0" w:line="277" w:lineRule="auto"/>
        <w:tabs>
          <w:tab w:leader="none" w:pos="1464" w:val="left"/>
        </w:tabs>
        <w:numPr>
          <w:ilvl w:val="0"/>
          <w:numId w:val="391"/>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Agent or any Lender);</w:t>
      </w:r>
    </w:p>
    <w:p>
      <w:pPr>
        <w:spacing w:after="0" w:line="170" w:lineRule="exact"/>
        <w:rPr>
          <w:rFonts w:ascii="Arial" w:cs="Arial" w:eastAsia="Arial" w:hAnsi="Arial"/>
          <w:sz w:val="18"/>
          <w:szCs w:val="18"/>
          <w:color w:val="auto"/>
        </w:rPr>
      </w:pPr>
    </w:p>
    <w:p>
      <w:pPr>
        <w:ind w:right="420" w:firstLine="987"/>
        <w:spacing w:after="0" w:line="277" w:lineRule="auto"/>
        <w:tabs>
          <w:tab w:leader="none" w:pos="1561" w:val="left"/>
        </w:tabs>
        <w:numPr>
          <w:ilvl w:val="0"/>
          <w:numId w:val="391"/>
        </w:numPr>
        <w:rPr>
          <w:rFonts w:ascii="Arial" w:cs="Arial" w:eastAsia="Arial" w:hAnsi="Arial"/>
          <w:sz w:val="18"/>
          <w:szCs w:val="18"/>
          <w:color w:val="auto"/>
        </w:rPr>
      </w:pPr>
      <w:r>
        <w:rPr>
          <w:rFonts w:ascii="Arial" w:cs="Arial" w:eastAsia="Arial" w:hAnsi="Arial"/>
          <w:sz w:val="18"/>
          <w:szCs w:val="18"/>
          <w:color w:val="auto"/>
        </w:rPr>
        <w:t>stop advancing money or extending credit for Borrower’s benefit under this Agreement or under any other agreement among Borrower, Agent, and/or any Lenders;</w:t>
      </w:r>
    </w:p>
    <w:p>
      <w:pPr>
        <w:spacing w:after="0" w:line="170" w:lineRule="exact"/>
        <w:rPr>
          <w:rFonts w:ascii="Arial" w:cs="Arial" w:eastAsia="Arial" w:hAnsi="Arial"/>
          <w:sz w:val="18"/>
          <w:szCs w:val="18"/>
          <w:color w:val="auto"/>
        </w:rPr>
      </w:pPr>
    </w:p>
    <w:p>
      <w:pPr>
        <w:ind w:right="40" w:firstLine="987"/>
        <w:spacing w:after="0" w:line="254" w:lineRule="auto"/>
        <w:tabs>
          <w:tab w:leader="none" w:pos="1561" w:val="left"/>
        </w:tabs>
        <w:numPr>
          <w:ilvl w:val="0"/>
          <w:numId w:val="391"/>
        </w:numPr>
        <w:rPr>
          <w:rFonts w:ascii="Arial" w:cs="Arial" w:eastAsia="Arial" w:hAnsi="Arial"/>
          <w:sz w:val="18"/>
          <w:szCs w:val="18"/>
          <w:color w:val="auto"/>
        </w:rPr>
      </w:pPr>
      <w:r>
        <w:rPr>
          <w:rFonts w:ascii="Arial" w:cs="Arial" w:eastAsia="Arial" w:hAnsi="Arial"/>
          <w:sz w:val="18"/>
          <w:szCs w:val="18"/>
          <w:color w:val="auto"/>
        </w:rPr>
        <w:t>demand that Borrower (i) deposit cash with SVB in an amount equal to at least (A) one hundred five percent (105.0%) of the Dollar Equivalent of the aggregate face amount of all Letters of Credit denominated in Dollars remaining undrawn, and (B) one hundred ten percent (110.0%) of the Dollar Equivalent of the aggregate face amount of all Letters of Credit denominated in a Foreign Currency remaining undrawn (plus, in each case, all interest, fees, and costs due or to become due in connection therewith (as estimated by SVB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94" w:lineRule="exact"/>
        <w:rPr>
          <w:rFonts w:ascii="Arial" w:cs="Arial" w:eastAsia="Arial" w:hAnsi="Arial"/>
          <w:sz w:val="18"/>
          <w:szCs w:val="18"/>
          <w:color w:val="auto"/>
        </w:rPr>
      </w:pPr>
    </w:p>
    <w:p>
      <w:pPr>
        <w:ind w:left="1440" w:hanging="453"/>
        <w:spacing w:after="0"/>
        <w:tabs>
          <w:tab w:leader="none" w:pos="14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terminate any FX Contracts;</w:t>
      </w:r>
    </w:p>
    <w:p>
      <w:pPr>
        <w:spacing w:after="0" w:line="225" w:lineRule="exact"/>
        <w:rPr>
          <w:rFonts w:ascii="Arial" w:cs="Arial" w:eastAsia="Arial" w:hAnsi="Arial"/>
          <w:sz w:val="18"/>
          <w:szCs w:val="18"/>
          <w:color w:val="auto"/>
        </w:rPr>
      </w:pPr>
    </w:p>
    <w:p>
      <w:pPr>
        <w:ind w:firstLine="987"/>
        <w:spacing w:after="0" w:line="257" w:lineRule="auto"/>
        <w:tabs>
          <w:tab w:leader="none" w:pos="1441" w:val="left"/>
        </w:tabs>
        <w:numPr>
          <w:ilvl w:val="0"/>
          <w:numId w:val="391"/>
        </w:numPr>
        <w:rPr>
          <w:rFonts w:ascii="Arial" w:cs="Arial" w:eastAsia="Arial" w:hAnsi="Arial"/>
          <w:sz w:val="18"/>
          <w:szCs w:val="18"/>
          <w:color w:val="auto"/>
        </w:rPr>
      </w:pPr>
      <w:r>
        <w:rPr>
          <w:rFonts w:ascii="Arial" w:cs="Arial" w:eastAsia="Arial" w:hAnsi="Arial"/>
          <w:sz w:val="18"/>
          <w:szCs w:val="18"/>
          <w:color w:val="auto"/>
        </w:rPr>
        <w:t>verify the amount of, demand payment of and performance under, and collect any Accounts and General Intangibles, settle or adjust disputes and claims directly with Account Debtors for amounts on terms and in any order that Agent and/or the Lenders consider advisable, and notify any Person owing Borrower money of Agent’s security interest in such funds. Borrower shall collect all payments in trust for Agent, for the ratable benefit of the Lenders and, if requested by Agent, immediately deliver the payments to Agent, for the ratable benefit of the Lenders in the form received from the Account Debtor, with proper endorsements for deposit;</w:t>
      </w:r>
    </w:p>
    <w:p>
      <w:pPr>
        <w:spacing w:after="0" w:line="187" w:lineRule="exact"/>
        <w:rPr>
          <w:rFonts w:ascii="Arial" w:cs="Arial" w:eastAsia="Arial" w:hAnsi="Arial"/>
          <w:sz w:val="18"/>
          <w:szCs w:val="18"/>
          <w:color w:val="auto"/>
        </w:rPr>
      </w:pPr>
    </w:p>
    <w:p>
      <w:pPr>
        <w:ind w:right="40" w:firstLine="987"/>
        <w:spacing w:after="0" w:line="275" w:lineRule="auto"/>
        <w:tabs>
          <w:tab w:leader="none" w:pos="1561" w:val="left"/>
        </w:tabs>
        <w:numPr>
          <w:ilvl w:val="0"/>
          <w:numId w:val="391"/>
        </w:numPr>
        <w:rPr>
          <w:rFonts w:ascii="Arial" w:cs="Arial" w:eastAsia="Arial" w:hAnsi="Arial"/>
          <w:sz w:val="17"/>
          <w:szCs w:val="17"/>
          <w:color w:val="auto"/>
        </w:rPr>
      </w:pPr>
      <w:r>
        <w:rPr>
          <w:rFonts w:ascii="Arial" w:cs="Arial" w:eastAsia="Arial" w:hAnsi="Arial"/>
          <w:sz w:val="17"/>
          <w:szCs w:val="17"/>
          <w:color w:val="auto"/>
        </w:rPr>
        <w:t>make any payments and do any acts Agent or any Lender considers necessary or reasonable to protect the Collateral and/or its security interest in the Collateral. Borrower shall assemble the Collateral if Agent requests and make it available as Agent designates. Agent may enter premises where the Collateral is located, take and maintain possession of any part of the Collateral, and pay, purchase, contest, or compromise any Lien which appears to be prior or superior to its security interest or charges and pay all expenses incurred. Borrower grants Agent a license to enter and occupy any of its premises, without charge, to exercise any of Agent’s rights or remedies;</w:t>
      </w:r>
    </w:p>
    <w:p>
      <w:pPr>
        <w:spacing w:after="0" w:line="176" w:lineRule="exact"/>
        <w:rPr>
          <w:rFonts w:ascii="Arial" w:cs="Arial" w:eastAsia="Arial" w:hAnsi="Arial"/>
          <w:sz w:val="17"/>
          <w:szCs w:val="17"/>
          <w:color w:val="auto"/>
        </w:rPr>
      </w:pPr>
    </w:p>
    <w:p>
      <w:pPr>
        <w:ind w:right="320" w:firstLine="987"/>
        <w:spacing w:after="0" w:line="277" w:lineRule="auto"/>
        <w:tabs>
          <w:tab w:leader="none" w:pos="1441"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apply to the Obligations (i) any balances and deposits of Borrower it holds, or (ii) any amount held by Agent owing to or for the credit or the account of Borrower;</w:t>
      </w:r>
    </w:p>
    <w:p>
      <w:pPr>
        <w:spacing w:after="0" w:line="170" w:lineRule="exact"/>
        <w:rPr>
          <w:rFonts w:ascii="Arial" w:cs="Arial" w:eastAsia="Arial" w:hAnsi="Arial"/>
          <w:sz w:val="18"/>
          <w:szCs w:val="18"/>
          <w:color w:val="auto"/>
        </w:rPr>
      </w:pPr>
    </w:p>
    <w:p>
      <w:pPr>
        <w:ind w:firstLine="987"/>
        <w:spacing w:after="0" w:line="296" w:lineRule="auto"/>
        <w:tabs>
          <w:tab w:leader="none" w:pos="1711" w:val="left"/>
        </w:tabs>
        <w:numPr>
          <w:ilvl w:val="0"/>
          <w:numId w:val="391"/>
        </w:numPr>
        <w:rPr>
          <w:rFonts w:ascii="Arial" w:cs="Arial" w:eastAsia="Arial" w:hAnsi="Arial"/>
          <w:sz w:val="16"/>
          <w:szCs w:val="16"/>
          <w:color w:val="auto"/>
        </w:rPr>
      </w:pPr>
      <w:r>
        <w:rPr>
          <w:rFonts w:ascii="Arial" w:cs="Arial" w:eastAsia="Arial" w:hAnsi="Arial"/>
          <w:sz w:val="16"/>
          <w:szCs w:val="16"/>
          <w:color w:val="auto"/>
        </w:rPr>
        <w:t>ship, reclaim, recover, store, finish, maintain, repair, prepare for sale, advertise for sale, and sell the Collateral. Agent, for the benefit of the Lenders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Agent’s exercise of its rights under this Section, Borrower’s rights under all licenses and all franchise agreements inure to Agent, for the ratable benefit of the Lenders;</w:t>
      </w:r>
    </w:p>
    <w:p>
      <w:pPr>
        <w:spacing w:after="0" w:line="161" w:lineRule="exact"/>
        <w:rPr>
          <w:rFonts w:ascii="Arial" w:cs="Arial" w:eastAsia="Arial" w:hAnsi="Arial"/>
          <w:sz w:val="16"/>
          <w:szCs w:val="16"/>
          <w:color w:val="auto"/>
        </w:rPr>
      </w:pPr>
    </w:p>
    <w:p>
      <w:pPr>
        <w:ind w:right="380" w:firstLine="987"/>
        <w:spacing w:after="0" w:line="342" w:lineRule="auto"/>
        <w:tabs>
          <w:tab w:leader="none" w:pos="1561" w:val="left"/>
        </w:tabs>
        <w:numPr>
          <w:ilvl w:val="0"/>
          <w:numId w:val="391"/>
        </w:numPr>
        <w:rPr>
          <w:rFonts w:ascii="Arial" w:cs="Arial" w:eastAsia="Arial" w:hAnsi="Arial"/>
          <w:sz w:val="16"/>
          <w:szCs w:val="16"/>
          <w:color w:val="auto"/>
        </w:rPr>
      </w:pPr>
      <w:r>
        <w:rPr>
          <w:rFonts w:ascii="Arial" w:cs="Arial" w:eastAsia="Arial" w:hAnsi="Arial"/>
          <w:sz w:val="16"/>
          <w:szCs w:val="16"/>
          <w:color w:val="auto"/>
        </w:rPr>
        <w:t>place a “hold” on any account maintained with Agent or Lenders and/or deliver a notice of exclusive control, any entitlement order, or other directions or instructions pursuant to any Control Agreement or similar agreements providing control of any Collateral;</w:t>
      </w:r>
    </w:p>
    <w:p>
      <w:pPr>
        <w:spacing w:after="0" w:line="123" w:lineRule="exact"/>
        <w:rPr>
          <w:rFonts w:ascii="Arial" w:cs="Arial" w:eastAsia="Arial" w:hAnsi="Arial"/>
          <w:sz w:val="16"/>
          <w:szCs w:val="16"/>
          <w:color w:val="auto"/>
        </w:rPr>
      </w:pPr>
    </w:p>
    <w:p>
      <w:pPr>
        <w:ind w:left="1560" w:hanging="573"/>
        <w:spacing w:after="0"/>
        <w:tabs>
          <w:tab w:leader="none" w:pos="15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0" w:right="499" w:bottom="1440" w:gutter="0" w:footer="0" w:header="0"/>
        </w:sectPr>
      </w:pPr>
    </w:p>
    <w:bookmarkStart w:id="441" w:name="page442"/>
    <w:bookmarkEnd w:id="441"/>
    <w:p>
      <w:pPr>
        <w:ind w:left="4" w:right="280" w:firstLine="987"/>
        <w:spacing w:after="0" w:line="277" w:lineRule="auto"/>
        <w:tabs>
          <w:tab w:leader="none" w:pos="1565" w:val="left"/>
        </w:tabs>
        <w:numPr>
          <w:ilvl w:val="0"/>
          <w:numId w:val="3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exercise all rights and remedies available to Agent and the Lenders under the Loan Documents or at law or equity, including all remedies provided under the Code (including disposal of the Collateral pursuant to the terms thereof).</w:t>
      </w:r>
    </w:p>
    <w:p>
      <w:pPr>
        <w:spacing w:after="0" w:line="166"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b w:val="1"/>
          <w:bCs w:val="1"/>
          <w:color w:val="auto"/>
        </w:rPr>
        <w:t>Power of Attorney</w:t>
      </w:r>
      <w:r>
        <w:rPr>
          <w:rFonts w:ascii="Arial" w:cs="Arial" w:eastAsia="Arial" w:hAnsi="Arial"/>
          <w:sz w:val="16"/>
          <w:szCs w:val="16"/>
          <w:color w:val="auto"/>
        </w:rPr>
        <w:t>. Borrower hereby irrevocably appoints Agent, for the benefit of the Lenders, as its lawful attorney-in-fact, exercisable upon</w:t>
      </w:r>
      <w:r>
        <w:rPr>
          <w:rFonts w:ascii="Arial" w:cs="Arial" w:eastAsia="Arial" w:hAnsi="Arial"/>
          <w:sz w:val="16"/>
          <w:szCs w:val="16"/>
          <w:b w:val="1"/>
          <w:bCs w:val="1"/>
          <w:color w:val="auto"/>
        </w:rPr>
        <w:t xml:space="preserve"> </w:t>
      </w:r>
      <w:r>
        <w:rPr>
          <w:rFonts w:ascii="Arial" w:cs="Arial" w:eastAsia="Arial" w:hAnsi="Arial"/>
          <w:sz w:val="16"/>
          <w:szCs w:val="16"/>
          <w:color w:val="auto"/>
        </w:rPr>
        <w:t>the occurrence and during the continuance of an Event of Default, to: (a) endorse Borrower’s name on any checks or other forms of payment or security;</w:t>
      </w:r>
    </w:p>
    <w:p>
      <w:pPr>
        <w:spacing w:after="0" w:line="1" w:lineRule="exact"/>
        <w:rPr>
          <w:sz w:val="20"/>
          <w:szCs w:val="20"/>
          <w:color w:val="auto"/>
        </w:rPr>
      </w:pPr>
    </w:p>
    <w:p>
      <w:pPr>
        <w:ind w:left="4" w:hanging="4"/>
        <w:spacing w:after="0" w:line="286" w:lineRule="auto"/>
        <w:tabs>
          <w:tab w:leader="none" w:pos="259" w:val="left"/>
        </w:tabs>
        <w:numPr>
          <w:ilvl w:val="0"/>
          <w:numId w:val="393"/>
        </w:numPr>
        <w:rPr>
          <w:rFonts w:ascii="Arial" w:cs="Arial" w:eastAsia="Arial" w:hAnsi="Arial"/>
          <w:sz w:val="16"/>
          <w:szCs w:val="16"/>
          <w:color w:val="auto"/>
        </w:rPr>
      </w:pPr>
      <w:r>
        <w:rPr>
          <w:rFonts w:ascii="Arial" w:cs="Arial" w:eastAsia="Arial" w:hAnsi="Arial"/>
          <w:sz w:val="16"/>
          <w:szCs w:val="16"/>
          <w:color w:val="auto"/>
        </w:rPr>
        <w:t>sign Borrower’s name on any invoice or bill of lading for any Account or drafts against Account Debtors; (c) settle and adjust disputes and claims about the Accounts directly with Account Debtors, for amounts and on terms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Agent or a third party as the Code permits. Borrower hereby appoints Agent as its lawful attorney-in-fact to sign Borrower’s name on any documents necessary to perfect or continue the perfection of Agent’s security interest in the Collateral regardless of whether an Event of Default has occurred until all Obligations (other than inchoate indemnity obligations) have been satisfied in full and Lenders are under no further obligation to make Credit Extensions hereunder. Agent’s foregoing appointment as Borrower’s attorney in fact, and all of Agent’s rights and powers, coupled with an interest, are irrevocable until all Obligations have been fully repaid and performed and each Lender’s obligation to provide Credit Extensions terminates.</w:t>
      </w:r>
    </w:p>
    <w:p>
      <w:pPr>
        <w:spacing w:after="0" w:line="168" w:lineRule="exact"/>
        <w:rPr>
          <w:sz w:val="20"/>
          <w:szCs w:val="20"/>
          <w:color w:val="auto"/>
        </w:rPr>
      </w:pPr>
    </w:p>
    <w:p>
      <w:pPr>
        <w:ind w:left="4" w:right="100" w:firstLine="440"/>
        <w:spacing w:after="0" w:line="294" w:lineRule="auto"/>
        <w:rPr>
          <w:sz w:val="20"/>
          <w:szCs w:val="20"/>
          <w:color w:val="auto"/>
        </w:rPr>
      </w:pPr>
      <w:r>
        <w:rPr>
          <w:rFonts w:ascii="Arial" w:cs="Arial" w:eastAsia="Arial" w:hAnsi="Arial"/>
          <w:sz w:val="16"/>
          <w:szCs w:val="16"/>
          <w:b w:val="1"/>
          <w:bCs w:val="1"/>
          <w:color w:val="auto"/>
        </w:rPr>
        <w:t>Protective Payments</w:t>
      </w:r>
      <w:r>
        <w:rPr>
          <w:rFonts w:ascii="Arial" w:cs="Arial" w:eastAsia="Arial" w:hAnsi="Arial"/>
          <w:sz w:val="16"/>
          <w:szCs w:val="16"/>
          <w:color w:val="auto"/>
        </w:rPr>
        <w:t>. If Borrower fails to obtain the insurance called for by Section 6.5 or fails to pay any premium thereon or fails to pay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amount which Borrower is obligated to pay under this Agreement or any other Loan Document or which may be required to preserve the Collateral, Agent may obtain such insurance or make such payment, and all amounts so paid by Agent are Lenders’ Expenses and immediately due and payable, bearing interest at the then highest rate applicable to the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or Lender’s waiver of any Event of Default.</w:t>
      </w:r>
    </w:p>
    <w:p>
      <w:pPr>
        <w:spacing w:after="0" w:line="160"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b w:val="1"/>
          <w:bCs w:val="1"/>
          <w:color w:val="auto"/>
        </w:rPr>
        <w:t>Application of Payments and Proceeds Upon Default</w:t>
      </w:r>
      <w:r>
        <w:rPr>
          <w:rFonts w:ascii="Arial" w:cs="Arial" w:eastAsia="Arial" w:hAnsi="Arial"/>
          <w:sz w:val="18"/>
          <w:szCs w:val="18"/>
          <w:color w:val="auto"/>
        </w:rPr>
        <w:t>. If an Event of Default has occurred and is continuing, Agent shall have the right to apply</w:t>
      </w:r>
      <w:r>
        <w:rPr>
          <w:rFonts w:ascii="Arial" w:cs="Arial" w:eastAsia="Arial" w:hAnsi="Arial"/>
          <w:sz w:val="18"/>
          <w:szCs w:val="18"/>
          <w:b w:val="1"/>
          <w:bCs w:val="1"/>
          <w:color w:val="auto"/>
        </w:rPr>
        <w:t xml:space="preserve"> </w:t>
      </w:r>
      <w:r>
        <w:rPr>
          <w:rFonts w:ascii="Arial" w:cs="Arial" w:eastAsia="Arial" w:hAnsi="Arial"/>
          <w:sz w:val="18"/>
          <w:szCs w:val="18"/>
          <w:color w:val="auto"/>
        </w:rPr>
        <w:t>in any order any funds in its possession, whether from Borrower’s account balances, payments, proceeds realized as the result of any collection of Accounts or other disposition of the Collateral, or otherwise, to the Obligations. Agent shall pay any surplus to Borrower by credit to the Designated Deposit Account or to other Persons legally entitled thereto; Borrower shall remain liable to Agent and the Lenders for any deficiency. If Agent, directly or indirectly, enters into a deferred payment or other credit transaction with any purchaser at any sale of Collateral, Agent shall have the option, exercisable at any time, of either reducing the Obligations by the principal amount of the purchase price or deferring the reduction of the Obligations until the actual receipt by Agent of cash therefor.</w:t>
      </w:r>
    </w:p>
    <w:p>
      <w:pPr>
        <w:spacing w:after="0" w:line="189" w:lineRule="exact"/>
        <w:rPr>
          <w:sz w:val="20"/>
          <w:szCs w:val="20"/>
          <w:color w:val="auto"/>
        </w:rPr>
      </w:pPr>
    </w:p>
    <w:p>
      <w:pPr>
        <w:ind w:left="4" w:right="180" w:firstLine="440"/>
        <w:spacing w:after="0" w:line="261" w:lineRule="auto"/>
        <w:rPr>
          <w:sz w:val="20"/>
          <w:szCs w:val="20"/>
          <w:color w:val="auto"/>
        </w:rPr>
      </w:pPr>
      <w:r>
        <w:rPr>
          <w:rFonts w:ascii="Arial" w:cs="Arial" w:eastAsia="Arial" w:hAnsi="Arial"/>
          <w:sz w:val="18"/>
          <w:szCs w:val="18"/>
          <w:b w:val="1"/>
          <w:bCs w:val="1"/>
          <w:color w:val="auto"/>
        </w:rPr>
        <w:t>Liability for Collateral</w:t>
      </w:r>
      <w:r>
        <w:rPr>
          <w:rFonts w:ascii="Arial" w:cs="Arial" w:eastAsia="Arial" w:hAnsi="Arial"/>
          <w:sz w:val="18"/>
          <w:szCs w:val="18"/>
          <w:color w:val="auto"/>
        </w:rPr>
        <w:t>. So long as Agent and Lenders comply with reasonable banking practices regarding the safekeeping of the Collateral in</w:t>
      </w:r>
      <w:r>
        <w:rPr>
          <w:rFonts w:ascii="Arial" w:cs="Arial" w:eastAsia="Arial" w:hAnsi="Arial"/>
          <w:sz w:val="18"/>
          <w:szCs w:val="18"/>
          <w:b w:val="1"/>
          <w:bCs w:val="1"/>
          <w:color w:val="auto"/>
        </w:rPr>
        <w:t xml:space="preserve"> </w:t>
      </w:r>
      <w:r>
        <w:rPr>
          <w:rFonts w:ascii="Arial" w:cs="Arial" w:eastAsia="Arial" w:hAnsi="Arial"/>
          <w:sz w:val="18"/>
          <w:szCs w:val="18"/>
          <w:color w:val="auto"/>
        </w:rPr>
        <w:t>their possession or under the control of Agent and/or Lenders, Agent and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80"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b w:val="1"/>
          <w:bCs w:val="1"/>
          <w:color w:val="auto"/>
        </w:rPr>
        <w:t>No Waiver; Remedies Cumulative</w:t>
      </w:r>
      <w:r>
        <w:rPr>
          <w:rFonts w:ascii="Arial" w:cs="Arial" w:eastAsia="Arial" w:hAnsi="Arial"/>
          <w:sz w:val="16"/>
          <w:szCs w:val="16"/>
          <w:color w:val="auto"/>
        </w:rPr>
        <w:t>. Agent’s and any Lender’s failure, at any time or times, to require strict performance by Borrower of any</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of this Agreement or any other Loan Document shall not waive, affect, or diminish any right of Agent or any Lender thereafter to demand strict performance and compliance herewith or therewith. No waiver hereunder shall be effective unless signed by the party granting the waiver and then is only effective for the specific instance and purpose for which it is given. Agent’s and each Lender’s rights and remedies under this Agreement and the other Loan Documents are cumulative. Agent and each Lender have all rights and remedies provided under the Code, by law, or in equity. Agent’s or any Lender’s exercise of one right or remedy is not an election and shall not preclude Agent or any Lender from exercising any other remedy under this Agreement or any other Loan Document or other remedy available at law or in equity, and Agent’s or any Lender’s waiver of any Event of Default is not a continuing waiver. Agent’s or any Lender’s delay in exercising any remedy is not a waiver, election, or acquiescence.</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442" w:name="page443"/>
    <w:bookmarkEnd w:id="442"/>
    <w:p>
      <w:pPr>
        <w:jc w:val="both"/>
        <w:ind w:right="6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Demand Waiver</w:t>
      </w:r>
      <w:r>
        <w:rPr>
          <w:rFonts w:ascii="Arial" w:cs="Arial" w:eastAsia="Arial" w:hAnsi="Arial"/>
          <w:sz w:val="18"/>
          <w:szCs w:val="18"/>
          <w:color w:val="auto"/>
        </w:rPr>
        <w:t>. Borrower waives demand, notice of default or dishonor, notice of payment and nonpayment, notice of any default, nonpayment</w:t>
      </w:r>
      <w:r>
        <w:rPr>
          <w:rFonts w:ascii="Arial" w:cs="Arial" w:eastAsia="Arial" w:hAnsi="Arial"/>
          <w:sz w:val="18"/>
          <w:szCs w:val="18"/>
          <w:b w:val="1"/>
          <w:bCs w:val="1"/>
          <w:color w:val="auto"/>
        </w:rPr>
        <w:t xml:space="preserve"> </w:t>
      </w:r>
      <w:r>
        <w:rPr>
          <w:rFonts w:ascii="Arial" w:cs="Arial" w:eastAsia="Arial" w:hAnsi="Arial"/>
          <w:sz w:val="18"/>
          <w:szCs w:val="18"/>
          <w:color w:val="auto"/>
        </w:rPr>
        <w:t>at maturity, release, compromise, settlement, extension, or renewal of accounts, documents, instruments, chattel paper, and guarantees held by Agent on which Borrower is liable.</w:t>
      </w:r>
    </w:p>
    <w:p>
      <w:pPr>
        <w:spacing w:after="0" w:line="17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Borrower Liability. </w:t>
      </w:r>
      <w:r>
        <w:rPr>
          <w:rFonts w:ascii="Arial" w:cs="Arial" w:eastAsia="Arial" w:hAnsi="Arial"/>
          <w:sz w:val="17"/>
          <w:szCs w:val="17"/>
          <w:color w:val="auto"/>
        </w:rPr>
        <w:t>Each Borrower may, acting singly, request Credit Extensions hereunder. Each Borrower hereby appoints each other as agent</w:t>
      </w:r>
      <w:r>
        <w:rPr>
          <w:rFonts w:ascii="Arial" w:cs="Arial" w:eastAsia="Arial" w:hAnsi="Arial"/>
          <w:sz w:val="17"/>
          <w:szCs w:val="17"/>
          <w:b w:val="1"/>
          <w:bCs w:val="1"/>
          <w:color w:val="auto"/>
        </w:rPr>
        <w:t xml:space="preserve"> </w:t>
      </w:r>
      <w:r>
        <w:rPr>
          <w:rFonts w:ascii="Arial" w:cs="Arial" w:eastAsia="Arial" w:hAnsi="Arial"/>
          <w:sz w:val="17"/>
          <w:szCs w:val="17"/>
          <w:color w:val="auto"/>
        </w:rPr>
        <w:t>for itself for all purposes hereunder, including with respect to requesting Credit Extensions hereunder. Each Borrower hereunder shall be jointly and severally obligated to repay all Credit Extensions made hereunder, regardless of which Borrower actually receives said Credit Extension, as if each Borrower hereunder directly received all Credit Extensions. To the extent not prohibited by applicable law, each Borrower waives (a) any suretyship defenses available to it under the Code or any other applicable law, including, without limitation, the benefit of California Civil Code Section 2815 permitting revocation as to future transactions and the benefit of California Civil Code Sections 1432, 2809, 2810, 2819, 2839, 2845, 2847, 2848, 2849, 2850, and 2899 and 3433, and (b) any right to require Agent or the Lenders to: (i) proceed against any Borrower or any other person; (ii) proceed against or exhaust any security; or (iii) pursue any other remedy. Agent and Lenders may exercise or not exercise any right or remedy it has against any Borrower or any security it holds (including the right to foreclose or realize its security by judicial or non-judicial sale) without affecting any Borrower’s liability.</w:t>
      </w:r>
    </w:p>
    <w:p>
      <w:pPr>
        <w:spacing w:after="0" w:line="181"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Notwithstanding any other provision of this Agreement or other related document, each Borrower irrevocably waives all rights that it may have at law or in equity (including, without limitation, any law subrogating Borrower to the rights of Agent or the Lenders under this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Agreement or otherwise and all rights that it might have to benefit from, or to participate in, any security for the Obligations as a result of any payment made by Borrower with respect to the Obligations in connection with this Agreement or otherwise. Any agreement providing for indemnification, reimbursement or any other arrangement prohibited under this Section 9.8 shall be null and void. If any payment is made to a Borrower in contravention of this Section 9.8, such Borrower shall hold such payment in trust for Agent and such payment shall be promptly delivered to Agent for application to the Obligations, whether matured or unmatured.</w:t>
      </w:r>
    </w:p>
    <w:p>
      <w:pPr>
        <w:spacing w:after="0" w:line="196" w:lineRule="exact"/>
        <w:rPr>
          <w:sz w:val="20"/>
          <w:szCs w:val="20"/>
          <w:color w:val="auto"/>
        </w:rPr>
      </w:pPr>
    </w:p>
    <w:p>
      <w:pPr>
        <w:ind w:right="440" w:firstLine="440"/>
        <w:spacing w:after="0" w:line="342" w:lineRule="auto"/>
        <w:rPr>
          <w:sz w:val="20"/>
          <w:szCs w:val="20"/>
          <w:color w:val="auto"/>
        </w:rPr>
      </w:pPr>
      <w:r>
        <w:rPr>
          <w:rFonts w:ascii="Arial" w:cs="Arial" w:eastAsia="Arial" w:hAnsi="Arial"/>
          <w:sz w:val="16"/>
          <w:szCs w:val="16"/>
          <w:color w:val="auto"/>
        </w:rPr>
        <w:t>Each Borrower is entering into this Agreement, and making all representations and warranties hereunder, on a joint and several basis, and all covenants, agreements and undertakings herein expressed or implied on the part of each Borrower shall be deemed to be joint and several.</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AGENT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Appointment and Authority.</w:t>
      </w:r>
    </w:p>
    <w:p>
      <w:pPr>
        <w:spacing w:after="0" w:line="229" w:lineRule="exact"/>
        <w:rPr>
          <w:sz w:val="20"/>
          <w:szCs w:val="20"/>
          <w:color w:val="auto"/>
        </w:rPr>
      </w:pPr>
    </w:p>
    <w:p>
      <w:pPr>
        <w:jc w:val="both"/>
        <w:ind w:right="220" w:firstLine="987"/>
        <w:spacing w:after="0" w:line="263" w:lineRule="auto"/>
        <w:tabs>
          <w:tab w:leader="none" w:pos="1561" w:val="left"/>
        </w:tabs>
        <w:numPr>
          <w:ilvl w:val="0"/>
          <w:numId w:val="394"/>
        </w:numPr>
        <w:rPr>
          <w:rFonts w:ascii="Arial" w:cs="Arial" w:eastAsia="Arial" w:hAnsi="Arial"/>
          <w:sz w:val="18"/>
          <w:szCs w:val="18"/>
          <w:color w:val="auto"/>
        </w:rPr>
      </w:pPr>
      <w:r>
        <w:rPr>
          <w:rFonts w:ascii="Arial" w:cs="Arial" w:eastAsia="Arial" w:hAnsi="Arial"/>
          <w:sz w:val="18"/>
          <w:szCs w:val="18"/>
          <w:color w:val="auto"/>
        </w:rPr>
        <w:t>Each Lender hereby irrevocably appoints SVB to act on its behalf as Agent hereunder and under the other Loan Documents and authorizes Agent to take such actions on its behalf and to exercise such powers as are delegated to Agent by the terms hereof or thereof, together with such actions and powers as are reasonably incidental thereto.</w:t>
      </w:r>
    </w:p>
    <w:p>
      <w:pPr>
        <w:spacing w:after="0" w:line="183" w:lineRule="exact"/>
        <w:rPr>
          <w:rFonts w:ascii="Arial" w:cs="Arial" w:eastAsia="Arial" w:hAnsi="Arial"/>
          <w:sz w:val="18"/>
          <w:szCs w:val="18"/>
          <w:color w:val="auto"/>
        </w:rPr>
      </w:pPr>
    </w:p>
    <w:p>
      <w:pPr>
        <w:ind w:right="40" w:firstLine="987"/>
        <w:spacing w:after="0" w:line="257" w:lineRule="auto"/>
        <w:tabs>
          <w:tab w:leader="none" w:pos="1468"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provisions of this Section 10 are solely for the benefit of Agent and Lenders, and Borrower shall not have rights as a third party beneficiary of any of such provisions. Notwithstanding any provision to the contrary elsewhere in this Agreement, Agent shall not have any duties or responsibilities to any Lender or any other Person, except those expressly set forth herein, or any fiduciary relationship with any Lender, and no implied covenants, functions, responsibilities, duties, obligations or liabilities shall be read into this Agreement or any other Loan Document or otherwise exist against Agent.</w:t>
      </w:r>
    </w:p>
    <w:p>
      <w:pPr>
        <w:spacing w:after="0" w:line="184" w:lineRule="exact"/>
        <w:rPr>
          <w:sz w:val="20"/>
          <w:szCs w:val="20"/>
          <w:color w:val="auto"/>
        </w:rPr>
      </w:pPr>
    </w:p>
    <w:p>
      <w:pPr>
        <w:ind w:right="360" w:firstLine="440"/>
        <w:spacing w:after="0" w:line="277" w:lineRule="auto"/>
        <w:rPr>
          <w:sz w:val="20"/>
          <w:szCs w:val="20"/>
          <w:color w:val="auto"/>
        </w:rPr>
      </w:pPr>
      <w:r>
        <w:rPr>
          <w:rFonts w:ascii="Arial" w:cs="Arial" w:eastAsia="Arial" w:hAnsi="Arial"/>
          <w:sz w:val="17"/>
          <w:szCs w:val="17"/>
          <w:b w:val="1"/>
          <w:bCs w:val="1"/>
          <w:color w:val="auto"/>
        </w:rPr>
        <w:t>Delegation of Duties</w:t>
      </w:r>
      <w:r>
        <w:rPr>
          <w:rFonts w:ascii="Arial" w:cs="Arial" w:eastAsia="Arial" w:hAnsi="Arial"/>
          <w:sz w:val="17"/>
          <w:szCs w:val="17"/>
          <w:color w:val="auto"/>
        </w:rPr>
        <w:t>. Agent may perform any and all of its duties and exercise its rights and powers hereunder or under any other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by or through any one or more sub-agents appointed by Agent. Agent and any such sub-agent may perform any and all of its duties and exercise its rights and powers by or through their respective Indemnified Persons. The exculpatory provisions of this Section 10.2 shall apply to any such sub-agent and to the Indemnified Persons of Agent and any such sub-agent, and shall apply to their respective activities in connection with the syndication of the credit facilities provided for herein as well as activities as Agent.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443" w:name="page444"/>
    <w:bookmarkEnd w:id="443"/>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Exculpatory Provisions</w:t>
      </w:r>
      <w:r>
        <w:rPr>
          <w:rFonts w:ascii="Arial" w:cs="Arial" w:eastAsia="Arial" w:hAnsi="Arial"/>
          <w:sz w:val="16"/>
          <w:szCs w:val="16"/>
          <w:color w:val="auto"/>
        </w:rPr>
        <w:t>. Agent shall have no duties or obligations except those expressly set forth herein and in the other Loan Documents.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Without limiting the generality of the foregoing, Agent shall not:</w:t>
      </w:r>
    </w:p>
    <w:p>
      <w:pPr>
        <w:spacing w:after="0" w:line="103"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8"/>
          <w:szCs w:val="18"/>
          <w:color w:val="auto"/>
        </w:rPr>
        <w:t>(sss)</w:t>
      </w:r>
      <w:r>
        <w:rPr>
          <w:sz w:val="20"/>
          <w:szCs w:val="20"/>
          <w:color w:val="auto"/>
        </w:rPr>
        <w:tab/>
      </w:r>
      <w:r>
        <w:rPr>
          <w:rFonts w:ascii="Arial" w:cs="Arial" w:eastAsia="Arial" w:hAnsi="Arial"/>
          <w:sz w:val="16"/>
          <w:szCs w:val="16"/>
          <w:color w:val="auto"/>
        </w:rPr>
        <w:t>be subject to any fiduciary, trust, agency or other similar duties, regardless of whether any Event of Default has occurred and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continuing;</w:t>
      </w:r>
    </w:p>
    <w:p>
      <w:pPr>
        <w:spacing w:after="0" w:line="211" w:lineRule="exact"/>
        <w:rPr>
          <w:sz w:val="20"/>
          <w:szCs w:val="20"/>
          <w:color w:val="auto"/>
        </w:rPr>
      </w:pPr>
    </w:p>
    <w:p>
      <w:pPr>
        <w:ind w:right="200" w:firstLine="987"/>
        <w:spacing w:after="0" w:line="259" w:lineRule="auto"/>
        <w:tabs>
          <w:tab w:leader="none" w:pos="1441" w:val="left"/>
        </w:tabs>
        <w:numPr>
          <w:ilvl w:val="0"/>
          <w:numId w:val="395"/>
        </w:numPr>
        <w:rPr>
          <w:rFonts w:ascii="Arial" w:cs="Arial" w:eastAsia="Arial" w:hAnsi="Arial"/>
          <w:sz w:val="18"/>
          <w:szCs w:val="18"/>
          <w:color w:val="auto"/>
        </w:rPr>
      </w:pPr>
      <w:r>
        <w:rPr>
          <w:rFonts w:ascii="Arial" w:cs="Arial" w:eastAsia="Arial" w:hAnsi="Arial"/>
          <w:sz w:val="18"/>
          <w:szCs w:val="18"/>
          <w:color w:val="auto"/>
        </w:rPr>
        <w:t xml:space="preserve">have any duty to take any discretionary action or exercise any discretionary powers, except discretionary rights and powers expressly contemplated hereby or by the other Loan Documents that Agent is required to exercise as directed in writing by the Lenders, as applicable;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Agent shall not be required to take any action that, in its opinion or the opinion of its counsel, may expose Agent to liability or that is contrary to any Loan Document or applicable law; and</w:t>
      </w:r>
    </w:p>
    <w:p>
      <w:pPr>
        <w:spacing w:after="0" w:line="186" w:lineRule="exact"/>
        <w:rPr>
          <w:rFonts w:ascii="Arial" w:cs="Arial" w:eastAsia="Arial" w:hAnsi="Arial"/>
          <w:sz w:val="18"/>
          <w:szCs w:val="18"/>
          <w:color w:val="auto"/>
        </w:rPr>
      </w:pPr>
    </w:p>
    <w:p>
      <w:pPr>
        <w:jc w:val="both"/>
        <w:ind w:right="100" w:firstLine="987"/>
        <w:spacing w:after="0" w:line="263" w:lineRule="auto"/>
        <w:tabs>
          <w:tab w:leader="none" w:pos="1561" w:val="left"/>
        </w:tabs>
        <w:numPr>
          <w:ilvl w:val="0"/>
          <w:numId w:val="395"/>
        </w:numPr>
        <w:rPr>
          <w:rFonts w:ascii="Arial" w:cs="Arial" w:eastAsia="Arial" w:hAnsi="Arial"/>
          <w:sz w:val="18"/>
          <w:szCs w:val="18"/>
          <w:color w:val="auto"/>
        </w:rPr>
      </w:pPr>
      <w:r>
        <w:rPr>
          <w:rFonts w:ascii="Arial" w:cs="Arial" w:eastAsia="Arial" w:hAnsi="Arial"/>
          <w:sz w:val="18"/>
          <w:szCs w:val="18"/>
          <w:color w:val="auto"/>
        </w:rPr>
        <w:t>except as expressly set forth herein and in the other Loan Documents, have any duty to disclose, and Agent shall not be liable for the failure to disclose, any information relating to Borrower or any of its Affiliates that is communicated to or obtained by any Person serving as Agent or any of its Affiliates in any capacity.</w:t>
      </w:r>
    </w:p>
    <w:p>
      <w:pPr>
        <w:spacing w:after="0" w:line="184"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Agent shall not be liable for any action taken or not taken by it (i) with the consent or at the request of the Lenders (or as Agent shall believe in good faith shall be necessary, under the circumstances as provided in Section 13.7) or (ii) in the absence of its own gross negligence or willful misconduct.</w:t>
      </w:r>
    </w:p>
    <w:p>
      <w:pPr>
        <w:spacing w:after="0" w:line="18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Event of Default, (iv) the validity, enforceability, effectiveness or genuineness of this Agreement, any other Loan Document or any other agreement, instrument or document or (v) the satisfaction of any condition set forth in Section 3 or elsewhere herein, other than to confirm receipt of items expressly required to be delivered to Agent.</w:t>
      </w:r>
    </w:p>
    <w:p>
      <w:pPr>
        <w:spacing w:after="0" w:line="17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Reliance by Agent</w:t>
      </w:r>
      <w:r>
        <w:rPr>
          <w:rFonts w:ascii="Arial" w:cs="Arial" w:eastAsia="Arial" w:hAnsi="Arial"/>
          <w:sz w:val="17"/>
          <w:szCs w:val="17"/>
          <w:color w:val="auto"/>
        </w:rPr>
        <w:t>. Agent shall be entitled to rely upon, and shall not incur any liability for relying upon, any notice, request, certificate,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instrument, document or other writing (including any electronic message, internet or intranet website posting or other distribution) believed by it to be genuine and to have been signed, sent or otherwise authenticated by the proper Person. Agent also may rely upon any statement made to it orally or by telephone and believed by it to have been made by the proper Person, and shall not incur any liability for relying thereon. Agent may consult with legal counsel (who may be counsel for Borrower), independent accountants and other experts selected by it, and shall not be liable for any action taken or not taken by it in accordance with the advice of any such counsel, accountants or experts. In determining compliance with any condition hereunder to the making of a Credit Extension that, by its terms, must be fulfilled to the satisfaction of a Lender, Agent may presume that such condition is satisfactory to such Lender unless Agent shall have received notice to the contrary from such Lender prior to the making of such Credit Extension. Agent shall in all cases be fully protected in acting, or in refraining from acting, under this Agreement and the other Loan Documents in accordance with a request of the Lenders, and such request and any action taken or failure to act pursuant thereto shall be binding upon Lenders and all future holders of the Credit Extensions.</w:t>
      </w:r>
    </w:p>
    <w:p>
      <w:pPr>
        <w:spacing w:after="0" w:line="182" w:lineRule="exact"/>
        <w:rPr>
          <w:sz w:val="20"/>
          <w:szCs w:val="20"/>
          <w:color w:val="auto"/>
        </w:rPr>
      </w:pPr>
    </w:p>
    <w:p>
      <w:pPr>
        <w:ind w:right="140" w:firstLine="440"/>
        <w:spacing w:after="0" w:line="258" w:lineRule="auto"/>
        <w:rPr>
          <w:sz w:val="20"/>
          <w:szCs w:val="20"/>
          <w:color w:val="auto"/>
        </w:rPr>
      </w:pPr>
      <w:r>
        <w:rPr>
          <w:rFonts w:ascii="Arial" w:cs="Arial" w:eastAsia="Arial" w:hAnsi="Arial"/>
          <w:sz w:val="18"/>
          <w:szCs w:val="18"/>
          <w:b w:val="1"/>
          <w:bCs w:val="1"/>
          <w:color w:val="auto"/>
        </w:rPr>
        <w:t>Notice of Default</w:t>
      </w:r>
      <w:r>
        <w:rPr>
          <w:rFonts w:ascii="Arial" w:cs="Arial" w:eastAsia="Arial" w:hAnsi="Arial"/>
          <w:sz w:val="18"/>
          <w:szCs w:val="18"/>
          <w:color w:val="auto"/>
        </w:rPr>
        <w:t>. Agent shall not be deemed to have knowledge or notice of the occurrence of any Event of Default (except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defaults in the payment of principal, interest or fees required to be paid to Agent for the account of Lenders), unless Agent has received notice from a Lender or Borrower referring to this Agreement, describing such Event of Default and stating that such notice is a “notice of default”. In the event that Agent receives such a notice, Agent shall give notice thereof to Lenders. Agent shall take such action with respect to such Event of Default as shall be reasonably directed by the Lenders.</w:t>
      </w:r>
    </w:p>
    <w:p>
      <w:pPr>
        <w:spacing w:after="0" w:line="183" w:lineRule="exact"/>
        <w:rPr>
          <w:sz w:val="20"/>
          <w:szCs w:val="20"/>
          <w:color w:val="auto"/>
        </w:rPr>
      </w:pPr>
    </w:p>
    <w:p>
      <w:pPr>
        <w:ind w:right="80" w:firstLine="440"/>
        <w:spacing w:after="0" w:line="303" w:lineRule="auto"/>
        <w:rPr>
          <w:sz w:val="20"/>
          <w:szCs w:val="20"/>
          <w:color w:val="auto"/>
        </w:rPr>
      </w:pPr>
      <w:r>
        <w:rPr>
          <w:rFonts w:ascii="Arial" w:cs="Arial" w:eastAsia="Arial" w:hAnsi="Arial"/>
          <w:sz w:val="16"/>
          <w:szCs w:val="16"/>
          <w:b w:val="1"/>
          <w:bCs w:val="1"/>
          <w:color w:val="auto"/>
        </w:rPr>
        <w:t>Non-Reliance on Agent and Other Lenders</w:t>
      </w:r>
      <w:r>
        <w:rPr>
          <w:rFonts w:ascii="Arial" w:cs="Arial" w:eastAsia="Arial" w:hAnsi="Arial"/>
          <w:sz w:val="16"/>
          <w:szCs w:val="16"/>
          <w:color w:val="auto"/>
        </w:rPr>
        <w:t>. Each Lender expressly acknowledges that neither Agent nor any of its officers,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agents, attorneys in fact or affiliates has made any representations or warranties to it and that no act by Agent hereafter taken, including any review of the affairs of a Group Member or any Affiliate of a Group Member, shall be deemed to constitute any representation or warranty by Agent to any Lender. Each Lender represents to Agent that it has, independently and without reliance upon Agent or any other Lender, and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444" w:name="page445"/>
    <w:bookmarkEnd w:id="444"/>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based on such documents and information as it has deemed appropriate, made its own appraisal of, and investigation into, the business, operations, property, financial and other condition and creditworthiness of the Group Members and their Affiliates and made its own decision to make its Credit Extensions hereunder and enter into this Agreement. Each Lender also represents that it will, independently and without reliance upon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Group Members and their Affiliates. Except for notices, reports and other documents expressly required to be furnished to Lenders by Agent hereunder, Agent shall have no duty or responsibility to provide any Lender with any credit or other information concerning the business, operations, property, condition (financial or otherwise), prospects or creditworthiness of any Group Member or any Affiliate of a Group Member that may come into the possession of Agent or any of its officers, directors, employees, agents, attorneys in fact or Affiliates.</w:t>
      </w:r>
    </w:p>
    <w:p>
      <w:pPr>
        <w:spacing w:after="0" w:line="181"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 Each Lender agrees to indemnify Agent in its capacity as such (to the extent not reimbursed by Borrower and without limiting</w:t>
      </w:r>
      <w:r>
        <w:rPr>
          <w:rFonts w:ascii="Arial" w:cs="Arial" w:eastAsia="Arial" w:hAnsi="Arial"/>
          <w:sz w:val="17"/>
          <w:szCs w:val="17"/>
          <w:b w:val="1"/>
          <w:bCs w:val="1"/>
          <w:color w:val="auto"/>
        </w:rPr>
        <w:t xml:space="preserve"> </w:t>
      </w:r>
      <w:r>
        <w:rPr>
          <w:rFonts w:ascii="Arial" w:cs="Arial" w:eastAsia="Arial" w:hAnsi="Arial"/>
          <w:sz w:val="17"/>
          <w:szCs w:val="17"/>
          <w:color w:val="auto"/>
        </w:rPr>
        <w:t>the obligation of Borrower to do so in accordance with the terms hereof, according to its Term Loan Commitment Percentage in effect on the date on which indemnification is sought under this Section 10.7 (or, if indemnification is sought after the date upon which the Commitments shall have terminated and the Obligations shall have been paid in full, in accordance with its Term Loan Commitment Percentage immediately prior to such date), from and against any and all liabilities, obligations, losses, damages, penalties, actions, judgments, suits, costs, expenses or disbursements of any kind whatsoever that may at any time (whether before or after the payment of the Credit Extensions) be imposed on, incurred by or asserted against Agent in any way relating to or arising out of, the Commitments, this Agreement, any of the other Loan Documents or any documents contemplated by or referred to herein or therein or the transactions contemplated hereby or thereby or any action taken or omitted by Agent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primarily from Agent’s gross negligence or willful misconduct. The agreements in this Section shall survive the payment of the Credit Extensions and all other amounts payable hereunder.</w:t>
      </w:r>
    </w:p>
    <w:p>
      <w:pPr>
        <w:spacing w:after="0" w:line="179"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Agent in Its Individual Capacity</w:t>
      </w:r>
      <w:r>
        <w:rPr>
          <w:rFonts w:ascii="Arial" w:cs="Arial" w:eastAsia="Arial" w:hAnsi="Arial"/>
          <w:sz w:val="18"/>
          <w:szCs w:val="18"/>
          <w:color w:val="auto"/>
        </w:rPr>
        <w:t>. The Person serving as Agent hereunder shall have the same rights and powers in its capacity as a Lender as</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Lender and may exercise the same as though it were not Agent and the term “Lender” or “Lenders” shall, unless otherwise expressly indicated or unless the context otherwise requires, include each such Person serving as Agent hereunder in its individual capacity. Such Person and its Affiliates may accept deposits from, lend money to, act as the financial advisor or in any other advisory capacity for and generally engage in any kind of business with Borrower, any Guarantor or any Subsidiary or other Affiliate thereof as if such Person were not Agent hereunder and without any duty to account therefor to Lenders.</w:t>
      </w:r>
    </w:p>
    <w:p>
      <w:pPr>
        <w:spacing w:after="0" w:line="18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Successor Agent</w:t>
      </w:r>
      <w:r>
        <w:rPr>
          <w:rFonts w:ascii="Arial" w:cs="Arial" w:eastAsia="Arial" w:hAnsi="Arial"/>
          <w:sz w:val="16"/>
          <w:szCs w:val="16"/>
          <w:color w:val="auto"/>
        </w:rPr>
        <w:t>. Agent may at any time give notice of its resignation to Lenders and Borrower, which resignation shall not be effective until the</w:t>
      </w:r>
      <w:r>
        <w:rPr>
          <w:rFonts w:ascii="Arial" w:cs="Arial" w:eastAsia="Arial" w:hAnsi="Arial"/>
          <w:sz w:val="16"/>
          <w:szCs w:val="16"/>
          <w:b w:val="1"/>
          <w:bCs w:val="1"/>
          <w:color w:val="auto"/>
        </w:rPr>
        <w:t xml:space="preserve"> </w:t>
      </w:r>
      <w:r>
        <w:rPr>
          <w:rFonts w:ascii="Arial" w:cs="Arial" w:eastAsia="Arial" w:hAnsi="Arial"/>
          <w:sz w:val="16"/>
          <w:szCs w:val="16"/>
          <w:color w:val="auto"/>
        </w:rPr>
        <w:t>time at which the majority of the Lenders have delivered to Agent their written consent to such resignation. Upon receipt of any such notice of resignation, the Lenders shall have the right, in consultation with Borrower, to appoint a successor, which shall be a financial institution with an office in the State of California, or an Affiliate of any such bank with an office in the State of California. If no such successor shall have been so appointed by the Lenders and shall have accepted such appointment within thirty (30) days after the retiring Agent has received the written consent of the majority of the Lenders to such resignation, then the retiring Agent may on behalf of Lenders, appoint a successor Agent meeting the qualifications set forth above; provided that in no event shall any such successor Agent be a Defaulting Lender and provided further that if the retiring Agent shall notify Borrower and Lenders that no qualifying Person has accepted such appointment, then such resignation shall nonetheless become effective in accordance with such notice and (1) the retiring Agent shall be discharged from its duties and obligations hereunder and under the other Loan Documents (except that in the case of any collateral security held by Agent on behalf of the Lenders under any of the Loan Documents, the retiring Agent shall continue to hold such collateral security until such time as a successor Agent is appointed and such collateral security is assigned to such successor Agent) and (2) all payments, communications and determinations provided to be made by, to or through Agent shall instead be made by or to each Lender directly, until such time as the Lenders appoint a successor Agent as provided for above in this Section 10.9. Upon the acceptance of a successor’s appointment as Agent hereunder, such successor shall succeed to and become vested with all of the rights, powers, privileges and duties of the retiring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445" w:name="page446"/>
    <w:bookmarkEnd w:id="445"/>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retired) Agent, and the retiring Agent shall be discharged from all of its duties and obligations hereunder or under the other Loan Documents (if not already discharged therefrom as provided above in this Section 10.9). The fees payable by Borrower to a successor Agent shall be the same as those payable to its predecessor unless otherwise agreed between Borrower and such successor. After the retiring Agent’s resignation hereunder and under the other Loan Documents, the provisions of this Section 10 shall continue in effect for the benefit of such retiring Agent, its sub-agents and their respective Indemnified Persons in respect of any actions taken or omitted to be taken by any of them while the retiring Agent was acting as Agent.</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Defaulting Lender.</w:t>
      </w:r>
    </w:p>
    <w:p>
      <w:pPr>
        <w:spacing w:after="0" w:line="229" w:lineRule="exact"/>
        <w:rPr>
          <w:sz w:val="20"/>
          <w:szCs w:val="20"/>
          <w:color w:val="auto"/>
        </w:rPr>
      </w:pPr>
    </w:p>
    <w:p>
      <w:pPr>
        <w:ind w:right="180" w:firstLine="987"/>
        <w:spacing w:after="0" w:line="308" w:lineRule="auto"/>
        <w:tabs>
          <w:tab w:leader="none" w:pos="1561" w:val="left"/>
        </w:tabs>
        <w:numPr>
          <w:ilvl w:val="0"/>
          <w:numId w:val="396"/>
        </w:numPr>
        <w:rPr>
          <w:rFonts w:ascii="Arial" w:cs="Arial" w:eastAsia="Arial" w:hAnsi="Arial"/>
          <w:sz w:val="17"/>
          <w:szCs w:val="17"/>
          <w:color w:val="auto"/>
        </w:rPr>
      </w:pPr>
      <w:r>
        <w:rPr>
          <w:rFonts w:ascii="Arial" w:cs="Arial" w:eastAsia="Arial" w:hAnsi="Arial"/>
          <w:sz w:val="17"/>
          <w:szCs w:val="17"/>
          <w:u w:val="single" w:color="auto"/>
          <w:color w:val="auto"/>
        </w:rPr>
        <w:t>Defaulting Lender Adjustments</w:t>
      </w:r>
      <w:r>
        <w:rPr>
          <w:rFonts w:ascii="Arial" w:cs="Arial" w:eastAsia="Arial" w:hAnsi="Arial"/>
          <w:sz w:val="17"/>
          <w:szCs w:val="17"/>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38" w:lineRule="exact"/>
        <w:rPr>
          <w:rFonts w:ascii="Arial" w:cs="Arial" w:eastAsia="Arial" w:hAnsi="Arial"/>
          <w:sz w:val="17"/>
          <w:szCs w:val="17"/>
          <w:color w:val="auto"/>
        </w:rPr>
      </w:pPr>
    </w:p>
    <w:p>
      <w:pPr>
        <w:ind w:left="1420" w:right="220" w:firstLine="391"/>
        <w:spacing w:after="0" w:line="277" w:lineRule="auto"/>
        <w:tabs>
          <w:tab w:leader="none" w:pos="2153" w:val="left"/>
        </w:tabs>
        <w:numPr>
          <w:ilvl w:val="1"/>
          <w:numId w:val="396"/>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amendment, waiver or consent with respect to this Agreement shall be restricted as long as said Lender is a Defaulting Lender.</w:t>
      </w:r>
    </w:p>
    <w:p>
      <w:pPr>
        <w:spacing w:after="0" w:line="62" w:lineRule="exact"/>
        <w:rPr>
          <w:rFonts w:ascii="Arial" w:cs="Arial" w:eastAsia="Arial" w:hAnsi="Arial"/>
          <w:sz w:val="18"/>
          <w:szCs w:val="18"/>
          <w:color w:val="auto"/>
        </w:rPr>
      </w:pPr>
    </w:p>
    <w:p>
      <w:pPr>
        <w:ind w:left="1420" w:firstLine="391"/>
        <w:spacing w:after="0" w:line="285" w:lineRule="auto"/>
        <w:tabs>
          <w:tab w:leader="none" w:pos="2203" w:val="left"/>
        </w:tabs>
        <w:numPr>
          <w:ilvl w:val="1"/>
          <w:numId w:val="396"/>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Agent for the account of such Defaulting Lender (whether voluntary or mandatory, at maturity, pursuant to Section 8 or otherwise, and including any amounts made available to the Agent by such Defaulting Lender pursuant to Section 13.10), shall be applied at such time or times as may be determined by the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as Borrower may request (so long as no Event of Default exists), to the funding of any Term Loan Advance in respect of which such Defaulting Lender has failed to fund its portion thereof as required by this Agreement, as determined by the Agent;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determined by the Agent and Borrower, to be held in a Deposit Account and released pro rata to satisfy such Defaulting Lender’s potential future funding obligations with respect to Term Loan Advances under this Agreement;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so long as no Event of Default has occurred and is continuing,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such payment is a payment of the principal amount of any Term Loan Advances in respect of which such Defaulting Lender has not fully funded its appropriate share and (B) such Term Loan Advances were made at a time when the conditions set forth in Section 3.1 were satisfied or waived, such payment shall be applied solely to pay the Term Loan Advances of all non-Defaulting Lenders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prior to being applied to the payment of any Term Loan Advances of such Defaulting Lender until such time as all Term Loan Advances are held by the Lenders pro rata in accordance with the Term Loan Commitments under this Agreement. Any payments, prepayments or other amounts paid or payable to a Defaulting Lender that are applied (or held) to pay amounts owed by a Defaulting Lender pursuant to this Section 10.10(a)(ii) shall be deemed paid to and redirected by such Defaulting Lender, and each Lender irrevocably consents hereto.</w:t>
      </w:r>
    </w:p>
    <w:p>
      <w:pPr>
        <w:spacing w:after="0" w:line="60" w:lineRule="exact"/>
        <w:rPr>
          <w:rFonts w:ascii="Arial" w:cs="Arial" w:eastAsia="Arial" w:hAnsi="Arial"/>
          <w:sz w:val="16"/>
          <w:szCs w:val="16"/>
          <w:color w:val="auto"/>
        </w:rPr>
      </w:pPr>
    </w:p>
    <w:p>
      <w:pPr>
        <w:ind w:left="1420" w:right="100" w:firstLine="391"/>
        <w:spacing w:after="0" w:line="263" w:lineRule="auto"/>
        <w:tabs>
          <w:tab w:leader="none" w:pos="2253" w:val="left"/>
        </w:tabs>
        <w:numPr>
          <w:ilvl w:val="1"/>
          <w:numId w:val="396"/>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No Defaulting Lender shall be entitled to receive any fee pursuant to Section 2.4(a) or Section 2.4(b) for any period during which such Lender is a Defaulting Lender (and Borrower shall not be required to pay any such fee that otherwise would have been required to have been paid to such Defaulting Lender).</w:t>
      </w:r>
    </w:p>
    <w:p>
      <w:pPr>
        <w:spacing w:after="0" w:line="183" w:lineRule="exact"/>
        <w:rPr>
          <w:rFonts w:ascii="Arial" w:cs="Arial" w:eastAsia="Arial" w:hAnsi="Arial"/>
          <w:sz w:val="18"/>
          <w:szCs w:val="18"/>
          <w:color w:val="auto"/>
        </w:rPr>
      </w:pPr>
    </w:p>
    <w:p>
      <w:pPr>
        <w:ind w:right="140" w:firstLine="987"/>
        <w:spacing w:after="0" w:line="259" w:lineRule="auto"/>
        <w:tabs>
          <w:tab w:leader="none" w:pos="1681"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If Borrower and Agent agree in writing that a Lender is no longer a Defaulting Lender, Agent will so notify the parties hereto, whereupon as of the effective date specified in such notice and subject to any conditions set forth therein, such Lender will, to the extent applicable, purchase at par that portion of outstanding Term Loan Advances of the other Lenders or take such other actions as Agent may determine to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446" w:name="page447"/>
    <w:bookmarkEnd w:id="446"/>
    <w:p>
      <w:pPr>
        <w:ind w:left="4" w:right="1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necessary to cause the Term Loan Advances to be held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by the Lenders in accordance with their respective Term Loan Commitment Percentages,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Borrower while such Lender was a Defaulting Lender;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176" w:lineRule="exact"/>
        <w:rPr>
          <w:sz w:val="20"/>
          <w:szCs w:val="20"/>
          <w:color w:val="auto"/>
        </w:rPr>
      </w:pPr>
    </w:p>
    <w:p>
      <w:pPr>
        <w:ind w:left="4" w:right="80" w:firstLine="987"/>
        <w:spacing w:after="0" w:line="255" w:lineRule="auto"/>
        <w:tabs>
          <w:tab w:leader="none" w:pos="1565"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Termination of Defaulting Lender</w:t>
      </w:r>
      <w:r>
        <w:rPr>
          <w:rFonts w:ascii="Arial" w:cs="Arial" w:eastAsia="Arial" w:hAnsi="Arial"/>
          <w:sz w:val="18"/>
          <w:szCs w:val="18"/>
          <w:color w:val="auto"/>
        </w:rPr>
        <w:t xml:space="preserve">. Borrower may terminate the unused amount of the Term Loan Commitment of any Lender that is a Defaulting Lender upon not less than ten (10) Business Days’ prior notice to Agent (which shall promptly notify the Lenders thereof), and in such event the provisions of Section 10.10(a)(ii) will apply to all amounts thereafter paid by Borrower for the account of such Defaulting Lender under this Agreement (whether on account of principal, interest, fees, indemnity or other amounts);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Event of Default shall have occurred and be continuing, and (ii) such termination shall not be deemed to be a waiver or release of any claim Borrower, Agent or any Lender may have against such Defaulting Lender.</w:t>
      </w:r>
    </w:p>
    <w:p>
      <w:pPr>
        <w:spacing w:after="0" w:line="192" w:lineRule="exact"/>
        <w:rPr>
          <w:rFonts w:ascii="Arial" w:cs="Arial" w:eastAsia="Arial" w:hAnsi="Arial"/>
          <w:sz w:val="18"/>
          <w:szCs w:val="18"/>
          <w:color w:val="auto"/>
        </w:rPr>
      </w:pPr>
    </w:p>
    <w:p>
      <w:pPr>
        <w:ind w:left="4" w:firstLine="987"/>
        <w:spacing w:after="0" w:line="275" w:lineRule="auto"/>
        <w:tabs>
          <w:tab w:leader="none" w:pos="1565" w:val="left"/>
        </w:tabs>
        <w:numPr>
          <w:ilvl w:val="0"/>
          <w:numId w:val="397"/>
        </w:numPr>
        <w:rPr>
          <w:rFonts w:ascii="Arial" w:cs="Arial" w:eastAsia="Arial" w:hAnsi="Arial"/>
          <w:sz w:val="17"/>
          <w:szCs w:val="17"/>
          <w:color w:val="auto"/>
        </w:rPr>
      </w:pPr>
      <w:r>
        <w:rPr>
          <w:rFonts w:ascii="Arial" w:cs="Arial" w:eastAsia="Arial" w:hAnsi="Arial"/>
          <w:sz w:val="17"/>
          <w:szCs w:val="17"/>
          <w:color w:val="auto"/>
        </w:rPr>
        <w:t>If the Person serving as Agent is a Defaulting Lender pursuant to clause (d) of the definition thereof, the non-Defaulting Lenders may, to the extent permitted by applicable law, by notice in writing to Borrower and such Person, remove such Person as Agent and, in consultation with Borrower, appoint a successor. If no such successor shall have been so appointed by the non-Defaulting Lenders and shall have accepted such appointment within thirty (30) days (or such earlier day as shall be agreed by the non-Defaulting Lenders) (the “</w:t>
      </w:r>
      <w:r>
        <w:rPr>
          <w:rFonts w:ascii="Arial" w:cs="Arial" w:eastAsia="Arial" w:hAnsi="Arial"/>
          <w:sz w:val="17"/>
          <w:szCs w:val="17"/>
          <w:b w:val="1"/>
          <w:bCs w:val="1"/>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280" w:lineRule="exact"/>
        <w:rPr>
          <w:sz w:val="20"/>
          <w:szCs w:val="20"/>
          <w:color w:val="auto"/>
        </w:rPr>
      </w:pPr>
    </w:p>
    <w:p>
      <w:pPr>
        <w:ind w:left="444"/>
        <w:spacing w:after="0"/>
        <w:rPr>
          <w:sz w:val="20"/>
          <w:szCs w:val="20"/>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w:t>
      </w:r>
    </w:p>
    <w:p>
      <w:pPr>
        <w:spacing w:after="0" w:line="1" w:lineRule="exact"/>
        <w:rPr>
          <w:sz w:val="20"/>
          <w:szCs w:val="20"/>
          <w:color w:val="auto"/>
        </w:rPr>
      </w:pPr>
    </w:p>
    <w:p>
      <w:pPr>
        <w:ind w:left="4" w:right="80" w:hanging="4"/>
        <w:spacing w:after="0" w:line="255" w:lineRule="auto"/>
        <w:tabs>
          <w:tab w:leader="none" w:pos="259" w:val="left"/>
        </w:tabs>
        <w:numPr>
          <w:ilvl w:val="0"/>
          <w:numId w:val="398"/>
        </w:numPr>
        <w:rPr>
          <w:rFonts w:ascii="Arial" w:cs="Arial" w:eastAsia="Arial" w:hAnsi="Arial"/>
          <w:sz w:val="18"/>
          <w:szCs w:val="18"/>
          <w:color w:val="auto"/>
        </w:rPr>
      </w:pPr>
      <w:r>
        <w:rPr>
          <w:rFonts w:ascii="Arial" w:cs="Arial" w:eastAsia="Arial" w:hAnsi="Arial"/>
          <w:sz w:val="18"/>
          <w:szCs w:val="18"/>
          <w:color w:val="auto"/>
        </w:rPr>
        <w:t>when delivered, if hand-delivered by messenger, all of which shall be addressed to the party to be notified and sent to the address, facsimile number, or email address indicated below. Agent or Borrower may change its mailing or electronic mail address or facsimile number by giving the other party written notice thereof in accordance with the terms of this Section 11.</w:t>
      </w:r>
    </w:p>
    <w:p>
      <w:pPr>
        <w:sectPr>
          <w:pgSz w:w="11900" w:h="16838" w:orient="portrait"/>
          <w:cols w:equalWidth="0" w:num="1">
            <w:col w:w="11004"/>
          </w:cols>
          <w:pgMar w:left="436" w:top="274" w:right="459" w:bottom="1440" w:gutter="0" w:footer="0" w:header="0"/>
        </w:sectPr>
      </w:pPr>
    </w:p>
    <w:p>
      <w:pPr>
        <w:spacing w:after="0" w:line="95" w:lineRule="exact"/>
        <w:rPr>
          <w:sz w:val="20"/>
          <w:szCs w:val="20"/>
          <w:color w:val="auto"/>
        </w:rPr>
      </w:pPr>
    </w:p>
    <w:p>
      <w:pPr>
        <w:ind w:left="884"/>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Alexo Therapeutics International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Sirpant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Malcolm Road,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Burlingame, CA 94010</w:t>
      </w:r>
    </w:p>
    <w:p>
      <w:pPr>
        <w:spacing w:after="0" w:line="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Attn:</w:t>
        <w:tab/>
        <w:t>Finance Department</w:t>
      </w:r>
    </w:p>
    <w:p>
      <w:pPr>
        <w:spacing w:after="0" w:line="103" w:lineRule="exact"/>
        <w:rPr>
          <w:sz w:val="20"/>
          <w:szCs w:val="20"/>
          <w:color w:val="auto"/>
        </w:rPr>
      </w:pPr>
    </w:p>
    <w:p>
      <w:pPr>
        <w:sectPr>
          <w:pgSz w:w="11900" w:h="16838" w:orient="portrait"/>
          <w:cols w:equalWidth="0" w:num="2">
            <w:col w:w="2384" w:space="720"/>
            <w:col w:w="7900"/>
          </w:cols>
          <w:pgMar w:left="436" w:top="274" w:right="459" w:bottom="1440" w:gutter="0" w:footer="0" w:header="0"/>
          <w:type w:val="continuous"/>
        </w:sectPr>
      </w:pPr>
    </w:p>
    <w:p>
      <w:pPr>
        <w:jc w:val="center"/>
        <w:ind w:left="804"/>
        <w:spacing w:after="0"/>
        <w:rPr>
          <w:sz w:val="20"/>
          <w:szCs w:val="20"/>
          <w:color w:val="auto"/>
        </w:rPr>
      </w:pPr>
      <w:r>
        <w:rPr>
          <w:rFonts w:ascii="Arial" w:cs="Arial" w:eastAsia="Arial" w:hAnsi="Arial"/>
          <w:sz w:val="17"/>
          <w:szCs w:val="17"/>
          <w:color w:val="auto"/>
        </w:rPr>
        <w:t>If to Agent or SVB: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Silicon Valley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505 Howard Street,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 94105</w:t>
      </w:r>
    </w:p>
    <w:p>
      <w:pPr>
        <w:spacing w:after="0" w:line="126" w:lineRule="exact"/>
        <w:rPr>
          <w:sz w:val="20"/>
          <w:szCs w:val="20"/>
          <w:color w:val="auto"/>
        </w:rPr>
      </w:pPr>
    </w:p>
    <w:p>
      <w:pPr>
        <w:sectPr>
          <w:pgSz w:w="11900" w:h="16838" w:orient="portrait"/>
          <w:cols w:equalWidth="0" w:num="2">
            <w:col w:w="2384" w:space="720"/>
            <w:col w:w="7900"/>
          </w:cols>
          <w:pgMar w:left="436" w:top="274" w:right="459" w:bottom="1440" w:gutter="0" w:footer="0" w:header="0"/>
          <w:type w:val="continuous"/>
        </w:sectPr>
      </w:pPr>
    </w:p>
    <w:p>
      <w:pPr>
        <w:ind w:left="884"/>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Morrison &amp; Foerster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200 Clarendon Street, 20</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 02116</w:t>
      </w:r>
    </w:p>
    <w:p>
      <w:pPr>
        <w:spacing w:after="0" w:line="114" w:lineRule="exact"/>
        <w:rPr>
          <w:sz w:val="20"/>
          <w:szCs w:val="20"/>
          <w:color w:val="auto"/>
        </w:rPr>
      </w:pPr>
    </w:p>
    <w:p>
      <w:pPr>
        <w:sectPr>
          <w:pgSz w:w="11900" w:h="16838" w:orient="portrait"/>
          <w:cols w:equalWidth="0" w:num="2">
            <w:col w:w="2384" w:space="720"/>
            <w:col w:w="7900"/>
          </w:cols>
          <w:pgMar w:left="436" w:top="274" w:right="459" w:bottom="1440" w:gutter="0" w:footer="0" w:header="0"/>
          <w:type w:val="continuous"/>
        </w:sectPr>
      </w:pPr>
    </w:p>
    <w:p>
      <w:pPr>
        <w:ind w:left="884"/>
        <w:spacing w:after="0"/>
        <w:rPr>
          <w:sz w:val="20"/>
          <w:szCs w:val="20"/>
          <w:color w:val="auto"/>
        </w:rPr>
      </w:pPr>
      <w:r>
        <w:rPr>
          <w:rFonts w:ascii="Arial" w:cs="Arial" w:eastAsia="Arial" w:hAnsi="Arial"/>
          <w:sz w:val="16"/>
          <w:szCs w:val="16"/>
          <w:color w:val="auto"/>
        </w:rPr>
        <w:t>If to WestRiver: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WestRiver Innovation Lending Fund VIII,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 WestRiver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920 5th Avenue, Suite 3450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98104</w:t>
      </w:r>
    </w:p>
    <w:p>
      <w:pPr>
        <w:spacing w:after="0" w:line="143" w:lineRule="exact"/>
        <w:rPr>
          <w:sz w:val="20"/>
          <w:szCs w:val="20"/>
          <w:color w:val="auto"/>
        </w:rPr>
      </w:pPr>
    </w:p>
    <w:p>
      <w:pPr>
        <w:sectPr>
          <w:pgSz w:w="11900" w:h="16838" w:orient="portrait"/>
          <w:cols w:equalWidth="0" w:num="2">
            <w:col w:w="2384" w:space="720"/>
            <w:col w:w="7900"/>
          </w:cols>
          <w:pgMar w:left="436" w:top="274" w:right="459" w:bottom="1440" w:gutter="0" w:footer="0" w:header="0"/>
          <w:type w:val="continuous"/>
        </w:sectPr>
      </w:pPr>
    </w:p>
    <w:p>
      <w:pPr>
        <w:jc w:val="center"/>
        <w:ind w:right="-23"/>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04"/>
          </w:cols>
          <w:pgMar w:left="436" w:top="274" w:right="459" w:bottom="1440" w:gutter="0" w:footer="0" w:header="0"/>
          <w:type w:val="continuous"/>
        </w:sectPr>
      </w:pPr>
    </w:p>
    <w:bookmarkStart w:id="447" w:name="page448"/>
    <w:bookmarkEnd w:id="447"/>
    <w:p>
      <w:pPr>
        <w:ind w:left="4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CHOICE OF LAW, VENUE, JURY TRIAL WAIVER, AND JUDICIAL REFERENCE</w:t>
      </w:r>
    </w:p>
    <w:p>
      <w:pPr>
        <w:spacing w:after="0" w:line="121"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Except as otherwise expressly provided in any of the Loan Documents, California law governs the Loan Documents without regard to principles of conflicts of law. Borrower, Agent, and Lenders each submit to the exclusive jurisdiction of the State and Federal courts in Santa Clara County, California; provided, however, that nothing in this Agreement shall be deemed to operate to preclude Agent or Lenders from bringing suit or taking other legal action in any other jurisdiction to realize on the Collateral or any other security for the Obligations, or to enforce a judgment or other court order in favor of Agent or any Lender. Borrower expressly submits and consents in advance to such jurisdiction in any action or suit commenced in any such court, and Borrower hereby waives to the extent permitted by applicable law any objection that it may have based upon lack of personal jurisdiction, improper venue, or forum non conveniens and hereby consents to the granting of such legal or equitable relief as is deemed appropriate by such court. Borrower hereby waives to the extent permitted by applicable law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11 of this Agreement and that service so made shall be deemed completed upon the earlier to occur of Borrower’s actual receipt thereof or three (3) days after deposit in the U.S. mails, proper postage prepaid.</w:t>
      </w:r>
    </w:p>
    <w:p>
      <w:pPr>
        <w:spacing w:after="0" w:line="175" w:lineRule="exact"/>
        <w:rPr>
          <w:sz w:val="20"/>
          <w:szCs w:val="20"/>
          <w:color w:val="auto"/>
        </w:rPr>
      </w:pPr>
    </w:p>
    <w:p>
      <w:pPr>
        <w:ind w:right="220" w:firstLine="440"/>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AGENT AND EACH LENDER EACH WAIVE THEIR RIGHT TO A JURY TRIAL OF ANY CLAIM OR CAUSE OF ACTION ARISING OUT OF OR BASED UPON THIS AGREEMENT, THE LOAN DOCUMENTS OR ANY CONTEMPLATED TRANSACTION, INCLUDING CONTRACT, TORT, BREACH OF DUTY AND ALL OTHER CLAIMS. THIS WAIVER IS A MATERIAL INDUCEMENT FOR ALL PARTIES TO ENTER INTO THIS AGREEMENT. EACH PARTY HAS REVIEWED THIS WAIVER WITH ITS COUNSEL.</w:t>
      </w:r>
    </w:p>
    <w:p>
      <w:pPr>
        <w:spacing w:after="0" w:line="187"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Section 12 shall survive the termination of this Agreement.</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117"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 xml:space="preserve">Termination Prior to Term Loan Maturity Date; Survival. </w:t>
      </w:r>
      <w:r>
        <w:rPr>
          <w:rFonts w:ascii="Arial" w:cs="Arial" w:eastAsia="Arial" w:hAnsi="Arial"/>
          <w:sz w:val="18"/>
          <w:szCs w:val="18"/>
          <w:color w:val="auto"/>
        </w:rPr>
        <w:t>All covenants, representations and warranties made in this Agreement continue in</w:t>
      </w:r>
      <w:r>
        <w:rPr>
          <w:rFonts w:ascii="Arial" w:cs="Arial" w:eastAsia="Arial" w:hAnsi="Arial"/>
          <w:sz w:val="18"/>
          <w:szCs w:val="18"/>
          <w:b w:val="1"/>
          <w:bCs w:val="1"/>
          <w:color w:val="auto"/>
        </w:rPr>
        <w:t xml:space="preserve"> </w:t>
      </w:r>
      <w:r>
        <w:rPr>
          <w:rFonts w:ascii="Arial" w:cs="Arial" w:eastAsia="Arial" w:hAnsi="Arial"/>
          <w:sz w:val="18"/>
          <w:szCs w:val="18"/>
          <w:color w:val="auto"/>
        </w:rPr>
        <w:t>full force until this Agreement has terminated pursuant to its terms and all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0" w:right="479" w:bottom="1440" w:gutter="0" w:footer="0" w:header="0"/>
        </w:sectPr>
      </w:pPr>
    </w:p>
    <w:bookmarkStart w:id="448" w:name="page449"/>
    <w:bookmarkEnd w:id="448"/>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Obligations (other than inchoate indemnity obligations) have been satisfied. So long as Borrower has satisfied the Obligations (other than inchoate indemnity obligations, any other obligations which, by their terms, are to survive the termination of this Agreement, and any Obligations under Bank Services Agreements that are cash collateralized in accordance with Section 4.1 of this Agreement), this Agreement, including any unused Term Loan Commitments, may be terminated prior to the Term Loan Maturity Date by Borrower, effective three (3) Business Days after written notice of termination is given to Agent. Those obligations that are expressly specified in this Agreement as surviving this Agreement’s termination shall continue to survive notwithstanding this Agreement’s termination. No termination of this Agreement shall in any way affect or impair any right or remedy of Agent or any Lender, nor shall any such termination relieve Borrower of any Obligation to any Lender, until all of the Obligations (other than inchoate indemnity obligations) have been paid and performed in full. Those Obligations that are expressly specified in this Agreement as surviving this Agreement’s termination shall continue to survive notwithstanding this Agreement’s termination and payment in full of the Obligations then outstanding.</w:t>
      </w:r>
    </w:p>
    <w:p>
      <w:pPr>
        <w:spacing w:after="0" w:line="190"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Successors and Assigns. </w:t>
      </w:r>
      <w:r>
        <w:rPr>
          <w:rFonts w:ascii="Arial" w:cs="Arial" w:eastAsia="Arial" w:hAnsi="Arial"/>
          <w:sz w:val="16"/>
          <w:szCs w:val="16"/>
          <w:color w:val="auto"/>
        </w:rPr>
        <w:t>This Agreement binds and is for the benefit of the successors and permitted assigns of each party. Borrower may not</w:t>
      </w:r>
      <w:r>
        <w:rPr>
          <w:rFonts w:ascii="Arial" w:cs="Arial" w:eastAsia="Arial" w:hAnsi="Arial"/>
          <w:sz w:val="16"/>
          <w:szCs w:val="16"/>
          <w:b w:val="1"/>
          <w:bCs w:val="1"/>
          <w:color w:val="auto"/>
        </w:rPr>
        <w:t xml:space="preserve"> </w:t>
      </w:r>
      <w:r>
        <w:rPr>
          <w:rFonts w:ascii="Arial" w:cs="Arial" w:eastAsia="Arial" w:hAnsi="Arial"/>
          <w:sz w:val="16"/>
          <w:szCs w:val="16"/>
          <w:color w:val="auto"/>
        </w:rPr>
        <w:t>assign this Agreement or any rights or obligations under it without Agent and Lenders’ prior written consent (which may be granted or withheld in Agent’s and Lenders’ sole discretion). Agent and each Lender has the right, without the consent of or notice to Borrower, to sell, transfer, assign, negotiate, or grant participation in all or any part of, or any interest in, such Lender’s obligations, rights, and benefits under this Agreement and the other Loan Documents (other than the Warrant, as to which assignment, transfer and other such actions are governed by the terms thereof).</w:t>
      </w:r>
    </w:p>
    <w:p>
      <w:pPr>
        <w:spacing w:after="0" w:line="15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 Borrower agrees to indemnify, defend and hold Agent, each Lender and their respective directors, officers, employees, agents,</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attorneys, or any other Person affiliated with or representing Agent or any Lender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harmless against: (i) all obligations, demands, claims, and liabilities (collectively, “</w:t>
      </w:r>
      <w:r>
        <w:rPr>
          <w:rFonts w:ascii="Arial" w:cs="Arial" w:eastAsia="Arial" w:hAnsi="Arial"/>
          <w:sz w:val="18"/>
          <w:szCs w:val="18"/>
          <w:b w:val="1"/>
          <w:bCs w:val="1"/>
          <w:color w:val="auto"/>
        </w:rPr>
        <w:t>Claims</w:t>
      </w:r>
      <w:r>
        <w:rPr>
          <w:rFonts w:ascii="Arial" w:cs="Arial" w:eastAsia="Arial" w:hAnsi="Arial"/>
          <w:sz w:val="18"/>
          <w:szCs w:val="18"/>
          <w:color w:val="auto"/>
        </w:rPr>
        <w:t>”) claimed or asserted by any other party in connection with the transactions contemplated by the Loan Documents; and (ii) all losses or expenses (including Lenders’ Expenses) in any way suffered, incurred, or paid by such Indemnified Person as a result of, following from, consequential to, or arising from transactions between Agent, Lenders and Borrower contemplated by the Loan Documents (including reasonable attorneys’ fees and expenses), except for Claims and/or losses directly caused by such Indemnified Person’s gross negligence or willful misconduct.</w:t>
      </w:r>
    </w:p>
    <w:p>
      <w:pPr>
        <w:spacing w:after="0" w:line="193"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This Section 13.3 shall survive until all statutes of limitation with respect to the Claims, losses, and expenses for which indemnity is given shall have run.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Time of Essence</w:t>
      </w:r>
      <w:r>
        <w:rPr>
          <w:rFonts w:ascii="Arial" w:cs="Arial" w:eastAsia="Arial" w:hAnsi="Arial"/>
          <w:sz w:val="18"/>
          <w:szCs w:val="18"/>
          <w:color w:val="auto"/>
        </w:rPr>
        <w:t>. Time is of the essence for the performance of all Obligations in this Agreement.</w:t>
      </w:r>
    </w:p>
    <w:p>
      <w:pPr>
        <w:spacing w:after="0" w:line="225"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Severability of Provisions</w:t>
      </w:r>
      <w:r>
        <w:rPr>
          <w:rFonts w:ascii="Arial" w:cs="Arial" w:eastAsia="Arial" w:hAnsi="Arial"/>
          <w:sz w:val="18"/>
          <w:szCs w:val="18"/>
          <w:color w:val="auto"/>
        </w:rPr>
        <w:t>. Each provision of this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162"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Correction of Loan Documents</w:t>
      </w:r>
      <w:r>
        <w:rPr>
          <w:rFonts w:ascii="Arial" w:cs="Arial" w:eastAsia="Arial" w:hAnsi="Arial"/>
          <w:sz w:val="18"/>
          <w:szCs w:val="18"/>
          <w:color w:val="auto"/>
        </w:rPr>
        <w:t>. Agent may correct patent errors and fill in any blanks in the Loan Documents consistent with the agreement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w:t>
      </w:r>
    </w:p>
    <w:p>
      <w:pPr>
        <w:spacing w:after="0" w:line="16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Amendments in Writing; Waiver; Integration</w:t>
      </w:r>
      <w:r>
        <w:rPr>
          <w:rFonts w:ascii="Arial" w:cs="Arial" w:eastAsia="Arial" w:hAnsi="Arial"/>
          <w:sz w:val="17"/>
          <w:szCs w:val="17"/>
          <w:color w:val="auto"/>
        </w:rPr>
        <w:t>. No purported amendment or modification of any Loan Document, or waiver, discharge or</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of any obligation under any Loan Document, or release, or subordinate Lenders’ security interest in, or consent to the transfer of, any Collateral shall be enforceable or admissible unless, and only to the extent, expressly set forth in a writing signed by Agent, with the consent of the Lenders in accordance with the Lender Intercreditor Agreement or, if such item is not addressed in the Lender Intercreditor Agreement, as consented to by a majority of the Lenders, and Borrower.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 In the event any provision of any other Loan Document is inconsistent with the provisions of this Agreement, the provisions of this Agreement shall exclusively control.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449" w:name="page450"/>
    <w:bookmarkEnd w:id="449"/>
    <w:p>
      <w:pPr>
        <w:ind w:right="1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Counterparts</w:t>
      </w:r>
      <w:r>
        <w:rPr>
          <w:rFonts w:ascii="Arial" w:cs="Arial" w:eastAsia="Arial" w:hAnsi="Arial"/>
          <w:sz w:val="18"/>
          <w:szCs w:val="18"/>
          <w:color w:val="auto"/>
        </w:rPr>
        <w:t>. This Agreement may be executed in any number of counterparts and by different parties on separate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when executed and delivered, is an original, and all taken together, constitute one Agreement.</w:t>
      </w:r>
    </w:p>
    <w:p>
      <w:pPr>
        <w:spacing w:after="0" w:line="162"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b w:val="1"/>
          <w:bCs w:val="1"/>
          <w:color w:val="auto"/>
        </w:rPr>
        <w:t xml:space="preserve">Confidentiality. </w:t>
      </w:r>
      <w:r>
        <w:rPr>
          <w:rFonts w:ascii="Arial" w:cs="Arial" w:eastAsia="Arial" w:hAnsi="Arial"/>
          <w:sz w:val="16"/>
          <w:szCs w:val="16"/>
          <w:color w:val="auto"/>
        </w:rPr>
        <w:t>Agent and each Lender agrees to maintain the confidentiality of Information (as defined below), except that Information may be</w:t>
      </w:r>
      <w:r>
        <w:rPr>
          <w:rFonts w:ascii="Arial" w:cs="Arial" w:eastAsia="Arial" w:hAnsi="Arial"/>
          <w:sz w:val="16"/>
          <w:szCs w:val="16"/>
          <w:b w:val="1"/>
          <w:bCs w:val="1"/>
          <w:color w:val="auto"/>
        </w:rPr>
        <w:t xml:space="preserve"> </w:t>
      </w:r>
      <w:r>
        <w:rPr>
          <w:rFonts w:ascii="Arial" w:cs="Arial" w:eastAsia="Arial" w:hAnsi="Arial"/>
          <w:sz w:val="16"/>
          <w:szCs w:val="16"/>
          <w:color w:val="auto"/>
        </w:rPr>
        <w:t>disclosed (a) to Agent and/or any Lender’s subsidiaries or Affiliates, and their respective employees, directors, investors, potential investors, agents, attorneys, accountants and other professional advisors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and, together with Agent and the Lenders, collectively, “</w:t>
      </w:r>
      <w:r>
        <w:rPr>
          <w:rFonts w:ascii="Arial" w:cs="Arial" w:eastAsia="Arial" w:hAnsi="Arial"/>
          <w:sz w:val="16"/>
          <w:szCs w:val="16"/>
          <w:b w:val="1"/>
          <w:bCs w:val="1"/>
          <w:color w:val="auto"/>
        </w:rPr>
        <w:t>Lender</w:t>
      </w:r>
      <w:r>
        <w:rPr>
          <w:rFonts w:ascii="Arial" w:cs="Arial" w:eastAsia="Arial" w:hAnsi="Arial"/>
          <w:sz w:val="16"/>
          <w:szCs w:val="16"/>
          <w:color w:val="auto"/>
        </w:rPr>
        <w:t xml:space="preserve"> </w:t>
      </w:r>
      <w:r>
        <w:rPr>
          <w:rFonts w:ascii="Arial" w:cs="Arial" w:eastAsia="Arial" w:hAnsi="Arial"/>
          <w:sz w:val="16"/>
          <w:szCs w:val="16"/>
          <w:b w:val="1"/>
          <w:bCs w:val="1"/>
          <w:color w:val="auto"/>
        </w:rPr>
        <w:t>Entities</w:t>
      </w:r>
      <w:r>
        <w:rPr>
          <w:rFonts w:ascii="Arial" w:cs="Arial" w:eastAsia="Arial" w:hAnsi="Arial"/>
          <w:sz w:val="16"/>
          <w:szCs w:val="16"/>
          <w:color w:val="auto"/>
        </w:rPr>
        <w:t>”); (b) to prospective transferees, assignees, credit providers or purchasers of any of Agent’s or Lenders’ interests under or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their Representatives (provided, however, that any such prospective transferee, assignee, credit provider, or purchaser or their Representatives shall have entered into an agreement containing provisions substantially the same as those in this Section 13.9); (c) as required by law, regulation, subpoena, or other order; (d) to Agent’s or any Lender’s regulators or as otherwise required in connection with Agent’s or any Lender’s examination or audit; (e) as Agent or any Lender considers appropriate in exercising remedies under the Loan Documents; and (f) to third-party service providers of Agent and/or any Lender so long as such service providers have executed a confidentiality agreement with Agent or the Lenders, as applicable, with terms no less restrictive than those contained herein. The term “</w:t>
      </w:r>
      <w:r>
        <w:rPr>
          <w:rFonts w:ascii="Arial" w:cs="Arial" w:eastAsia="Arial" w:hAnsi="Arial"/>
          <w:sz w:val="16"/>
          <w:szCs w:val="16"/>
          <w:b w:val="1"/>
          <w:bCs w:val="1"/>
          <w:color w:val="auto"/>
        </w:rPr>
        <w:t>Information</w:t>
      </w:r>
      <w:r>
        <w:rPr>
          <w:rFonts w:ascii="Arial" w:cs="Arial" w:eastAsia="Arial" w:hAnsi="Arial"/>
          <w:sz w:val="16"/>
          <w:szCs w:val="16"/>
          <w:color w:val="auto"/>
        </w:rPr>
        <w:t>” means all information received from Borrower or Guarantor regarding such entity’s business, in each case other than information that is either: (i) in the public domain or in Agent’s or any Lender’s possession when disclosed to Agent or such Lender, or becomes part of the public domain (other than as a result of its disclosure by Agent or a Lender in violation of this Agreement) after disclosure to Agent and/or the Lenders; or (ii) disclosed to Agent and/or a Lender by a third party, if Agent or such Lender, as applicable, does not know that the third party is prohibited from disclosing the information.</w:t>
      </w:r>
    </w:p>
    <w:p>
      <w:pPr>
        <w:spacing w:after="0" w:line="175"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Lender Entities may use anonymous forms of confidential information for aggregate datasets, for analyses or reporting, and for any other uses not expressly prohibited in writing by Borrower. The provisions of the immediately preceding sentence shall survive the termination of this Agreement.</w:t>
      </w:r>
    </w:p>
    <w:p>
      <w:pPr>
        <w:spacing w:after="0" w:line="12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Right of Setoff</w:t>
      </w:r>
      <w:r>
        <w:rPr>
          <w:rFonts w:ascii="Arial" w:cs="Arial" w:eastAsia="Arial" w:hAnsi="Arial"/>
          <w:sz w:val="17"/>
          <w:szCs w:val="17"/>
          <w:color w:val="auto"/>
        </w:rPr>
        <w:t>. Borrower hereby grants to Agent, for the ratable benefit of the Lenders, a Lien, security interest, and a right of setoff as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for all Obligations to Agent and the Lenders, whether now existing or hereafter arising upon and against all deposits, credits, collateral and property, now or hereafter in the possession, custody, safekeeping or control of Agent or any entity under the control of Agent (including a subsidiary of Agent) in transit to any of them. At any time after the occurrence and during the continuance of an Event of Default, without demand or notice, Agent or any Lender may setoff the same or any part thereof and apply the same to any liability or Obligation of Borrower even though unmatured and regardless of the adequacy of any other collateral securing the Obligations. ANY AND ALL RIGHTS TO REQUIRE AGENT OR ANY LENDER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4" w:lineRule="exact"/>
        <w:rPr>
          <w:sz w:val="20"/>
          <w:szCs w:val="20"/>
          <w:color w:val="auto"/>
        </w:rPr>
      </w:pPr>
    </w:p>
    <w:p>
      <w:pPr>
        <w:jc w:val="both"/>
        <w:ind w:right="140" w:firstLine="440"/>
        <w:spacing w:after="0" w:line="266" w:lineRule="auto"/>
        <w:rPr>
          <w:sz w:val="20"/>
          <w:szCs w:val="20"/>
          <w:color w:val="auto"/>
        </w:rPr>
      </w:pPr>
      <w:r>
        <w:rPr>
          <w:rFonts w:ascii="Arial" w:cs="Arial" w:eastAsia="Arial" w:hAnsi="Arial"/>
          <w:sz w:val="18"/>
          <w:szCs w:val="18"/>
          <w:b w:val="1"/>
          <w:bCs w:val="1"/>
          <w:color w:val="auto"/>
        </w:rPr>
        <w:t>Attorneys’ Fees, Costs and Expenses</w:t>
      </w:r>
      <w:r>
        <w:rPr>
          <w:rFonts w:ascii="Arial" w:cs="Arial" w:eastAsia="Arial" w:hAnsi="Arial"/>
          <w:sz w:val="18"/>
          <w:szCs w:val="18"/>
          <w:color w:val="auto"/>
        </w:rPr>
        <w:t>. In any action or proceeding between Borrower and Agent or the Lenders arising out of or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 the prevailing party shall be entitled to recover its reasonable and documented attorneys’ fees and other costs and expenses incurred, in addition to any other relief to which it may be entitled.</w:t>
      </w:r>
    </w:p>
    <w:p>
      <w:pPr>
        <w:spacing w:after="0" w:line="176" w:lineRule="exact"/>
        <w:rPr>
          <w:sz w:val="20"/>
          <w:szCs w:val="20"/>
          <w:color w:val="auto"/>
        </w:rPr>
      </w:pPr>
    </w:p>
    <w:p>
      <w:pPr>
        <w:ind w:right="80" w:firstLine="440"/>
        <w:spacing w:after="0" w:line="281" w:lineRule="auto"/>
        <w:rPr>
          <w:sz w:val="20"/>
          <w:szCs w:val="20"/>
          <w:color w:val="auto"/>
        </w:rPr>
      </w:pPr>
      <w:r>
        <w:rPr>
          <w:rFonts w:ascii="Arial" w:cs="Arial" w:eastAsia="Arial" w:hAnsi="Arial"/>
          <w:sz w:val="17"/>
          <w:szCs w:val="17"/>
          <w:b w:val="1"/>
          <w:bCs w:val="1"/>
          <w:color w:val="auto"/>
        </w:rPr>
        <w:t>Electronic Execution of Documents</w:t>
      </w:r>
      <w:r>
        <w:rPr>
          <w:rFonts w:ascii="Arial" w:cs="Arial" w:eastAsia="Arial" w:hAnsi="Arial"/>
          <w:sz w:val="17"/>
          <w:szCs w:val="17"/>
          <w:color w:val="auto"/>
        </w:rPr>
        <w:t>. The words “execution,” “signed,” “signature” and words of like import in any Loan Document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Captions</w:t>
      </w:r>
      <w:r>
        <w:rPr>
          <w:rFonts w:ascii="Arial" w:cs="Arial" w:eastAsia="Arial" w:hAnsi="Arial"/>
          <w:sz w:val="18"/>
          <w:szCs w:val="18"/>
          <w:color w:val="auto"/>
        </w:rPr>
        <w:t>. The headings used in this Agreement are for convenience only and shall not affect the interpretation of this Agreement.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450" w:name="page451"/>
    <w:bookmarkEnd w:id="450"/>
    <w:p>
      <w:pPr>
        <w:ind w:right="80" w:firstLine="440"/>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Construction of Agreement</w:t>
      </w:r>
      <w:r>
        <w:rPr>
          <w:rFonts w:ascii="Arial" w:cs="Arial" w:eastAsia="Arial" w:hAnsi="Arial"/>
          <w:sz w:val="16"/>
          <w:szCs w:val="16"/>
          <w:color w:val="auto"/>
        </w:rPr>
        <w:t>. The parties mutually acknowledge that they and their attorneys have participated in the preparation and negotiation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In cases of uncertainty this Agreement shall be construed without regard to which of the parties caused the uncertainty to exist.</w:t>
      </w:r>
    </w:p>
    <w:p>
      <w:pPr>
        <w:spacing w:after="0" w:line="11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Relationship</w:t>
      </w:r>
      <w:r>
        <w:rPr>
          <w:rFonts w:ascii="Arial" w:cs="Arial" w:eastAsia="Arial" w:hAnsi="Arial"/>
          <w:sz w:val="18"/>
          <w:szCs w:val="18"/>
          <w:color w:val="auto"/>
        </w:rPr>
        <w:t>. The relationship of the parties to this Agreement is determined solely by the provisions of this Agreement. The parties do not intend</w:t>
      </w:r>
      <w:r>
        <w:rPr>
          <w:rFonts w:ascii="Arial" w:cs="Arial" w:eastAsia="Arial" w:hAnsi="Arial"/>
          <w:sz w:val="18"/>
          <w:szCs w:val="18"/>
          <w:b w:val="1"/>
          <w:bCs w:val="1"/>
          <w:color w:val="auto"/>
        </w:rPr>
        <w:t xml:space="preserve"> </w:t>
      </w:r>
      <w:r>
        <w:rPr>
          <w:rFonts w:ascii="Arial" w:cs="Arial" w:eastAsia="Arial" w:hAnsi="Arial"/>
          <w:sz w:val="18"/>
          <w:szCs w:val="18"/>
          <w:color w:val="auto"/>
        </w:rPr>
        <w:t>to create any agency, partnership, joint venture, trust, fiduciary or other relationship with duties or incidents different from those of parties to an arm’s-length contract.</w:t>
      </w:r>
    </w:p>
    <w:p>
      <w:pPr>
        <w:spacing w:after="0" w:line="176"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Third Parties</w:t>
      </w:r>
      <w:r>
        <w:rPr>
          <w:rFonts w:ascii="Arial" w:cs="Arial" w:eastAsia="Arial" w:hAnsi="Arial"/>
          <w:sz w:val="18"/>
          <w:szCs w:val="18"/>
          <w:color w:val="auto"/>
        </w:rPr>
        <w:t>. Nothing in this Agreement, whether express or implied, is intended to: (a) confer any benefits, rights or remedies under or by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8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Patriot Act</w:t>
      </w:r>
      <w:r>
        <w:rPr>
          <w:rFonts w:ascii="Arial" w:cs="Arial" w:eastAsia="Arial" w:hAnsi="Arial"/>
          <w:sz w:val="18"/>
          <w:szCs w:val="18"/>
          <w:color w:val="auto"/>
        </w:rPr>
        <w:t>. Each Lender hereby notifies Borrower that pursuant to the requirements of the USA PATRIOT Act, it is required to obtain, verify and</w:t>
      </w:r>
      <w:r>
        <w:rPr>
          <w:rFonts w:ascii="Arial" w:cs="Arial" w:eastAsia="Arial" w:hAnsi="Arial"/>
          <w:sz w:val="18"/>
          <w:szCs w:val="18"/>
          <w:b w:val="1"/>
          <w:bCs w:val="1"/>
          <w:color w:val="auto"/>
        </w:rPr>
        <w:t xml:space="preserve"> </w:t>
      </w:r>
      <w:r>
        <w:rPr>
          <w:rFonts w:ascii="Arial" w:cs="Arial" w:eastAsia="Arial" w:hAnsi="Arial"/>
          <w:sz w:val="18"/>
          <w:szCs w:val="18"/>
          <w:color w:val="auto"/>
        </w:rPr>
        <w:t>record information that identifies Borrower and each of its Subsidiaries, which information includes the names and addresses of each Borrower and each of its Subsidiaries and other information that will allow Lender, as applicable, to identify Borrower and each of its Subsidiaries in accordance with the USA PATRIOT Act.</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17"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the Loan Documents, the word “shall” is mandatory, the word “may” is permissive, the word “or” is not exclusive, the</w:t>
      </w:r>
      <w:r>
        <w:rPr>
          <w:rFonts w:ascii="Arial" w:cs="Arial" w:eastAsia="Arial" w:hAnsi="Arial"/>
          <w:sz w:val="18"/>
          <w:szCs w:val="18"/>
          <w:b w:val="1"/>
          <w:bCs w:val="1"/>
          <w:color w:val="auto"/>
        </w:rPr>
        <w:t xml:space="preserve"> </w:t>
      </w:r>
      <w:r>
        <w:rPr>
          <w:rFonts w:ascii="Arial" w:cs="Arial" w:eastAsia="Arial" w:hAnsi="Arial"/>
          <w:sz w:val="18"/>
          <w:szCs w:val="18"/>
          <w:color w:val="auto"/>
        </w:rPr>
        <w:t>words “includes” and “including” are not limiting, the singular includes the plural, and numbers denoting amounts that are set off in brackets are negative. As used in this Agreement, the following capitalized terms have the following meanings:</w:t>
      </w:r>
    </w:p>
    <w:p>
      <w:pPr>
        <w:spacing w:after="0" w:line="68"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w:t>
      </w:r>
      <w:r>
        <w:rPr>
          <w:rFonts w:ascii="Arial" w:cs="Arial" w:eastAsia="Arial" w:hAnsi="Arial"/>
          <w:sz w:val="18"/>
          <w:szCs w:val="18"/>
          <w:b w:val="1"/>
          <w:bCs w:val="1"/>
          <w:color w:val="auto"/>
        </w:rPr>
        <w:t>account</w:t>
      </w:r>
      <w:r>
        <w:rPr>
          <w:rFonts w:ascii="Arial" w:cs="Arial" w:eastAsia="Arial" w:hAnsi="Arial"/>
          <w:sz w:val="18"/>
          <w:szCs w:val="18"/>
          <w:color w:val="auto"/>
        </w:rPr>
        <w: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w:t>
      </w:r>
      <w:r>
        <w:rPr>
          <w:rFonts w:ascii="Arial" w:cs="Arial" w:eastAsia="Arial" w:hAnsi="Arial"/>
          <w:sz w:val="18"/>
          <w:szCs w:val="18"/>
          <w:b w:val="1"/>
          <w:bCs w:val="1"/>
          <w:color w:val="auto"/>
        </w:rPr>
        <w:t>account debtor</w:t>
      </w:r>
      <w:r>
        <w:rPr>
          <w:rFonts w:ascii="Arial" w:cs="Arial" w:eastAsia="Arial" w:hAnsi="Arial"/>
          <w:sz w:val="18"/>
          <w:szCs w:val="18"/>
          <w:color w:val="auto"/>
        </w:rPr>
        <w:t>” as defined in the Code with such additions to such term as may hereafter be made.</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ALX Ireland</w:t>
      </w:r>
      <w:r>
        <w:rPr>
          <w:rFonts w:ascii="Arial" w:cs="Arial" w:eastAsia="Arial" w:hAnsi="Arial"/>
          <w:sz w:val="18"/>
          <w:szCs w:val="18"/>
          <w:color w:val="auto"/>
        </w:rPr>
        <w:t>” is ALX Oncology Limited, a private company limited by shares incorporated under the laws of Ireland.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ALX U.S.</w:t>
      </w:r>
      <w:r>
        <w:rPr>
          <w:rFonts w:ascii="Arial" w:cs="Arial" w:eastAsia="Arial" w:hAnsi="Arial"/>
          <w:sz w:val="18"/>
          <w:szCs w:val="18"/>
          <w:color w:val="auto"/>
        </w:rPr>
        <w:t>” is ALX Oncology Inc.,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Alexo</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in Borrower’s Borrowing Resolution who is authorized to execute the Loan Documents, including making (and executing if applicable) any Credit Extension request, on behalf of Borrower.</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w:t>
      </w:r>
      <w:r>
        <w:rPr>
          <w:rFonts w:ascii="Arial" w:cs="Arial" w:eastAsia="Arial" w:hAnsi="Arial"/>
          <w:sz w:val="18"/>
          <w:szCs w:val="18"/>
          <w:color w:val="auto"/>
        </w:rPr>
        <w:t>” are any products, credit services, and/or financial accommodations previously, now, or hereafter provided to Borrower or any of its Subsidiaries by SVB or any SVB Affiliate, including, without limitation,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451" w:name="page452"/>
    <w:bookmarkEnd w:id="451"/>
    <w:p>
      <w:pPr>
        <w:jc w:val="both"/>
        <w:ind w:left="4"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SVB’s various agreements related thereto (each, a “</w:t>
      </w:r>
      <w:r>
        <w:rPr>
          <w:rFonts w:ascii="Arial" w:cs="Arial" w:eastAsia="Arial" w:hAnsi="Arial"/>
          <w:sz w:val="18"/>
          <w:szCs w:val="18"/>
          <w:b w:val="1"/>
          <w:bCs w:val="1"/>
          <w:color w:val="auto"/>
        </w:rPr>
        <w:t>Bank Services Agreement</w:t>
      </w:r>
      <w:r>
        <w:rPr>
          <w:rFonts w:ascii="Arial" w:cs="Arial" w:eastAsia="Arial" w:hAnsi="Arial"/>
          <w:sz w:val="18"/>
          <w:szCs w:val="18"/>
          <w:color w:val="auto"/>
        </w:rPr>
        <w:t>”).</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 Agreement</w:t>
      </w:r>
      <w:r>
        <w:rPr>
          <w:rFonts w:ascii="Arial" w:cs="Arial" w:eastAsia="Arial" w:hAnsi="Arial"/>
          <w:sz w:val="18"/>
          <w:szCs w:val="18"/>
          <w:color w:val="auto"/>
        </w:rPr>
        <w:t>” is defined in the definition of Bank Services.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Borrower’s board of directors or ALX Ireland’s board of directors, as applicable.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left="4" w:right="6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Resolutions</w:t>
      </w:r>
      <w:r>
        <w:rPr>
          <w:rFonts w:ascii="Arial" w:cs="Arial" w:eastAsia="Arial" w:hAnsi="Arial"/>
          <w:sz w:val="17"/>
          <w:szCs w:val="17"/>
          <w:color w:val="auto"/>
        </w:rPr>
        <w:t>” are, with respect to any Person, those resolutions adopted by such Person’s board of directors (and, if required under the terms of such Person’s Operating Documents, stockholders or shareholders) and delivered by such Person to Agent approving the Loan Documents to which such Person is a party and the transactions contemplated thereby, together with a certificate executed by its secretary (or other appropriate representative)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Agent and the Lenders may conclusively rely on such certificate unless and until such Person shall have delivered to Agent and the Lenders a further certificate canceling or amending such prior certificate.</w:t>
      </w:r>
    </w:p>
    <w:p>
      <w:pPr>
        <w:spacing w:after="0" w:line="17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Agent is closed.</w:t>
      </w:r>
    </w:p>
    <w:p>
      <w:pPr>
        <w:spacing w:after="0" w:line="22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SVB’s certificates of deposit issued maturing no more than one (1) year after issue; and (d) money market funds at least ninety-five percent (95.0%) of the assets of which constitute Cash Equivalents of the kinds described in clauses (a) through (c) of this definition</w:t>
      </w:r>
      <w:r>
        <w:rPr>
          <w:rFonts w:ascii="Arial" w:cs="Arial" w:eastAsia="Arial" w:hAnsi="Arial"/>
          <w:sz w:val="17"/>
          <w:szCs w:val="17"/>
          <w:b w:val="1"/>
          <w:bCs w:val="1"/>
          <w:color w:val="auto"/>
        </w:rPr>
        <w:t>.</w:t>
      </w:r>
    </w:p>
    <w:p>
      <w:pPr>
        <w:spacing w:after="0" w:line="168" w:lineRule="exact"/>
        <w:rPr>
          <w:sz w:val="20"/>
          <w:szCs w:val="20"/>
          <w:color w:val="auto"/>
        </w:rPr>
      </w:pPr>
    </w:p>
    <w:p>
      <w:pPr>
        <w:jc w:val="both"/>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twenty-five percent (25.0%) or more of the ordinary voting power for the election of directors of Borrower (determined on a fully diluted basis) other than by the sale of Borrower’s equity securities or shares in a public offering or to venture capital or private equity investors so long as Borrower identifies to the Agent and the Lenders the venture capital or private equity investors at least seven</w:t>
      </w:r>
    </w:p>
    <w:p>
      <w:pPr>
        <w:spacing w:after="0" w:line="2" w:lineRule="exact"/>
        <w:rPr>
          <w:sz w:val="20"/>
          <w:szCs w:val="20"/>
          <w:color w:val="auto"/>
        </w:rPr>
      </w:pPr>
    </w:p>
    <w:p>
      <w:pPr>
        <w:ind w:left="264" w:hanging="264"/>
        <w:spacing w:after="0"/>
        <w:tabs>
          <w:tab w:leader="none" w:pos="264" w:val="left"/>
        </w:tabs>
        <w:numPr>
          <w:ilvl w:val="0"/>
          <w:numId w:val="399"/>
        </w:numPr>
        <w:rPr>
          <w:rFonts w:ascii="Arial" w:cs="Arial" w:eastAsia="Arial" w:hAnsi="Arial"/>
          <w:sz w:val="16"/>
          <w:szCs w:val="16"/>
          <w:color w:val="auto"/>
        </w:rPr>
      </w:pPr>
      <w:r>
        <w:rPr>
          <w:rFonts w:ascii="Arial" w:cs="Arial" w:eastAsia="Arial" w:hAnsi="Arial"/>
          <w:sz w:val="16"/>
          <w:szCs w:val="16"/>
          <w:color w:val="auto"/>
        </w:rPr>
        <w:t>Business Days prior to the closing of the transaction and provides to Agent and the Lenders a description of the material terms of the transaction;</w:t>
      </w:r>
    </w:p>
    <w:p>
      <w:pPr>
        <w:spacing w:after="0" w:line="32" w:lineRule="exact"/>
        <w:rPr>
          <w:rFonts w:ascii="Arial" w:cs="Arial" w:eastAsia="Arial" w:hAnsi="Arial"/>
          <w:sz w:val="16"/>
          <w:szCs w:val="16"/>
          <w:color w:val="auto"/>
        </w:rPr>
      </w:pPr>
    </w:p>
    <w:p>
      <w:pPr>
        <w:ind w:left="4" w:right="380"/>
        <w:spacing w:after="0" w:line="281" w:lineRule="auto"/>
        <w:rPr>
          <w:rFonts w:ascii="Arial" w:cs="Arial" w:eastAsia="Arial" w:hAnsi="Arial"/>
          <w:sz w:val="16"/>
          <w:szCs w:val="16"/>
          <w:color w:val="auto"/>
        </w:rPr>
      </w:pPr>
      <w:r>
        <w:rPr>
          <w:rFonts w:ascii="Arial" w:cs="Arial" w:eastAsia="Arial" w:hAnsi="Arial"/>
          <w:sz w:val="16"/>
          <w:szCs w:val="16"/>
          <w:color w:val="auto"/>
        </w:rPr>
        <w:t>(b) during any period of twelve (12) consecutive months, a majority of the members of the board of directors or other equivalent governing body of Borrower cease to be composed of individuals (i) who were members of that board or equivalent governing body on the first day of such period,</w:t>
      </w:r>
    </w:p>
    <w:p>
      <w:pPr>
        <w:spacing w:after="0" w:line="1" w:lineRule="exact"/>
        <w:rPr>
          <w:rFonts w:ascii="Arial" w:cs="Arial" w:eastAsia="Arial" w:hAnsi="Arial"/>
          <w:sz w:val="16"/>
          <w:szCs w:val="16"/>
          <w:color w:val="auto"/>
        </w:rPr>
      </w:pPr>
    </w:p>
    <w:p>
      <w:pPr>
        <w:ind w:left="4"/>
        <w:spacing w:after="0" w:line="252" w:lineRule="auto"/>
        <w:rPr>
          <w:rFonts w:ascii="Arial" w:cs="Arial" w:eastAsia="Arial" w:hAnsi="Arial"/>
          <w:sz w:val="16"/>
          <w:szCs w:val="16"/>
          <w:color w:val="auto"/>
        </w:rPr>
      </w:pPr>
      <w:r>
        <w:rPr>
          <w:rFonts w:ascii="Arial" w:cs="Arial" w:eastAsia="Arial" w:hAnsi="Arial"/>
          <w:sz w:val="18"/>
          <w:szCs w:val="18"/>
          <w:color w:val="auto"/>
        </w:rPr>
        <w:t>(ii)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one hundred percent (100.0%) of each class of outstanding capital stock of each Subsidiary of Borrower free and clear of all Liens (except Liens created by this Agreement).</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452" w:name="page453"/>
    <w:bookmarkEnd w:id="45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13.3.</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Agent’s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225"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Assignment of License Agreement</w:t>
      </w:r>
      <w:r>
        <w:rPr>
          <w:rFonts w:ascii="Arial" w:cs="Arial" w:eastAsia="Arial" w:hAnsi="Arial"/>
          <w:sz w:val="18"/>
          <w:szCs w:val="18"/>
          <w:color w:val="auto"/>
        </w:rPr>
        <w:t>” is that certain Collateral Assignment of License Agreement dated as of the Effective Date executed by and among Borrower, Agent, the Lenders, and ALX U.S.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and “</w:t>
      </w:r>
      <w:r>
        <w:rPr>
          <w:rFonts w:ascii="Arial" w:cs="Arial" w:eastAsia="Arial" w:hAnsi="Arial"/>
          <w:sz w:val="18"/>
          <w:szCs w:val="18"/>
          <w:b w:val="1"/>
          <w:bCs w:val="1"/>
          <w:color w:val="auto"/>
        </w:rPr>
        <w:t>Commitments</w:t>
      </w:r>
      <w:r>
        <w:rPr>
          <w:rFonts w:ascii="Arial" w:cs="Arial" w:eastAsia="Arial" w:hAnsi="Arial"/>
          <w:sz w:val="18"/>
          <w:szCs w:val="18"/>
          <w:color w:val="auto"/>
        </w:rPr>
        <w:t>” means the Term Loan Commitment(s).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w:t>
      </w:r>
      <w:r>
        <w:rPr>
          <w:rFonts w:ascii="Arial" w:cs="Arial" w:eastAsia="Arial" w:hAnsi="Arial"/>
          <w:sz w:val="17"/>
          <w:szCs w:val="17"/>
          <w:color w:val="auto"/>
        </w:rPr>
        <w:t>” is, for any Person, any direct or indirect liability, contingent or not, of that Person for (a) 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74"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Agreement</w:t>
      </w:r>
      <w:r>
        <w:rPr>
          <w:rFonts w:ascii="Arial" w:cs="Arial" w:eastAsia="Arial" w:hAnsi="Arial"/>
          <w:sz w:val="18"/>
          <w:szCs w:val="18"/>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Agent pursuant to which Agent obtains control (within the meaning of the Code) for the benefit of the Lenders over such Deposit Account, Securities Account, or Commodity Account.</w:t>
      </w:r>
    </w:p>
    <w:p>
      <w:pPr>
        <w:spacing w:after="0" w:line="180"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Extension</w:t>
      </w:r>
      <w:r>
        <w:rPr>
          <w:rFonts w:ascii="Arial" w:cs="Arial" w:eastAsia="Arial" w:hAnsi="Arial"/>
          <w:sz w:val="16"/>
          <w:szCs w:val="16"/>
          <w:color w:val="auto"/>
        </w:rPr>
        <w:t>” is any Term Loan Advance, or any other extension of credit by any Lender for Borrower’s benefit under any Loan Document.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Debenture</w:t>
      </w:r>
      <w:r>
        <w:rPr>
          <w:rFonts w:ascii="Arial" w:cs="Arial" w:eastAsia="Arial" w:hAnsi="Arial"/>
          <w:sz w:val="18"/>
          <w:szCs w:val="18"/>
          <w:color w:val="auto"/>
        </w:rPr>
        <w:t>” means the Irish law debenture dated on or about the Effective Date between ALX Ireland and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2.3(b).</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453" w:name="page454"/>
    <w:bookmarkEnd w:id="453"/>
    <w:p>
      <w:pPr>
        <w:ind w:left="4"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Defaulting Lender</w:t>
      </w:r>
      <w:r>
        <w:rPr>
          <w:rFonts w:ascii="Arial" w:cs="Arial" w:eastAsia="Arial" w:hAnsi="Arial"/>
          <w:sz w:val="16"/>
          <w:szCs w:val="16"/>
          <w:color w:val="auto"/>
        </w:rPr>
        <w:t>” is, subject to Section 10.10(b), any Lender that (a) has failed to (i) fund all or any portion of its Term Loan Advances within two (2) Business Days of the date such Term Loan Advances were required to be funded hereunder unless such Lender notifies Agent and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Agent or any other Lender any other amount required to be paid by it hereunder within two (2) Business Days of the date when due, (b) has notified Borrower or Agent in writing that it does not intend to comply with its funding obligations hereunder, or has made a public statement to that effect (unless such writing or public statement relates to such Lender’s obligation to fund a Term Loan Advance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Agent or Borrower, to confirm in writing to Agent and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Agent and Borrower), or</w:t>
      </w:r>
    </w:p>
    <w:p>
      <w:pPr>
        <w:spacing w:after="0" w:line="8" w:lineRule="exact"/>
        <w:rPr>
          <w:sz w:val="20"/>
          <w:szCs w:val="20"/>
          <w:color w:val="auto"/>
        </w:rPr>
      </w:pPr>
    </w:p>
    <w:p>
      <w:pPr>
        <w:ind w:left="4" w:hanging="4"/>
        <w:spacing w:after="0" w:line="268" w:lineRule="auto"/>
        <w:tabs>
          <w:tab w:leader="none" w:pos="259" w:val="left"/>
        </w:tabs>
        <w:numPr>
          <w:ilvl w:val="0"/>
          <w:numId w:val="400"/>
        </w:numPr>
        <w:rPr>
          <w:rFonts w:ascii="Arial" w:cs="Arial" w:eastAsia="Arial" w:hAnsi="Arial"/>
          <w:sz w:val="17"/>
          <w:szCs w:val="17"/>
          <w:color w:val="auto"/>
        </w:rPr>
      </w:pPr>
      <w:r>
        <w:rPr>
          <w:rFonts w:ascii="Arial" w:cs="Arial" w:eastAsia="Arial" w:hAnsi="Arial"/>
          <w:sz w:val="17"/>
          <w:szCs w:val="17"/>
          <w:color w:val="auto"/>
        </w:rPr>
        <w:t xml:space="preserve">has, or has a direct or indirect parent company that has, (i) become the subject of an Insolvency Proceeding,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clauses (a) through (d) above shall be conclusive and binding absent manifest error, and such Lender shall be deemed to be a Defaulting Lender (subject to Section 10.10(b)) upon delivery of written notice of such determination to Borrower and each Lender.</w:t>
      </w:r>
    </w:p>
    <w:p>
      <w:pPr>
        <w:spacing w:after="0" w:line="17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w:t>
      </w:r>
      <w:r>
        <w:rPr>
          <w:rFonts w:ascii="Arial" w:cs="Arial" w:eastAsia="Arial" w:hAnsi="Arial"/>
          <w:sz w:val="18"/>
          <w:szCs w:val="18"/>
          <w:b w:val="1"/>
          <w:bCs w:val="1"/>
          <w:color w:val="auto"/>
        </w:rPr>
        <w:t>deposit account</w:t>
      </w:r>
      <w:r>
        <w:rPr>
          <w:rFonts w:ascii="Arial" w:cs="Arial" w:eastAsia="Arial" w:hAnsi="Arial"/>
          <w:sz w:val="18"/>
          <w:szCs w:val="18"/>
          <w:color w:val="auto"/>
        </w:rPr>
        <w:t>” as defined in the Code with such additions to such term as may hereafter be made.</w:t>
      </w:r>
    </w:p>
    <w:p>
      <w:pPr>
        <w:spacing w:after="0" w:line="225" w:lineRule="exact"/>
        <w:rPr>
          <w:sz w:val="20"/>
          <w:szCs w:val="20"/>
          <w:color w:val="auto"/>
        </w:rPr>
      </w:pPr>
    </w:p>
    <w:p>
      <w:pPr>
        <w:ind w:left="4" w:right="1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Deposit Account</w:t>
      </w:r>
      <w:r>
        <w:rPr>
          <w:rFonts w:ascii="Arial" w:cs="Arial" w:eastAsia="Arial" w:hAnsi="Arial"/>
          <w:sz w:val="17"/>
          <w:szCs w:val="17"/>
          <w:color w:val="auto"/>
        </w:rPr>
        <w:t>” is, collectively (i) the account number ending 956 (last three digits) maintained by Alexo with SVB, and (ii) the account number ending 906 (last three digits) maintained by Sirpant with SVB (provided, however, if no such account number is included, then the Designated Deposit Account shall be any deposit account of Borrower maintained with SVB as chosen by the Lenders).</w:t>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Letter</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Division</w:t>
      </w:r>
      <w:r>
        <w:rPr>
          <w:rFonts w:ascii="Arial" w:cs="Arial" w:eastAsia="Arial" w:hAnsi="Arial"/>
          <w:sz w:val="17"/>
          <w:szCs w:val="17"/>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18 217 of the Delaware Limited Liability Company Act for limited liability companies formed under Delaware law, or any analogous action taken pursuant to any other applicable law with respect to any corporation, limited liability company, partnership or other entity.</w:t>
      </w:r>
    </w:p>
    <w:p>
      <w:pPr>
        <w:spacing w:after="0" w:line="165" w:lineRule="exact"/>
        <w:rPr>
          <w:sz w:val="20"/>
          <w:szCs w:val="20"/>
          <w:color w:val="auto"/>
        </w:rPr>
      </w:pPr>
    </w:p>
    <w:p>
      <w:pPr>
        <w:ind w:left="4"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ind w:left="4" w:right="20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 Equivalent</w:t>
      </w:r>
      <w:r>
        <w:rPr>
          <w:rFonts w:ascii="Arial" w:cs="Arial" w:eastAsia="Arial" w:hAnsi="Arial"/>
          <w:sz w:val="16"/>
          <w:szCs w:val="16"/>
          <w:color w:val="auto"/>
        </w:rPr>
        <w:t>” is, at any time, (a) with respect to any amount denominated in Dollars, such amount, and (b) with respect to any amount denominated in a Foreign Currency, the equivalent amount therefor in Dollars as determined by Agent at such time on the basis of the then-prevailing rate of exchange in San Francisco, California, for sales of the Foreign Currency for transfer to the country issuing such Foreign Currency.</w:t>
      </w:r>
    </w:p>
    <w:p>
      <w:pPr>
        <w:spacing w:after="0" w:line="142" w:lineRule="exact"/>
        <w:rPr>
          <w:sz w:val="20"/>
          <w:szCs w:val="20"/>
          <w:color w:val="auto"/>
        </w:rPr>
      </w:pPr>
    </w:p>
    <w:p>
      <w:pPr>
        <w:ind w:left="4"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 Period</w:t>
      </w:r>
      <w:r>
        <w:rPr>
          <w:rFonts w:ascii="Arial" w:cs="Arial" w:eastAsia="Arial" w:hAnsi="Arial"/>
          <w:sz w:val="18"/>
          <w:szCs w:val="18"/>
          <w:color w:val="auto"/>
        </w:rPr>
        <w:t>” is the period of time commencing upon the occurrence of the Term Sheet Event and continuing through the earlier to occur of (a) March 31, 2020, and (b) an Event of Default.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0" w:right="479" w:bottom="1440" w:gutter="0" w:footer="0" w:header="0"/>
        </w:sectPr>
      </w:pPr>
    </w:p>
    <w:bookmarkStart w:id="454" w:name="page455"/>
    <w:bookmarkEnd w:id="45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5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is all “</w:t>
      </w:r>
      <w:r>
        <w:rPr>
          <w:rFonts w:ascii="Arial" w:cs="Arial" w:eastAsia="Arial" w:hAnsi="Arial"/>
          <w:sz w:val="17"/>
          <w:szCs w:val="17"/>
          <w:b w:val="1"/>
          <w:bCs w:val="1"/>
          <w:color w:val="auto"/>
        </w:rPr>
        <w:t>equipment</w:t>
      </w:r>
      <w:r>
        <w:rPr>
          <w:rFonts w:ascii="Arial" w:cs="Arial" w:eastAsia="Arial" w:hAnsi="Arial"/>
          <w:sz w:val="17"/>
          <w:szCs w:val="17"/>
          <w:color w:val="auto"/>
        </w:rPr>
        <w:t>” as defined in the Code with such additions to such term as may hereafter be made, and includes without limitation all machinery, fixtures, goods, vehicles (including motor vehicles and trailers), and any interest in any of the foregoing.</w:t>
      </w:r>
    </w:p>
    <w:p>
      <w:pPr>
        <w:spacing w:after="0" w:line="140"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Event</w:t>
      </w:r>
      <w:r>
        <w:rPr>
          <w:rFonts w:ascii="Arial" w:cs="Arial" w:eastAsia="Arial" w:hAnsi="Arial"/>
          <w:sz w:val="17"/>
          <w:szCs w:val="17"/>
          <w:color w:val="auto"/>
        </w:rPr>
        <w:t>” means Borrower has provided Agent and the Lenders with evidence, satisfactory to Agent and each Lender in Agent’s and each Lender’s sole and absolute discretion, that ALX Ireland has received, after the Effective Date, unrestricted and unencumbered net cash proceeds in an amount of at least Fifty Million Dollars ($50,000,000.00) from the issuance and sale by ALX Ireland of its equity securities to investors (which amount shall be inclusive of any funds received by ALX Ireland with respect to the Interest Only Extension Event).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Effective Rate</w:t>
      </w:r>
      <w:r>
        <w:rPr>
          <w:rFonts w:ascii="Arial" w:cs="Arial" w:eastAsia="Arial" w:hAnsi="Arial"/>
          <w:sz w:val="18"/>
          <w:szCs w:val="18"/>
          <w:color w:val="auto"/>
        </w:rPr>
        <w:t>” means,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of the quotations for the day of such transactions received by SVB from three federal funds brokers of recognized standing selected by it.</w:t>
      </w:r>
    </w:p>
    <w:p>
      <w:pPr>
        <w:spacing w:after="0" w:line="180" w:lineRule="exact"/>
        <w:rPr>
          <w:sz w:val="20"/>
          <w:szCs w:val="20"/>
          <w:color w:val="auto"/>
        </w:rPr>
      </w:pPr>
    </w:p>
    <w:p>
      <w:pPr>
        <w:jc w:val="both"/>
        <w:ind w:right="4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Final Payment</w:t>
      </w:r>
      <w:r>
        <w:rPr>
          <w:rFonts w:ascii="Arial" w:cs="Arial" w:eastAsia="Arial" w:hAnsi="Arial"/>
          <w:sz w:val="16"/>
          <w:szCs w:val="16"/>
          <w:color w:val="auto"/>
        </w:rPr>
        <w:t>” is a payment (in addition to and not in substitution for the regular monthly payments of principal plus accrued interest) equal to the original principal amount of each Term Loan Advance extended by the Lenders to Borrower hereunder multiplied by six percent (6.0%) due on the earliest to occur of (a) the Term Loan Maturity Date, (b) the payment in full of the Term Loan Advances, (c) as required by Section 2.2(d) or 2.2(e),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 the termination of this Agreement.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SVB under which Borrower commits to purchase from or sell to SVB a specific amount of Foreign Currency on a specified date.</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3"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0" w:right="499" w:bottom="1440" w:gutter="0" w:footer="0" w:header="0"/>
        </w:sectPr>
      </w:pPr>
    </w:p>
    <w:bookmarkStart w:id="455" w:name="page456"/>
    <w:bookmarkEnd w:id="455"/>
    <w:p>
      <w:pPr>
        <w:ind w:left="4" w:right="20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4"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 ALX Ireland, and (b) after the Effective Date, ALX Ireland and any other Person providing a Guaranty in favor of Agent and the Lenders.</w:t>
      </w:r>
    </w:p>
    <w:p>
      <w:pPr>
        <w:spacing w:after="0" w:line="162"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 that certain Unconditional Guaranty dated as of the Effective Date executed by ALX Ireland in favor of Agent and the Lenders, as may be amended, modified, supplemented, or restated from time to time and (b) any guarantee of all or any part of the Obligations, as the same may from time to time be amended, restated, modified or otherwise supplemented.</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Member</w:t>
      </w:r>
      <w:r>
        <w:rPr>
          <w:rFonts w:ascii="Arial" w:cs="Arial" w:eastAsia="Arial" w:hAnsi="Arial"/>
          <w:sz w:val="18"/>
          <w:szCs w:val="18"/>
          <w:color w:val="auto"/>
        </w:rPr>
        <w:t>” means Borrower and its Subsidiaries.</w:t>
      </w:r>
    </w:p>
    <w:p>
      <w:pPr>
        <w:spacing w:after="0" w:line="225"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13.3.</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is defined in Section 13.9.</w:t>
      </w:r>
    </w:p>
    <w:p>
      <w:pPr>
        <w:spacing w:after="0" w:line="225" w:lineRule="exact"/>
        <w:rPr>
          <w:sz w:val="20"/>
          <w:szCs w:val="20"/>
          <w:color w:val="auto"/>
        </w:rPr>
      </w:pPr>
    </w:p>
    <w:p>
      <w:pPr>
        <w:ind w:left="4" w:right="46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liquidation, provisional liquidation, winding up, administration, examinership or dissolution, arrangement, or other relief or the appointment of a liquidator, provisional liquidator, receiver, examiner, administrative receiver, administrator, compulsory manager or other similar officer in respect of any Person or its assets.</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121" w:lineRule="exact"/>
        <w:rPr>
          <w:sz w:val="20"/>
          <w:szCs w:val="20"/>
          <w:color w:val="auto"/>
        </w:rPr>
      </w:pPr>
    </w:p>
    <w:p>
      <w:pPr>
        <w:ind w:left="1364" w:hanging="373"/>
        <w:spacing w:after="0"/>
        <w:tabs>
          <w:tab w:leader="none" w:pos="1364"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0"/>
          <w:numId w:val="401"/>
        </w:numPr>
        <w:rPr>
          <w:rFonts w:ascii="Arial" w:cs="Arial" w:eastAsia="Arial" w:hAnsi="Arial"/>
          <w:sz w:val="16"/>
          <w:szCs w:val="16"/>
          <w:color w:val="auto"/>
        </w:rPr>
      </w:pPr>
      <w:r>
        <w:rPr>
          <w:rFonts w:ascii="Arial" w:cs="Arial" w:eastAsia="Arial" w:hAnsi="Arial"/>
          <w:sz w:val="16"/>
          <w:szCs w:val="16"/>
          <w:color w:val="auto"/>
        </w:rPr>
        <w:t>any and all trade secrets and trade secret rights, including, without limitation, any rights to unpatented inventions, know-how and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operating manuals;</w:t>
      </w:r>
    </w:p>
    <w:p>
      <w:pPr>
        <w:spacing w:after="0" w:line="210" w:lineRule="exact"/>
        <w:rPr>
          <w:rFonts w:ascii="Arial" w:cs="Arial" w:eastAsia="Arial" w:hAnsi="Arial"/>
          <w:sz w:val="16"/>
          <w:szCs w:val="16"/>
          <w:color w:val="auto"/>
        </w:rPr>
      </w:pPr>
    </w:p>
    <w:p>
      <w:pPr>
        <w:ind w:left="1364" w:hanging="373"/>
        <w:spacing w:after="0"/>
        <w:tabs>
          <w:tab w:leader="none" w:pos="1364"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225" w:lineRule="exact"/>
        <w:rPr>
          <w:rFonts w:ascii="Arial" w:cs="Arial" w:eastAsia="Arial" w:hAnsi="Arial"/>
          <w:sz w:val="18"/>
          <w:szCs w:val="18"/>
          <w:color w:val="auto"/>
        </w:rPr>
      </w:pPr>
    </w:p>
    <w:p>
      <w:pPr>
        <w:ind w:left="4" w:right="320" w:firstLine="987"/>
        <w:spacing w:after="0" w:line="308" w:lineRule="auto"/>
        <w:tabs>
          <w:tab w:leader="none" w:pos="1375" w:val="left"/>
        </w:tabs>
        <w:numPr>
          <w:ilvl w:val="0"/>
          <w:numId w:val="401"/>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46" w:lineRule="exact"/>
        <w:rPr>
          <w:rFonts w:ascii="Arial" w:cs="Arial" w:eastAsia="Arial" w:hAnsi="Arial"/>
          <w:sz w:val="17"/>
          <w:szCs w:val="17"/>
          <w:color w:val="auto"/>
        </w:rPr>
      </w:pPr>
    </w:p>
    <w:p>
      <w:pPr>
        <w:ind w:left="1344" w:hanging="353"/>
        <w:spacing w:after="0"/>
        <w:tabs>
          <w:tab w:leader="none" w:pos="1344"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ind w:left="4" w:right="4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Only Extension Event</w:t>
      </w:r>
      <w:r>
        <w:rPr>
          <w:rFonts w:ascii="Arial" w:cs="Arial" w:eastAsia="Arial" w:hAnsi="Arial"/>
          <w:sz w:val="16"/>
          <w:szCs w:val="16"/>
          <w:color w:val="auto"/>
        </w:rPr>
        <w:t>” means Borrower has provided Agent and the Lenders with evidence, satisfactory to Agent and each Lender in Agent’s and each Lender’s sole and absolute discretion, on or prior to March 31, 2020, that ALX Ireland has received, after the Effective Date, but on or prior to March 31, 2020, unrestricted and unencumbered net cash proceeds in an amount of at least Forty Million Dollars ($40,000,000.00) from either</w:t>
      </w:r>
    </w:p>
    <w:p>
      <w:pPr>
        <w:spacing w:after="0" w:line="2" w:lineRule="exact"/>
        <w:rPr>
          <w:sz w:val="20"/>
          <w:szCs w:val="20"/>
          <w:color w:val="auto"/>
        </w:rPr>
      </w:pPr>
    </w:p>
    <w:p>
      <w:pPr>
        <w:ind w:left="5424" w:right="1600" w:hanging="5424"/>
        <w:spacing w:after="0" w:line="433" w:lineRule="auto"/>
        <w:tabs>
          <w:tab w:leader="none" w:pos="251"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issuance and sale by ALX Ireland of its equity securities to investors or (b) a partnership, joint-venture or strategic alliance. 31</w:t>
      </w:r>
    </w:p>
    <w:p>
      <w:pPr>
        <w:sectPr>
          <w:pgSz w:w="11900" w:h="16838" w:orient="portrait"/>
          <w:cols w:equalWidth="0" w:num="1">
            <w:col w:w="11004"/>
          </w:cols>
          <w:pgMar w:left="436" w:top="270" w:right="459" w:bottom="1440" w:gutter="0" w:footer="0" w:header="0"/>
        </w:sectPr>
      </w:pPr>
    </w:p>
    <w:bookmarkStart w:id="456" w:name="page457"/>
    <w:bookmarkEnd w:id="456"/>
    <w:p>
      <w:pPr>
        <w:ind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Inventory</w:t>
      </w:r>
      <w:r>
        <w:rPr>
          <w:rFonts w:ascii="Arial" w:cs="Arial" w:eastAsia="Arial" w:hAnsi="Arial"/>
          <w:sz w:val="18"/>
          <w:szCs w:val="18"/>
          <w:color w:val="auto"/>
        </w:rPr>
        <w:t>” is all “</w:t>
      </w:r>
      <w:r>
        <w:rPr>
          <w:rFonts w:ascii="Arial" w:cs="Arial" w:eastAsia="Arial" w:hAnsi="Arial"/>
          <w:sz w:val="18"/>
          <w:szCs w:val="18"/>
          <w:b w:val="1"/>
          <w:bCs w:val="1"/>
          <w:color w:val="auto"/>
        </w:rPr>
        <w:t>inventory</w:t>
      </w:r>
      <w:r>
        <w:rPr>
          <w:rFonts w:ascii="Arial" w:cs="Arial" w:eastAsia="Arial" w:hAnsi="Arial"/>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Borrower’s Director, who is Jaume Pons as of the Effective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and “</w:t>
      </w:r>
      <w:r>
        <w:rPr>
          <w:rFonts w:ascii="Arial" w:cs="Arial" w:eastAsia="Arial" w:hAnsi="Arial"/>
          <w:sz w:val="18"/>
          <w:szCs w:val="18"/>
          <w:b w:val="1"/>
          <w:bCs w:val="1"/>
          <w:color w:val="auto"/>
        </w:rPr>
        <w:t>Lenders</w:t>
      </w:r>
      <w:r>
        <w:rPr>
          <w:rFonts w:ascii="Arial" w:cs="Arial" w:eastAsia="Arial" w:hAnsi="Arial"/>
          <w:sz w:val="18"/>
          <w:szCs w:val="18"/>
          <w:color w:val="auto"/>
        </w:rPr>
        <w:t>” is defined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Entities</w:t>
      </w:r>
      <w:r>
        <w:rPr>
          <w:rFonts w:ascii="Arial" w:cs="Arial" w:eastAsia="Arial" w:hAnsi="Arial"/>
          <w:sz w:val="18"/>
          <w:szCs w:val="18"/>
          <w:color w:val="auto"/>
        </w:rPr>
        <w:t>” is defined in Section 13.9.</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Intercreditor Agreement</w:t>
      </w:r>
      <w:r>
        <w:rPr>
          <w:rFonts w:ascii="Arial" w:cs="Arial" w:eastAsia="Arial" w:hAnsi="Arial"/>
          <w:sz w:val="18"/>
          <w:szCs w:val="18"/>
          <w:color w:val="auto"/>
        </w:rPr>
        <w:t>” is, collectively, any and all intercreditor agreement, master arrangement agreement or similar agreement by and between WestRiver and SVB, as each may be amended from time to time in accordance with the provisions thereof.</w:t>
      </w:r>
    </w:p>
    <w:p>
      <w:pPr>
        <w:spacing w:after="0" w:line="162" w:lineRule="exact"/>
        <w:rPr>
          <w:sz w:val="20"/>
          <w:szCs w:val="20"/>
          <w:color w:val="auto"/>
        </w:rPr>
      </w:pPr>
    </w:p>
    <w:p>
      <w:pPr>
        <w:ind w:right="12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 Expenses</w:t>
      </w:r>
      <w:r>
        <w:rPr>
          <w:rFonts w:ascii="Arial" w:cs="Arial" w:eastAsia="Arial" w:hAnsi="Arial"/>
          <w:sz w:val="16"/>
          <w:szCs w:val="16"/>
          <w:color w:val="auto"/>
        </w:rPr>
        <w:t>” are all of Agent’s and the Lenders’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42"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SVB upon request of Borrower based upon an application, guarantee, indemnity, or similar agreement.</w:t>
      </w:r>
    </w:p>
    <w:p>
      <w:pPr>
        <w:spacing w:after="0" w:line="162"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 Agreement</w:t>
      </w:r>
      <w:r>
        <w:rPr>
          <w:rFonts w:ascii="Arial" w:cs="Arial" w:eastAsia="Arial" w:hAnsi="Arial"/>
          <w:sz w:val="18"/>
          <w:szCs w:val="18"/>
          <w:color w:val="auto"/>
        </w:rPr>
        <w:t>” means that certain Agreement dated as of May 25, 2016 by and between Alexo and ALX U.S, as such may be amended, modified, restated, replaced or supplemented and in effect from time to time.</w:t>
      </w:r>
    </w:p>
    <w:p>
      <w:pPr>
        <w:spacing w:after="0" w:line="162"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8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are, collectively, this Agreement and any schedules, exhibits, certificates, notices, and any other documents related to this Agreement, the Perfection Certificate, the Lender Intercreditor Agreement, each Disbursement Letter, the Debenture, the Guaranty, the Warrant, the Collateral Assignment of License Agreement, any Bank Services Agreement, any Control Agreement, any subordination agreement, any note, or notes or guaranties executed by Borrower or any Guarantor, and any other present or future agreement by Borrower and/or any Guarantor with or for the benefit of Agent and the Lenders in connection with this Agreement or Bank Services, all as amended, restated, or otherwise modified.</w:t>
      </w:r>
    </w:p>
    <w:p>
      <w:pPr>
        <w:spacing w:after="0" w:line="154"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Agent’s, for the ratable benefit of the Lenders, Lien in the Collateral or in the value of such Collateral; (b) a material adverse change in the business, operations, financial condition of Borrower or ALX Ireland; or (c) a material impairment of the prospect of repayment of any portion of the Obligations.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 is defined in Section 6.2(a).</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Borrower’s obligations to pay when due any debts, principal, interest, fees, Lenders’ Expenses, the Final Payment, the Prepayment Premium and other amounts Borrower owes Agent or any Lender now or later, whether under this Agreement, the other Loan Documents (other than the Warrant), or otherwise, including, without limitation, all obligations relating to Bank Services, if any, and including any interest accruing after Insolvency Proceedings begin and debts, liabilities, or obligations of Borrower assigned to Agent and/or the Lenders, and to perform Borrower’s duties under the Loan Documents (other than the Warrant).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440" w:top="270" w:right="519" w:bottom="1440" w:gutter="0" w:footer="0" w:header="0"/>
        </w:sectPr>
      </w:pPr>
    </w:p>
    <w:bookmarkStart w:id="457" w:name="page458"/>
    <w:bookmarkEnd w:id="457"/>
    <w:p>
      <w:pPr>
        <w:ind w:right="80" w:firstLine="4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to the extent applicable) of such Person’s jurisdiction of organization on a date that is no earlier than thirty (30) days prior to the Effective Date, and, (a) if such Person is a corporation or exempted company, its bylaws/constitution in current form, certificate of incorporation, memorandum and articles of association,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4" w:lineRule="exact"/>
        <w:rPr>
          <w:sz w:val="20"/>
          <w:szCs w:val="20"/>
          <w:color w:val="auto"/>
        </w:rPr>
      </w:pPr>
    </w:p>
    <w:p>
      <w:pPr>
        <w:ind w:right="6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w:t>
      </w:r>
      <w:r>
        <w:rPr>
          <w:rFonts w:ascii="Arial" w:cs="Arial" w:eastAsia="Arial" w:hAnsi="Arial"/>
          <w:sz w:val="15"/>
          <w:szCs w:val="15"/>
          <w:color w:val="auto"/>
        </w:rPr>
        <w:t>st</w:t>
      </w:r>
      <w:r>
        <w:rPr>
          <w:rFonts w:ascii="Arial" w:cs="Arial" w:eastAsia="Arial" w:hAnsi="Arial"/>
          <w:sz w:val="18"/>
          <w:szCs w:val="18"/>
          <w:color w:val="auto"/>
        </w:rPr>
        <w:t>) calendar day of each month.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121" w:lineRule="exact"/>
        <w:rPr>
          <w:sz w:val="20"/>
          <w:szCs w:val="20"/>
          <w:color w:val="auto"/>
        </w:rPr>
      </w:pPr>
    </w:p>
    <w:p>
      <w:pPr>
        <w:ind w:left="1360" w:hanging="373"/>
        <w:spacing w:after="0"/>
        <w:tabs>
          <w:tab w:leader="none" w:pos="13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Borrower’s Indebtedness to Agent and the Lenders under this Agreement and the other Loan Documents;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Indebtedness existing on the Effective Date which is shown on the Perfection Certificate;</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Indebtedness secured by Liens permitted under clauses (a) and (c) of the definition of “Permitted Liens” hereunder;</w:t>
      </w:r>
    </w:p>
    <w:p>
      <w:pPr>
        <w:spacing w:after="0" w:line="225" w:lineRule="exact"/>
        <w:rPr>
          <w:rFonts w:ascii="Arial" w:cs="Arial" w:eastAsia="Arial" w:hAnsi="Arial"/>
          <w:sz w:val="18"/>
          <w:szCs w:val="18"/>
          <w:color w:val="auto"/>
        </w:rPr>
      </w:pPr>
    </w:p>
    <w:p>
      <w:pPr>
        <w:ind w:right="500" w:firstLine="987"/>
        <w:spacing w:after="0" w:line="277" w:lineRule="auto"/>
        <w:tabs>
          <w:tab w:leader="none" w:pos="1381" w:val="left"/>
        </w:tabs>
        <w:numPr>
          <w:ilvl w:val="0"/>
          <w:numId w:val="403"/>
        </w:numPr>
        <w:rPr>
          <w:rFonts w:ascii="Arial" w:cs="Arial" w:eastAsia="Arial" w:hAnsi="Arial"/>
          <w:sz w:val="18"/>
          <w:szCs w:val="18"/>
          <w:color w:val="auto"/>
        </w:rPr>
      </w:pPr>
      <w:r>
        <w:rPr>
          <w:rFonts w:ascii="Arial" w:cs="Arial" w:eastAsia="Arial" w:hAnsi="Arial"/>
          <w:sz w:val="18"/>
          <w:szCs w:val="18"/>
          <w:color w:val="auto"/>
        </w:rPr>
        <w:t>unsecured intercompany Indebtedness with respect to cost-plus or transfer pricing arrangement for the purchase of products or services in the ordinary course of business pursuant to the terms of the R&amp;D Agreement;</w:t>
      </w:r>
    </w:p>
    <w:p>
      <w:pPr>
        <w:spacing w:after="0" w:line="170" w:lineRule="exact"/>
        <w:rPr>
          <w:rFonts w:ascii="Arial" w:cs="Arial" w:eastAsia="Arial" w:hAnsi="Arial"/>
          <w:sz w:val="18"/>
          <w:szCs w:val="18"/>
          <w:color w:val="auto"/>
        </w:rPr>
      </w:pPr>
    </w:p>
    <w:p>
      <w:pPr>
        <w:ind w:firstLine="987"/>
        <w:spacing w:after="0" w:line="277" w:lineRule="auto"/>
        <w:tabs>
          <w:tab w:leader="none" w:pos="1381" w:val="left"/>
        </w:tabs>
        <w:numPr>
          <w:ilvl w:val="0"/>
          <w:numId w:val="403"/>
        </w:numPr>
        <w:rPr>
          <w:rFonts w:ascii="Arial" w:cs="Arial" w:eastAsia="Arial" w:hAnsi="Arial"/>
          <w:sz w:val="18"/>
          <w:szCs w:val="18"/>
          <w:color w:val="auto"/>
        </w:rPr>
      </w:pPr>
      <w:r>
        <w:rPr>
          <w:rFonts w:ascii="Arial" w:cs="Arial" w:eastAsia="Arial" w:hAnsi="Arial"/>
          <w:sz w:val="18"/>
          <w:szCs w:val="18"/>
          <w:color w:val="auto"/>
        </w:rPr>
        <w:t>other unsecured Indebtedness not otherwise permitted by Section 7.4 not exceeding One Hundred Thousand Dollars ($100,000.00) in the aggregate outstanding at any time; and</w:t>
      </w:r>
    </w:p>
    <w:p>
      <w:pPr>
        <w:spacing w:after="0" w:line="170" w:lineRule="exact"/>
        <w:rPr>
          <w:rFonts w:ascii="Arial" w:cs="Arial" w:eastAsia="Arial" w:hAnsi="Arial"/>
          <w:sz w:val="18"/>
          <w:szCs w:val="18"/>
          <w:color w:val="auto"/>
        </w:rPr>
      </w:pPr>
    </w:p>
    <w:p>
      <w:pPr>
        <w:ind w:firstLine="987"/>
        <w:spacing w:after="0" w:line="263" w:lineRule="auto"/>
        <w:tabs>
          <w:tab w:leader="none" w:pos="1341" w:val="left"/>
        </w:tabs>
        <w:numPr>
          <w:ilvl w:val="0"/>
          <w:numId w:val="403"/>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(h) above, provided that the principal amount thereof is not increased or the terms thereof are not modified to impose more burdensome terms upon Borrower or its Subsidiary, as the case may be.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121"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Investments (including, without limitation, Subsidiaries) existing on the Effective Date which are shown on the Perfection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Certificate;</w:t>
      </w:r>
    </w:p>
    <w:p>
      <w:pPr>
        <w:spacing w:after="0" w:line="211" w:lineRule="exact"/>
        <w:rPr>
          <w:sz w:val="20"/>
          <w:szCs w:val="20"/>
          <w:color w:val="auto"/>
        </w:rPr>
      </w:pPr>
    </w:p>
    <w:p>
      <w:pPr>
        <w:ind w:left="1380" w:hanging="393"/>
        <w:spacing w:after="0"/>
        <w:tabs>
          <w:tab w:leader="none" w:pos="13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Investments consisting of Cash Equivalents;</w:t>
      </w:r>
    </w:p>
    <w:p>
      <w:pPr>
        <w:spacing w:after="0" w:line="225" w:lineRule="exact"/>
        <w:rPr>
          <w:rFonts w:ascii="Arial" w:cs="Arial" w:eastAsia="Arial" w:hAnsi="Arial"/>
          <w:sz w:val="18"/>
          <w:szCs w:val="18"/>
          <w:color w:val="auto"/>
        </w:rPr>
      </w:pPr>
    </w:p>
    <w:p>
      <w:pPr>
        <w:ind w:right="100" w:firstLine="987"/>
        <w:spacing w:after="0" w:line="311" w:lineRule="auto"/>
        <w:tabs>
          <w:tab w:leader="none" w:pos="1371" w:val="left"/>
        </w:tabs>
        <w:numPr>
          <w:ilvl w:val="0"/>
          <w:numId w:val="404"/>
        </w:numPr>
        <w:rPr>
          <w:rFonts w:ascii="Arial" w:cs="Arial" w:eastAsia="Arial" w:hAnsi="Arial"/>
          <w:sz w:val="16"/>
          <w:szCs w:val="16"/>
          <w:color w:val="auto"/>
        </w:rPr>
      </w:pPr>
      <w:r>
        <w:rPr>
          <w:rFonts w:ascii="Arial" w:cs="Arial" w:eastAsia="Arial" w:hAnsi="Arial"/>
          <w:sz w:val="16"/>
          <w:szCs w:val="16"/>
          <w:color w:val="auto"/>
        </w:rPr>
        <w:t>Investments by Borrower in ALX U.S. in amounts necessary to fund the ordinary, necessary and current operating expenses of ALX U.S. pursuant to the terms of the R&amp;D Agreement, including amounts necessary to fund clinical trial programs being run through ALX U.S., for the three (3) month period following the date on which such Investment is made (taking into account their revenue from other sources), so long</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0" w:right="479" w:bottom="1440" w:gutter="0" w:footer="0" w:header="0"/>
        </w:sectPr>
      </w:pPr>
    </w:p>
    <w:bookmarkStart w:id="458" w:name="page459"/>
    <w:bookmarkEnd w:id="458"/>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(i) an Event of Default does not exist at the time of any such Investment and would not exist after giving effect to any such Investment and (ii) the maximum cash balance maintained with ALX U.S. shall not exceed the Threshold Amount at any time;</w:t>
      </w:r>
    </w:p>
    <w:p>
      <w:pPr>
        <w:spacing w:after="0" w:line="170" w:lineRule="exact"/>
        <w:rPr>
          <w:sz w:val="20"/>
          <w:szCs w:val="20"/>
          <w:color w:val="auto"/>
        </w:rPr>
      </w:pPr>
    </w:p>
    <w:p>
      <w:pPr>
        <w:ind w:right="160" w:firstLine="987"/>
        <w:spacing w:after="0" w:line="277" w:lineRule="auto"/>
        <w:tabs>
          <w:tab w:leader="none" w:pos="1381"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Borrower’s business;</w:t>
      </w:r>
    </w:p>
    <w:p>
      <w:pPr>
        <w:spacing w:after="0" w:line="170" w:lineRule="exact"/>
        <w:rPr>
          <w:rFonts w:ascii="Arial" w:cs="Arial" w:eastAsia="Arial" w:hAnsi="Arial"/>
          <w:sz w:val="18"/>
          <w:szCs w:val="18"/>
          <w:color w:val="auto"/>
        </w:rPr>
      </w:pPr>
    </w:p>
    <w:p>
      <w:pPr>
        <w:ind w:right="60" w:firstLine="987"/>
        <w:spacing w:after="0" w:line="263" w:lineRule="auto"/>
        <w:tabs>
          <w:tab w:leader="none" w:pos="1371"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the Board;</w:t>
      </w:r>
    </w:p>
    <w:p>
      <w:pPr>
        <w:spacing w:after="0" w:line="183" w:lineRule="exact"/>
        <w:rPr>
          <w:rFonts w:ascii="Arial" w:cs="Arial" w:eastAsia="Arial" w:hAnsi="Arial"/>
          <w:sz w:val="18"/>
          <w:szCs w:val="18"/>
          <w:color w:val="auto"/>
        </w:rPr>
      </w:pPr>
    </w:p>
    <w:p>
      <w:pPr>
        <w:ind w:right="140" w:firstLine="987"/>
        <w:spacing w:after="0" w:line="342" w:lineRule="auto"/>
        <w:tabs>
          <w:tab w:leader="none" w:pos="1351" w:val="left"/>
        </w:tabs>
        <w:numPr>
          <w:ilvl w:val="0"/>
          <w:numId w:val="405"/>
        </w:numPr>
        <w:rPr>
          <w:rFonts w:ascii="Arial" w:cs="Arial" w:eastAsia="Arial" w:hAnsi="Arial"/>
          <w:sz w:val="16"/>
          <w:szCs w:val="16"/>
          <w:color w:val="auto"/>
        </w:rPr>
      </w:pPr>
      <w:r>
        <w:rPr>
          <w:rFonts w:ascii="Arial" w:cs="Arial" w:eastAsia="Arial" w:hAnsi="Arial"/>
          <w:sz w:val="16"/>
          <w:szCs w:val="16"/>
          <w:color w:val="auto"/>
        </w:rPr>
        <w:t>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spacing w:after="0" w:line="123" w:lineRule="exact"/>
        <w:rPr>
          <w:rFonts w:ascii="Arial" w:cs="Arial" w:eastAsia="Arial" w:hAnsi="Arial"/>
          <w:sz w:val="16"/>
          <w:szCs w:val="16"/>
          <w:color w:val="auto"/>
        </w:rPr>
      </w:pPr>
    </w:p>
    <w:p>
      <w:pPr>
        <w:ind w:right="20" w:firstLine="987"/>
        <w:spacing w:after="0" w:line="308" w:lineRule="auto"/>
        <w:tabs>
          <w:tab w:leader="none" w:pos="1381" w:val="left"/>
        </w:tabs>
        <w:numPr>
          <w:ilvl w:val="0"/>
          <w:numId w:val="405"/>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paragraph (g) shall not apply to Investments of Borrower in any Subsidiary;</w:t>
      </w:r>
    </w:p>
    <w:p>
      <w:pPr>
        <w:spacing w:after="0" w:line="146" w:lineRule="exact"/>
        <w:rPr>
          <w:rFonts w:ascii="Arial" w:cs="Arial" w:eastAsia="Arial" w:hAnsi="Arial"/>
          <w:sz w:val="17"/>
          <w:szCs w:val="17"/>
          <w:color w:val="auto"/>
        </w:rPr>
      </w:pPr>
    </w:p>
    <w:p>
      <w:pPr>
        <w:ind w:left="1380" w:hanging="393"/>
        <w:spacing w:after="0"/>
        <w:tabs>
          <w:tab w:leader="none" w:pos="13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Investments by any Borrower in any other Borrower or by any Subsidiary in any Borrower; and</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other Investments not otherwise permitted by Section 7.7 not exceed One Hundred Thousand Dollars in the aggregate outstanding at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121" w:lineRule="exact"/>
        <w:rPr>
          <w:sz w:val="20"/>
          <w:szCs w:val="20"/>
          <w:color w:val="auto"/>
        </w:rPr>
      </w:pPr>
    </w:p>
    <w:p>
      <w:pPr>
        <w:ind w:left="1360" w:hanging="373"/>
        <w:spacing w:after="0"/>
        <w:tabs>
          <w:tab w:leader="none" w:pos="136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Liens existing on the Effective Date which are shown on the Perfection Certificate or arising under this Agreement and the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Loan Documents;</w:t>
      </w:r>
    </w:p>
    <w:p>
      <w:pPr>
        <w:spacing w:after="0" w:line="210" w:lineRule="exact"/>
        <w:rPr>
          <w:rFonts w:ascii="Arial" w:cs="Arial" w:eastAsia="Arial" w:hAnsi="Arial"/>
          <w:sz w:val="17"/>
          <w:szCs w:val="17"/>
          <w:color w:val="auto"/>
        </w:rPr>
      </w:pPr>
    </w:p>
    <w:p>
      <w:pPr>
        <w:ind w:right="20" w:firstLine="987"/>
        <w:spacing w:after="0" w:line="263" w:lineRule="auto"/>
        <w:tabs>
          <w:tab w:leader="none" w:pos="1381" w:val="left"/>
        </w:tabs>
        <w:numPr>
          <w:ilvl w:val="0"/>
          <w:numId w:val="406"/>
        </w:numPr>
        <w:rPr>
          <w:rFonts w:ascii="Arial" w:cs="Arial" w:eastAsia="Arial" w:hAnsi="Arial"/>
          <w:sz w:val="18"/>
          <w:szCs w:val="18"/>
          <w:color w:val="auto"/>
        </w:rPr>
      </w:pPr>
      <w:r>
        <w:rPr>
          <w:rFonts w:ascii="Arial" w:cs="Arial" w:eastAsia="Arial" w:hAnsi="Arial"/>
          <w:sz w:val="18"/>
          <w:szCs w:val="18"/>
          <w:color w:val="auto"/>
        </w:rPr>
        <w:t xml:space="preserve">Liens for taxes, fees, assessments or other government charges or levies, either (i) not due and payable or (ii) being contested in good faith and for which Borrower maintains adequate reserves on its Books,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of any such Lien has been filed or recorded under the Internal Revenue Code of 1986, as amended, and the Treasury Regulations adopted thereunder;</w:t>
      </w:r>
    </w:p>
    <w:p>
      <w:pPr>
        <w:spacing w:after="0" w:line="183" w:lineRule="exact"/>
        <w:rPr>
          <w:rFonts w:ascii="Arial" w:cs="Arial" w:eastAsia="Arial" w:hAnsi="Arial"/>
          <w:sz w:val="18"/>
          <w:szCs w:val="18"/>
          <w:color w:val="auto"/>
        </w:rPr>
      </w:pPr>
    </w:p>
    <w:p>
      <w:pPr>
        <w:ind w:right="180" w:firstLine="987"/>
        <w:spacing w:after="0" w:line="286" w:lineRule="auto"/>
        <w:tabs>
          <w:tab w:leader="none" w:pos="1371" w:val="left"/>
        </w:tabs>
        <w:numPr>
          <w:ilvl w:val="0"/>
          <w:numId w:val="406"/>
        </w:numPr>
        <w:rPr>
          <w:rFonts w:ascii="Arial" w:cs="Arial" w:eastAsia="Arial" w:hAnsi="Arial"/>
          <w:sz w:val="17"/>
          <w:szCs w:val="17"/>
          <w:color w:val="auto"/>
        </w:rPr>
      </w:pPr>
      <w:r>
        <w:rPr>
          <w:rFonts w:ascii="Arial" w:cs="Arial" w:eastAsia="Arial" w:hAnsi="Arial"/>
          <w:sz w:val="17"/>
          <w:szCs w:val="17"/>
          <w:color w:val="auto"/>
        </w:rPr>
        <w:t xml:space="preserve">purchase money Liens or capital leases (i) on Equipment acquired or held by Borrower incurred for financing the acquisition of the Equipment securing no more than Two Hundred Fifty Thousand Dollars ($250,000.00) in the aggregate amount outstanding, or (ii) existing on Equipment when acquired, </w:t>
      </w:r>
      <w:r>
        <w:rPr>
          <w:rFonts w:ascii="Arial" w:cs="Arial" w:eastAsia="Arial" w:hAnsi="Arial"/>
          <w:sz w:val="17"/>
          <w:szCs w:val="17"/>
          <w:u w:val="single" w:color="auto"/>
          <w:color w:val="auto"/>
        </w:rPr>
        <w:t>if</w:t>
      </w:r>
      <w:r>
        <w:rPr>
          <w:rFonts w:ascii="Arial" w:cs="Arial" w:eastAsia="Arial" w:hAnsi="Arial"/>
          <w:sz w:val="17"/>
          <w:szCs w:val="17"/>
          <w:color w:val="auto"/>
        </w:rPr>
        <w:t xml:space="preserve"> the Lien is confined to the property and improvements and the proceeds of the Equipment;</w:t>
      </w:r>
    </w:p>
    <w:p>
      <w:pPr>
        <w:spacing w:after="0" w:line="165" w:lineRule="exact"/>
        <w:rPr>
          <w:rFonts w:ascii="Arial" w:cs="Arial" w:eastAsia="Arial" w:hAnsi="Arial"/>
          <w:sz w:val="17"/>
          <w:szCs w:val="17"/>
          <w:color w:val="auto"/>
        </w:rPr>
      </w:pPr>
    </w:p>
    <w:p>
      <w:pPr>
        <w:ind w:right="220" w:firstLine="987"/>
        <w:spacing w:after="0" w:line="263" w:lineRule="auto"/>
        <w:tabs>
          <w:tab w:leader="none" w:pos="1381" w:val="left"/>
        </w:tabs>
        <w:numPr>
          <w:ilvl w:val="0"/>
          <w:numId w:val="406"/>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(a) through (c),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183" w:lineRule="exact"/>
        <w:rPr>
          <w:rFonts w:ascii="Arial" w:cs="Arial" w:eastAsia="Arial" w:hAnsi="Arial"/>
          <w:sz w:val="18"/>
          <w:szCs w:val="18"/>
          <w:color w:val="auto"/>
        </w:rPr>
      </w:pPr>
    </w:p>
    <w:p>
      <w:pPr>
        <w:ind w:firstLine="987"/>
        <w:spacing w:after="0" w:line="259" w:lineRule="auto"/>
        <w:tabs>
          <w:tab w:leader="none" w:pos="1371" w:val="left"/>
        </w:tabs>
        <w:numPr>
          <w:ilvl w:val="0"/>
          <w:numId w:val="406"/>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Fifty Thousand Dollars ($50,000.00)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6" w:lineRule="exact"/>
        <w:rPr>
          <w:rFonts w:ascii="Arial" w:cs="Arial" w:eastAsia="Arial" w:hAnsi="Arial"/>
          <w:sz w:val="18"/>
          <w:szCs w:val="18"/>
          <w:color w:val="auto"/>
        </w:rPr>
      </w:pPr>
    </w:p>
    <w:p>
      <w:pPr>
        <w:ind w:right="780" w:firstLine="987"/>
        <w:spacing w:after="0" w:line="277" w:lineRule="auto"/>
        <w:tabs>
          <w:tab w:leader="none" w:pos="1351" w:val="left"/>
        </w:tabs>
        <w:numPr>
          <w:ilvl w:val="0"/>
          <w:numId w:val="406"/>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ind w:right="180" w:firstLine="987"/>
        <w:spacing w:after="0" w:line="301" w:lineRule="auto"/>
        <w:tabs>
          <w:tab w:leader="none" w:pos="1381" w:val="left"/>
        </w:tabs>
        <w:numPr>
          <w:ilvl w:val="0"/>
          <w:numId w:val="406"/>
        </w:numPr>
        <w:rPr>
          <w:rFonts w:ascii="Arial" w:cs="Arial" w:eastAsia="Arial" w:hAnsi="Arial"/>
          <w:sz w:val="16"/>
          <w:szCs w:val="16"/>
          <w:color w:val="auto"/>
        </w:rPr>
      </w:pPr>
      <w:r>
        <w:rPr>
          <w:rFonts w:ascii="Arial" w:cs="Arial" w:eastAsia="Arial" w:hAnsi="Arial"/>
          <w:sz w:val="16"/>
          <w:szCs w:val="16"/>
          <w:color w:val="auto"/>
        </w:rPr>
        <w:t xml:space="preserve">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w:t>
      </w:r>
      <w:r>
        <w:rPr>
          <w:rFonts w:ascii="Arial" w:cs="Arial" w:eastAsia="Arial" w:hAnsi="Arial"/>
          <w:sz w:val="16"/>
          <w:szCs w:val="16"/>
          <w:u w:val="single" w:color="auto"/>
          <w:color w:val="auto"/>
        </w:rPr>
        <w:t>if</w:t>
      </w:r>
      <w:r>
        <w:rPr>
          <w:rFonts w:ascii="Arial" w:cs="Arial" w:eastAsia="Arial" w:hAnsi="Arial"/>
          <w:sz w:val="16"/>
          <w:szCs w:val="16"/>
          <w:color w:val="auto"/>
        </w:rPr>
        <w:t xml:space="preserve"> the leases, subleases, licenses and sublicenses do not prohibit granting Agent, for the ratable benefit of the Lenders, a security interest therein;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59" w:name="page460"/>
    <w:bookmarkEnd w:id="459"/>
    <w:p>
      <w:pPr>
        <w:ind w:right="180" w:firstLine="987"/>
        <w:spacing w:after="0" w:line="263" w:lineRule="auto"/>
        <w:tabs>
          <w:tab w:leader="none" w:pos="1381" w:val="left"/>
        </w:tabs>
        <w:numPr>
          <w:ilvl w:val="0"/>
          <w:numId w:val="4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non-exclusive license of Intellectual Property granted to third parties in the ordinary course of business, and licenses of Intellectual Property that could not result in a legal transfer of title of the licensed property that may be exclusive in respects other than territory and that may be exclusive as to territory only as to discreet geographical areas outside of the United States;</w:t>
      </w:r>
    </w:p>
    <w:p>
      <w:pPr>
        <w:spacing w:after="0" w:line="183" w:lineRule="exact"/>
        <w:rPr>
          <w:rFonts w:ascii="Arial" w:cs="Arial" w:eastAsia="Arial" w:hAnsi="Arial"/>
          <w:sz w:val="18"/>
          <w:szCs w:val="18"/>
          <w:color w:val="auto"/>
        </w:rPr>
      </w:pPr>
    </w:p>
    <w:p>
      <w:pPr>
        <w:ind w:left="1340" w:hanging="353"/>
        <w:spacing w:after="0"/>
        <w:tabs>
          <w:tab w:leader="none" w:pos="134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 under Sections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8.4 and 8.7;</w:t>
      </w:r>
    </w:p>
    <w:p>
      <w:pPr>
        <w:spacing w:after="0" w:line="210" w:lineRule="exact"/>
        <w:rPr>
          <w:rFonts w:ascii="Arial" w:cs="Arial" w:eastAsia="Arial" w:hAnsi="Arial"/>
          <w:sz w:val="16"/>
          <w:szCs w:val="16"/>
          <w:color w:val="auto"/>
        </w:rPr>
      </w:pPr>
    </w:p>
    <w:p>
      <w:pPr>
        <w:ind w:right="120" w:firstLine="987"/>
        <w:spacing w:after="0" w:line="259" w:lineRule="auto"/>
        <w:tabs>
          <w:tab w:leader="none" w:pos="1341" w:val="left"/>
        </w:tabs>
        <w:numPr>
          <w:ilvl w:val="0"/>
          <w:numId w:val="407"/>
        </w:numPr>
        <w:rPr>
          <w:rFonts w:ascii="Arial" w:cs="Arial" w:eastAsia="Arial" w:hAnsi="Arial"/>
          <w:sz w:val="18"/>
          <w:szCs w:val="18"/>
          <w:color w:val="auto"/>
        </w:rPr>
      </w:pPr>
      <w:r>
        <w:rPr>
          <w:rFonts w:ascii="Arial" w:cs="Arial" w:eastAsia="Arial" w:hAnsi="Arial"/>
          <w:sz w:val="18"/>
          <w:szCs w:val="18"/>
          <w:color w:val="auto"/>
        </w:rPr>
        <w:t>Liens in favor of other financial institutions arising in connection with Borrower’s deposit and/or securities accounts held at such institutions, provided that (i) Agent and the Lenders have a first priority perfected security interest in the amounts held in such deposit and/or securities accounts to the extent required by Section 6.6 of this Agreement and (ii) such accounts are permitted to be maintained pursuant to Section 6.6 of this Agreement; and</w:t>
      </w:r>
    </w:p>
    <w:p>
      <w:pPr>
        <w:spacing w:after="0" w:line="186" w:lineRule="exact"/>
        <w:rPr>
          <w:rFonts w:ascii="Arial" w:cs="Arial" w:eastAsia="Arial" w:hAnsi="Arial"/>
          <w:sz w:val="18"/>
          <w:szCs w:val="18"/>
          <w:color w:val="auto"/>
        </w:rPr>
      </w:pPr>
    </w:p>
    <w:p>
      <w:pPr>
        <w:ind w:right="40" w:firstLine="987"/>
        <w:spacing w:after="0" w:line="277" w:lineRule="auto"/>
        <w:tabs>
          <w:tab w:leader="none" w:pos="1381" w:val="left"/>
        </w:tabs>
        <w:numPr>
          <w:ilvl w:val="0"/>
          <w:numId w:val="407"/>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66"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exempted company, exempted limited partnership, limited liability company, joint venture, company, trust, unincorporated organization, association, corporation, institution, public benefit corporation, firm, joint stock company, estate, entity or government agency.</w:t>
      </w:r>
    </w:p>
    <w:p>
      <w:pPr>
        <w:spacing w:after="0" w:line="176"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Premium</w:t>
      </w:r>
      <w:r>
        <w:rPr>
          <w:rFonts w:ascii="Arial" w:cs="Arial" w:eastAsia="Arial" w:hAnsi="Arial"/>
          <w:sz w:val="18"/>
          <w:szCs w:val="18"/>
          <w:color w:val="auto"/>
        </w:rPr>
        <w:t>” shall be an additional fee, payable to Agent, for the ratable benefit of the Lenders based on their Pro Rata Share, with respect to the Term Loan Advances, in an amount equal to:</w:t>
      </w:r>
    </w:p>
    <w:p>
      <w:pPr>
        <w:spacing w:after="0" w:line="58" w:lineRule="exact"/>
        <w:rPr>
          <w:sz w:val="20"/>
          <w:szCs w:val="20"/>
          <w:color w:val="auto"/>
        </w:rPr>
      </w:pPr>
    </w:p>
    <w:p>
      <w:pPr>
        <w:ind w:right="500" w:firstLine="987"/>
        <w:spacing w:after="0" w:line="308" w:lineRule="auto"/>
        <w:tabs>
          <w:tab w:leader="none" w:pos="1371" w:val="left"/>
        </w:tabs>
        <w:numPr>
          <w:ilvl w:val="0"/>
          <w:numId w:val="408"/>
        </w:numPr>
        <w:rPr>
          <w:rFonts w:ascii="Arial" w:cs="Arial" w:eastAsia="Arial" w:hAnsi="Arial"/>
          <w:sz w:val="17"/>
          <w:szCs w:val="17"/>
          <w:color w:val="auto"/>
        </w:rPr>
      </w:pPr>
      <w:r>
        <w:rPr>
          <w:rFonts w:ascii="Arial" w:cs="Arial" w:eastAsia="Arial" w:hAnsi="Arial"/>
          <w:sz w:val="17"/>
          <w:szCs w:val="17"/>
          <w:color w:val="auto"/>
        </w:rPr>
        <w:t>for a prepayment of the Term Loan Advances made on or prior to the first (1</w:t>
      </w:r>
      <w:r>
        <w:rPr>
          <w:rFonts w:ascii="Arial" w:cs="Arial" w:eastAsia="Arial" w:hAnsi="Arial"/>
          <w:sz w:val="14"/>
          <w:szCs w:val="14"/>
          <w:color w:val="auto"/>
        </w:rPr>
        <w:t>st</w:t>
      </w:r>
      <w:r>
        <w:rPr>
          <w:rFonts w:ascii="Arial" w:cs="Arial" w:eastAsia="Arial" w:hAnsi="Arial"/>
          <w:sz w:val="17"/>
          <w:szCs w:val="17"/>
          <w:color w:val="auto"/>
        </w:rPr>
        <w:t>) anniversary of the Effective Date, three percent (3.0%) of the then outstanding principal amount of the Term Loan Advances immediately prior to the date of such prepayment;</w:t>
      </w:r>
    </w:p>
    <w:p>
      <w:pPr>
        <w:spacing w:after="0" w:line="146" w:lineRule="exact"/>
        <w:rPr>
          <w:rFonts w:ascii="Arial" w:cs="Arial" w:eastAsia="Arial" w:hAnsi="Arial"/>
          <w:sz w:val="17"/>
          <w:szCs w:val="17"/>
          <w:color w:val="auto"/>
        </w:rPr>
      </w:pPr>
    </w:p>
    <w:p>
      <w:pPr>
        <w:ind w:firstLine="987"/>
        <w:spacing w:after="0" w:line="263" w:lineRule="auto"/>
        <w:tabs>
          <w:tab w:leader="none" w:pos="1381" w:val="left"/>
        </w:tabs>
        <w:numPr>
          <w:ilvl w:val="0"/>
          <w:numId w:val="408"/>
        </w:numPr>
        <w:rPr>
          <w:rFonts w:ascii="Arial" w:cs="Arial" w:eastAsia="Arial" w:hAnsi="Arial"/>
          <w:sz w:val="18"/>
          <w:szCs w:val="18"/>
          <w:color w:val="auto"/>
        </w:rPr>
      </w:pPr>
      <w:r>
        <w:rPr>
          <w:rFonts w:ascii="Arial" w:cs="Arial" w:eastAsia="Arial" w:hAnsi="Arial"/>
          <w:sz w:val="18"/>
          <w:szCs w:val="18"/>
          <w:color w:val="auto"/>
        </w:rPr>
        <w:t>for a prepayment of the Term Loan Advances made after the first (1</w:t>
      </w:r>
      <w:r>
        <w:rPr>
          <w:rFonts w:ascii="Arial" w:cs="Arial" w:eastAsia="Arial" w:hAnsi="Arial"/>
          <w:sz w:val="15"/>
          <w:szCs w:val="15"/>
          <w:color w:val="auto"/>
        </w:rPr>
        <w:t>st</w:t>
      </w:r>
      <w:r>
        <w:rPr>
          <w:rFonts w:ascii="Arial" w:cs="Arial" w:eastAsia="Arial" w:hAnsi="Arial"/>
          <w:sz w:val="18"/>
          <w:szCs w:val="18"/>
          <w:color w:val="auto"/>
        </w:rPr>
        <w:t>) anniversary of the Effective Date, but on or prior to the second (2</w:t>
      </w:r>
      <w:r>
        <w:rPr>
          <w:rFonts w:ascii="Arial" w:cs="Arial" w:eastAsia="Arial" w:hAnsi="Arial"/>
          <w:sz w:val="15"/>
          <w:szCs w:val="15"/>
          <w:color w:val="auto"/>
        </w:rPr>
        <w:t>nd</w:t>
      </w:r>
      <w:r>
        <w:rPr>
          <w:rFonts w:ascii="Arial" w:cs="Arial" w:eastAsia="Arial" w:hAnsi="Arial"/>
          <w:sz w:val="18"/>
          <w:szCs w:val="18"/>
          <w:color w:val="auto"/>
        </w:rPr>
        <w:t>) anniversary of the Effective Date, two percent (2.0%) of the then outstanding principal amount of the Term Loan Advances immediately prior to the date of such prepayment; and</w:t>
      </w:r>
    </w:p>
    <w:p>
      <w:pPr>
        <w:spacing w:after="0" w:line="183" w:lineRule="exact"/>
        <w:rPr>
          <w:rFonts w:ascii="Arial" w:cs="Arial" w:eastAsia="Arial" w:hAnsi="Arial"/>
          <w:sz w:val="18"/>
          <w:szCs w:val="18"/>
          <w:color w:val="auto"/>
        </w:rPr>
      </w:pPr>
    </w:p>
    <w:p>
      <w:pPr>
        <w:ind w:right="300" w:firstLine="987"/>
        <w:spacing w:after="0" w:line="263" w:lineRule="auto"/>
        <w:tabs>
          <w:tab w:leader="none" w:pos="1371" w:val="left"/>
        </w:tabs>
        <w:numPr>
          <w:ilvl w:val="0"/>
          <w:numId w:val="408"/>
        </w:numPr>
        <w:rPr>
          <w:rFonts w:ascii="Arial" w:cs="Arial" w:eastAsia="Arial" w:hAnsi="Arial"/>
          <w:sz w:val="18"/>
          <w:szCs w:val="18"/>
          <w:color w:val="auto"/>
        </w:rPr>
      </w:pPr>
      <w:r>
        <w:rPr>
          <w:rFonts w:ascii="Arial" w:cs="Arial" w:eastAsia="Arial" w:hAnsi="Arial"/>
          <w:sz w:val="18"/>
          <w:szCs w:val="18"/>
          <w:color w:val="auto"/>
        </w:rPr>
        <w:t>for a prepayment of the Term Loan Advances made after the second (2</w:t>
      </w:r>
      <w:r>
        <w:rPr>
          <w:rFonts w:ascii="Arial" w:cs="Arial" w:eastAsia="Arial" w:hAnsi="Arial"/>
          <w:sz w:val="15"/>
          <w:szCs w:val="15"/>
          <w:color w:val="auto"/>
        </w:rPr>
        <w:t>nd</w:t>
      </w:r>
      <w:r>
        <w:rPr>
          <w:rFonts w:ascii="Arial" w:cs="Arial" w:eastAsia="Arial" w:hAnsi="Arial"/>
          <w:sz w:val="18"/>
          <w:szCs w:val="18"/>
          <w:color w:val="auto"/>
        </w:rPr>
        <w:t>) anniversary of the Effective Date, but prior to the Term Loan Maturity Date, one percent (1.0%) of the then outstanding principal amount of the Term Loan Advances immediately prior to the date of such prepayment.</w:t>
      </w:r>
    </w:p>
    <w:p>
      <w:pPr>
        <w:spacing w:after="0" w:line="18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Rate</w:t>
      </w:r>
      <w:r>
        <w:rPr>
          <w:rFonts w:ascii="Arial" w:cs="Arial" w:eastAsia="Arial" w:hAnsi="Arial"/>
          <w:sz w:val="17"/>
          <w:szCs w:val="17"/>
          <w:color w:val="auto"/>
        </w:rPr>
        <w:t>” is the rate of interest per annum from time to time published in the money rates section of The Wall Street Journal or any successor publication thereto as the “prime rate” then in effect; provided that, in the event such rate of interest is less than zero, such rate shall be deemed to be zero for purposes of this Agreement; and provided further that if such rate of interest, as set forth from time to time in the money rates section of The Wall Street Journal, becomes unavailable for any reason as determined by Agent, the “Prime Rate” shall mean the rate of interest per annum announced by SVB as its prime rate in effect at its principal office in the State of California (such SVB announced Prime Rate not being intended to be the lowest rate of interest charged by SVB in connection with extensions of credit to debtors); provided that, in the event such rate of interest is less than zero, such rate shall be deemed to be zero for purposes of this Agreement.</w:t>
      </w:r>
    </w:p>
    <w:p>
      <w:pPr>
        <w:spacing w:after="0" w:line="172" w:lineRule="exact"/>
        <w:rPr>
          <w:sz w:val="20"/>
          <w:szCs w:val="20"/>
          <w:color w:val="auto"/>
        </w:rPr>
      </w:pPr>
    </w:p>
    <w:p>
      <w:pPr>
        <w:jc w:val="both"/>
        <w:ind w:right="3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xml:space="preserve">” is, as of any date of determination, with respect to each Lender, a percentage (expressed as a decimal, rounded to the ninth decimal place) determined by </w:t>
      </w:r>
      <w:r>
        <w:rPr>
          <w:rFonts w:ascii="Arial" w:cs="Arial" w:eastAsia="Arial" w:hAnsi="Arial"/>
          <w:sz w:val="18"/>
          <w:szCs w:val="18"/>
          <w:i w:val="1"/>
          <w:iCs w:val="1"/>
          <w:color w:val="auto"/>
        </w:rPr>
        <w:t>dividing</w:t>
      </w:r>
      <w:r>
        <w:rPr>
          <w:rFonts w:ascii="Arial" w:cs="Arial" w:eastAsia="Arial" w:hAnsi="Arial"/>
          <w:sz w:val="18"/>
          <w:szCs w:val="18"/>
          <w:color w:val="auto"/>
        </w:rPr>
        <w:t xml:space="preserve"> the outstanding principal amount of Term Loan Advances held by such Lender </w:t>
      </w:r>
      <w:r>
        <w:rPr>
          <w:rFonts w:ascii="Arial" w:cs="Arial" w:eastAsia="Arial" w:hAnsi="Arial"/>
          <w:sz w:val="18"/>
          <w:szCs w:val="18"/>
          <w:i w:val="1"/>
          <w:iCs w:val="1"/>
          <w:color w:val="auto"/>
        </w:rPr>
        <w:t>by</w:t>
      </w:r>
      <w:r>
        <w:rPr>
          <w:rFonts w:ascii="Arial" w:cs="Arial" w:eastAsia="Arial" w:hAnsi="Arial"/>
          <w:sz w:val="18"/>
          <w:szCs w:val="18"/>
          <w:color w:val="auto"/>
        </w:rPr>
        <w:t xml:space="preserve"> the aggregate outstanding principal amount of all Term Loan Advances.</w:t>
      </w:r>
    </w:p>
    <w:p>
      <w:pPr>
        <w:spacing w:after="0" w:line="176" w:lineRule="exact"/>
        <w:rPr>
          <w:sz w:val="20"/>
          <w:szCs w:val="20"/>
          <w:color w:val="auto"/>
        </w:rPr>
      </w:pPr>
    </w:p>
    <w:p>
      <w:pPr>
        <w:ind w:right="8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R&amp;D Agreement</w:t>
      </w:r>
      <w:r>
        <w:rPr>
          <w:rFonts w:ascii="Arial" w:cs="Arial" w:eastAsia="Arial" w:hAnsi="Arial"/>
          <w:sz w:val="17"/>
          <w:szCs w:val="17"/>
          <w:color w:val="auto"/>
        </w:rPr>
        <w:t>” means that certain Amended and Restated Research and Development Services Agreement by and between Alexo and ALX U.S. dated as of May 8, 2015, as amended by that certain Amendment No. 1 to Amended and Restated Research and Development Services Agreement by and between Alexo and ALX U.S. dated as of May 25, 2016, and as further amended by that certain Amendment No. 2 to Amended and Restated Research and Development Services Agreement by and between Alexo and ALX U.S. dated as of January 1, 2016</w:t>
      </w:r>
      <w:r>
        <w:rPr>
          <w:rFonts w:ascii="Arial" w:cs="Arial" w:eastAsia="Arial" w:hAnsi="Arial"/>
          <w:sz w:val="17"/>
          <w:szCs w:val="17"/>
          <w:i w:val="1"/>
          <w:iCs w:val="1"/>
          <w:color w:val="auto"/>
        </w:rPr>
        <w:t>.</w:t>
      </w:r>
    </w:p>
    <w:p>
      <w:pPr>
        <w:spacing w:after="0" w:line="165" w:lineRule="exact"/>
        <w:rPr>
          <w:sz w:val="20"/>
          <w:szCs w:val="20"/>
          <w:color w:val="auto"/>
        </w:rPr>
      </w:pPr>
    </w:p>
    <w:p>
      <w:pPr>
        <w:jc w:val="center"/>
        <w:ind w:left="660" w:right="22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Organization</w:t>
      </w:r>
      <w:r>
        <w:rPr>
          <w:rFonts w:ascii="Arial" w:cs="Arial" w:eastAsia="Arial" w:hAnsi="Arial"/>
          <w:sz w:val="18"/>
          <w:szCs w:val="18"/>
          <w:color w:val="auto"/>
        </w:rPr>
        <w:t>” is any “registered organization” as defined in the Code with such additions to such term as may hereafter be made. 35</w:t>
      </w:r>
    </w:p>
    <w:p>
      <w:pPr>
        <w:sectPr>
          <w:pgSz w:w="11900" w:h="16838" w:orient="portrait"/>
          <w:cols w:equalWidth="0" w:num="1">
            <w:col w:w="10980"/>
          </w:cols>
          <w:pgMar w:left="440" w:top="274" w:right="479" w:bottom="1440" w:gutter="0" w:footer="0" w:header="0"/>
        </w:sectPr>
      </w:pPr>
    </w:p>
    <w:bookmarkStart w:id="460" w:name="page461"/>
    <w:bookmarkEnd w:id="460"/>
    <w:p>
      <w:pPr>
        <w:ind w:right="4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Register of Mortgages and Charges</w:t>
      </w:r>
      <w:r>
        <w:rPr>
          <w:rFonts w:ascii="Arial" w:cs="Arial" w:eastAsia="Arial" w:hAnsi="Arial"/>
          <w:sz w:val="18"/>
          <w:szCs w:val="18"/>
          <w:color w:val="auto"/>
        </w:rPr>
        <w:t>” means the register of mortgages and charges of any Borrower formed or incorporated in the Cayman Islands maintained by such Borrower in accordance with section 54 of the Companies Law of the Cayman Islands.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Removal Effective Date</w:t>
      </w:r>
      <w:r>
        <w:rPr>
          <w:rFonts w:ascii="Arial" w:cs="Arial" w:eastAsia="Arial" w:hAnsi="Arial"/>
          <w:sz w:val="18"/>
          <w:szCs w:val="18"/>
          <w:color w:val="auto"/>
        </w:rPr>
        <w:t>” is defined in Section 10.10(d).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is defined in Section 13.9.</w:t>
      </w:r>
    </w:p>
    <w:p>
      <w:pPr>
        <w:spacing w:after="0" w:line="225"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director or any of the Chief Executive Officer, President and Chief Financial Officer of Borrower.</w:t>
      </w:r>
    </w:p>
    <w:p>
      <w:pPr>
        <w:spacing w:after="0" w:line="225"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License</w:t>
      </w:r>
      <w:r>
        <w:rPr>
          <w:rFonts w:ascii="Arial" w:cs="Arial" w:eastAsia="Arial" w:hAnsi="Arial"/>
          <w:sz w:val="18"/>
          <w:szCs w:val="18"/>
          <w:color w:val="auto"/>
        </w:rPr>
        <w:t>” is any material license or other material agreement with respect to which Borrower is the licensee (a) that prohibits Borrower from granting a security interest in Borrower’s interest in such license or agreement or any other property, or (b) for which a default under or termination of could reasonably be expected to interfere with the Agent’s right to sell any Collateral.</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Account</w:t>
      </w:r>
      <w:r>
        <w:rPr>
          <w:rFonts w:ascii="Arial" w:cs="Arial" w:eastAsia="Arial" w:hAnsi="Arial"/>
          <w:sz w:val="17"/>
          <w:szCs w:val="17"/>
          <w:color w:val="auto"/>
        </w:rPr>
        <w:t>” is any “</w:t>
      </w:r>
      <w:r>
        <w:rPr>
          <w:rFonts w:ascii="Arial" w:cs="Arial" w:eastAsia="Arial" w:hAnsi="Arial"/>
          <w:sz w:val="17"/>
          <w:szCs w:val="17"/>
          <w:b w:val="1"/>
          <w:bCs w:val="1"/>
          <w:color w:val="auto"/>
        </w:rPr>
        <w:t>securities account</w:t>
      </w:r>
      <w:r>
        <w:rPr>
          <w:rFonts w:ascii="Arial" w:cs="Arial" w:eastAsia="Arial" w:hAnsi="Arial"/>
          <w:sz w:val="17"/>
          <w:szCs w:val="17"/>
          <w:color w:val="auto"/>
        </w:rPr>
        <w:t>” as defined in the Code with such additions to such term as may hereafter be made.</w:t>
      </w:r>
    </w:p>
    <w:p>
      <w:pPr>
        <w:spacing w:after="0" w:line="237"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Agent and the Lenders (pursuant to a subordination, intercreditor, or other similar agreement in form and substance satisfactory to Agent and the Lenders entered into between Agent, the Lenders and the other creditor), on terms acceptable to Agent and the Lenders.</w:t>
      </w:r>
    </w:p>
    <w:p>
      <w:pPr>
        <w:spacing w:after="0" w:line="176"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as to any Person, a corporation, partnership, exempted company, exempted limited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ALX Ireland.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 Advance</w:t>
      </w:r>
      <w:r>
        <w:rPr>
          <w:rFonts w:ascii="Arial" w:cs="Arial" w:eastAsia="Arial" w:hAnsi="Arial"/>
          <w:sz w:val="18"/>
          <w:szCs w:val="18"/>
          <w:color w:val="auto"/>
        </w:rPr>
        <w:t>” is defined in Section 2.2(a).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 Advance</w:t>
      </w:r>
      <w:r>
        <w:rPr>
          <w:rFonts w:ascii="Arial" w:cs="Arial" w:eastAsia="Arial" w:hAnsi="Arial"/>
          <w:sz w:val="18"/>
          <w:szCs w:val="18"/>
          <w:color w:val="auto"/>
        </w:rPr>
        <w:t>” is defined in Section 2.2(a).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Advance</w:t>
      </w:r>
      <w:r>
        <w:rPr>
          <w:rFonts w:ascii="Arial" w:cs="Arial" w:eastAsia="Arial" w:hAnsi="Arial"/>
          <w:sz w:val="18"/>
          <w:szCs w:val="18"/>
          <w:color w:val="auto"/>
        </w:rPr>
        <w:t>” and “</w:t>
      </w:r>
      <w:r>
        <w:rPr>
          <w:rFonts w:ascii="Arial" w:cs="Arial" w:eastAsia="Arial" w:hAnsi="Arial"/>
          <w:sz w:val="18"/>
          <w:szCs w:val="18"/>
          <w:b w:val="1"/>
          <w:bCs w:val="1"/>
          <w:color w:val="auto"/>
        </w:rPr>
        <w:t>Term Loan Advances</w:t>
      </w:r>
      <w:r>
        <w:rPr>
          <w:rFonts w:ascii="Arial" w:cs="Arial" w:eastAsia="Arial" w:hAnsi="Arial"/>
          <w:sz w:val="18"/>
          <w:szCs w:val="18"/>
          <w:color w:val="auto"/>
        </w:rPr>
        <w:t>” are each defined in Section 2.2(a).</w:t>
      </w:r>
    </w:p>
    <w:p>
      <w:pPr>
        <w:spacing w:after="0" w:line="225"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Amortization Date</w:t>
      </w:r>
      <w:r>
        <w:rPr>
          <w:rFonts w:ascii="Arial" w:cs="Arial" w:eastAsia="Arial" w:hAnsi="Arial"/>
          <w:sz w:val="18"/>
          <w:szCs w:val="18"/>
          <w:color w:val="auto"/>
        </w:rPr>
        <w:t>” is April 1, 2020 (which shall be extended until January 1, 2021 upon the occurrence of the Interest Only Extension Event).</w:t>
      </w:r>
    </w:p>
    <w:p>
      <w:pPr>
        <w:spacing w:after="0" w:line="162"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Commitment</w:t>
      </w:r>
      <w:r>
        <w:rPr>
          <w:rFonts w:ascii="Arial" w:cs="Arial" w:eastAsia="Arial" w:hAnsi="Arial"/>
          <w:sz w:val="17"/>
          <w:szCs w:val="17"/>
          <w:color w:val="auto"/>
        </w:rPr>
        <w:t xml:space="preserve">” means, for any Lender, the obligation of such Lender to make a Term Loan Advance as and when available, up to the principal amount shown on </w:t>
      </w:r>
      <w:r>
        <w:rPr>
          <w:rFonts w:ascii="Arial" w:cs="Arial" w:eastAsia="Arial" w:hAnsi="Arial"/>
          <w:sz w:val="17"/>
          <w:szCs w:val="17"/>
          <w:u w:val="single" w:color="auto"/>
          <w:color w:val="auto"/>
        </w:rPr>
        <w:t>Schedule 1</w:t>
      </w:r>
      <w:r>
        <w:rPr>
          <w:rFonts w:ascii="Arial" w:cs="Arial" w:eastAsia="Arial" w:hAnsi="Arial"/>
          <w:sz w:val="17"/>
          <w:szCs w:val="17"/>
          <w:color w:val="auto"/>
        </w:rPr>
        <w:t>. “Term Loan Commitments” means the aggregate amount of such commitments of all Lenders.</w:t>
      </w:r>
    </w:p>
    <w:p>
      <w:pPr>
        <w:spacing w:after="0" w:line="140"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 Percentage</w:t>
      </w:r>
      <w:r>
        <w:rPr>
          <w:rFonts w:ascii="Arial" w:cs="Arial" w:eastAsia="Arial" w:hAnsi="Arial"/>
          <w:sz w:val="18"/>
          <w:szCs w:val="18"/>
          <w:color w:val="auto"/>
        </w:rPr>
        <w:t xml:space="preserve">” means, as to any Lender at any time, the percentage (carried out to the fourth decimal place) of the Term Loan Commitments represented by such Lender’s Term Loan Commitment at such time. The initial Term Loan Commitment Percentage of each Lender is set forth opposite the name of such Lender on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0" w:right="459" w:bottom="1440" w:gutter="0" w:footer="0" w:header="0"/>
        </w:sectPr>
      </w:pPr>
    </w:p>
    <w:bookmarkStart w:id="461" w:name="page462"/>
    <w:bookmarkEnd w:id="461"/>
    <w:p>
      <w:pPr>
        <w:ind w:right="2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December 1, 2021 (which shall be extended until September 1, 2022 upon the occurrence of the Interest Only Extension Event).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Sheet</w:t>
      </w:r>
      <w:r>
        <w:rPr>
          <w:rFonts w:ascii="Arial" w:cs="Arial" w:eastAsia="Arial" w:hAnsi="Arial"/>
          <w:sz w:val="18"/>
          <w:szCs w:val="18"/>
          <w:color w:val="auto"/>
        </w:rPr>
        <w:t>” is defined in the definition of Term Sheet Event.</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Sheet Event</w:t>
      </w:r>
      <w:r>
        <w:rPr>
          <w:rFonts w:ascii="Arial" w:cs="Arial" w:eastAsia="Arial" w:hAnsi="Arial"/>
          <w:sz w:val="16"/>
          <w:szCs w:val="16"/>
          <w:color w:val="auto"/>
        </w:rPr>
        <w:t>” means confirmation by Agent, on or prior to March 31, 2020, that Borrower has delivered to Agent, a signed, binding, and unconditional term sheet (“</w:t>
      </w:r>
      <w:r>
        <w:rPr>
          <w:rFonts w:ascii="Arial" w:cs="Arial" w:eastAsia="Arial" w:hAnsi="Arial"/>
          <w:sz w:val="16"/>
          <w:szCs w:val="16"/>
          <w:b w:val="1"/>
          <w:bCs w:val="1"/>
          <w:color w:val="auto"/>
        </w:rPr>
        <w:t>Term Sheet</w:t>
      </w:r>
      <w:r>
        <w:rPr>
          <w:rFonts w:ascii="Arial" w:cs="Arial" w:eastAsia="Arial" w:hAnsi="Arial"/>
          <w:sz w:val="16"/>
          <w:szCs w:val="16"/>
          <w:color w:val="auto"/>
        </w:rPr>
        <w:t>”) from one or more parties, satisfactory to Agent and each Lender, in Agent’s and each Lender’s sole but reasonable discretion, in favor of, and accepted by Borrower or ALX Ireland, evidencing such party’s or parties’ commitment to either (i) purchase equity securities of Borrower or ALX Ireland or enter into a partnership, joint venture, or strategic alliance (on terms satisfactory to Agent and each Lender in Agent’s and each Lender’s sole but reasonable discretion), which would result in the receipt by Borrower or ALX Ireland of unrestricted and unencumbered net cash proceeds in an amount of at least Thirty Million Dollars ($30,000,000.00) or (ii) merge or consolidate with another Person, which merger or consolidation agreement shall provide for an up-front cash payment to Borrower or ALX Ireland in an amount of at least One Hundred Million Dollars ($100,000,000.00); provided that, in the case of either (i) or (ii) herein, such proposed transaction is consummated and Borrower or ALX Ireland has received such funds after the Effective Date, but no later than ninety (90) days after the execution of such Term Sheet.</w:t>
      </w:r>
    </w:p>
    <w:p>
      <w:pPr>
        <w:spacing w:after="0" w:line="166"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Amount</w:t>
      </w:r>
      <w:r>
        <w:rPr>
          <w:rFonts w:ascii="Arial" w:cs="Arial" w:eastAsia="Arial" w:hAnsi="Arial"/>
          <w:sz w:val="18"/>
          <w:szCs w:val="18"/>
          <w:color w:val="auto"/>
        </w:rPr>
        <w:t>” means a maximum aggregate amount of up Three Million Dollars ($3,000,000.00); which shall be increased to Five Million Dollars ($5,000,000.00) in the aggregate, upon the occurrence of the Equity Event.</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Warrant</w:t>
      </w:r>
      <w:r>
        <w:rPr>
          <w:rFonts w:ascii="Arial" w:cs="Arial" w:eastAsia="Arial" w:hAnsi="Arial"/>
          <w:sz w:val="17"/>
          <w:szCs w:val="17"/>
          <w:color w:val="auto"/>
        </w:rPr>
        <w:t>” means, collectively, (a) that certain warrant instrument and warrant certificate to purchase stock dated as of the Effective Date between ALX Ireland and SVB and (b) that certain warrant instrument and warrant certificate to purchase stock dated as of the Effective Date between ALX Ireland and WestRiver, in each case, as may be amended, modified, supplemented and/or restated from time to time.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WestRiver</w:t>
      </w:r>
      <w:r>
        <w:rPr>
          <w:rFonts w:ascii="Arial" w:cs="Arial" w:eastAsia="Arial" w:hAnsi="Arial"/>
          <w:sz w:val="18"/>
          <w:szCs w:val="18"/>
          <w:color w:val="auto"/>
        </w:rPr>
        <w:t>” is defined in the preamble hereof.</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440" w:top="270" w:right="519" w:bottom="1440" w:gutter="0" w:footer="0" w:header="0"/>
        </w:sectPr>
      </w:pPr>
    </w:p>
    <w:bookmarkStart w:id="462" w:name="page463"/>
    <w:bookmarkEnd w:id="46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to be executed as of the Effective Date.</w:t>
      </w:r>
    </w:p>
    <w:p>
      <w:pPr>
        <w:sectPr>
          <w:pgSz w:w="11900" w:h="16838" w:orient="portrait"/>
          <w:cols w:equalWidth="0" w:num="1">
            <w:col w:w="10019"/>
          </w:cols>
          <w:pgMar w:left="440" w:top="270" w:right="1440" w:bottom="1440" w:gutter="0" w:footer="0" w:header="0"/>
        </w:sectPr>
      </w:pPr>
    </w:p>
    <w:p>
      <w:pPr>
        <w:spacing w:after="0" w:line="27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EXECUTED AS A DEED BY:</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ALEXO THERAPEUTICS INTERNATIONAL</w:t>
      </w:r>
    </w:p>
    <w:p>
      <w:pPr>
        <w:spacing w:after="0" w:line="2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In the presence of:</w:t>
            </w:r>
          </w:p>
        </w:tc>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Melissa Aquino</w:t>
            </w:r>
          </w:p>
        </w:tc>
      </w:tr>
      <w:tr>
        <w:trPr>
          <w:trHeight w:val="223"/>
        </w:trPr>
        <w:tc>
          <w:tcPr>
            <w:tcW w:w="1680" w:type="dxa"/>
            <w:vAlign w:val="bottom"/>
          </w:tcPr>
          <w:p>
            <w:pPr>
              <w:spacing w:after="0"/>
              <w:rPr>
                <w:sz w:val="20"/>
                <w:szCs w:val="20"/>
                <w:color w:val="auto"/>
              </w:rPr>
            </w:pPr>
            <w:r>
              <w:rPr>
                <w:rFonts w:ascii="Arial" w:cs="Arial" w:eastAsia="Arial" w:hAnsi="Arial"/>
                <w:sz w:val="18"/>
                <w:szCs w:val="18"/>
                <w:color w:val="auto"/>
              </w:rPr>
              <w:t>Name:</w:t>
            </w:r>
          </w:p>
        </w:tc>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Melissa Aquino</w:t>
            </w:r>
          </w:p>
        </w:tc>
      </w:tr>
    </w:tbl>
    <w:p>
      <w:pPr>
        <w:spacing w:after="0" w:line="242"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EXECUTED AS A DEED BY:</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SIRPANT THERAPEUTICS</w:t>
      </w:r>
    </w:p>
    <w:p>
      <w:pPr>
        <w:spacing w:after="0" w:line="2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In the presence of:</w:t>
            </w:r>
          </w:p>
        </w:tc>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Melissa Aquino</w:t>
            </w:r>
          </w:p>
        </w:tc>
      </w:tr>
      <w:tr>
        <w:trPr>
          <w:trHeight w:val="223"/>
        </w:trPr>
        <w:tc>
          <w:tcPr>
            <w:tcW w:w="1680" w:type="dxa"/>
            <w:vAlign w:val="bottom"/>
          </w:tcPr>
          <w:p>
            <w:pPr>
              <w:spacing w:after="0"/>
              <w:rPr>
                <w:sz w:val="20"/>
                <w:szCs w:val="20"/>
                <w:color w:val="auto"/>
              </w:rPr>
            </w:pPr>
            <w:r>
              <w:rPr>
                <w:rFonts w:ascii="Arial" w:cs="Arial" w:eastAsia="Arial" w:hAnsi="Arial"/>
                <w:sz w:val="18"/>
                <w:szCs w:val="18"/>
                <w:color w:val="auto"/>
              </w:rPr>
              <w:t>Name:</w:t>
            </w:r>
          </w:p>
        </w:tc>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Melissa Aquino</w:t>
            </w:r>
          </w:p>
        </w:tc>
      </w:tr>
    </w:tbl>
    <w:p>
      <w:pPr>
        <w:spacing w:after="0" w:line="23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AGENT:</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SILICON VALLEY BANK, as Agent</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Peter Sletteland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Peter Sletteland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LENDERS: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Peter Sletteland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Peter Sletteland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WESTRIVER INNOVATION LENDING FUND VIII, L.P.</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Trent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Trent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2"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[Signature Page to Loan and Security Agreement]</w:t>
      </w:r>
    </w:p>
    <w:p>
      <w:pPr>
        <w:sectPr>
          <w:pgSz w:w="11900" w:h="16838" w:orient="portrait"/>
          <w:cols w:equalWidth="0" w:num="1">
            <w:col w:w="10019"/>
          </w:cols>
          <w:pgMar w:left="440" w:top="270" w:right="1440" w:bottom="1440" w:gutter="0" w:footer="0" w:header="0"/>
          <w:type w:val="continuous"/>
        </w:sectPr>
      </w:pPr>
    </w:p>
    <w:bookmarkStart w:id="463" w:name="page464"/>
    <w:bookmarkEnd w:id="46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LOAN COMMITMENTS</w:t>
      </w:r>
    </w:p>
    <w:p>
      <w:pPr>
        <w:spacing w:after="0" w:line="21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Term Loan</w:t>
            </w:r>
          </w:p>
        </w:tc>
        <w:tc>
          <w:tcPr>
            <w:tcW w:w="0" w:type="dxa"/>
            <w:vAlign w:val="bottom"/>
          </w:tcPr>
          <w:p>
            <w:pPr>
              <w:spacing w:after="0"/>
              <w:rPr>
                <w:sz w:val="1"/>
                <w:szCs w:val="1"/>
                <w:color w:val="auto"/>
              </w:rPr>
            </w:pPr>
          </w:p>
        </w:tc>
      </w:tr>
      <w:tr>
        <w:trPr>
          <w:trHeight w:val="148"/>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Lender</w:t>
            </w:r>
          </w:p>
        </w:tc>
        <w:tc>
          <w:tcPr>
            <w:tcW w:w="4740" w:type="dxa"/>
            <w:vAlign w:val="bottom"/>
            <w:vMerge w:val="restart"/>
          </w:tcPr>
          <w:p>
            <w:pPr>
              <w:spacing w:after="0"/>
              <w:rPr>
                <w:sz w:val="12"/>
                <w:szCs w:val="12"/>
                <w:color w:val="auto"/>
              </w:rPr>
            </w:pPr>
          </w:p>
        </w:tc>
        <w:tc>
          <w:tcPr>
            <w:tcW w:w="2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Term Loan Commitment</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Commitment</w:t>
            </w:r>
          </w:p>
        </w:tc>
        <w:tc>
          <w:tcPr>
            <w:tcW w:w="0" w:type="dxa"/>
            <w:vAlign w:val="bottom"/>
          </w:tcPr>
          <w:p>
            <w:pPr>
              <w:spacing w:after="0"/>
              <w:rPr>
                <w:sz w:val="1"/>
                <w:szCs w:val="1"/>
                <w:color w:val="auto"/>
              </w:rPr>
            </w:pPr>
          </w:p>
        </w:tc>
      </w:tr>
      <w:tr>
        <w:trPr>
          <w:trHeight w:val="163"/>
        </w:trPr>
        <w:tc>
          <w:tcPr>
            <w:tcW w:w="460" w:type="dxa"/>
            <w:vAlign w:val="bottom"/>
            <w:tcBorders>
              <w:bottom w:val="single" w:sz="8" w:color="auto"/>
            </w:tcBorders>
            <w:vMerge w:val="continue"/>
          </w:tcPr>
          <w:p>
            <w:pPr>
              <w:spacing w:after="0"/>
              <w:rPr>
                <w:sz w:val="13"/>
                <w:szCs w:val="13"/>
                <w:color w:val="auto"/>
              </w:rPr>
            </w:pPr>
          </w:p>
        </w:tc>
        <w:tc>
          <w:tcPr>
            <w:tcW w:w="4740" w:type="dxa"/>
            <w:vAlign w:val="bottom"/>
            <w:vMerge w:val="continue"/>
          </w:tcPr>
          <w:p>
            <w:pPr>
              <w:spacing w:after="0"/>
              <w:rPr>
                <w:sz w:val="13"/>
                <w:szCs w:val="13"/>
                <w:color w:val="auto"/>
              </w:rPr>
            </w:pPr>
          </w:p>
        </w:tc>
        <w:tc>
          <w:tcPr>
            <w:tcW w:w="2120" w:type="dxa"/>
            <w:vAlign w:val="bottom"/>
            <w:gridSpan w:val="3"/>
            <w:vMerge w:val="continue"/>
          </w:tcPr>
          <w:p>
            <w:pPr>
              <w:spacing w:after="0"/>
              <w:rPr>
                <w:sz w:val="13"/>
                <w:szCs w:val="13"/>
                <w:color w:val="auto"/>
              </w:rPr>
            </w:pPr>
          </w:p>
        </w:tc>
        <w:tc>
          <w:tcPr>
            <w:tcW w:w="10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5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Silicon Valley Bank</w:t>
            </w: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5,000,000.00</w:t>
            </w:r>
          </w:p>
        </w:tc>
        <w:tc>
          <w:tcPr>
            <w:tcW w:w="58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WestRiver Innovation Lending Fund VIII, L.P.</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5,000,000.00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10,000,000.00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70" w:right="1440" w:bottom="1440" w:gutter="0" w:footer="0" w:header="0"/>
        </w:sectPr>
      </w:pPr>
    </w:p>
    <w:bookmarkStart w:id="464" w:name="page465"/>
    <w:bookmarkEnd w:id="46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 - COLLATERAL DESCRIPTION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117"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All goods, Accounts (including health-care receivables), Equipment, Inventory, contract rights or rights to payment of money, leases, license agreements (including, without limitation, the License Agreement),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76"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Notwithstanding the foregoing, the Collateral does not include (a) rights held under a license that are not assignable by their terms without the consent of the licensor thereof (but only to the extent such restriction on assignment is enforceable under applicable law); (b) any interest of Borrower as a lessee or sublessee under a real property lease; (c) any interest of Borrower as a lessee under an Equipment lease if Borrower is prohibited by the terms of such lease from granting a security interest in such lease or under which such an assignment or Lien would cause a default to occur under such lease;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upon termination of such prohibition, such interest shall immediately become Collateral without any action by Borrower or</w:t>
      </w:r>
      <w:r>
        <w:rPr>
          <w:rFonts w:ascii="Arial" w:cs="Arial" w:eastAsia="Arial" w:hAnsi="Arial"/>
          <w:sz w:val="16"/>
          <w:szCs w:val="16"/>
          <w:i w:val="1"/>
          <w:iCs w:val="1"/>
          <w:color w:val="auto"/>
        </w:rPr>
        <w:t xml:space="preserve"> </w:t>
      </w:r>
      <w:r>
        <w:rPr>
          <w:rFonts w:ascii="Arial" w:cs="Arial" w:eastAsia="Arial" w:hAnsi="Arial"/>
          <w:sz w:val="16"/>
          <w:szCs w:val="16"/>
          <w:color w:val="auto"/>
        </w:rPr>
        <w:t>Agent; (d) Equipment that is subject to a Lien that is otherwise permitted pursuant to subsection (c) of the definition of “Permitted Liens” if the holder of such Lien has expressly prohibited Borrower in writing from granting Liens on such property in favor of third parties; provided that immediately upon the ineffectiveness, lapse, or termination of any such provision, the term “Collateral” shall include, and Borrower shall be deemed to have granted a security interest in, all of its rights, title and interests in and to such property as if such provision had never been in effect; or (e)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Agent’s, for the ratable benefit of the Lenders, security interest in such Accounts and such other property of Borrower that are proceeds of the Intellectual Property.</w:t>
      </w:r>
    </w:p>
    <w:p>
      <w:pPr>
        <w:spacing w:after="0" w:line="17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Pursuant to the terms of a certain negative pledge arrangement with Agent and the Lenders, Borrower has agreed not to encumber any of its Intellectual Property without Agent’s and the Lenders’ prior written consent.</w:t>
      </w:r>
    </w:p>
    <w:p>
      <w:pPr>
        <w:sectPr>
          <w:pgSz w:w="11900" w:h="16838" w:orient="portrait"/>
          <w:cols w:equalWidth="0" w:num="1">
            <w:col w:w="11000"/>
          </w:cols>
          <w:pgMar w:left="440" w:top="270" w:right="459" w:bottom="1440" w:gutter="0" w:footer="0" w:header="0"/>
        </w:sectPr>
      </w:pPr>
    </w:p>
    <w:bookmarkStart w:id="465" w:name="page466"/>
    <w:bookmarkEnd w:id="465"/>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176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4240" w:type="dxa"/>
            <w:vAlign w:val="bottom"/>
          </w:tcPr>
          <w:p>
            <w:pPr>
              <w:spacing w:after="0"/>
              <w:rPr>
                <w:sz w:val="17"/>
                <w:szCs w:val="17"/>
                <w:color w:val="auto"/>
              </w:rPr>
            </w:pPr>
          </w:p>
        </w:tc>
        <w:tc>
          <w:tcPr>
            <w:tcW w:w="3500" w:type="dxa"/>
            <w:vAlign w:val="bottom"/>
            <w:gridSpan w:val="4"/>
          </w:tcPr>
          <w:p>
            <w:pPr>
              <w:jc w:val="center"/>
              <w:ind w:right="980"/>
              <w:spacing w:after="0" w:line="196" w:lineRule="exact"/>
              <w:rPr>
                <w:sz w:val="20"/>
                <w:szCs w:val="20"/>
                <w:color w:val="auto"/>
              </w:rPr>
            </w:pPr>
            <w:r>
              <w:rPr>
                <w:rFonts w:ascii="Arial" w:cs="Arial" w:eastAsia="Arial" w:hAnsi="Arial"/>
                <w:sz w:val="18"/>
                <w:szCs w:val="18"/>
                <w:b w:val="1"/>
                <w:bCs w:val="1"/>
                <w:color w:val="auto"/>
              </w:rPr>
              <w:t>COMPLIANCE CERTIFICATE</w:t>
            </w:r>
          </w:p>
        </w:tc>
        <w:tc>
          <w:tcPr>
            <w:tcW w:w="1360" w:type="dxa"/>
            <w:vAlign w:val="bottom"/>
          </w:tcPr>
          <w:p>
            <w:pPr>
              <w:spacing w:after="0"/>
              <w:rPr>
                <w:sz w:val="17"/>
                <w:szCs w:val="17"/>
                <w:color w:val="auto"/>
              </w:rPr>
            </w:pPr>
          </w:p>
        </w:tc>
      </w:tr>
      <w:tr>
        <w:trPr>
          <w:trHeight w:val="20"/>
        </w:trPr>
        <w:tc>
          <w:tcPr>
            <w:tcW w:w="4240" w:type="dxa"/>
            <w:vAlign w:val="bottom"/>
          </w:tcPr>
          <w:p>
            <w:pPr>
              <w:spacing w:after="0" w:line="20" w:lineRule="exact"/>
              <w:rPr>
                <w:sz w:val="1"/>
                <w:szCs w:val="1"/>
                <w:color w:val="auto"/>
              </w:rPr>
            </w:pPr>
          </w:p>
        </w:tc>
        <w:tc>
          <w:tcPr>
            <w:tcW w:w="2520" w:type="dxa"/>
            <w:vAlign w:val="bottom"/>
            <w:gridSpan w:val="3"/>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65"/>
        </w:trPr>
        <w:tc>
          <w:tcPr>
            <w:tcW w:w="7740" w:type="dxa"/>
            <w:vAlign w:val="bottom"/>
            <w:gridSpan w:val="5"/>
          </w:tcPr>
          <w:p>
            <w:pPr>
              <w:spacing w:after="0"/>
              <w:rPr>
                <w:sz w:val="20"/>
                <w:szCs w:val="20"/>
                <w:color w:val="auto"/>
              </w:rPr>
            </w:pPr>
            <w:r>
              <w:rPr>
                <w:rFonts w:ascii="Arial" w:cs="Arial" w:eastAsia="Arial" w:hAnsi="Arial"/>
                <w:sz w:val="18"/>
                <w:szCs w:val="18"/>
                <w:color w:val="auto"/>
              </w:rPr>
              <w:t>TO:  SILICON VALLEY BANK, as Agent, SVB, and WESTRIVER</w:t>
            </w:r>
          </w:p>
        </w:tc>
        <w:tc>
          <w:tcPr>
            <w:tcW w:w="1360" w:type="dxa"/>
            <w:vAlign w:val="bottom"/>
          </w:tcPr>
          <w:p>
            <w:pPr>
              <w:ind w:left="980"/>
              <w:spacing w:after="0"/>
              <w:rPr>
                <w:sz w:val="20"/>
                <w:szCs w:val="20"/>
                <w:color w:val="auto"/>
              </w:rPr>
            </w:pPr>
            <w:r>
              <w:rPr>
                <w:rFonts w:ascii="Arial" w:cs="Arial" w:eastAsia="Arial" w:hAnsi="Arial"/>
                <w:sz w:val="18"/>
                <w:szCs w:val="18"/>
                <w:color w:val="auto"/>
                <w:w w:val="83"/>
              </w:rPr>
              <w:t>Date:</w:t>
            </w:r>
          </w:p>
        </w:tc>
      </w:tr>
      <w:tr>
        <w:trPr>
          <w:trHeight w:val="230"/>
        </w:trPr>
        <w:tc>
          <w:tcPr>
            <w:tcW w:w="7740" w:type="dxa"/>
            <w:vAlign w:val="bottom"/>
            <w:gridSpan w:val="5"/>
          </w:tcPr>
          <w:p>
            <w:pPr>
              <w:spacing w:after="0"/>
              <w:rPr>
                <w:sz w:val="20"/>
                <w:szCs w:val="20"/>
                <w:color w:val="auto"/>
              </w:rPr>
            </w:pPr>
            <w:r>
              <w:rPr>
                <w:rFonts w:ascii="Arial" w:cs="Arial" w:eastAsia="Arial" w:hAnsi="Arial"/>
                <w:sz w:val="18"/>
                <w:szCs w:val="18"/>
                <w:color w:val="auto"/>
              </w:rPr>
              <w:t>FROM: ALEXO THERAPEUTICS INTERNATIONAL (“Alexo”)</w:t>
            </w:r>
          </w:p>
        </w:tc>
        <w:tc>
          <w:tcPr>
            <w:tcW w:w="1360" w:type="dxa"/>
            <w:vAlign w:val="bottom"/>
          </w:tcPr>
          <w:p>
            <w:pPr>
              <w:spacing w:after="0"/>
              <w:rPr>
                <w:sz w:val="20"/>
                <w:szCs w:val="20"/>
                <w:color w:val="auto"/>
              </w:rPr>
            </w:pPr>
          </w:p>
        </w:tc>
      </w:tr>
      <w:tr>
        <w:trPr>
          <w:trHeight w:val="432"/>
        </w:trPr>
        <w:tc>
          <w:tcPr>
            <w:tcW w:w="7740" w:type="dxa"/>
            <w:vAlign w:val="bottom"/>
            <w:gridSpan w:val="5"/>
          </w:tcPr>
          <w:p>
            <w:pPr>
              <w:ind w:left="440"/>
              <w:spacing w:after="0"/>
              <w:rPr>
                <w:sz w:val="20"/>
                <w:szCs w:val="20"/>
                <w:color w:val="auto"/>
              </w:rPr>
            </w:pPr>
            <w:r>
              <w:rPr>
                <w:rFonts w:ascii="Arial" w:cs="Arial" w:eastAsia="Arial" w:hAnsi="Arial"/>
                <w:sz w:val="18"/>
                <w:szCs w:val="18"/>
                <w:color w:val="auto"/>
              </w:rPr>
              <w:t>SIRPANT THERAPEUTICS (“Sirpant”)</w:t>
            </w:r>
          </w:p>
        </w:tc>
        <w:tc>
          <w:tcPr>
            <w:tcW w:w="1360" w:type="dxa"/>
            <w:vAlign w:val="bottom"/>
          </w:tcPr>
          <w:p>
            <w:pPr>
              <w:spacing w:after="0"/>
              <w:rPr>
                <w:sz w:val="24"/>
                <w:szCs w:val="24"/>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right="100" w:firstLine="440"/>
        <w:spacing w:after="0" w:line="282" w:lineRule="auto"/>
        <w:rPr>
          <w:sz w:val="20"/>
          <w:szCs w:val="20"/>
          <w:color w:val="auto"/>
        </w:rPr>
      </w:pPr>
      <w:r>
        <w:rPr>
          <w:rFonts w:ascii="Arial" w:cs="Arial" w:eastAsia="Arial" w:hAnsi="Arial"/>
          <w:sz w:val="18"/>
          <w:szCs w:val="18"/>
          <w:color w:val="auto"/>
        </w:rPr>
        <w:t>The undersigned authorized officer of Alexo and Sirpant (individually and collectively, “</w:t>
      </w:r>
      <w:r>
        <w:rPr>
          <w:rFonts w:ascii="Arial" w:cs="Arial" w:eastAsia="Arial" w:hAnsi="Arial"/>
          <w:sz w:val="18"/>
          <w:szCs w:val="18"/>
          <w:b w:val="1"/>
          <w:bCs w:val="1"/>
          <w:color w:val="auto"/>
        </w:rPr>
        <w:t>Borrower</w:t>
      </w:r>
      <w:r>
        <w:rPr>
          <w:rFonts w:ascii="Arial" w:cs="Arial" w:eastAsia="Arial" w:hAnsi="Arial"/>
          <w:sz w:val="18"/>
          <w:szCs w:val="18"/>
          <w:color w:val="auto"/>
        </w:rPr>
        <w:t>”) certifies that under the terms and conditions of the Loan and Security Agreement among Borrower, SVB, and WestRiver (as amended,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58"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 xml:space="preserve">(1) Borrower is in complete compliance for the period ending with all required covenants except as noted below, (2) there are no Events of Default, (3) all representations and warranties in the Agreement are true and correct in all material respects on this date except as noted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materiality qualifier shall not be applicable to any representations and warranties that already are qualified or modified by materiality in the text thereof;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those representations and warranties expressly referring to a specific date shall be true and correct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relating to unpaid employee payroll or benefits of which Borrower has not previously provided written notification to Agent.</w:t>
      </w:r>
    </w:p>
    <w:p>
      <w:pPr>
        <w:spacing w:after="0" w:line="165"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ectPr>
          <w:pgSz w:w="11900" w:h="16838" w:orient="portrait"/>
          <w:cols w:equalWidth="0" w:num="1">
            <w:col w:w="11020"/>
          </w:cols>
          <w:pgMar w:left="440" w:top="256" w:right="4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Reporting Covenants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Monthly Financial Statements with Compliance Certificate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Annual financial statement (CPA Audited)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960" w:type="dxa"/>
            <w:vAlign w:val="bottom"/>
            <w:gridSpan w:val="2"/>
          </w:tcPr>
          <w:p>
            <w:pPr>
              <w:ind w:left="2140"/>
              <w:spacing w:after="0"/>
              <w:rPr>
                <w:sz w:val="20"/>
                <w:szCs w:val="20"/>
                <w:color w:val="auto"/>
              </w:rPr>
            </w:pPr>
            <w:r>
              <w:rPr>
                <w:rFonts w:ascii="Arial" w:cs="Arial" w:eastAsia="Arial" w:hAnsi="Arial"/>
                <w:sz w:val="14"/>
                <w:szCs w:val="14"/>
                <w:b w:val="1"/>
                <w:bCs w:val="1"/>
                <w:color w:val="auto"/>
              </w:rPr>
              <w:t>Required</w:t>
            </w:r>
          </w:p>
        </w:tc>
        <w:tc>
          <w:tcPr>
            <w:tcW w:w="8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Complies</w:t>
            </w:r>
          </w:p>
        </w:tc>
      </w:tr>
      <w:tr>
        <w:trPr>
          <w:trHeight w:val="224"/>
        </w:trPr>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Monthly within 30 days</w:t>
            </w:r>
          </w:p>
        </w:tc>
        <w:tc>
          <w:tcPr>
            <w:tcW w:w="120" w:type="dxa"/>
            <w:vAlign w:val="bottom"/>
          </w:tcPr>
          <w:p>
            <w:pPr>
              <w:spacing w:after="0"/>
              <w:rPr>
                <w:sz w:val="19"/>
                <w:szCs w:val="19"/>
                <w:color w:val="auto"/>
              </w:rPr>
            </w:pPr>
          </w:p>
        </w:tc>
        <w:tc>
          <w:tcPr>
            <w:tcW w:w="4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No</w:t>
            </w:r>
          </w:p>
        </w:tc>
      </w:tr>
      <w:tr>
        <w:trPr>
          <w:trHeight w:val="403"/>
        </w:trPr>
        <w:tc>
          <w:tcPr>
            <w:tcW w:w="4960" w:type="dxa"/>
            <w:vAlign w:val="bottom"/>
            <w:gridSpan w:val="2"/>
          </w:tcPr>
          <w:p>
            <w:pPr>
              <w:spacing w:after="0"/>
              <w:rPr>
                <w:sz w:val="20"/>
                <w:szCs w:val="20"/>
                <w:color w:val="auto"/>
              </w:rPr>
            </w:pPr>
            <w:r>
              <w:rPr>
                <w:rFonts w:ascii="Arial" w:cs="Arial" w:eastAsia="Arial" w:hAnsi="Arial"/>
                <w:sz w:val="18"/>
                <w:szCs w:val="18"/>
                <w:color w:val="auto"/>
                <w:w w:val="93"/>
              </w:rPr>
              <w:t>By October 31; if the Board determines in its reasonable discretion</w:t>
            </w:r>
          </w:p>
        </w:tc>
        <w:tc>
          <w:tcPr>
            <w:tcW w:w="400" w:type="dxa"/>
            <w:vAlign w:val="bottom"/>
          </w:tcPr>
          <w:p>
            <w:pPr>
              <w:ind w:left="60"/>
              <w:spacing w:after="0"/>
              <w:rPr>
                <w:sz w:val="20"/>
                <w:szCs w:val="20"/>
                <w:color w:val="auto"/>
              </w:rPr>
            </w:pPr>
            <w:r>
              <w:rPr>
                <w:rFonts w:ascii="Arial" w:cs="Arial" w:eastAsia="Arial" w:hAnsi="Arial"/>
                <w:sz w:val="18"/>
                <w:szCs w:val="18"/>
                <w:color w:val="auto"/>
              </w:rPr>
              <w:t>Yes</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No</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not to require an audit for any fiscal year of Borrower, then 30</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days after such FYE</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4460" w:space="720"/>
            <w:col w:w="5840"/>
          </w:cols>
          <w:pgMar w:left="440" w:top="256" w:right="439" w:bottom="1440" w:gutter="0" w:footer="0" w:header="0"/>
          <w:type w:val="continuous"/>
        </w:sectPr>
      </w:pPr>
    </w:p>
    <w:p>
      <w:pPr>
        <w:spacing w:after="0" w:line="2" w:lineRule="exact"/>
        <w:rPr>
          <w:sz w:val="20"/>
          <w:szCs w:val="20"/>
          <w:color w:val="auto"/>
        </w:rPr>
      </w:pPr>
    </w:p>
    <w:p>
      <w:pPr>
        <w:spacing w:after="0"/>
        <w:tabs>
          <w:tab w:leader="none" w:pos="5160" w:val="left"/>
          <w:tab w:leader="none" w:pos="10180" w:val="left"/>
          <w:tab w:leader="none" w:pos="10620" w:val="left"/>
        </w:tabs>
        <w:rPr>
          <w:sz w:val="20"/>
          <w:szCs w:val="20"/>
          <w:color w:val="auto"/>
        </w:rPr>
      </w:pPr>
      <w:r>
        <w:rPr>
          <w:rFonts w:ascii="Arial" w:cs="Arial" w:eastAsia="Arial" w:hAnsi="Arial"/>
          <w:sz w:val="18"/>
          <w:szCs w:val="18"/>
          <w:color w:val="auto"/>
        </w:rPr>
        <w:t>10-Q, 10-K and 8-K</w:t>
      </w:r>
      <w:r>
        <w:rPr>
          <w:sz w:val="20"/>
          <w:szCs w:val="20"/>
          <w:color w:val="auto"/>
        </w:rPr>
        <w:tab/>
      </w:r>
      <w:r>
        <w:rPr>
          <w:rFonts w:ascii="Arial" w:cs="Arial" w:eastAsia="Arial" w:hAnsi="Arial"/>
          <w:sz w:val="18"/>
          <w:szCs w:val="18"/>
          <w:color w:val="auto"/>
        </w:rPr>
        <w:t>Within 5 days after filing with SEC</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225" w:lineRule="exact"/>
        <w:rPr>
          <w:sz w:val="20"/>
          <w:szCs w:val="20"/>
          <w:color w:val="auto"/>
        </w:rPr>
      </w:pPr>
    </w:p>
    <w:p>
      <w:pPr>
        <w:spacing w:after="0"/>
        <w:tabs>
          <w:tab w:leader="none" w:pos="5160" w:val="left"/>
          <w:tab w:leader="none" w:pos="10180" w:val="left"/>
          <w:tab w:leader="none" w:pos="10620" w:val="left"/>
        </w:tabs>
        <w:rPr>
          <w:sz w:val="20"/>
          <w:szCs w:val="20"/>
          <w:color w:val="auto"/>
        </w:rPr>
      </w:pPr>
      <w:r>
        <w:rPr>
          <w:rFonts w:ascii="Arial" w:cs="Arial" w:eastAsia="Arial" w:hAnsi="Arial"/>
          <w:sz w:val="18"/>
          <w:szCs w:val="18"/>
          <w:color w:val="auto"/>
        </w:rPr>
        <w:t>Board-Approved Projections</w:t>
      </w:r>
      <w:r>
        <w:rPr>
          <w:sz w:val="20"/>
          <w:szCs w:val="20"/>
          <w:color w:val="auto"/>
        </w:rPr>
        <w:tab/>
      </w:r>
      <w:r>
        <w:rPr>
          <w:rFonts w:ascii="Arial" w:cs="Arial" w:eastAsia="Arial" w:hAnsi="Arial"/>
          <w:sz w:val="18"/>
          <w:szCs w:val="18"/>
          <w:color w:val="auto"/>
        </w:rPr>
        <w:t>Within the earlier to occur of</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 60 days after FYE and (b) 10 days after Board approval, and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contemporaneously with changes</w:t>
      </w:r>
    </w:p>
    <w:p>
      <w:pPr>
        <w:spacing w:after="0" w:line="224" w:lineRule="exact"/>
        <w:rPr>
          <w:sz w:val="20"/>
          <w:szCs w:val="20"/>
          <w:color w:val="auto"/>
        </w:rPr>
      </w:pPr>
    </w:p>
    <w:p>
      <w:pPr>
        <w:ind w:left="440"/>
        <w:spacing w:after="0"/>
        <w:tabs>
          <w:tab w:leader="none" w:pos="3300" w:val="left"/>
        </w:tabs>
        <w:rPr>
          <w:sz w:val="20"/>
          <w:szCs w:val="20"/>
          <w:color w:val="auto"/>
        </w:rPr>
      </w:pPr>
      <w:r>
        <w:rPr>
          <w:rFonts w:ascii="Arial" w:cs="Arial" w:eastAsia="Arial" w:hAnsi="Arial"/>
          <w:sz w:val="18"/>
          <w:szCs w:val="18"/>
          <w:color w:val="auto"/>
        </w:rPr>
        <w:t>Cash maintained at ALX U.S. $</w:t>
      </w:r>
      <w:r>
        <w:rPr>
          <w:sz w:val="20"/>
          <w:szCs w:val="20"/>
          <w:color w:val="auto"/>
        </w:rPr>
        <w:tab/>
      </w:r>
      <w:r>
        <w:rPr>
          <w:rFonts w:ascii="Arial" w:cs="Arial" w:eastAsia="Arial" w:hAnsi="Arial"/>
          <w:sz w:val="15"/>
          <w:szCs w:val="15"/>
          <w:color w:val="auto"/>
        </w:rPr>
        <w:t>as of</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Other Matters</w:t>
            </w:r>
          </w:p>
        </w:tc>
        <w:tc>
          <w:tcPr>
            <w:tcW w:w="8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10260" w:type="dxa"/>
            <w:vAlign w:val="bottom"/>
            <w:gridSpan w:val="3"/>
          </w:tcPr>
          <w:p>
            <w:pPr>
              <w:spacing w:after="0"/>
              <w:rPr>
                <w:sz w:val="20"/>
                <w:szCs w:val="20"/>
                <w:color w:val="auto"/>
              </w:rPr>
            </w:pPr>
            <w:r>
              <w:rPr>
                <w:rFonts w:ascii="Arial" w:cs="Arial" w:eastAsia="Arial" w:hAnsi="Arial"/>
                <w:sz w:val="18"/>
                <w:szCs w:val="18"/>
                <w:color w:val="auto"/>
                <w:w w:val="91"/>
              </w:rPr>
              <w:t>Have there been any amendments of or other changes to the capitalization table of Borrower and to the Operating Documents of Borrower or</w:t>
            </w:r>
          </w:p>
        </w:tc>
        <w:tc>
          <w:tcPr>
            <w:tcW w:w="740" w:type="dxa"/>
            <w:vAlign w:val="bottom"/>
            <w:vMerge w:val="restart"/>
          </w:tcPr>
          <w:p>
            <w:pPr>
              <w:ind w:left="120"/>
              <w:spacing w:after="0"/>
              <w:rPr>
                <w:sz w:val="20"/>
                <w:szCs w:val="20"/>
                <w:color w:val="auto"/>
              </w:rPr>
            </w:pPr>
            <w:r>
              <w:rPr>
                <w:rFonts w:ascii="Arial" w:cs="Arial" w:eastAsia="Arial" w:hAnsi="Arial"/>
                <w:sz w:val="18"/>
                <w:szCs w:val="18"/>
                <w:color w:val="auto"/>
                <w:w w:val="93"/>
              </w:rPr>
              <w:t>Yes  No</w:t>
            </w:r>
          </w:p>
        </w:tc>
        <w:tc>
          <w:tcPr>
            <w:tcW w:w="0" w:type="dxa"/>
            <w:vAlign w:val="bottom"/>
          </w:tcPr>
          <w:p>
            <w:pPr>
              <w:spacing w:after="0"/>
              <w:rPr>
                <w:sz w:val="1"/>
                <w:szCs w:val="1"/>
                <w:color w:val="auto"/>
              </w:rPr>
            </w:pPr>
          </w:p>
        </w:tc>
      </w:tr>
      <w:tr>
        <w:trPr>
          <w:trHeight w:val="122"/>
        </w:trPr>
        <w:tc>
          <w:tcPr>
            <w:tcW w:w="10260" w:type="dxa"/>
            <w:vAlign w:val="bottom"/>
            <w:gridSpan w:val="3"/>
            <w:vMerge w:val="restart"/>
          </w:tcPr>
          <w:p>
            <w:pPr>
              <w:spacing w:after="0"/>
              <w:rPr>
                <w:sz w:val="20"/>
                <w:szCs w:val="20"/>
                <w:color w:val="auto"/>
              </w:rPr>
            </w:pPr>
            <w:r>
              <w:rPr>
                <w:rFonts w:ascii="Arial" w:cs="Arial" w:eastAsia="Arial" w:hAnsi="Arial"/>
                <w:sz w:val="18"/>
                <w:szCs w:val="18"/>
                <w:color w:val="auto"/>
              </w:rPr>
              <w:t>any of its Subsidiaries? If yes, provide copies of any such amendments or changes with this Compliance Certificate.</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6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6" w:right="439" w:bottom="1440" w:gutter="0" w:footer="0" w:header="0"/>
          <w:type w:val="continuous"/>
        </w:sectPr>
      </w:pPr>
    </w:p>
    <w:bookmarkStart w:id="466" w:name="page467"/>
    <w:bookmarkEnd w:id="466"/>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are the exceptions with respect to the certification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612140</wp:posOffset>
            </wp:positionV>
            <wp:extent cx="699516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466725</wp:posOffset>
            </wp:positionV>
            <wp:extent cx="699516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320675</wp:posOffset>
            </wp:positionV>
            <wp:extent cx="699516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40"/>
        <w:spacing w:after="0" w:line="547" w:lineRule="auto"/>
        <w:rPr>
          <w:sz w:val="20"/>
          <w:szCs w:val="20"/>
          <w:color w:val="auto"/>
        </w:rPr>
      </w:pPr>
      <w:r>
        <w:rPr>
          <w:rFonts w:ascii="Arial" w:cs="Arial" w:eastAsia="Arial" w:hAnsi="Arial"/>
          <w:sz w:val="18"/>
          <w:szCs w:val="18"/>
          <w:color w:val="auto"/>
        </w:rPr>
        <w:t>ALEXO THERAPEUTICS INTERNATIONAL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-160655</wp:posOffset>
            </wp:positionV>
            <wp:extent cx="184277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167132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173164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SIRPANT THERAPEUTICS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184277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167132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173164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ALX ONCOLOGY LIMITED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184277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167132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173164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 USE ONLY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Received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14605</wp:posOffset>
            </wp:positionV>
            <wp:extent cx="141478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47" w:lineRule="exact"/>
        <w:rPr>
          <w:sz w:val="20"/>
          <w:szCs w:val="20"/>
          <w:color w:val="auto"/>
        </w:rPr>
      </w:pPr>
    </w:p>
    <w:p>
      <w:pPr>
        <w:jc w:val="right"/>
        <w:ind w:right="1519"/>
        <w:spacing w:after="0"/>
        <w:rPr>
          <w:sz w:val="20"/>
          <w:szCs w:val="20"/>
          <w:color w:val="auto"/>
        </w:rPr>
      </w:pPr>
      <w:r>
        <w:rPr>
          <w:rFonts w:ascii="Arial" w:cs="Arial" w:eastAsia="Arial" w:hAnsi="Arial"/>
          <w:sz w:val="15"/>
          <w:szCs w:val="15"/>
          <w:color w:val="auto"/>
        </w:rPr>
        <w:t>AUTHORIZED SIGNER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14605</wp:posOffset>
            </wp:positionV>
            <wp:extent cx="176593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Verified: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14605</wp:posOffset>
            </wp:positionV>
            <wp:extent cx="99441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7" w:lineRule="exact"/>
        <w:rPr>
          <w:sz w:val="20"/>
          <w:szCs w:val="20"/>
          <w:color w:val="auto"/>
        </w:rPr>
      </w:pPr>
    </w:p>
    <w:p>
      <w:pPr>
        <w:ind w:left="680"/>
        <w:spacing w:after="0"/>
        <w:rPr>
          <w:sz w:val="20"/>
          <w:szCs w:val="20"/>
          <w:color w:val="auto"/>
        </w:rPr>
      </w:pPr>
      <w:r>
        <w:rPr>
          <w:rFonts w:ascii="Arial" w:cs="Arial" w:eastAsia="Arial" w:hAnsi="Arial"/>
          <w:sz w:val="15"/>
          <w:szCs w:val="15"/>
          <w:color w:val="auto"/>
        </w:rPr>
        <w:t>AUTHORIZED SIGNER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14605</wp:posOffset>
            </wp:positionV>
            <wp:extent cx="176593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59" w:lineRule="exact"/>
        <w:rPr>
          <w:sz w:val="20"/>
          <w:szCs w:val="20"/>
          <w:color w:val="auto"/>
        </w:rPr>
      </w:pPr>
    </w:p>
    <w:p>
      <w:pPr>
        <w:jc w:val="center"/>
        <w:ind w:right="2079"/>
        <w:spacing w:after="0"/>
        <w:tabs>
          <w:tab w:leader="none" w:pos="160" w:val="left"/>
          <w:tab w:leader="none" w:pos="240" w:val="left"/>
        </w:tabs>
        <w:rPr>
          <w:sz w:val="20"/>
          <w:szCs w:val="20"/>
          <w:color w:val="auto"/>
        </w:rPr>
      </w:pPr>
      <w:r>
        <w:rPr>
          <w:rFonts w:ascii="Arial" w:cs="Arial" w:eastAsia="Arial" w:hAnsi="Arial"/>
          <w:sz w:val="18"/>
          <w:szCs w:val="18"/>
          <w:color w:val="auto"/>
        </w:rPr>
        <w:t>Compliance Status:</w:t>
        <w:tab/>
        <w:t>Yes</w:t>
      </w:r>
      <w:r>
        <w:rPr>
          <w:sz w:val="20"/>
          <w:szCs w:val="20"/>
          <w:color w:val="auto"/>
        </w:rPr>
        <w:tab/>
      </w:r>
      <w:r>
        <w:rPr>
          <w:rFonts w:ascii="Arial" w:cs="Arial" w:eastAsia="Arial" w:hAnsi="Arial"/>
          <w:sz w:val="17"/>
          <w:szCs w:val="17"/>
          <w:color w:val="auto"/>
        </w:rPr>
        <w:t>No</w:t>
      </w:r>
    </w:p>
    <w:p>
      <w:pPr>
        <w:sectPr>
          <w:pgSz w:w="11900" w:h="16838" w:orient="portrait"/>
          <w:cols w:equalWidth="0" w:num="2">
            <w:col w:w="4900" w:space="720"/>
            <w:col w:w="4399"/>
          </w:cols>
          <w:pgMar w:left="440" w:top="274" w:right="1440" w:bottom="1440" w:gutter="0" w:footer="0" w:header="0"/>
          <w:type w:val="continuous"/>
        </w:sectPr>
      </w:pPr>
    </w:p>
    <w:bookmarkStart w:id="467" w:name="page468"/>
    <w:bookmarkEnd w:id="46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LOAN PAYMENT/ADVANCE REQUEST FORM</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EADLINE FOR SAME DAY PROCESSING IS</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ACIFIC</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IME</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500" w:type="dxa"/>
            <w:vAlign w:val="bottom"/>
            <w:gridSpan w:val="6"/>
          </w:tcPr>
          <w:p>
            <w:pPr>
              <w:ind w:left="80"/>
              <w:spacing w:after="0"/>
              <w:rPr>
                <w:sz w:val="20"/>
                <w:szCs w:val="20"/>
                <w:color w:val="auto"/>
              </w:rPr>
            </w:pPr>
            <w:r>
              <w:rPr>
                <w:rFonts w:ascii="Arial" w:cs="Arial" w:eastAsia="Arial" w:hAnsi="Arial"/>
                <w:sz w:val="18"/>
                <w:szCs w:val="18"/>
                <w:color w:val="auto"/>
              </w:rPr>
              <w:t>Fax To:</w:t>
            </w: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Date:</w:t>
            </w:r>
          </w:p>
        </w:tc>
        <w:tc>
          <w:tcPr>
            <w:tcW w:w="2100" w:type="dxa"/>
            <w:vAlign w:val="bottom"/>
            <w:tcBorders>
              <w:bottom w:val="single" w:sz="8" w:color="auto"/>
            </w:tcBorders>
            <w:gridSpan w:val="3"/>
          </w:tcPr>
          <w:p>
            <w:pPr>
              <w:spacing w:after="0"/>
              <w:rPr>
                <w:sz w:val="20"/>
                <w:szCs w:val="20"/>
                <w:color w:val="auto"/>
              </w:rPr>
            </w:pPr>
          </w:p>
        </w:tc>
        <w:tc>
          <w:tcPr>
            <w:tcW w:w="1760" w:type="dxa"/>
            <w:vAlign w:val="bottom"/>
          </w:tcPr>
          <w:p>
            <w:pPr>
              <w:spacing w:after="0"/>
              <w:rPr>
                <w:sz w:val="20"/>
                <w:szCs w:val="20"/>
                <w:color w:val="auto"/>
              </w:rPr>
            </w:pPr>
          </w:p>
        </w:tc>
      </w:tr>
      <w:tr>
        <w:trPr>
          <w:trHeight w:val="247"/>
        </w:trPr>
        <w:tc>
          <w:tcPr>
            <w:tcW w:w="10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r>
      <w:tr>
        <w:trPr>
          <w:trHeight w:val="253"/>
        </w:trPr>
        <w:tc>
          <w:tcPr>
            <w:tcW w:w="9260" w:type="dxa"/>
            <w:vAlign w:val="bottom"/>
            <w:tcBorders>
              <w:left w:val="single" w:sz="8" w:color="auto"/>
            </w:tcBorders>
            <w:gridSpan w:val="13"/>
          </w:tcPr>
          <w:p>
            <w:pPr>
              <w:ind w:left="1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 xml:space="preserve">:  </w:t>
            </w:r>
            <w:r>
              <w:rPr>
                <w:rFonts w:ascii="Arial" w:cs="Arial" w:eastAsia="Arial" w:hAnsi="Arial"/>
                <w:sz w:val="18"/>
                <w:szCs w:val="18"/>
                <w:color w:val="auto"/>
              </w:rPr>
              <w:t>ALEXO THERAPEUTICS INTERNATIONAL AND SIRPANT THERAPEUTICS</w:t>
            </w:r>
          </w:p>
        </w:tc>
        <w:tc>
          <w:tcPr>
            <w:tcW w:w="1760" w:type="dxa"/>
            <w:vAlign w:val="bottom"/>
            <w:tcBorders>
              <w:right w:val="single" w:sz="8" w:color="auto"/>
            </w:tcBorders>
          </w:tcPr>
          <w:p>
            <w:pPr>
              <w:spacing w:after="0"/>
              <w:rPr>
                <w:sz w:val="22"/>
                <w:szCs w:val="22"/>
                <w:color w:val="auto"/>
              </w:rPr>
            </w:pPr>
          </w:p>
        </w:tc>
      </w:tr>
      <w:tr>
        <w:trPr>
          <w:trHeight w:val="459"/>
        </w:trPr>
        <w:tc>
          <w:tcPr>
            <w:tcW w:w="4500" w:type="dxa"/>
            <w:vAlign w:val="bottom"/>
            <w:tcBorders>
              <w:left w:val="single" w:sz="8" w:color="auto"/>
            </w:tcBorders>
            <w:gridSpan w:val="6"/>
          </w:tcPr>
          <w:p>
            <w:pPr>
              <w:ind w:left="100"/>
              <w:spacing w:after="0"/>
              <w:rPr>
                <w:sz w:val="20"/>
                <w:szCs w:val="20"/>
                <w:color w:val="auto"/>
              </w:rPr>
            </w:pPr>
            <w:r>
              <w:rPr>
                <w:rFonts w:ascii="Arial" w:cs="Arial" w:eastAsia="Arial" w:hAnsi="Arial"/>
                <w:sz w:val="18"/>
                <w:szCs w:val="18"/>
                <w:color w:val="auto"/>
              </w:rPr>
              <w:t>From Account #</w:t>
            </w:r>
          </w:p>
        </w:tc>
        <w:tc>
          <w:tcPr>
            <w:tcW w:w="4760" w:type="dxa"/>
            <w:vAlign w:val="bottom"/>
            <w:gridSpan w:val="7"/>
          </w:tcPr>
          <w:p>
            <w:pPr>
              <w:ind w:left="180"/>
              <w:spacing w:after="0"/>
              <w:rPr>
                <w:sz w:val="20"/>
                <w:szCs w:val="20"/>
                <w:color w:val="auto"/>
              </w:rPr>
            </w:pPr>
            <w:r>
              <w:rPr>
                <w:rFonts w:ascii="Arial" w:cs="Arial" w:eastAsia="Arial" w:hAnsi="Arial"/>
                <w:sz w:val="18"/>
                <w:szCs w:val="18"/>
                <w:color w:val="auto"/>
              </w:rPr>
              <w:t>To Account #</w:t>
            </w:r>
          </w:p>
        </w:tc>
        <w:tc>
          <w:tcPr>
            <w:tcW w:w="1760" w:type="dxa"/>
            <w:vAlign w:val="bottom"/>
            <w:tcBorders>
              <w:right w:val="single" w:sz="8" w:color="auto"/>
            </w:tcBorders>
          </w:tcPr>
          <w:p>
            <w:pPr>
              <w:spacing w:after="0"/>
              <w:rPr>
                <w:sz w:val="24"/>
                <w:szCs w:val="24"/>
                <w:color w:val="auto"/>
              </w:rPr>
            </w:pPr>
          </w:p>
        </w:tc>
      </w:tr>
      <w:tr>
        <w:trPr>
          <w:trHeight w:val="224"/>
        </w:trPr>
        <w:tc>
          <w:tcPr>
            <w:tcW w:w="102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gridSpan w:val="3"/>
          </w:tcPr>
          <w:p>
            <w:pPr>
              <w:ind w:left="320"/>
              <w:spacing w:after="0"/>
              <w:rPr>
                <w:sz w:val="20"/>
                <w:szCs w:val="20"/>
                <w:color w:val="auto"/>
              </w:rPr>
            </w:pPr>
            <w:r>
              <w:rPr>
                <w:rFonts w:ascii="Arial" w:cs="Arial" w:eastAsia="Arial" w:hAnsi="Arial"/>
                <w:sz w:val="18"/>
                <w:szCs w:val="18"/>
                <w:color w:val="auto"/>
              </w:rPr>
              <w:t>(Deposit Account #)</w:t>
            </w:r>
          </w:p>
        </w:tc>
        <w:tc>
          <w:tcPr>
            <w:tcW w:w="1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3"/>
          </w:tcPr>
          <w:p>
            <w:pPr>
              <w:ind w:left="560"/>
              <w:spacing w:after="0"/>
              <w:rPr>
                <w:sz w:val="20"/>
                <w:szCs w:val="20"/>
                <w:color w:val="auto"/>
              </w:rPr>
            </w:pPr>
            <w:r>
              <w:rPr>
                <w:rFonts w:ascii="Arial" w:cs="Arial" w:eastAsia="Arial" w:hAnsi="Arial"/>
                <w:sz w:val="18"/>
                <w:szCs w:val="18"/>
                <w:color w:val="auto"/>
              </w:rPr>
              <w:t>(Loan Account #)</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r>
      <w:tr>
        <w:trPr>
          <w:trHeight w:val="458"/>
        </w:trPr>
        <w:tc>
          <w:tcPr>
            <w:tcW w:w="10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Principal $</w:t>
            </w:r>
          </w:p>
        </w:tc>
        <w:tc>
          <w:tcPr>
            <w:tcW w:w="2760" w:type="dxa"/>
            <w:vAlign w:val="bottom"/>
            <w:tcBorders>
              <w:bottom w:val="single" w:sz="8" w:color="auto"/>
            </w:tcBorders>
            <w:gridSpan w:val="3"/>
          </w:tcPr>
          <w:p>
            <w:pPr>
              <w:spacing w:after="0"/>
              <w:rPr>
                <w:sz w:val="24"/>
                <w:szCs w:val="24"/>
                <w:color w:val="auto"/>
              </w:rPr>
            </w:pPr>
          </w:p>
        </w:tc>
        <w:tc>
          <w:tcPr>
            <w:tcW w:w="720" w:type="dxa"/>
            <w:vAlign w:val="bottom"/>
            <w:gridSpan w:val="2"/>
          </w:tcPr>
          <w:p>
            <w:pPr>
              <w:spacing w:after="0"/>
              <w:rPr>
                <w:sz w:val="24"/>
                <w:szCs w:val="24"/>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and/or Interest $</w:t>
            </w:r>
          </w:p>
        </w:tc>
        <w:tc>
          <w:tcPr>
            <w:tcW w:w="2740" w:type="dxa"/>
            <w:vAlign w:val="bottom"/>
            <w:tcBorders>
              <w:bottom w:val="single" w:sz="8" w:color="auto"/>
            </w:tcBorders>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r>
      <w:tr>
        <w:trPr>
          <w:trHeight w:val="466"/>
        </w:trPr>
        <w:tc>
          <w:tcPr>
            <w:tcW w:w="4500" w:type="dxa"/>
            <w:vAlign w:val="bottom"/>
            <w:tcBorders>
              <w:left w:val="single" w:sz="8" w:color="auto"/>
            </w:tcBorders>
            <w:gridSpan w:val="6"/>
          </w:tcPr>
          <w:p>
            <w:pPr>
              <w:ind w:left="100"/>
              <w:spacing w:after="0"/>
              <w:rPr>
                <w:sz w:val="20"/>
                <w:szCs w:val="20"/>
                <w:color w:val="auto"/>
              </w:rPr>
            </w:pPr>
            <w:r>
              <w:rPr>
                <w:rFonts w:ascii="Arial" w:cs="Arial" w:eastAsia="Arial" w:hAnsi="Arial"/>
                <w:sz w:val="18"/>
                <w:szCs w:val="18"/>
                <w:color w:val="auto"/>
              </w:rPr>
              <w:t>Authorized Signature:</w:t>
            </w:r>
          </w:p>
        </w:tc>
        <w:tc>
          <w:tcPr>
            <w:tcW w:w="4760" w:type="dxa"/>
            <w:vAlign w:val="bottom"/>
            <w:gridSpan w:val="7"/>
          </w:tcPr>
          <w:p>
            <w:pPr>
              <w:ind w:left="1040"/>
              <w:spacing w:after="0"/>
              <w:rPr>
                <w:sz w:val="20"/>
                <w:szCs w:val="20"/>
                <w:color w:val="auto"/>
              </w:rPr>
            </w:pPr>
            <w:r>
              <w:rPr>
                <w:rFonts w:ascii="Arial" w:cs="Arial" w:eastAsia="Arial" w:hAnsi="Arial"/>
                <w:sz w:val="18"/>
                <w:szCs w:val="18"/>
                <w:color w:val="auto"/>
              </w:rPr>
              <w:t>Phone Number:</w:t>
            </w:r>
          </w:p>
        </w:tc>
        <w:tc>
          <w:tcPr>
            <w:tcW w:w="1760" w:type="dxa"/>
            <w:vAlign w:val="bottom"/>
            <w:tcBorders>
              <w:right w:val="single" w:sz="8" w:color="auto"/>
            </w:tcBorders>
          </w:tcPr>
          <w:p>
            <w:pPr>
              <w:spacing w:after="0"/>
              <w:rPr>
                <w:sz w:val="24"/>
                <w:szCs w:val="24"/>
                <w:color w:val="auto"/>
              </w:rPr>
            </w:pPr>
          </w:p>
        </w:tc>
      </w:tr>
      <w:tr>
        <w:trPr>
          <w:trHeight w:val="223"/>
        </w:trPr>
        <w:tc>
          <w:tcPr>
            <w:tcW w:w="1900" w:type="dxa"/>
            <w:vAlign w:val="bottom"/>
            <w:tcBorders>
              <w:left w:val="single" w:sz="8" w:color="auto"/>
            </w:tcBorders>
            <w:gridSpan w:val="3"/>
          </w:tcPr>
          <w:p>
            <w:pPr>
              <w:ind w:left="100"/>
              <w:spacing w:after="0"/>
              <w:rPr>
                <w:sz w:val="20"/>
                <w:szCs w:val="20"/>
                <w:color w:val="auto"/>
              </w:rPr>
            </w:pPr>
            <w:r>
              <w:rPr>
                <w:rFonts w:ascii="Arial" w:cs="Arial" w:eastAsia="Arial" w:hAnsi="Arial"/>
                <w:sz w:val="18"/>
                <w:szCs w:val="18"/>
                <w:color w:val="auto"/>
              </w:rPr>
              <w:t>Print Name/Title:</w:t>
            </w:r>
          </w:p>
        </w:tc>
        <w:tc>
          <w:tcPr>
            <w:tcW w:w="2420" w:type="dxa"/>
            <w:vAlign w:val="bottom"/>
            <w:tcBorders>
              <w:top w:val="single" w:sz="8" w:color="auto"/>
              <w:bottom w:val="single" w:sz="8" w:color="auto"/>
            </w:tcBorders>
            <w:gridSpan w:val="2"/>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r>
      <w:tr>
        <w:trPr>
          <w:trHeight w:val="58"/>
        </w:trPr>
        <w:tc>
          <w:tcPr>
            <w:tcW w:w="10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6998970" cy="21126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998970" cy="2112645"/>
                    </a:xfrm>
                    <a:prstGeom prst="rect">
                      <a:avLst/>
                    </a:prstGeom>
                    <a:noFill/>
                  </pic:spPr>
                </pic:pic>
              </a:graphicData>
            </a:graphic>
          </wp:anchor>
        </w:drawing>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DVANCE</w:t>
      </w:r>
      <w:r>
        <w:rPr>
          <w:rFonts w:ascii="Arial" w:cs="Arial" w:eastAsia="Arial" w:hAnsi="Arial"/>
          <w:sz w:val="18"/>
          <w:szCs w:val="18"/>
          <w:b w:val="1"/>
          <w:bCs w:val="1"/>
          <w:color w:val="auto"/>
        </w:rPr>
        <w: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From Account #</w:t>
            </w:r>
          </w:p>
        </w:tc>
        <w:tc>
          <w:tcPr>
            <w:tcW w:w="4320" w:type="dxa"/>
            <w:vAlign w:val="bottom"/>
            <w:gridSpan w:val="3"/>
          </w:tcPr>
          <w:p>
            <w:pPr>
              <w:ind w:left="180"/>
              <w:spacing w:after="0"/>
              <w:rPr>
                <w:sz w:val="20"/>
                <w:szCs w:val="20"/>
                <w:color w:val="auto"/>
              </w:rPr>
            </w:pPr>
            <w:r>
              <w:rPr>
                <w:rFonts w:ascii="Arial" w:cs="Arial" w:eastAsia="Arial" w:hAnsi="Arial"/>
                <w:sz w:val="18"/>
                <w:szCs w:val="18"/>
                <w:color w:val="auto"/>
              </w:rPr>
              <w:t>To Account #</w:t>
            </w:r>
          </w:p>
        </w:tc>
      </w:tr>
      <w:tr>
        <w:trPr>
          <w:trHeight w:val="224"/>
        </w:trPr>
        <w:tc>
          <w:tcPr>
            <w:tcW w:w="1320" w:type="dxa"/>
            <w:vAlign w:val="bottom"/>
          </w:tcPr>
          <w:p>
            <w:pPr>
              <w:spacing w:after="0"/>
              <w:rPr>
                <w:sz w:val="19"/>
                <w:szCs w:val="19"/>
                <w:color w:val="auto"/>
              </w:rPr>
            </w:pPr>
          </w:p>
        </w:tc>
        <w:tc>
          <w:tcPr>
            <w:tcW w:w="3080" w:type="dxa"/>
            <w:vAlign w:val="bottom"/>
            <w:tcBorders>
              <w:top w:val="single" w:sz="8" w:color="auto"/>
            </w:tcBorders>
            <w:gridSpan w:val="2"/>
          </w:tcPr>
          <w:p>
            <w:pPr>
              <w:ind w:left="900"/>
              <w:spacing w:after="0"/>
              <w:rPr>
                <w:sz w:val="20"/>
                <w:szCs w:val="20"/>
                <w:color w:val="auto"/>
              </w:rPr>
            </w:pPr>
            <w:r>
              <w:rPr>
                <w:rFonts w:ascii="Arial" w:cs="Arial" w:eastAsia="Arial" w:hAnsi="Arial"/>
                <w:sz w:val="18"/>
                <w:szCs w:val="18"/>
                <w:color w:val="auto"/>
              </w:rPr>
              <w:t>(Loan Account #)</w:t>
            </w:r>
          </w:p>
        </w:tc>
        <w:tc>
          <w:tcPr>
            <w:tcW w:w="1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(Deposit Account #)</w:t>
            </w:r>
          </w:p>
        </w:tc>
      </w:tr>
      <w:tr>
        <w:trPr>
          <w:trHeight w:val="458"/>
        </w:trPr>
        <w:tc>
          <w:tcPr>
            <w:tcW w:w="2780" w:type="dxa"/>
            <w:vAlign w:val="bottom"/>
            <w:gridSpan w:val="2"/>
          </w:tcPr>
          <w:p>
            <w:pPr>
              <w:spacing w:after="0"/>
              <w:rPr>
                <w:sz w:val="20"/>
                <w:szCs w:val="20"/>
                <w:color w:val="auto"/>
              </w:rPr>
            </w:pPr>
            <w:r>
              <w:rPr>
                <w:rFonts w:ascii="Arial" w:cs="Arial" w:eastAsia="Arial" w:hAnsi="Arial"/>
                <w:sz w:val="18"/>
                <w:szCs w:val="18"/>
                <w:color w:val="auto"/>
              </w:rPr>
              <w:t>Amount of Term Loan Advance $</w:t>
            </w:r>
          </w:p>
        </w:tc>
        <w:tc>
          <w:tcPr>
            <w:tcW w:w="1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bl>
    <w:p>
      <w:pPr>
        <w:spacing w:after="0" w:line="21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on the date of the request for an advance</w:t>
      </w:r>
    </w:p>
    <w:p>
      <w:pPr>
        <w:spacing w:after="0" w:line="197" w:lineRule="exact"/>
        <w:rPr>
          <w:sz w:val="20"/>
          <w:szCs w:val="20"/>
          <w:color w:val="auto"/>
        </w:rPr>
      </w:pPr>
    </w:p>
    <w:p>
      <w:pPr>
        <w:ind w:left="100"/>
        <w:spacing w:after="0"/>
        <w:tabs>
          <w:tab w:leader="none" w:pos="5520" w:val="left"/>
        </w:tabs>
        <w:rPr>
          <w:sz w:val="20"/>
          <w:szCs w:val="20"/>
          <w:color w:val="auto"/>
        </w:rPr>
      </w:pPr>
      <w:r>
        <w:rPr>
          <w:rFonts w:ascii="Arial" w:cs="Arial" w:eastAsia="Arial" w:hAnsi="Arial"/>
          <w:sz w:val="18"/>
          <w:szCs w:val="18"/>
          <w:color w:val="auto"/>
        </w:rPr>
        <w:t>Authorized Signature:</w:t>
      </w:r>
      <w:r>
        <w:rPr>
          <w:sz w:val="20"/>
          <w:szCs w:val="20"/>
          <w:color w:val="auto"/>
        </w:rPr>
        <w:tab/>
      </w:r>
      <w:r>
        <w:rPr>
          <w:rFonts w:ascii="Arial" w:cs="Arial" w:eastAsia="Arial" w:hAnsi="Arial"/>
          <w:sz w:val="15"/>
          <w:szCs w:val="15"/>
          <w:color w:val="auto"/>
        </w:rPr>
        <w:t>Phone Number:</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Print 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6998970" cy="364744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998970" cy="3647440"/>
                    </a:xfrm>
                    <a:prstGeom prst="rect">
                      <a:avLst/>
                    </a:prstGeom>
                    <a:noFill/>
                  </pic:spPr>
                </pic:pic>
              </a:graphicData>
            </a:graphic>
          </wp:anchor>
        </w:drawing>
      </w:r>
    </w:p>
    <w:p>
      <w:pPr>
        <w:spacing w:after="0" w:line="3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EQUEST</w:t>
      </w:r>
      <w:r>
        <w:rPr>
          <w:rFonts w:ascii="Arial" w:cs="Arial" w:eastAsia="Arial" w:hAnsi="Arial"/>
          <w:sz w:val="18"/>
          <w:szCs w:val="18"/>
          <w:b w:val="1"/>
          <w:bCs w:val="1"/>
          <w:color w:val="auto"/>
        </w:rPr>
        <w: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Deadline for same day processing is noon, Pacific Time</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Beneficiary Name:</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Beneficiary Bank:</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City and State:</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Beneficiary Bank Transit (ABA) #:</w:t>
      </w:r>
    </w:p>
    <w:p>
      <w:pPr>
        <w:spacing w:after="0" w:line="26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Intermediary Bank:</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Further Credit to:</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Amount of Wire: $</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Account Number: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Beneficiary Bank Code (Swift, Sort, Chip, etc.):</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(For International Wire Only)</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Transit (ABA) #:</w:t>
      </w:r>
    </w:p>
    <w:p>
      <w:pPr>
        <w:spacing w:after="0" w:line="415" w:lineRule="exact"/>
        <w:rPr>
          <w:sz w:val="20"/>
          <w:szCs w:val="20"/>
          <w:color w:val="auto"/>
        </w:rPr>
      </w:pPr>
    </w:p>
    <w:p>
      <w:pPr>
        <w:sectPr>
          <w:pgSz w:w="11900" w:h="16838" w:orient="portrait"/>
          <w:cols w:equalWidth="0" w:num="2">
            <w:col w:w="4020" w:space="720"/>
            <w:col w:w="6280"/>
          </w:cols>
          <w:pgMar w:left="440" w:top="270" w:right="439" w:bottom="1440" w:gutter="0" w:footer="0" w:header="0"/>
          <w:type w:val="continuous"/>
        </w:sectPr>
      </w:pPr>
    </w:p>
    <w:p>
      <w:pPr>
        <w:spacing w:after="0" w:line="7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Special Instruction:</w:t>
      </w:r>
    </w:p>
    <w:p>
      <w:pPr>
        <w:spacing w:after="0" w:line="252"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Authorized Signature:</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500" w:type="dxa"/>
            <w:vAlign w:val="bottom"/>
            <w:gridSpan w:val="2"/>
          </w:tcPr>
          <w:p>
            <w:pPr>
              <w:ind w:left="120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Signature (if required):</w:t>
            </w:r>
          </w:p>
        </w:tc>
        <w:tc>
          <w:tcPr>
            <w:tcW w:w="580" w:type="dxa"/>
            <w:vAlign w:val="bottom"/>
            <w:tcBorders>
              <w:bottom w:val="single" w:sz="8" w:color="auto"/>
            </w:tcBorders>
            <w:gridSpan w:val="2"/>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1800" w:type="dxa"/>
            <w:vAlign w:val="bottom"/>
            <w:gridSpan w:val="2"/>
          </w:tcPr>
          <w:p>
            <w:pPr>
              <w:spacing w:after="0"/>
              <w:rPr>
                <w:sz w:val="20"/>
                <w:szCs w:val="20"/>
                <w:color w:val="auto"/>
              </w:rPr>
            </w:pPr>
            <w:r>
              <w:rPr>
                <w:rFonts w:ascii="Arial" w:cs="Arial" w:eastAsia="Arial" w:hAnsi="Arial"/>
                <w:sz w:val="18"/>
                <w:szCs w:val="18"/>
                <w:color w:val="auto"/>
              </w:rPr>
              <w:t>Print Name/Title:</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80" w:type="dxa"/>
            <w:vAlign w:val="bottom"/>
            <w:gridSpan w:val="4"/>
          </w:tcPr>
          <w:p>
            <w:pPr>
              <w:ind w:left="1200"/>
              <w:spacing w:after="0"/>
              <w:rPr>
                <w:sz w:val="20"/>
                <w:szCs w:val="20"/>
                <w:color w:val="auto"/>
              </w:rPr>
            </w:pPr>
            <w:r>
              <w:rPr>
                <w:rFonts w:ascii="Arial" w:cs="Arial" w:eastAsia="Arial" w:hAnsi="Arial"/>
                <w:sz w:val="18"/>
                <w:szCs w:val="18"/>
                <w:color w:val="auto"/>
              </w:rPr>
              <w:t>Print Name/Title:</w:t>
            </w:r>
          </w:p>
        </w:tc>
        <w:tc>
          <w:tcPr>
            <w:tcW w:w="1280" w:type="dxa"/>
            <w:vAlign w:val="bottom"/>
          </w:tcPr>
          <w:p>
            <w:pPr>
              <w:spacing w:after="0"/>
              <w:rPr>
                <w:sz w:val="19"/>
                <w:szCs w:val="19"/>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Telephone #:</w:t>
            </w:r>
          </w:p>
        </w:tc>
        <w:tc>
          <w:tcPr>
            <w:tcW w:w="66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0" w:type="dxa"/>
            <w:vAlign w:val="bottom"/>
          </w:tcPr>
          <w:p>
            <w:pPr>
              <w:ind w:left="1200"/>
              <w:spacing w:after="0" w:line="196" w:lineRule="exact"/>
              <w:rPr>
                <w:sz w:val="20"/>
                <w:szCs w:val="20"/>
                <w:color w:val="auto"/>
              </w:rPr>
            </w:pPr>
            <w:r>
              <w:rPr>
                <w:rFonts w:ascii="Arial" w:cs="Arial" w:eastAsia="Arial" w:hAnsi="Arial"/>
                <w:sz w:val="18"/>
                <w:szCs w:val="18"/>
                <w:color w:val="auto"/>
              </w:rPr>
              <w:t>Telephone #:</w:t>
            </w:r>
          </w:p>
        </w:tc>
        <w:tc>
          <w:tcPr>
            <w:tcW w:w="1360" w:type="dxa"/>
            <w:vAlign w:val="bottom"/>
            <w:tcBorders>
              <w:bottom w:val="single" w:sz="8" w:color="auto"/>
            </w:tcBorders>
            <w:gridSpan w:val="2"/>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ectPr>
          <w:pgSz w:w="11900" w:h="16838" w:orient="portrait"/>
          <w:cols w:equalWidth="0" w:num="1">
            <w:col w:w="11020"/>
          </w:cols>
          <w:pgMar w:left="440" w:top="270" w:right="439" w:bottom="1440" w:gutter="0" w:footer="0" w:header="0"/>
          <w:type w:val="continuous"/>
        </w:sectPr>
      </w:pPr>
    </w:p>
    <w:bookmarkStart w:id="468" w:name="page469"/>
    <w:bookmarkEnd w:id="46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DISBURSEMENT LETTER</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ind w:left="4"/>
        <w:spacing w:after="0"/>
        <w:tabs>
          <w:tab w:leader="none" w:pos="4644" w:val="left"/>
        </w:tabs>
        <w:rPr>
          <w:sz w:val="20"/>
          <w:szCs w:val="20"/>
          <w:color w:val="auto"/>
        </w:rPr>
      </w:pPr>
      <w:r>
        <w:rPr>
          <w:rFonts w:ascii="Arial" w:cs="Arial" w:eastAsia="Arial" w:hAnsi="Arial"/>
          <w:sz w:val="18"/>
          <w:szCs w:val="18"/>
          <w:color w:val="auto"/>
        </w:rPr>
        <w:t>The undersigned, being the duly elected and acting</w:t>
      </w:r>
      <w:r>
        <w:rPr>
          <w:sz w:val="20"/>
          <w:szCs w:val="20"/>
          <w:color w:val="auto"/>
        </w:rPr>
        <w:tab/>
      </w:r>
      <w:r>
        <w:rPr>
          <w:rFonts w:ascii="Arial" w:cs="Arial" w:eastAsia="Arial" w:hAnsi="Arial"/>
          <w:sz w:val="17"/>
          <w:szCs w:val="17"/>
          <w:color w:val="auto"/>
        </w:rPr>
        <w:t xml:space="preserve">of (i) </w:t>
      </w:r>
      <w:r>
        <w:rPr>
          <w:rFonts w:ascii="Arial" w:cs="Arial" w:eastAsia="Arial" w:hAnsi="Arial"/>
          <w:sz w:val="17"/>
          <w:szCs w:val="17"/>
          <w:b w:val="1"/>
          <w:bCs w:val="1"/>
          <w:color w:val="auto"/>
        </w:rPr>
        <w:t>ALEXO THERAPEUTICS INTERNATIONAL</w:t>
      </w:r>
      <w:r>
        <w:rPr>
          <w:rFonts w:ascii="Arial" w:cs="Arial" w:eastAsia="Arial" w:hAnsi="Arial"/>
          <w:sz w:val="17"/>
          <w:szCs w:val="17"/>
          <w:color w:val="auto"/>
        </w:rPr>
        <w:t>, an exempted company</w:t>
      </w:r>
    </w:p>
    <w:p>
      <w:pPr>
        <w:spacing w:after="0" w:line="27" w:lineRule="exact"/>
        <w:rPr>
          <w:sz w:val="20"/>
          <w:szCs w:val="20"/>
          <w:color w:val="auto"/>
        </w:rPr>
      </w:pPr>
    </w:p>
    <w:p>
      <w:pPr>
        <w:ind w:left="4" w:right="160"/>
        <w:spacing w:after="0" w:line="281" w:lineRule="auto"/>
        <w:rPr>
          <w:sz w:val="20"/>
          <w:szCs w:val="20"/>
          <w:color w:val="auto"/>
        </w:rPr>
      </w:pPr>
      <w:r>
        <w:rPr>
          <w:rFonts w:ascii="Arial" w:cs="Arial" w:eastAsia="Arial" w:hAnsi="Arial"/>
          <w:sz w:val="16"/>
          <w:szCs w:val="16"/>
          <w:color w:val="auto"/>
        </w:rPr>
        <w:t>incorporated under the laws of the Cayman Islands (“</w:t>
      </w:r>
      <w:r>
        <w:rPr>
          <w:rFonts w:ascii="Arial" w:cs="Arial" w:eastAsia="Arial" w:hAnsi="Arial"/>
          <w:sz w:val="16"/>
          <w:szCs w:val="16"/>
          <w:b w:val="1"/>
          <w:bCs w:val="1"/>
          <w:color w:val="auto"/>
        </w:rPr>
        <w:t>Alexo</w:t>
      </w:r>
      <w:r>
        <w:rPr>
          <w:rFonts w:ascii="Arial" w:cs="Arial" w:eastAsia="Arial" w:hAnsi="Arial"/>
          <w:sz w:val="16"/>
          <w:szCs w:val="16"/>
          <w:color w:val="auto"/>
        </w:rPr>
        <w:t xml:space="preserve">”), and (ii) </w:t>
      </w:r>
      <w:r>
        <w:rPr>
          <w:rFonts w:ascii="Arial" w:cs="Arial" w:eastAsia="Arial" w:hAnsi="Arial"/>
          <w:sz w:val="16"/>
          <w:szCs w:val="16"/>
          <w:b w:val="1"/>
          <w:bCs w:val="1"/>
          <w:color w:val="auto"/>
        </w:rPr>
        <w:t>SIRPANT THERAPEUTICS</w:t>
      </w:r>
      <w:r>
        <w:rPr>
          <w:rFonts w:ascii="Arial" w:cs="Arial" w:eastAsia="Arial" w:hAnsi="Arial"/>
          <w:sz w:val="16"/>
          <w:szCs w:val="16"/>
          <w:color w:val="auto"/>
        </w:rPr>
        <w:t>, an exempted company incorporated under the laws of the Cayman Islands (“</w:t>
      </w:r>
      <w:r>
        <w:rPr>
          <w:rFonts w:ascii="Arial" w:cs="Arial" w:eastAsia="Arial" w:hAnsi="Arial"/>
          <w:sz w:val="16"/>
          <w:szCs w:val="16"/>
          <w:b w:val="1"/>
          <w:bCs w:val="1"/>
          <w:color w:val="auto"/>
        </w:rPr>
        <w:t>Sirpant</w:t>
      </w:r>
      <w:r>
        <w:rPr>
          <w:rFonts w:ascii="Arial" w:cs="Arial" w:eastAsia="Arial" w:hAnsi="Arial"/>
          <w:sz w:val="16"/>
          <w:szCs w:val="16"/>
          <w:color w:val="auto"/>
        </w:rPr>
        <w:t>”; together with Alexo, individually and collectively, jointly and severally, the “</w:t>
      </w:r>
      <w:r>
        <w:rPr>
          <w:rFonts w:ascii="Arial" w:cs="Arial" w:eastAsia="Arial" w:hAnsi="Arial"/>
          <w:sz w:val="16"/>
          <w:szCs w:val="16"/>
          <w:b w:val="1"/>
          <w:bCs w:val="1"/>
          <w:color w:val="auto"/>
        </w:rPr>
        <w:t>Borrower</w:t>
      </w:r>
      <w:r>
        <w:rPr>
          <w:rFonts w:ascii="Arial" w:cs="Arial" w:eastAsia="Arial" w:hAnsi="Arial"/>
          <w:sz w:val="16"/>
          <w:szCs w:val="16"/>
          <w:color w:val="auto"/>
        </w:rPr>
        <w:t xml:space="preserve">”), does hereby certify to (a) </w:t>
      </w:r>
      <w:r>
        <w:rPr>
          <w:rFonts w:ascii="Arial" w:cs="Arial" w:eastAsia="Arial" w:hAnsi="Arial"/>
          <w:sz w:val="16"/>
          <w:szCs w:val="16"/>
          <w:b w:val="1"/>
          <w:bCs w:val="1"/>
          <w:color w:val="auto"/>
        </w:rPr>
        <w:t>SILICON VALLEY BANK</w:t>
      </w:r>
      <w:r>
        <w:rPr>
          <w:rFonts w:ascii="Arial" w:cs="Arial" w:eastAsia="Arial" w:hAnsi="Arial"/>
          <w:sz w:val="16"/>
          <w:szCs w:val="16"/>
          <w:color w:val="auto"/>
        </w:rPr>
        <w:t>, a California corporation (“</w:t>
      </w:r>
      <w:r>
        <w:rPr>
          <w:rFonts w:ascii="Arial" w:cs="Arial" w:eastAsia="Arial" w:hAnsi="Arial"/>
          <w:sz w:val="16"/>
          <w:szCs w:val="16"/>
          <w:b w:val="1"/>
          <w:bCs w:val="1"/>
          <w:color w:val="auto"/>
        </w:rPr>
        <w:t>SVB</w:t>
      </w:r>
      <w:r>
        <w:rPr>
          <w:rFonts w:ascii="Arial" w:cs="Arial" w:eastAsia="Arial" w:hAnsi="Arial"/>
          <w:sz w:val="16"/>
          <w:szCs w:val="16"/>
          <w:color w:val="auto"/>
        </w:rPr>
        <w:t>”), in its capacity as administrative agent and collateral agent (“</w:t>
      </w:r>
      <w:r>
        <w:rPr>
          <w:rFonts w:ascii="Arial" w:cs="Arial" w:eastAsia="Arial" w:hAnsi="Arial"/>
          <w:sz w:val="16"/>
          <w:szCs w:val="16"/>
          <w:b w:val="1"/>
          <w:bCs w:val="1"/>
          <w:color w:val="auto"/>
        </w:rPr>
        <w:t>Agent</w:t>
      </w:r>
      <w:r>
        <w:rPr>
          <w:rFonts w:ascii="Arial" w:cs="Arial" w:eastAsia="Arial" w:hAnsi="Arial"/>
          <w:sz w:val="16"/>
          <w:szCs w:val="16"/>
          <w:color w:val="auto"/>
        </w:rPr>
        <w:t xml:space="preserve">”), (b) </w:t>
      </w:r>
      <w:r>
        <w:rPr>
          <w:rFonts w:ascii="Arial" w:cs="Arial" w:eastAsia="Arial" w:hAnsi="Arial"/>
          <w:sz w:val="16"/>
          <w:szCs w:val="16"/>
          <w:b w:val="1"/>
          <w:bCs w:val="1"/>
          <w:color w:val="auto"/>
        </w:rPr>
        <w:t>SILICON VALLEY BANK</w:t>
      </w:r>
      <w:r>
        <w:rPr>
          <w:rFonts w:ascii="Arial" w:cs="Arial" w:eastAsia="Arial" w:hAnsi="Arial"/>
          <w:sz w:val="16"/>
          <w:szCs w:val="16"/>
          <w:color w:val="auto"/>
        </w:rPr>
        <w:t>, a California corporation, as a lender, (c)</w:t>
      </w:r>
      <w:r>
        <w:rPr>
          <w:rFonts w:ascii="Arial" w:cs="Arial" w:eastAsia="Arial" w:hAnsi="Arial"/>
          <w:sz w:val="16"/>
          <w:szCs w:val="16"/>
          <w:b w:val="1"/>
          <w:bCs w:val="1"/>
          <w:color w:val="auto"/>
        </w:rPr>
        <w:t xml:space="preserve"> WESTRIVER INNOVATION LENDING FUND VIII, L.P.</w:t>
      </w:r>
      <w:r>
        <w:rPr>
          <w:rFonts w:ascii="Arial" w:cs="Arial" w:eastAsia="Arial" w:hAnsi="Arial"/>
          <w:sz w:val="16"/>
          <w:szCs w:val="16"/>
          <w:color w:val="auto"/>
        </w:rPr>
        <w:t>, a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partnership (“</w:t>
      </w:r>
      <w:r>
        <w:rPr>
          <w:rFonts w:ascii="Arial" w:cs="Arial" w:eastAsia="Arial" w:hAnsi="Arial"/>
          <w:sz w:val="16"/>
          <w:szCs w:val="16"/>
          <w:b w:val="1"/>
          <w:bCs w:val="1"/>
          <w:color w:val="auto"/>
        </w:rPr>
        <w:t>WestRiver</w:t>
      </w:r>
      <w:r>
        <w:rPr>
          <w:rFonts w:ascii="Arial" w:cs="Arial" w:eastAsia="Arial" w:hAnsi="Arial"/>
          <w:sz w:val="16"/>
          <w:szCs w:val="16"/>
          <w:color w:val="auto"/>
        </w:rPr>
        <w:t>”), as a lender (SVB and WestRiver and each of the other “Lenders” from time to time a party hereto are referred to herein collectively as the “</w:t>
      </w:r>
      <w:r>
        <w:rPr>
          <w:rFonts w:ascii="Arial" w:cs="Arial" w:eastAsia="Arial" w:hAnsi="Arial"/>
          <w:sz w:val="16"/>
          <w:szCs w:val="16"/>
          <w:b w:val="1"/>
          <w:bCs w:val="1"/>
          <w:color w:val="auto"/>
        </w:rPr>
        <w:t>Lenders</w:t>
      </w:r>
      <w:r>
        <w:rPr>
          <w:rFonts w:ascii="Arial" w:cs="Arial" w:eastAsia="Arial" w:hAnsi="Arial"/>
          <w:sz w:val="16"/>
          <w:szCs w:val="16"/>
          <w:color w:val="auto"/>
        </w:rPr>
        <w:t>” and each individually as a “</w:t>
      </w:r>
      <w:r>
        <w:rPr>
          <w:rFonts w:ascii="Arial" w:cs="Arial" w:eastAsia="Arial" w:hAnsi="Arial"/>
          <w:sz w:val="16"/>
          <w:szCs w:val="16"/>
          <w:b w:val="1"/>
          <w:bCs w:val="1"/>
          <w:color w:val="auto"/>
        </w:rPr>
        <w:t>Lender</w:t>
      </w:r>
      <w:r>
        <w:rPr>
          <w:rFonts w:ascii="Arial" w:cs="Arial" w:eastAsia="Arial" w:hAnsi="Arial"/>
          <w:sz w:val="16"/>
          <w:szCs w:val="16"/>
          <w:color w:val="auto"/>
        </w:rPr>
        <w:t>”) in connection with that certain Loan and Security Agreement dated as of</w:t>
      </w:r>
    </w:p>
    <w:p>
      <w:pPr>
        <w:spacing w:after="0" w:line="4" w:lineRule="exact"/>
        <w:rPr>
          <w:sz w:val="20"/>
          <w:szCs w:val="20"/>
          <w:color w:val="auto"/>
        </w:rPr>
      </w:pPr>
    </w:p>
    <w:p>
      <w:pPr>
        <w:ind w:left="4" w:right="40" w:hanging="4"/>
        <w:spacing w:after="0" w:line="260" w:lineRule="auto"/>
        <w:tabs>
          <w:tab w:leader="none" w:pos="78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by and among Borrower,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with other capitalized terms used below having the meanings ascribed thereto in the Loan Agreement) that:</w:t>
      </w:r>
    </w:p>
    <w:p>
      <w:pPr>
        <w:spacing w:after="0" w:line="77" w:lineRule="exact"/>
        <w:rPr>
          <w:rFonts w:ascii="Arial" w:cs="Arial" w:eastAsia="Arial" w:hAnsi="Arial"/>
          <w:sz w:val="18"/>
          <w:szCs w:val="18"/>
          <w:color w:val="auto"/>
        </w:rPr>
      </w:pPr>
    </w:p>
    <w:p>
      <w:pPr>
        <w:ind w:left="4" w:right="380" w:firstLine="436"/>
        <w:spacing w:after="0" w:line="277" w:lineRule="auto"/>
        <w:tabs>
          <w:tab w:leader="none" w:pos="756"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The representations and warranties made by Borrower in Section 5 of the Loan Agreement and in the other Loan Documents are true and correct in all material respects as of the date hereof.</w:t>
      </w:r>
    </w:p>
    <w:p>
      <w:pPr>
        <w:spacing w:after="0" w:line="170" w:lineRule="exact"/>
        <w:rPr>
          <w:rFonts w:ascii="Arial" w:cs="Arial" w:eastAsia="Arial" w:hAnsi="Arial"/>
          <w:sz w:val="18"/>
          <w:szCs w:val="18"/>
          <w:color w:val="auto"/>
        </w:rPr>
      </w:pPr>
    </w:p>
    <w:p>
      <w:pPr>
        <w:ind w:left="764" w:hanging="324"/>
        <w:spacing w:after="0"/>
        <w:tabs>
          <w:tab w:leader="none" w:pos="764" w:val="left"/>
        </w:tabs>
        <w:numPr>
          <w:ilvl w:val="1"/>
          <w:numId w:val="409"/>
        </w:numPr>
        <w:rPr>
          <w:rFonts w:ascii="Arial" w:cs="Arial" w:eastAsia="Arial" w:hAnsi="Arial"/>
          <w:sz w:val="17"/>
          <w:szCs w:val="17"/>
          <w:color w:val="auto"/>
        </w:rPr>
      </w:pPr>
      <w:r>
        <w:rPr>
          <w:rFonts w:ascii="Arial" w:cs="Arial" w:eastAsia="Arial" w:hAnsi="Arial"/>
          <w:sz w:val="17"/>
          <w:szCs w:val="17"/>
          <w:color w:val="auto"/>
        </w:rPr>
        <w:t>No event or condition has occurred that would constitute an Event of Default under the Loan Agreement or any other Loan Document.</w:t>
      </w:r>
    </w:p>
    <w:p>
      <w:pPr>
        <w:spacing w:after="0" w:line="236" w:lineRule="exact"/>
        <w:rPr>
          <w:rFonts w:ascii="Arial" w:cs="Arial" w:eastAsia="Arial" w:hAnsi="Arial"/>
          <w:sz w:val="17"/>
          <w:szCs w:val="17"/>
          <w:color w:val="auto"/>
        </w:rPr>
      </w:pPr>
    </w:p>
    <w:p>
      <w:pPr>
        <w:ind w:left="764" w:hanging="324"/>
        <w:spacing w:after="0"/>
        <w:tabs>
          <w:tab w:leader="none" w:pos="764" w:val="left"/>
        </w:tabs>
        <w:numPr>
          <w:ilvl w:val="1"/>
          <w:numId w:val="409"/>
        </w:numPr>
        <w:rPr>
          <w:rFonts w:ascii="Arial" w:cs="Arial" w:eastAsia="Arial" w:hAnsi="Arial"/>
          <w:sz w:val="18"/>
          <w:szCs w:val="18"/>
          <w:color w:val="auto"/>
        </w:rPr>
      </w:pPr>
      <w:r>
        <w:rPr>
          <w:rFonts w:ascii="Arial" w:cs="Arial" w:eastAsia="Arial" w:hAnsi="Arial"/>
          <w:sz w:val="18"/>
          <w:szCs w:val="18"/>
          <w:color w:val="auto"/>
        </w:rPr>
        <w:t>Borrower is in compliance with the covenants and requirements contained in Sections 4, 6 and 7 of the Loan Agreement.</w:t>
      </w:r>
    </w:p>
    <w:p>
      <w:pPr>
        <w:spacing w:after="0" w:line="225" w:lineRule="exact"/>
        <w:rPr>
          <w:rFonts w:ascii="Arial" w:cs="Arial" w:eastAsia="Arial" w:hAnsi="Arial"/>
          <w:sz w:val="18"/>
          <w:szCs w:val="18"/>
          <w:color w:val="auto"/>
        </w:rPr>
      </w:pPr>
    </w:p>
    <w:p>
      <w:pPr>
        <w:ind w:left="4" w:firstLine="436"/>
        <w:spacing w:after="0" w:line="277" w:lineRule="auto"/>
        <w:tabs>
          <w:tab w:leader="none" w:pos="749" w:val="left"/>
        </w:tabs>
        <w:numPr>
          <w:ilvl w:val="1"/>
          <w:numId w:val="409"/>
        </w:numPr>
        <w:rPr>
          <w:rFonts w:ascii="Arial" w:cs="Arial" w:eastAsia="Arial" w:hAnsi="Arial"/>
          <w:sz w:val="18"/>
          <w:szCs w:val="18"/>
          <w:color w:val="auto"/>
        </w:rPr>
      </w:pPr>
      <w:r>
        <w:rPr>
          <w:rFonts w:ascii="Arial" w:cs="Arial" w:eastAsia="Arial" w:hAnsi="Arial"/>
          <w:sz w:val="18"/>
          <w:szCs w:val="18"/>
          <w:color w:val="auto"/>
        </w:rPr>
        <w:t>All conditions referred to in Section 3 of the Loan Agreement to the making of a Credit Extension to be made on or about the date hereof have been satisfied or waived by Agent.</w:t>
      </w:r>
    </w:p>
    <w:p>
      <w:pPr>
        <w:spacing w:after="0" w:line="170" w:lineRule="exact"/>
        <w:rPr>
          <w:rFonts w:ascii="Arial" w:cs="Arial" w:eastAsia="Arial" w:hAnsi="Arial"/>
          <w:sz w:val="18"/>
          <w:szCs w:val="18"/>
          <w:color w:val="auto"/>
        </w:rPr>
      </w:pPr>
    </w:p>
    <w:p>
      <w:pPr>
        <w:ind w:left="764" w:hanging="324"/>
        <w:spacing w:after="0"/>
        <w:tabs>
          <w:tab w:leader="none" w:pos="764" w:val="left"/>
        </w:tabs>
        <w:numPr>
          <w:ilvl w:val="1"/>
          <w:numId w:val="409"/>
        </w:numPr>
        <w:rPr>
          <w:rFonts w:ascii="Arial" w:cs="Arial" w:eastAsia="Arial" w:hAnsi="Arial"/>
          <w:sz w:val="18"/>
          <w:szCs w:val="18"/>
          <w:color w:val="auto"/>
        </w:rPr>
      </w:pPr>
      <w:r>
        <w:rPr>
          <w:rFonts w:ascii="Arial" w:cs="Arial" w:eastAsia="Arial" w:hAnsi="Arial"/>
          <w:sz w:val="18"/>
          <w:szCs w:val="18"/>
          <w:color w:val="auto"/>
        </w:rPr>
        <w:t>No Material Adverse Change has occurred.</w:t>
      </w:r>
    </w:p>
    <w:p>
      <w:pPr>
        <w:spacing w:after="0" w:line="225" w:lineRule="exact"/>
        <w:rPr>
          <w:rFonts w:ascii="Arial" w:cs="Arial" w:eastAsia="Arial" w:hAnsi="Arial"/>
          <w:sz w:val="18"/>
          <w:szCs w:val="18"/>
          <w:color w:val="auto"/>
        </w:rPr>
      </w:pPr>
    </w:p>
    <w:p>
      <w:pPr>
        <w:ind w:left="744" w:hanging="304"/>
        <w:spacing w:after="0"/>
        <w:tabs>
          <w:tab w:leader="none" w:pos="744"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The undersigned is an Authorized Signer.</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ectPr>
          <w:pgSz w:w="11900" w:h="16838" w:orient="portrait"/>
          <w:cols w:equalWidth="0" w:num="1">
            <w:col w:w="11004"/>
          </w:cols>
          <w:pgMar w:left="436" w:top="270" w:right="459" w:bottom="1440" w:gutter="0" w:footer="0" w:header="0"/>
        </w:sectPr>
      </w:pPr>
    </w:p>
    <w:bookmarkStart w:id="469" w:name="page470"/>
    <w:bookmarkEnd w:id="469"/>
    <w:tbl>
      <w:tblPr>
        <w:tblLayout w:type="fixed"/>
        <w:tblInd w:w="444" w:type="dxa"/>
        <w:tblCellMar>
          <w:top w:w="0" w:type="dxa"/>
          <w:left w:w="0" w:type="dxa"/>
          <w:bottom w:w="0" w:type="dxa"/>
          <w:right w:w="0" w:type="dxa"/>
        </w:tblCellMar>
      </w:tblPr>
      <w:tr>
        <w:trPr>
          <w:trHeight w:val="230"/>
        </w:trPr>
        <w:tc>
          <w:tcPr>
            <w:tcW w:w="7900" w:type="dxa"/>
            <w:vAlign w:val="bottom"/>
            <w:gridSpan w:val="3"/>
          </w:tcPr>
          <w:p>
            <w:pPr>
              <w:spacing w:after="0"/>
              <w:rPr>
                <w:sz w:val="20"/>
                <w:szCs w:val="20"/>
                <w:color w:val="auto"/>
              </w:rPr>
            </w:pPr>
            <w:r>
              <w:rPr>
                <w:rFonts w:ascii="Arial" w:cs="Arial" w:eastAsia="Arial" w:hAnsi="Arial"/>
                <w:sz w:val="18"/>
                <w:szCs w:val="18"/>
                <w:color w:val="auto"/>
              </w:rPr>
              <w:t>7A. The proceeds of the Term Loan Advance shall be disbursed as follows:</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43"/>
        </w:trPr>
        <w:tc>
          <w:tcPr>
            <w:tcW w:w="880" w:type="dxa"/>
            <w:vAlign w:val="bottom"/>
          </w:tcPr>
          <w:p>
            <w:pPr>
              <w:spacing w:after="0"/>
              <w:rPr>
                <w:sz w:val="21"/>
                <w:szCs w:val="21"/>
                <w:color w:val="auto"/>
              </w:rPr>
            </w:pPr>
          </w:p>
        </w:tc>
        <w:tc>
          <w:tcPr>
            <w:tcW w:w="7020" w:type="dxa"/>
            <w:vAlign w:val="bottom"/>
            <w:gridSpan w:val="2"/>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16"/>
        </w:trPr>
        <w:tc>
          <w:tcPr>
            <w:tcW w:w="88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Disbursement from SVB:</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020" w:type="dxa"/>
            <w:vAlign w:val="bottom"/>
            <w:gridSpan w:val="2"/>
          </w:tcPr>
          <w:p>
            <w:pPr>
              <w:ind w:left="360"/>
              <w:spacing w:after="0"/>
              <w:rPr>
                <w:sz w:val="20"/>
                <w:szCs w:val="20"/>
                <w:color w:val="auto"/>
              </w:rPr>
            </w:pPr>
            <w:r>
              <w:rPr>
                <w:rFonts w:ascii="Arial" w:cs="Arial" w:eastAsia="Arial" w:hAnsi="Arial"/>
                <w:sz w:val="18"/>
                <w:szCs w:val="18"/>
                <w:color w:val="auto"/>
              </w:rPr>
              <w:t>Loan Amount</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Plus: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—Deposit Received</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r>
      <w:tr>
        <w:trPr>
          <w:trHeight w:val="94"/>
        </w:trPr>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8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—[Interim Interest]</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—Lender’s Legal Fees</w:t>
            </w:r>
          </w:p>
        </w:tc>
        <w:tc>
          <w:tcPr>
            <w:tcW w:w="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t>
            </w:r>
          </w:p>
        </w:tc>
      </w:tr>
      <w:tr>
        <w:trPr>
          <w:trHeight w:val="324"/>
        </w:trPr>
        <w:tc>
          <w:tcPr>
            <w:tcW w:w="88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Net Proceeds due from SVB:</w:t>
            </w:r>
          </w:p>
        </w:tc>
        <w:tc>
          <w:tcPr>
            <w:tcW w:w="86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4"/>
                <w:szCs w:val="24"/>
                <w:color w:val="auto"/>
              </w:rPr>
            </w:pPr>
          </w:p>
        </w:tc>
      </w:tr>
      <w:tr>
        <w:trPr>
          <w:trHeight w:val="108"/>
        </w:trPr>
        <w:tc>
          <w:tcPr>
            <w:tcW w:w="880" w:type="dxa"/>
            <w:vAlign w:val="bottom"/>
          </w:tcPr>
          <w:p>
            <w:pPr>
              <w:spacing w:after="0"/>
              <w:rPr>
                <w:sz w:val="9"/>
                <w:szCs w:val="9"/>
                <w:color w:val="auto"/>
              </w:rPr>
            </w:pPr>
          </w:p>
        </w:tc>
        <w:tc>
          <w:tcPr>
            <w:tcW w:w="702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216"/>
        </w:trPr>
        <w:tc>
          <w:tcPr>
            <w:tcW w:w="88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Disbursement from WestRiver:</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020" w:type="dxa"/>
            <w:vAlign w:val="bottom"/>
            <w:gridSpan w:val="2"/>
          </w:tcPr>
          <w:p>
            <w:pPr>
              <w:ind w:left="360"/>
              <w:spacing w:after="0"/>
              <w:rPr>
                <w:sz w:val="20"/>
                <w:szCs w:val="20"/>
                <w:color w:val="auto"/>
              </w:rPr>
            </w:pPr>
            <w:r>
              <w:rPr>
                <w:rFonts w:ascii="Arial" w:cs="Arial" w:eastAsia="Arial" w:hAnsi="Arial"/>
                <w:sz w:val="18"/>
                <w:szCs w:val="18"/>
                <w:color w:val="auto"/>
              </w:rPr>
              <w:t>Loan Amount</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Plus: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—Deposit Received</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r>
      <w:tr>
        <w:trPr>
          <w:trHeight w:val="94"/>
        </w:trPr>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8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—[Interim Interest]</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94"/>
        </w:trPr>
        <w:tc>
          <w:tcPr>
            <w:tcW w:w="880" w:type="dxa"/>
            <w:vAlign w:val="bottom"/>
          </w:tcPr>
          <w:p>
            <w:pPr>
              <w:spacing w:after="0"/>
              <w:rPr>
                <w:sz w:val="8"/>
                <w:szCs w:val="8"/>
                <w:color w:val="auto"/>
              </w:rPr>
            </w:pPr>
          </w:p>
        </w:tc>
        <w:tc>
          <w:tcPr>
            <w:tcW w:w="702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88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Proceeds due from WestRiver:</w:t>
            </w:r>
          </w:p>
        </w:tc>
        <w:tc>
          <w:tcPr>
            <w:tcW w:w="8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r>
      <w:tr>
        <w:trPr>
          <w:trHeight w:val="306"/>
        </w:trPr>
        <w:tc>
          <w:tcPr>
            <w:tcW w:w="88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b w:val="1"/>
                <w:bCs w:val="1"/>
                <w:color w:val="auto"/>
                <w:w w:val="99"/>
              </w:rPr>
              <w:t>Disbursement from Agent (cumulative and not duplicative of the amounts set forth</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4"/>
        </w:trPr>
        <w:tc>
          <w:tcPr>
            <w:tcW w:w="880" w:type="dxa"/>
            <w:vAlign w:val="bottom"/>
          </w:tcPr>
          <w:p>
            <w:pPr>
              <w:spacing w:after="0"/>
              <w:rPr>
                <w:sz w:val="20"/>
                <w:szCs w:val="20"/>
                <w:color w:val="auto"/>
              </w:rPr>
            </w:pPr>
          </w:p>
        </w:tc>
        <w:tc>
          <w:tcPr>
            <w:tcW w:w="7020" w:type="dxa"/>
            <w:vAlign w:val="bottom"/>
            <w:gridSpan w:val="2"/>
          </w:tcPr>
          <w:p>
            <w:pPr>
              <w:ind w:left="180"/>
              <w:spacing w:after="0"/>
              <w:rPr>
                <w:sz w:val="20"/>
                <w:szCs w:val="20"/>
                <w:color w:val="auto"/>
              </w:rPr>
            </w:pPr>
            <w:r>
              <w:rPr>
                <w:rFonts w:ascii="Arial" w:cs="Arial" w:eastAsia="Arial" w:hAnsi="Arial"/>
                <w:sz w:val="18"/>
                <w:szCs w:val="18"/>
                <w:b w:val="1"/>
                <w:bCs w:val="1"/>
                <w:color w:val="auto"/>
              </w:rPr>
              <w:t>above):</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7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Loan Amount</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Plus:</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—Deposit Received</w:t>
            </w:r>
          </w:p>
        </w:tc>
        <w:tc>
          <w:tcPr>
            <w:tcW w:w="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r>
      <w:tr>
        <w:trPr>
          <w:trHeight w:val="324"/>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Less:</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—[Interim Interest]</w:t>
            </w:r>
          </w:p>
        </w:tc>
        <w:tc>
          <w:tcPr>
            <w:tcW w:w="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30"/>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—Lender’s Legal Fees</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t>
            </w:r>
          </w:p>
        </w:tc>
      </w:tr>
      <w:tr>
        <w:trPr>
          <w:trHeight w:val="94"/>
        </w:trPr>
        <w:tc>
          <w:tcPr>
            <w:tcW w:w="880" w:type="dxa"/>
            <w:vAlign w:val="bottom"/>
          </w:tcPr>
          <w:p>
            <w:pPr>
              <w:spacing w:after="0"/>
              <w:rPr>
                <w:sz w:val="8"/>
                <w:szCs w:val="8"/>
                <w:color w:val="auto"/>
              </w:rPr>
            </w:pPr>
          </w:p>
        </w:tc>
        <w:tc>
          <w:tcPr>
            <w:tcW w:w="702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88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Proceeds due from Agent:</w:t>
            </w:r>
          </w:p>
        </w:tc>
        <w:tc>
          <w:tcPr>
            <w:tcW w:w="8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r>
      <w:tr>
        <w:trPr>
          <w:trHeight w:val="324"/>
        </w:trPr>
        <w:tc>
          <w:tcPr>
            <w:tcW w:w="88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TOTAL TERM LOAN ADVANCE NET PROCEEDS FROM LENDERS</w:t>
            </w:r>
          </w:p>
        </w:tc>
        <w:tc>
          <w:tcPr>
            <w:tcW w:w="86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4"/>
                <w:szCs w:val="24"/>
                <w:color w:val="auto"/>
              </w:rPr>
            </w:pPr>
          </w:p>
        </w:tc>
      </w:tr>
      <w:tr>
        <w:trPr>
          <w:trHeight w:val="432"/>
        </w:trPr>
        <w:tc>
          <w:tcPr>
            <w:tcW w:w="1480" w:type="dxa"/>
            <w:vAlign w:val="bottom"/>
            <w:gridSpan w:val="2"/>
          </w:tcPr>
          <w:p>
            <w:pPr>
              <w:spacing w:after="0"/>
              <w:rPr>
                <w:sz w:val="20"/>
                <w:szCs w:val="20"/>
                <w:color w:val="auto"/>
              </w:rPr>
            </w:pPr>
            <w:r>
              <w:rPr>
                <w:rFonts w:ascii="Arial" w:cs="Arial" w:eastAsia="Arial" w:hAnsi="Arial"/>
                <w:sz w:val="18"/>
                <w:szCs w:val="18"/>
                <w:color w:val="auto"/>
              </w:rPr>
              <w:t>7B.  Funds from [</w:t>
            </w:r>
          </w:p>
        </w:tc>
        <w:tc>
          <w:tcPr>
            <w:tcW w:w="6420" w:type="dxa"/>
            <w:vAlign w:val="bottom"/>
          </w:tcPr>
          <w:p>
            <w:pPr>
              <w:ind w:left="620"/>
              <w:spacing w:after="0"/>
              <w:rPr>
                <w:sz w:val="20"/>
                <w:szCs w:val="20"/>
                <w:color w:val="auto"/>
              </w:rPr>
            </w:pPr>
            <w:r>
              <w:rPr>
                <w:rFonts w:ascii="Arial" w:cs="Arial" w:eastAsia="Arial" w:hAnsi="Arial"/>
                <w:sz w:val="18"/>
                <w:szCs w:val="18"/>
                <w:color w:val="auto"/>
                <w:w w:val="98"/>
              </w:rPr>
              <w:t>] (“</w:t>
            </w:r>
            <w:r>
              <w:rPr>
                <w:rFonts w:ascii="Arial" w:cs="Arial" w:eastAsia="Arial" w:hAnsi="Arial"/>
                <w:sz w:val="18"/>
                <w:szCs w:val="18"/>
                <w:b w:val="1"/>
                <w:bCs w:val="1"/>
                <w:color w:val="auto"/>
                <w:w w:val="98"/>
              </w:rPr>
              <w:t>Borrower</w:t>
            </w:r>
            <w:r>
              <w:rPr>
                <w:rFonts w:ascii="Arial" w:cs="Arial" w:eastAsia="Arial" w:hAnsi="Arial"/>
                <w:sz w:val="18"/>
                <w:szCs w:val="18"/>
                <w:color w:val="auto"/>
                <w:w w:val="98"/>
              </w:rPr>
              <w:t>”) Designated Deposit Account shall be disbursed as follows:</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984"/>
        <w:spacing w:after="0"/>
        <w:rPr>
          <w:sz w:val="20"/>
          <w:szCs w:val="20"/>
          <w:color w:val="auto"/>
        </w:rPr>
      </w:pPr>
      <w:r>
        <w:rPr>
          <w:rFonts w:ascii="Arial" w:cs="Arial" w:eastAsia="Arial" w:hAnsi="Arial"/>
          <w:sz w:val="18"/>
          <w:szCs w:val="18"/>
          <w:b w:val="1"/>
          <w:bCs w:val="1"/>
          <w:i w:val="1"/>
          <w:iCs w:val="1"/>
          <w:color w:val="auto"/>
        </w:rPr>
        <w:t>SVB: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224" w:hanging="224"/>
        <w:spacing w:after="0" w:line="277" w:lineRule="auto"/>
        <w:tabs>
          <w:tab w:leader="none" w:pos="224" w:val="left"/>
        </w:tabs>
        <w:numPr>
          <w:ilvl w:val="0"/>
          <w:numId w:val="410"/>
        </w:numPr>
        <w:rPr>
          <w:rFonts w:ascii="Arial" w:cs="Arial" w:eastAsia="Arial" w:hAnsi="Arial"/>
          <w:sz w:val="15"/>
          <w:szCs w:val="15"/>
          <w:color w:val="auto"/>
        </w:rPr>
      </w:pPr>
      <w:r>
        <w:rPr>
          <w:rFonts w:ascii="Arial" w:cs="Arial" w:eastAsia="Arial" w:hAnsi="Arial"/>
          <w:sz w:val="18"/>
          <w:szCs w:val="18"/>
          <w:color w:val="auto"/>
        </w:rPr>
        <w:t>Legal fees and costs are through the Effective Date. Post-closing legal fees and costs, payable after the Effective Date, to be invoiced and paid post-closing.</w:t>
      </w:r>
    </w:p>
    <w:p>
      <w:pPr>
        <w:sectPr>
          <w:pgSz w:w="11900" w:h="16838" w:orient="portrait"/>
          <w:cols w:equalWidth="0" w:num="1">
            <w:col w:w="10444"/>
          </w:cols>
          <w:pgMar w:left="436" w:top="274" w:right="1019" w:bottom="1440" w:gutter="0" w:footer="0" w:header="0"/>
        </w:sectPr>
      </w:pPr>
    </w:p>
    <w:bookmarkStart w:id="470" w:name="page471"/>
    <w:bookmarkEnd w:id="470"/>
    <w:tbl>
      <w:tblPr>
        <w:tblLayout w:type="fixed"/>
        <w:tblInd w:w="13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 Loan Fees</w:t>
            </w:r>
          </w:p>
        </w:tc>
        <w:tc>
          <w:tcPr>
            <w:tcW w:w="288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rPr>
              <w:t>Lender’s Legal Fees</w:t>
            </w:r>
          </w:p>
        </w:tc>
        <w:tc>
          <w:tcPr>
            <w:tcW w:w="2880" w:type="dxa"/>
            <w:vAlign w:val="bottom"/>
          </w:tcPr>
          <w:p>
            <w:pPr>
              <w:spacing w:after="0"/>
              <w:rPr>
                <w:sz w:val="20"/>
                <w:szCs w:val="20"/>
                <w:color w:val="auto"/>
              </w:rPr>
            </w:pPr>
          </w:p>
        </w:tc>
        <w:tc>
          <w:tcPr>
            <w:tcW w:w="21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40" w:type="dxa"/>
            <w:vAlign w:val="bottom"/>
            <w:gridSpan w:val="2"/>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 xml:space="preserve">WestRiver: </w:t>
            </w:r>
            <w:r>
              <w:rPr>
                <w:rFonts w:ascii="Arial" w:cs="Arial" w:eastAsia="Arial" w:hAnsi="Arial"/>
                <w:sz w:val="18"/>
                <w:szCs w:val="18"/>
                <w:i w:val="1"/>
                <w:iCs w:val="1"/>
                <w:color w:val="auto"/>
              </w:rPr>
              <w:t>Designated Deposit Account:</w:t>
            </w: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rPr>
              <w:t>Term Loan Fees</w:t>
            </w:r>
          </w:p>
        </w:tc>
        <w:tc>
          <w:tcPr>
            <w:tcW w:w="2880" w:type="dxa"/>
            <w:vAlign w:val="bottom"/>
          </w:tcPr>
          <w:p>
            <w:pPr>
              <w:spacing w:after="0"/>
              <w:rPr>
                <w:sz w:val="24"/>
                <w:szCs w:val="24"/>
                <w:color w:val="auto"/>
              </w:rPr>
            </w:pPr>
          </w:p>
        </w:tc>
        <w:tc>
          <w:tcPr>
            <w:tcW w:w="21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Funds due from [</w:t>
            </w:r>
          </w:p>
        </w:tc>
        <w:tc>
          <w:tcPr>
            <w:tcW w:w="2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(“Borrower”)</w:t>
            </w:r>
          </w:p>
        </w:tc>
        <w:tc>
          <w:tcPr>
            <w:tcW w:w="21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8A.The aggregate net proceeds of the Term Loan Advance shall be transferred to the Designated Deposit Account as follows:</w:t>
      </w:r>
    </w:p>
    <w:p>
      <w:pPr>
        <w:spacing w:after="0" w:line="275"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Account Name:</w:t>
            </w:r>
          </w:p>
        </w:tc>
        <w:tc>
          <w:tcPr>
            <w:tcW w:w="180" w:type="dxa"/>
            <w:vAlign w:val="bottom"/>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80" w:type="dxa"/>
            <w:vAlign w:val="bottom"/>
          </w:tcPr>
          <w:p>
            <w:pPr>
              <w:spacing w:after="0"/>
              <w:rPr>
                <w:sz w:val="20"/>
                <w:szCs w:val="20"/>
                <w:color w:val="auto"/>
              </w:rPr>
            </w:pPr>
            <w:r>
              <w:rPr>
                <w:rFonts w:ascii="Arial" w:cs="Arial" w:eastAsia="Arial" w:hAnsi="Arial"/>
                <w:sz w:val="18"/>
                <w:szCs w:val="18"/>
                <w:color w:val="auto"/>
              </w:rPr>
              <w:t>Bank Name:</w:t>
            </w:r>
          </w:p>
        </w:tc>
        <w:tc>
          <w:tcPr>
            <w:tcW w:w="18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Silicon Valley Bank</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Bank Address:</w:t>
            </w:r>
          </w:p>
        </w:tc>
        <w:tc>
          <w:tcPr>
            <w:tcW w:w="6000" w:type="dxa"/>
            <w:vAlign w:val="bottom"/>
            <w:gridSpan w:val="2"/>
          </w:tcPr>
          <w:p>
            <w:pPr>
              <w:ind w:left="180"/>
              <w:spacing w:after="0"/>
              <w:rPr>
                <w:sz w:val="20"/>
                <w:szCs w:val="20"/>
                <w:color w:val="auto"/>
              </w:rPr>
            </w:pPr>
            <w:r>
              <w:rPr>
                <w:rFonts w:ascii="Arial" w:cs="Arial" w:eastAsia="Arial" w:hAnsi="Arial"/>
                <w:sz w:val="18"/>
                <w:szCs w:val="18"/>
                <w:color w:val="auto"/>
              </w:rPr>
              <w:t>3003 Tasman Drive</w:t>
            </w:r>
          </w:p>
        </w:tc>
        <w:tc>
          <w:tcPr>
            <w:tcW w:w="0" w:type="dxa"/>
            <w:vAlign w:val="bottom"/>
          </w:tcPr>
          <w:p>
            <w:pPr>
              <w:spacing w:after="0"/>
              <w:rPr>
                <w:sz w:val="1"/>
                <w:szCs w:val="1"/>
                <w:color w:val="auto"/>
              </w:rPr>
            </w:pPr>
          </w:p>
        </w:tc>
      </w:tr>
      <w:tr>
        <w:trPr>
          <w:trHeight w:val="230"/>
        </w:trPr>
        <w:tc>
          <w:tcPr>
            <w:tcW w:w="1480" w:type="dxa"/>
            <w:vAlign w:val="bottom"/>
            <w:vMerge w:val="restart"/>
          </w:tcPr>
          <w:p>
            <w:pPr>
              <w:spacing w:after="0"/>
              <w:rPr>
                <w:sz w:val="20"/>
                <w:szCs w:val="20"/>
                <w:color w:val="auto"/>
              </w:rPr>
            </w:pPr>
            <w:r>
              <w:rPr>
                <w:rFonts w:ascii="Arial" w:cs="Arial" w:eastAsia="Arial" w:hAnsi="Arial"/>
                <w:sz w:val="18"/>
                <w:szCs w:val="18"/>
                <w:color w:val="auto"/>
              </w:rPr>
              <w:t>Account Number:</w:t>
            </w:r>
          </w:p>
        </w:tc>
        <w:tc>
          <w:tcPr>
            <w:tcW w:w="6000" w:type="dxa"/>
            <w:vAlign w:val="bottom"/>
            <w:gridSpan w:val="2"/>
          </w:tcPr>
          <w:p>
            <w:pPr>
              <w:ind w:left="180"/>
              <w:spacing w:after="0"/>
              <w:rPr>
                <w:sz w:val="20"/>
                <w:szCs w:val="20"/>
                <w:color w:val="auto"/>
              </w:rPr>
            </w:pPr>
            <w:r>
              <w:rPr>
                <w:rFonts w:ascii="Arial" w:cs="Arial" w:eastAsia="Arial" w:hAnsi="Arial"/>
                <w:sz w:val="18"/>
                <w:szCs w:val="18"/>
                <w:color w:val="auto"/>
              </w:rPr>
              <w:t>Santa Clara, California 95054</w:t>
            </w:r>
          </w:p>
        </w:tc>
        <w:tc>
          <w:tcPr>
            <w:tcW w:w="0" w:type="dxa"/>
            <w:vAlign w:val="bottom"/>
          </w:tcPr>
          <w:p>
            <w:pPr>
              <w:spacing w:after="0"/>
              <w:rPr>
                <w:sz w:val="1"/>
                <w:szCs w:val="1"/>
                <w:color w:val="auto"/>
              </w:rPr>
            </w:pPr>
          </w:p>
        </w:tc>
      </w:tr>
      <w:tr>
        <w:trPr>
          <w:trHeight w:val="229"/>
        </w:trPr>
        <w:tc>
          <w:tcPr>
            <w:tcW w:w="14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20"/>
                <w:szCs w:val="20"/>
                <w:color w:val="auto"/>
              </w:rPr>
            </w:pPr>
            <w:r>
              <w:rPr>
                <w:rFonts w:ascii="Arial" w:cs="Arial" w:eastAsia="Arial" w:hAnsi="Arial"/>
                <w:sz w:val="18"/>
                <w:szCs w:val="18"/>
                <w:color w:val="auto"/>
              </w:rPr>
              <w:t>ABA Number:</w:t>
            </w:r>
          </w:p>
        </w:tc>
        <w:tc>
          <w:tcPr>
            <w:tcW w:w="180" w:type="dxa"/>
            <w:vAlign w:val="bottom"/>
          </w:tcPr>
          <w:p>
            <w:pPr>
              <w:spacing w:after="0"/>
              <w:rPr>
                <w:sz w:val="19"/>
                <w:szCs w:val="19"/>
                <w:color w:val="auto"/>
              </w:rPr>
            </w:pPr>
          </w:p>
        </w:tc>
        <w:tc>
          <w:tcPr>
            <w:tcW w:w="5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8B. Borrower authorized SVB to debit the Total Funds from the Designated Deposit Account set forth below:</w:t>
      </w:r>
    </w:p>
    <w:p>
      <w:pPr>
        <w:spacing w:after="0" w:line="252"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Account Name:</w:t>
            </w:r>
          </w:p>
        </w:tc>
        <w:tc>
          <w:tcPr>
            <w:tcW w:w="260" w:type="dxa"/>
            <w:vAlign w:val="bottom"/>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p>
        </w:tc>
      </w:tr>
      <w:tr>
        <w:trPr>
          <w:trHeight w:val="209"/>
        </w:trPr>
        <w:tc>
          <w:tcPr>
            <w:tcW w:w="1400" w:type="dxa"/>
            <w:vAlign w:val="bottom"/>
          </w:tcPr>
          <w:p>
            <w:pPr>
              <w:spacing w:after="0"/>
              <w:rPr>
                <w:sz w:val="20"/>
                <w:szCs w:val="20"/>
                <w:color w:val="auto"/>
              </w:rPr>
            </w:pPr>
            <w:r>
              <w:rPr>
                <w:rFonts w:ascii="Arial" w:cs="Arial" w:eastAsia="Arial" w:hAnsi="Arial"/>
                <w:sz w:val="18"/>
                <w:szCs w:val="18"/>
                <w:color w:val="auto"/>
              </w:rPr>
              <w:t>Bank Name:</w:t>
            </w:r>
          </w:p>
        </w:tc>
        <w:tc>
          <w:tcPr>
            <w:tcW w:w="2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Silicon Valley Bank</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Bank Address:</w:t>
            </w:r>
          </w:p>
        </w:tc>
        <w:tc>
          <w:tcPr>
            <w:tcW w:w="6080" w:type="dxa"/>
            <w:vAlign w:val="bottom"/>
            <w:gridSpan w:val="2"/>
          </w:tcPr>
          <w:p>
            <w:pPr>
              <w:ind w:left="260"/>
              <w:spacing w:after="0"/>
              <w:rPr>
                <w:sz w:val="20"/>
                <w:szCs w:val="20"/>
                <w:color w:val="auto"/>
              </w:rPr>
            </w:pPr>
            <w:r>
              <w:rPr>
                <w:rFonts w:ascii="Arial" w:cs="Arial" w:eastAsia="Arial" w:hAnsi="Arial"/>
                <w:sz w:val="18"/>
                <w:szCs w:val="18"/>
                <w:color w:val="auto"/>
              </w:rPr>
              <w:t>3003 Tasman Drive</w:t>
            </w:r>
          </w:p>
        </w:tc>
      </w:tr>
      <w:tr>
        <w:trPr>
          <w:trHeight w:val="230"/>
        </w:trPr>
        <w:tc>
          <w:tcPr>
            <w:tcW w:w="1400" w:type="dxa"/>
            <w:vAlign w:val="bottom"/>
          </w:tcPr>
          <w:p>
            <w:pPr>
              <w:spacing w:after="0"/>
              <w:rPr>
                <w:sz w:val="20"/>
                <w:szCs w:val="20"/>
                <w:color w:val="auto"/>
              </w:rPr>
            </w:pPr>
          </w:p>
        </w:tc>
        <w:tc>
          <w:tcPr>
            <w:tcW w:w="6080" w:type="dxa"/>
            <w:vAlign w:val="bottom"/>
            <w:gridSpan w:val="2"/>
          </w:tcPr>
          <w:p>
            <w:pPr>
              <w:ind w:left="260"/>
              <w:spacing w:after="0"/>
              <w:rPr>
                <w:sz w:val="20"/>
                <w:szCs w:val="20"/>
                <w:color w:val="auto"/>
              </w:rPr>
            </w:pPr>
            <w:r>
              <w:rPr>
                <w:rFonts w:ascii="Arial" w:cs="Arial" w:eastAsia="Arial" w:hAnsi="Arial"/>
                <w:sz w:val="18"/>
                <w:szCs w:val="18"/>
                <w:color w:val="auto"/>
              </w:rPr>
              <w:t>Santa Clara, California 95054</w:t>
            </w:r>
          </w:p>
        </w:tc>
      </w:tr>
    </w:tbl>
    <w:p>
      <w:pPr>
        <w:ind w:left="132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14605</wp:posOffset>
            </wp:positionV>
            <wp:extent cx="370332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ABA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14605</wp:posOffset>
            </wp:positionV>
            <wp:extent cx="370332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32" w:lineRule="exact"/>
        <w:rPr>
          <w:sz w:val="20"/>
          <w:szCs w:val="20"/>
          <w:color w:val="auto"/>
        </w:rPr>
      </w:pPr>
    </w:p>
    <w:p>
      <w:pPr>
        <w:ind w:left="3480"/>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ectPr>
          <w:pgSz w:w="11900" w:h="16838" w:orient="portrait"/>
          <w:cols w:equalWidth="0" w:num="1">
            <w:col w:w="9579"/>
          </w:cols>
          <w:pgMar w:left="880" w:top="288" w:right="1440" w:bottom="1440" w:gutter="0" w:footer="0" w:header="0"/>
        </w:sectPr>
      </w:pPr>
    </w:p>
    <w:bookmarkStart w:id="471" w:name="page472"/>
    <w:bookmarkEnd w:id="4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Dated as of the date first set forth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ALEXO THERAPEUTICS INTERNATIONAL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SIRPANT THERAPEUTICS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WESTRIVER INNOVATION LENDING FUND VIII, L.P.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472" w:name="page473"/>
    <w:bookmarkEnd w:id="4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AND FIRST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LOAN AND SECURITY AGREEMENT</w:t>
      </w:r>
    </w:p>
    <w:p>
      <w:pPr>
        <w:spacing w:after="0" w:line="207" w:lineRule="exact"/>
        <w:rPr>
          <w:sz w:val="20"/>
          <w:szCs w:val="20"/>
          <w:color w:val="auto"/>
        </w:rPr>
      </w:pPr>
    </w:p>
    <w:p>
      <w:pPr>
        <w:ind w:right="180" w:firstLine="440"/>
        <w:spacing w:after="0" w:line="289" w:lineRule="auto"/>
        <w:rPr>
          <w:sz w:val="20"/>
          <w:szCs w:val="20"/>
          <w:color w:val="auto"/>
        </w:rPr>
      </w:pPr>
      <w:r>
        <w:rPr>
          <w:rFonts w:ascii="Arial" w:cs="Arial" w:eastAsia="Arial" w:hAnsi="Arial"/>
          <w:sz w:val="16"/>
          <w:szCs w:val="16"/>
          <w:color w:val="auto"/>
        </w:rPr>
        <w:t>This Joinder and First Amendment to Loan and Security Agreement (this “</w:t>
      </w:r>
      <w:r>
        <w:rPr>
          <w:rFonts w:ascii="Arial" w:cs="Arial" w:eastAsia="Arial" w:hAnsi="Arial"/>
          <w:sz w:val="16"/>
          <w:szCs w:val="16"/>
          <w:b w:val="1"/>
          <w:bCs w:val="1"/>
          <w:color w:val="auto"/>
        </w:rPr>
        <w:t>Amendment</w:t>
      </w:r>
      <w:r>
        <w:rPr>
          <w:rFonts w:ascii="Arial" w:cs="Arial" w:eastAsia="Arial" w:hAnsi="Arial"/>
          <w:sz w:val="16"/>
          <w:szCs w:val="16"/>
          <w:color w:val="auto"/>
        </w:rPr>
        <w:t>”) is entered into this 21</w:t>
      </w:r>
      <w:r>
        <w:rPr>
          <w:rFonts w:ascii="Arial" w:cs="Arial" w:eastAsia="Arial" w:hAnsi="Arial"/>
          <w:sz w:val="13"/>
          <w:szCs w:val="13"/>
          <w:color w:val="auto"/>
        </w:rPr>
        <w:t>st</w:t>
      </w:r>
      <w:r>
        <w:rPr>
          <w:rFonts w:ascii="Arial" w:cs="Arial" w:eastAsia="Arial" w:hAnsi="Arial"/>
          <w:sz w:val="16"/>
          <w:szCs w:val="16"/>
          <w:color w:val="auto"/>
        </w:rPr>
        <w:t xml:space="preserve"> day of May, 2020, by and among (a) </w:t>
      </w:r>
      <w:r>
        <w:rPr>
          <w:rFonts w:ascii="Arial" w:cs="Arial" w:eastAsia="Arial" w:hAnsi="Arial"/>
          <w:sz w:val="16"/>
          <w:szCs w:val="16"/>
          <w:b w:val="1"/>
          <w:bCs w:val="1"/>
          <w:color w:val="auto"/>
        </w:rPr>
        <w:t>SILICON VALLEY BANK</w:t>
      </w:r>
      <w:r>
        <w:rPr>
          <w:rFonts w:ascii="Arial" w:cs="Arial" w:eastAsia="Arial" w:hAnsi="Arial"/>
          <w:sz w:val="16"/>
          <w:szCs w:val="16"/>
          <w:color w:val="auto"/>
        </w:rPr>
        <w:t>, a California corporation (“</w:t>
      </w:r>
      <w:r>
        <w:rPr>
          <w:rFonts w:ascii="Arial" w:cs="Arial" w:eastAsia="Arial" w:hAnsi="Arial"/>
          <w:sz w:val="16"/>
          <w:szCs w:val="16"/>
          <w:b w:val="1"/>
          <w:bCs w:val="1"/>
          <w:color w:val="auto"/>
        </w:rPr>
        <w:t>SVB</w:t>
      </w:r>
      <w:r>
        <w:rPr>
          <w:rFonts w:ascii="Arial" w:cs="Arial" w:eastAsia="Arial" w:hAnsi="Arial"/>
          <w:sz w:val="16"/>
          <w:szCs w:val="16"/>
          <w:color w:val="auto"/>
        </w:rPr>
        <w:t>”), in its capacity as administrative agent and collateral agent (“</w:t>
      </w:r>
      <w:r>
        <w:rPr>
          <w:rFonts w:ascii="Arial" w:cs="Arial" w:eastAsia="Arial" w:hAnsi="Arial"/>
          <w:sz w:val="16"/>
          <w:szCs w:val="16"/>
          <w:b w:val="1"/>
          <w:bCs w:val="1"/>
          <w:color w:val="auto"/>
        </w:rPr>
        <w:t>Agent</w:t>
      </w:r>
      <w:r>
        <w:rPr>
          <w:rFonts w:ascii="Arial" w:cs="Arial" w:eastAsia="Arial" w:hAnsi="Arial"/>
          <w:sz w:val="16"/>
          <w:szCs w:val="16"/>
          <w:color w:val="auto"/>
        </w:rPr>
        <w:t xml:space="preserve">”), (b) </w:t>
      </w:r>
      <w:r>
        <w:rPr>
          <w:rFonts w:ascii="Arial" w:cs="Arial" w:eastAsia="Arial" w:hAnsi="Arial"/>
          <w:sz w:val="16"/>
          <w:szCs w:val="16"/>
          <w:b w:val="1"/>
          <w:bCs w:val="1"/>
          <w:color w:val="auto"/>
        </w:rPr>
        <w:t>SILICON VALLEY BANK</w:t>
      </w:r>
      <w:r>
        <w:rPr>
          <w:rFonts w:ascii="Arial" w:cs="Arial" w:eastAsia="Arial" w:hAnsi="Arial"/>
          <w:sz w:val="16"/>
          <w:szCs w:val="16"/>
          <w:color w:val="auto"/>
        </w:rPr>
        <w:t>, a California corporation, as a lender, (c)</w:t>
      </w:r>
      <w:r>
        <w:rPr>
          <w:rFonts w:ascii="Arial" w:cs="Arial" w:eastAsia="Arial" w:hAnsi="Arial"/>
          <w:sz w:val="16"/>
          <w:szCs w:val="16"/>
          <w:b w:val="1"/>
          <w:bCs w:val="1"/>
          <w:color w:val="auto"/>
        </w:rPr>
        <w:t xml:space="preserve"> WESTRIVER INNOVATION LENDING FUND VIII, L.P.</w:t>
      </w:r>
      <w:r>
        <w:rPr>
          <w:rFonts w:ascii="Arial" w:cs="Arial" w:eastAsia="Arial" w:hAnsi="Arial"/>
          <w:sz w:val="16"/>
          <w:szCs w:val="16"/>
          <w:color w:val="auto"/>
        </w:rPr>
        <w:t>, a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partnership (“</w:t>
      </w:r>
      <w:r>
        <w:rPr>
          <w:rFonts w:ascii="Arial" w:cs="Arial" w:eastAsia="Arial" w:hAnsi="Arial"/>
          <w:sz w:val="16"/>
          <w:szCs w:val="16"/>
          <w:b w:val="1"/>
          <w:bCs w:val="1"/>
          <w:color w:val="auto"/>
        </w:rPr>
        <w:t>WestRiver</w:t>
      </w:r>
      <w:r>
        <w:rPr>
          <w:rFonts w:ascii="Arial" w:cs="Arial" w:eastAsia="Arial" w:hAnsi="Arial"/>
          <w:sz w:val="16"/>
          <w:szCs w:val="16"/>
          <w:color w:val="auto"/>
        </w:rPr>
        <w:t>”), as a lender (SVB and WestRiver and each of the other “Lenders” from time to time a party hereto are referred to herein collectively as the “</w:t>
      </w:r>
      <w:r>
        <w:rPr>
          <w:rFonts w:ascii="Arial" w:cs="Arial" w:eastAsia="Arial" w:hAnsi="Arial"/>
          <w:sz w:val="16"/>
          <w:szCs w:val="16"/>
          <w:b w:val="1"/>
          <w:bCs w:val="1"/>
          <w:color w:val="auto"/>
        </w:rPr>
        <w:t>Lenders</w:t>
      </w:r>
      <w:r>
        <w:rPr>
          <w:rFonts w:ascii="Arial" w:cs="Arial" w:eastAsia="Arial" w:hAnsi="Arial"/>
          <w:sz w:val="16"/>
          <w:szCs w:val="16"/>
          <w:color w:val="auto"/>
        </w:rPr>
        <w:t>” and each individually as a “</w:t>
      </w:r>
      <w:r>
        <w:rPr>
          <w:rFonts w:ascii="Arial" w:cs="Arial" w:eastAsia="Arial" w:hAnsi="Arial"/>
          <w:sz w:val="16"/>
          <w:szCs w:val="16"/>
          <w:b w:val="1"/>
          <w:bCs w:val="1"/>
          <w:color w:val="auto"/>
        </w:rPr>
        <w:t>Lender</w:t>
      </w:r>
      <w:r>
        <w:rPr>
          <w:rFonts w:ascii="Arial" w:cs="Arial" w:eastAsia="Arial" w:hAnsi="Arial"/>
          <w:sz w:val="16"/>
          <w:szCs w:val="16"/>
          <w:color w:val="auto"/>
        </w:rPr>
        <w:t xml:space="preserve">”), (d) (i) </w:t>
      </w:r>
      <w:r>
        <w:rPr>
          <w:rFonts w:ascii="Arial" w:cs="Arial" w:eastAsia="Arial" w:hAnsi="Arial"/>
          <w:sz w:val="16"/>
          <w:szCs w:val="16"/>
          <w:b w:val="1"/>
          <w:bCs w:val="1"/>
          <w:color w:val="auto"/>
        </w:rPr>
        <w:t>ALEXO THERAPEUTICS INTERNATIONAL</w:t>
      </w:r>
      <w:r>
        <w:rPr>
          <w:rFonts w:ascii="Arial" w:cs="Arial" w:eastAsia="Arial" w:hAnsi="Arial"/>
          <w:sz w:val="16"/>
          <w:szCs w:val="16"/>
          <w:color w:val="auto"/>
        </w:rPr>
        <w:t>, an exempted company incorporated under the laws of the Cayman Islands (“</w:t>
      </w:r>
      <w:r>
        <w:rPr>
          <w:rFonts w:ascii="Arial" w:cs="Arial" w:eastAsia="Arial" w:hAnsi="Arial"/>
          <w:sz w:val="16"/>
          <w:szCs w:val="16"/>
          <w:b w:val="1"/>
          <w:bCs w:val="1"/>
          <w:color w:val="auto"/>
        </w:rPr>
        <w:t>Alexo</w:t>
      </w:r>
      <w:r>
        <w:rPr>
          <w:rFonts w:ascii="Arial" w:cs="Arial" w:eastAsia="Arial" w:hAnsi="Arial"/>
          <w:sz w:val="16"/>
          <w:szCs w:val="16"/>
          <w:color w:val="auto"/>
        </w:rPr>
        <w:t xml:space="preserve">”), and (ii) </w:t>
      </w:r>
      <w:r>
        <w:rPr>
          <w:rFonts w:ascii="Arial" w:cs="Arial" w:eastAsia="Arial" w:hAnsi="Arial"/>
          <w:sz w:val="16"/>
          <w:szCs w:val="16"/>
          <w:b w:val="1"/>
          <w:bCs w:val="1"/>
          <w:color w:val="auto"/>
        </w:rPr>
        <w:t>SIRPANT THERAPEUTICS</w:t>
      </w:r>
      <w:r>
        <w:rPr>
          <w:rFonts w:ascii="Arial" w:cs="Arial" w:eastAsia="Arial" w:hAnsi="Arial"/>
          <w:sz w:val="16"/>
          <w:szCs w:val="16"/>
          <w:color w:val="auto"/>
        </w:rPr>
        <w:t>, an exempted company incorporated under the laws of the Cayman Islands (“</w:t>
      </w:r>
      <w:r>
        <w:rPr>
          <w:rFonts w:ascii="Arial" w:cs="Arial" w:eastAsia="Arial" w:hAnsi="Arial"/>
          <w:sz w:val="16"/>
          <w:szCs w:val="16"/>
          <w:b w:val="1"/>
          <w:bCs w:val="1"/>
          <w:color w:val="auto"/>
        </w:rPr>
        <w:t>Sirpant</w:t>
      </w:r>
      <w:r>
        <w:rPr>
          <w:rFonts w:ascii="Arial" w:cs="Arial" w:eastAsia="Arial" w:hAnsi="Arial"/>
          <w:sz w:val="16"/>
          <w:szCs w:val="16"/>
          <w:color w:val="auto"/>
        </w:rPr>
        <w:t>”; together with Alexo, individually and collectively, jointly and severally, the “</w:t>
      </w:r>
      <w:r>
        <w:rPr>
          <w:rFonts w:ascii="Arial" w:cs="Arial" w:eastAsia="Arial" w:hAnsi="Arial"/>
          <w:sz w:val="16"/>
          <w:szCs w:val="16"/>
          <w:b w:val="1"/>
          <w:bCs w:val="1"/>
          <w:color w:val="auto"/>
        </w:rPr>
        <w:t>Existing Borrower</w:t>
      </w:r>
      <w:r>
        <w:rPr>
          <w:rFonts w:ascii="Arial" w:cs="Arial" w:eastAsia="Arial" w:hAnsi="Arial"/>
          <w:sz w:val="16"/>
          <w:szCs w:val="16"/>
          <w:color w:val="auto"/>
        </w:rPr>
        <w:t xml:space="preserve">”), and (e) </w:t>
      </w:r>
      <w:r>
        <w:rPr>
          <w:rFonts w:ascii="Arial" w:cs="Arial" w:eastAsia="Arial" w:hAnsi="Arial"/>
          <w:sz w:val="16"/>
          <w:szCs w:val="16"/>
          <w:b w:val="1"/>
          <w:bCs w:val="1"/>
          <w:color w:val="auto"/>
        </w:rPr>
        <w:t>ALX ONCOLOGY HOLDINGS INC.</w:t>
      </w:r>
      <w:r>
        <w:rPr>
          <w:rFonts w:ascii="Arial" w:cs="Arial" w:eastAsia="Arial" w:hAnsi="Arial"/>
          <w:sz w:val="16"/>
          <w:szCs w:val="16"/>
          <w:color w:val="auto"/>
        </w:rPr>
        <w:t>, a Delaware corporation, whose address is 866 Malcolm Road, Suite 100, Burlingame, CA 94010 (“</w:t>
      </w:r>
      <w:r>
        <w:rPr>
          <w:rFonts w:ascii="Arial" w:cs="Arial" w:eastAsia="Arial" w:hAnsi="Arial"/>
          <w:sz w:val="16"/>
          <w:szCs w:val="16"/>
          <w:b w:val="1"/>
          <w:bCs w:val="1"/>
          <w:color w:val="auto"/>
        </w:rPr>
        <w:t>New Borrower</w:t>
      </w:r>
      <w:r>
        <w:rPr>
          <w:rFonts w:ascii="Arial" w:cs="Arial" w:eastAsia="Arial" w:hAnsi="Arial"/>
          <w:sz w:val="16"/>
          <w:szCs w:val="16"/>
          <w:color w:val="auto"/>
        </w:rPr>
        <w:t>”; and together with Existing Borrower, jointly and severally, individually and collectively, the “</w:t>
      </w:r>
      <w:r>
        <w:rPr>
          <w:rFonts w:ascii="Arial" w:cs="Arial" w:eastAsia="Arial" w:hAnsi="Arial"/>
          <w:sz w:val="16"/>
          <w:szCs w:val="16"/>
          <w:b w:val="1"/>
          <w:bCs w:val="1"/>
          <w:color w:val="auto"/>
        </w:rPr>
        <w:t>Borrower</w:t>
      </w:r>
      <w:r>
        <w:rPr>
          <w:rFonts w:ascii="Arial" w:cs="Arial" w:eastAsia="Arial" w:hAnsi="Arial"/>
          <w:sz w:val="16"/>
          <w:szCs w:val="16"/>
          <w:color w:val="auto"/>
        </w:rPr>
        <w: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9" w:lineRule="exact"/>
        <w:rPr>
          <w:sz w:val="20"/>
          <w:szCs w:val="20"/>
          <w:color w:val="auto"/>
        </w:rPr>
      </w:pPr>
    </w:p>
    <w:p>
      <w:pPr>
        <w:ind w:firstLine="436"/>
        <w:spacing w:after="0" w:line="277" w:lineRule="auto"/>
        <w:tabs>
          <w:tab w:leader="none" w:pos="795" w:val="left"/>
        </w:tabs>
        <w:numPr>
          <w:ilvl w:val="0"/>
          <w:numId w:val="411"/>
        </w:numPr>
        <w:rPr>
          <w:rFonts w:ascii="Arial" w:cs="Arial" w:eastAsia="Arial" w:hAnsi="Arial"/>
          <w:sz w:val="18"/>
          <w:szCs w:val="18"/>
          <w:b w:val="1"/>
          <w:bCs w:val="1"/>
          <w:color w:val="auto"/>
        </w:rPr>
      </w:pPr>
      <w:r>
        <w:rPr>
          <w:rFonts w:ascii="Arial" w:cs="Arial" w:eastAsia="Arial" w:hAnsi="Arial"/>
          <w:sz w:val="18"/>
          <w:szCs w:val="18"/>
          <w:color w:val="auto"/>
        </w:rPr>
        <w:t>Existing Borrower, Agent and the Lenders have entered into that certain Loan and Security Agreement dated as of December 20, 2019 (as the same may from time to time be amended, modified, supplemented or restated,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left="780" w:hanging="344"/>
        <w:spacing w:after="0"/>
        <w:tabs>
          <w:tab w:leader="none" w:pos="780" w:val="left"/>
        </w:tabs>
        <w:numPr>
          <w:ilvl w:val="0"/>
          <w:numId w:val="411"/>
        </w:numPr>
        <w:rPr>
          <w:rFonts w:ascii="Arial" w:cs="Arial" w:eastAsia="Arial" w:hAnsi="Arial"/>
          <w:sz w:val="18"/>
          <w:szCs w:val="18"/>
          <w:b w:val="1"/>
          <w:bCs w:val="1"/>
          <w:color w:val="auto"/>
        </w:rPr>
      </w:pPr>
      <w:r>
        <w:rPr>
          <w:rFonts w:ascii="Arial" w:cs="Arial" w:eastAsia="Arial" w:hAnsi="Arial"/>
          <w:sz w:val="18"/>
          <w:szCs w:val="18"/>
          <w:color w:val="auto"/>
        </w:rPr>
        <w:t>The Lenders have extended credit to Existing Borrower for the purposes permitted in the Loan Agreement.</w:t>
      </w:r>
    </w:p>
    <w:p>
      <w:pPr>
        <w:spacing w:after="0" w:line="225" w:lineRule="exact"/>
        <w:rPr>
          <w:rFonts w:ascii="Arial" w:cs="Arial" w:eastAsia="Arial" w:hAnsi="Arial"/>
          <w:sz w:val="18"/>
          <w:szCs w:val="18"/>
          <w:b w:val="1"/>
          <w:bCs w:val="1"/>
          <w:color w:val="auto"/>
        </w:rPr>
      </w:pPr>
    </w:p>
    <w:p>
      <w:pPr>
        <w:ind w:right="220" w:firstLine="436"/>
        <w:spacing w:after="0" w:line="277" w:lineRule="auto"/>
        <w:tabs>
          <w:tab w:leader="none" w:pos="795" w:val="left"/>
        </w:tabs>
        <w:numPr>
          <w:ilvl w:val="0"/>
          <w:numId w:val="411"/>
        </w:numPr>
        <w:rPr>
          <w:rFonts w:ascii="Arial" w:cs="Arial" w:eastAsia="Arial" w:hAnsi="Arial"/>
          <w:sz w:val="18"/>
          <w:szCs w:val="18"/>
          <w:b w:val="1"/>
          <w:bCs w:val="1"/>
          <w:color w:val="auto"/>
        </w:rPr>
      </w:pPr>
      <w:r>
        <w:rPr>
          <w:rFonts w:ascii="Arial" w:cs="Arial" w:eastAsia="Arial" w:hAnsi="Arial"/>
          <w:sz w:val="18"/>
          <w:szCs w:val="18"/>
          <w:color w:val="auto"/>
        </w:rPr>
        <w:t>Existing Borrower has requested that Agent and the Lenders amend the Loan Agreement to (i) add New Borrower to the Loan Agreement, and (ii) make certain other revisions to the Loan Agreement as more fully set forth herein.</w:t>
      </w:r>
    </w:p>
    <w:p>
      <w:pPr>
        <w:spacing w:after="0" w:line="170" w:lineRule="exact"/>
        <w:rPr>
          <w:rFonts w:ascii="Arial" w:cs="Arial" w:eastAsia="Arial" w:hAnsi="Arial"/>
          <w:sz w:val="18"/>
          <w:szCs w:val="18"/>
          <w:b w:val="1"/>
          <w:bCs w:val="1"/>
          <w:color w:val="auto"/>
        </w:rPr>
      </w:pPr>
    </w:p>
    <w:p>
      <w:pPr>
        <w:ind w:right="360" w:firstLine="436"/>
        <w:spacing w:after="0" w:line="277" w:lineRule="auto"/>
        <w:tabs>
          <w:tab w:leader="none" w:pos="785" w:val="left"/>
        </w:tabs>
        <w:numPr>
          <w:ilvl w:val="0"/>
          <w:numId w:val="411"/>
        </w:numPr>
        <w:rPr>
          <w:rFonts w:ascii="Arial" w:cs="Arial" w:eastAsia="Arial" w:hAnsi="Arial"/>
          <w:sz w:val="18"/>
          <w:szCs w:val="18"/>
          <w:b w:val="1"/>
          <w:bCs w:val="1"/>
          <w:color w:val="auto"/>
        </w:rPr>
      </w:pPr>
      <w:r>
        <w:rPr>
          <w:rFonts w:ascii="Arial" w:cs="Arial" w:eastAsia="Arial" w:hAnsi="Arial"/>
          <w:sz w:val="18"/>
          <w:szCs w:val="18"/>
          <w:color w:val="auto"/>
        </w:rPr>
        <w:t>Agent and the Lenders have agreed to so amend certain provisions of the Loan Agreement, but only to the extent, in accordance with the terms, subject to the conditions and in reliance upon the representations and warranties set forth below.</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225"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foregoing recitals and other good and valuable consideration, the receipt and adequacy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and intending to be legally bound, the parties hereto agree as follows:</w:t>
      </w:r>
    </w:p>
    <w:p>
      <w:pPr>
        <w:spacing w:after="0" w:line="54" w:lineRule="exact"/>
        <w:rPr>
          <w:sz w:val="20"/>
          <w:szCs w:val="20"/>
          <w:color w:val="auto"/>
        </w:rPr>
      </w:pPr>
    </w:p>
    <w:p>
      <w:pPr>
        <w:ind w:left="760" w:hanging="324"/>
        <w:spacing w:after="0"/>
        <w:tabs>
          <w:tab w:leader="none" w:pos="760" w:val="left"/>
        </w:tabs>
        <w:numPr>
          <w:ilvl w:val="0"/>
          <w:numId w:val="4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Capitalized terms used but not defined in this Amendment shall have the meanings given to them in the Loan Agreement.</w:t>
      </w:r>
    </w:p>
    <w:p>
      <w:pPr>
        <w:spacing w:after="0" w:line="236" w:lineRule="exact"/>
        <w:rPr>
          <w:rFonts w:ascii="Arial" w:cs="Arial" w:eastAsia="Arial" w:hAnsi="Arial"/>
          <w:sz w:val="17"/>
          <w:szCs w:val="17"/>
          <w:b w:val="1"/>
          <w:bCs w:val="1"/>
          <w:color w:val="auto"/>
        </w:rPr>
      </w:pPr>
    </w:p>
    <w:p>
      <w:pPr>
        <w:ind w:right="40" w:firstLine="436"/>
        <w:spacing w:after="0" w:line="312" w:lineRule="auto"/>
        <w:tabs>
          <w:tab w:leader="none" w:pos="755" w:val="left"/>
        </w:tabs>
        <w:numPr>
          <w:ilvl w:val="0"/>
          <w:numId w:val="412"/>
        </w:numPr>
        <w:rPr>
          <w:rFonts w:ascii="Arial" w:cs="Arial" w:eastAsia="Arial" w:hAnsi="Arial"/>
          <w:sz w:val="17"/>
          <w:szCs w:val="17"/>
          <w:b w:val="1"/>
          <w:bCs w:val="1"/>
          <w:color w:val="auto"/>
        </w:rPr>
      </w:pPr>
      <w:r>
        <w:rPr>
          <w:rFonts w:ascii="Arial" w:cs="Arial" w:eastAsia="Arial" w:hAnsi="Arial"/>
          <w:sz w:val="17"/>
          <w:szCs w:val="17"/>
          <w:b w:val="1"/>
          <w:bCs w:val="1"/>
          <w:color w:val="auto"/>
        </w:rPr>
        <w:t>Joinder to Loan Agreement</w:t>
      </w:r>
      <w:r>
        <w:rPr>
          <w:rFonts w:ascii="Arial" w:cs="Arial" w:eastAsia="Arial" w:hAnsi="Arial"/>
          <w:sz w:val="17"/>
          <w:szCs w:val="17"/>
          <w:color w:val="auto"/>
        </w:rPr>
        <w:t>. The undersigned, New Borrower, hereby joins the Loan Agreement and each of the Loan Agreement and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as if it were originally named a “Borrower” therein. Without limiting the generality of the preceding sentence, New</w:t>
      </w:r>
    </w:p>
    <w:p>
      <w:pPr>
        <w:sectPr>
          <w:pgSz w:w="11900" w:h="16838" w:orient="portrait"/>
          <w:cols w:equalWidth="0" w:num="1">
            <w:col w:w="10980"/>
          </w:cols>
          <w:pgMar w:left="440" w:top="270" w:right="479" w:bottom="1440" w:gutter="0" w:footer="0" w:header="0"/>
        </w:sectPr>
      </w:pPr>
    </w:p>
    <w:bookmarkStart w:id="473" w:name="page474"/>
    <w:bookmarkEnd w:id="473"/>
    <w:p>
      <w:pPr>
        <w:ind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agrees that it will be jointly and severally liable, together with Existing Borrower, for the payment and performance of all obligations and liabilities of Borrower under the Loan Agreement, including, without limitation, the Obligations. Each Borrower hereby appoints the other as agent for the other for all purposes hereunder. Each Borrower hereunder shall be obligated to repay all Credit Extensions made pursuant to the Loan Agreement, regardless of which Borrower actually receives said Credit Extension, as if each Borrower hereunder directly received all Credit Extensions.</w:t>
      </w:r>
    </w:p>
    <w:p>
      <w:pPr>
        <w:spacing w:after="0" w:line="153" w:lineRule="exact"/>
        <w:rPr>
          <w:sz w:val="20"/>
          <w:szCs w:val="20"/>
          <w:color w:val="auto"/>
        </w:rPr>
      </w:pPr>
    </w:p>
    <w:p>
      <w:pPr>
        <w:ind w:firstLine="436"/>
        <w:spacing w:after="0" w:line="268" w:lineRule="auto"/>
        <w:tabs>
          <w:tab w:leader="none" w:pos="755" w:val="left"/>
        </w:tabs>
        <w:numPr>
          <w:ilvl w:val="0"/>
          <w:numId w:val="413"/>
        </w:numPr>
        <w:rPr>
          <w:rFonts w:ascii="Arial" w:cs="Arial" w:eastAsia="Arial" w:hAnsi="Arial"/>
          <w:sz w:val="17"/>
          <w:szCs w:val="17"/>
          <w:b w:val="1"/>
          <w:bCs w:val="1"/>
          <w:color w:val="auto"/>
        </w:rPr>
      </w:pPr>
      <w:r>
        <w:rPr>
          <w:rFonts w:ascii="Arial" w:cs="Arial" w:eastAsia="Arial" w:hAnsi="Arial"/>
          <w:sz w:val="17"/>
          <w:szCs w:val="17"/>
          <w:b w:val="1"/>
          <w:bCs w:val="1"/>
          <w:color w:val="auto"/>
        </w:rPr>
        <w:t>Subrogation and Similar Rights</w:t>
      </w:r>
      <w:r>
        <w:rPr>
          <w:rFonts w:ascii="Arial" w:cs="Arial" w:eastAsia="Arial" w:hAnsi="Arial"/>
          <w:sz w:val="17"/>
          <w:szCs w:val="17"/>
          <w:color w:val="auto"/>
        </w:rPr>
        <w:t>. Each Borrower waives any suretyship defenses available to it under the Code or any other 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Each Borrower waives any right to require Agent or the Lenders to: (i) proceed against either Borrower or any other person; (ii) proceed against or exhaust any security; or (iii) pursue any other remedy. Agent and the Lenders may exercise or not exercise any right or remedy it has against either Borrower or any security it holds (including the right to foreclose by judicial or non-judicial sale) without affecting any Borrower’s liability. Notwithstanding any other provision of this Amendment, the Loan Agreement or other Loan Documents, each Borrower agrees not to exercise any rights that it may have at law or in equity (including, without limitation, any law subrogating Borrower to the rights of Agent and the Lenders under the Loan Agreement) to seek contribution, indemnification or any other form of reimbursement from the other Borrower, or any other Person now or hereafter primarily or secondarily liable for any of the Obligations, for any payment made by Borrower with respect to the Obligations in connection with the Loan Agreement or otherwise and all rights that it might have to benefit from, or to participate in, any security for the Obligations as a result of any payment made by either Borrower with respect to the Obligations in connection with the Loan Agreement or otherwise until the Obligations (other than inchoate indemnity obligations) have been paid and performed in full. Any agreement providing for indemnification, reimbursement or any other arrangement prohibited under this Section shall be null and void. If any payment is made to a Borrower in contravention of this Section, such Borrower shall hold such payment in trust for Agent and such payment shall be promptly delivered to Agent for application to the Obligations, whether matured or unmatured</w:t>
      </w:r>
    </w:p>
    <w:p>
      <w:pPr>
        <w:spacing w:after="0" w:line="184" w:lineRule="exact"/>
        <w:rPr>
          <w:rFonts w:ascii="Arial" w:cs="Arial" w:eastAsia="Arial" w:hAnsi="Arial"/>
          <w:sz w:val="17"/>
          <w:szCs w:val="17"/>
          <w:b w:val="1"/>
          <w:bCs w:val="1"/>
          <w:color w:val="auto"/>
        </w:rPr>
      </w:pPr>
    </w:p>
    <w:p>
      <w:pPr>
        <w:ind w:firstLine="436"/>
        <w:spacing w:after="0" w:line="288" w:lineRule="auto"/>
        <w:tabs>
          <w:tab w:leader="none" w:pos="755" w:val="left"/>
        </w:tabs>
        <w:numPr>
          <w:ilvl w:val="0"/>
          <w:numId w:val="413"/>
        </w:numPr>
        <w:rPr>
          <w:rFonts w:ascii="Arial" w:cs="Arial" w:eastAsia="Arial" w:hAnsi="Arial"/>
          <w:sz w:val="16"/>
          <w:szCs w:val="16"/>
          <w:b w:val="1"/>
          <w:bCs w:val="1"/>
          <w:color w:val="auto"/>
        </w:rPr>
      </w:pPr>
      <w:r>
        <w:rPr>
          <w:rFonts w:ascii="Arial" w:cs="Arial" w:eastAsia="Arial" w:hAnsi="Arial"/>
          <w:sz w:val="16"/>
          <w:szCs w:val="16"/>
          <w:b w:val="1"/>
          <w:bCs w:val="1"/>
          <w:color w:val="auto"/>
        </w:rPr>
        <w:t>Grant of Security Interest</w:t>
      </w:r>
      <w:r>
        <w:rPr>
          <w:rFonts w:ascii="Arial" w:cs="Arial" w:eastAsia="Arial" w:hAnsi="Arial"/>
          <w:sz w:val="16"/>
          <w:szCs w:val="16"/>
          <w:color w:val="auto"/>
        </w:rPr>
        <w:t>. To secure the prompt payment and performance of all the Obligations, New Borrower hereby grants to Agent,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ratable benefit of the Lenders, a continuing lien upon and security interest in all of New Borrower’s now existing or hereafter arising rights and interest in the Collateral, whether now owned or existing or hereafter created, acquired or arising, and wherever located, including, without limitation, all of New Borrower’s assets, and all New Borrower’s books relating to the foregoing and any and all claims, rights and interest in any of the above and all substitutions for, additions, attachments, accessories, accessions and improvements to and replacements, products, proceeds and insurance proceeds of any or all of the foregoing. New Borrower further covenants and agrees that by its execution hereof it shall provide all such information, complete all such forms, and take all such actions, and enter into all such agreements, in form and substance reasonably satisfactory to Agent and the Lenders that are reasonably deemed necessary by Agent and the Lenders in order to grant a valid, perfected first priority security interest to Agent, for the ratable benefit of the Lenders, in the Collateral. New Borrower hereby authorizes Agent to file financing statements, without notice to Borrower, with all appropriate jurisdictions in order to perfect or protect Agent’s, for the ratable benefit of the Lenders’, interest or rights hereunder, including a notice that any disposition of the Collateral, by either Borrower or any other Person, shall be deemed to violate the rights of the Agent or the</w:t>
      </w:r>
    </w:p>
    <w:p>
      <w:pPr>
        <w:sectPr>
          <w:pgSz w:w="11900" w:h="16838" w:orient="portrait"/>
          <w:cols w:equalWidth="0" w:num="1">
            <w:col w:w="11000"/>
          </w:cols>
          <w:pgMar w:left="440" w:top="274" w:right="459" w:bottom="1440" w:gutter="0" w:footer="0" w:header="0"/>
        </w:sectPr>
      </w:pPr>
    </w:p>
    <w:bookmarkStart w:id="474" w:name="page475"/>
    <w:bookmarkEnd w:id="474"/>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Lenders under the Code. Such financing statements may indicate the Collateral as “all assets of the Debtor” or words of similar effect, or as being of an equal or lesser scope, or with greater detail, all in Agent’s discretion.</w:t>
      </w:r>
    </w:p>
    <w:p>
      <w:pPr>
        <w:spacing w:after="0" w:line="166" w:lineRule="exact"/>
        <w:rPr>
          <w:sz w:val="20"/>
          <w:szCs w:val="20"/>
          <w:color w:val="auto"/>
        </w:rPr>
      </w:pPr>
    </w:p>
    <w:p>
      <w:pPr>
        <w:ind w:firstLine="436"/>
        <w:spacing w:after="0" w:line="289" w:lineRule="auto"/>
        <w:tabs>
          <w:tab w:leader="none" w:pos="755" w:val="left"/>
        </w:tabs>
        <w:numPr>
          <w:ilvl w:val="0"/>
          <w:numId w:val="4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Representations and Warranties. </w:t>
      </w:r>
      <w:r>
        <w:rPr>
          <w:rFonts w:ascii="Arial" w:cs="Arial" w:eastAsia="Arial" w:hAnsi="Arial"/>
          <w:sz w:val="17"/>
          <w:szCs w:val="17"/>
          <w:color w:val="auto"/>
        </w:rPr>
        <w:t>New Borrower hereby represents and warrants to Agent that all representations and warranties in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made on the part of Existing Borrower are true and correct on the date hereof with respect to New Borrower, with the same force and effect as if New Borrower were named as “Borrower” in the Loan Documents in addition to Existing Borrower.</w:t>
      </w:r>
    </w:p>
    <w:p>
      <w:pPr>
        <w:spacing w:after="0" w:line="157" w:lineRule="exact"/>
        <w:rPr>
          <w:rFonts w:ascii="Arial" w:cs="Arial" w:eastAsia="Arial" w:hAnsi="Arial"/>
          <w:sz w:val="17"/>
          <w:szCs w:val="17"/>
          <w:b w:val="1"/>
          <w:bCs w:val="1"/>
          <w:color w:val="auto"/>
        </w:rPr>
      </w:pPr>
    </w:p>
    <w:p>
      <w:pPr>
        <w:ind w:right="1380" w:firstLine="436"/>
        <w:spacing w:after="0" w:line="282" w:lineRule="auto"/>
        <w:tabs>
          <w:tab w:leader="none" w:pos="755"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Documents</w:t>
      </w:r>
      <w:r>
        <w:rPr>
          <w:rFonts w:ascii="Arial" w:cs="Arial" w:eastAsia="Arial" w:hAnsi="Arial"/>
          <w:sz w:val="18"/>
          <w:szCs w:val="18"/>
          <w:color w:val="auto"/>
        </w:rPr>
        <w:t>. New Borrower hereby agrees that the following documents shall be delivered to Agent prior to or</w:t>
      </w:r>
      <w:r>
        <w:rPr>
          <w:rFonts w:ascii="Arial" w:cs="Arial" w:eastAsia="Arial" w:hAnsi="Arial"/>
          <w:sz w:val="18"/>
          <w:szCs w:val="18"/>
          <w:b w:val="1"/>
          <w:bCs w:val="1"/>
          <w:color w:val="auto"/>
        </w:rPr>
        <w:t xml:space="preserve"> </w:t>
      </w:r>
      <w:r>
        <w:rPr>
          <w:rFonts w:ascii="Arial" w:cs="Arial" w:eastAsia="Arial" w:hAnsi="Arial"/>
          <w:sz w:val="18"/>
          <w:szCs w:val="18"/>
          <w:color w:val="auto"/>
        </w:rPr>
        <w:t>contemporaneously with delivery of this Amendment, each in form and substance satisfactory to Agent:</w:t>
      </w:r>
    </w:p>
    <w:p>
      <w:pPr>
        <w:spacing w:after="0" w:line="71" w:lineRule="exact"/>
        <w:rPr>
          <w:sz w:val="20"/>
          <w:szCs w:val="20"/>
          <w:color w:val="auto"/>
        </w:rPr>
      </w:pPr>
    </w:p>
    <w:p>
      <w:pPr>
        <w:ind w:left="960" w:hanging="532"/>
        <w:spacing w:after="0"/>
        <w:tabs>
          <w:tab w:leader="none" w:pos="96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a duly executed secretary’s corporate borrowing certificate for New Borrower, together with the duly executed signatures thereto;</w:t>
      </w:r>
    </w:p>
    <w:p>
      <w:pPr>
        <w:spacing w:after="0" w:line="142" w:lineRule="exact"/>
        <w:rPr>
          <w:rFonts w:ascii="Arial" w:cs="Arial" w:eastAsia="Arial" w:hAnsi="Arial"/>
          <w:sz w:val="17"/>
          <w:szCs w:val="17"/>
          <w:color w:val="auto"/>
        </w:rPr>
      </w:pPr>
    </w:p>
    <w:p>
      <w:pPr>
        <w:ind w:left="960" w:right="140" w:hanging="532"/>
        <w:spacing w:after="0" w:line="277" w:lineRule="auto"/>
        <w:tabs>
          <w:tab w:leader="none" w:pos="9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Operating Documents and long-form good standing certificate of New Borrower certified by the Secretary of State of Delaware, each as of a date no earlier than thirty (30) days prior to the date hereof;</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duly executed signatures to the completed Borrowing Resolutions for New Borrower;</w:t>
      </w:r>
    </w:p>
    <w:p>
      <w:pPr>
        <w:spacing w:after="0" w:line="130" w:lineRule="exact"/>
        <w:rPr>
          <w:rFonts w:ascii="Arial" w:cs="Arial" w:eastAsia="Arial" w:hAnsi="Arial"/>
          <w:sz w:val="18"/>
          <w:szCs w:val="18"/>
          <w:color w:val="auto"/>
        </w:rPr>
      </w:pPr>
    </w:p>
    <w:p>
      <w:pPr>
        <w:ind w:left="960" w:right="100" w:hanging="532"/>
        <w:spacing w:after="0" w:line="263" w:lineRule="auto"/>
        <w:tabs>
          <w:tab w:leader="none" w:pos="9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Agent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Perfection Certificate of New Borrower, together with the duly executed signatures thereto;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such other documents as Agent may reasonably request.</w:t>
      </w:r>
    </w:p>
    <w:p>
      <w:pPr>
        <w:spacing w:after="0" w:line="221"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Amendments to Loan Agreement.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Preamble</w:t>
      </w:r>
      <w:r>
        <w:rPr>
          <w:rFonts w:ascii="Arial" w:cs="Arial" w:eastAsia="Arial" w:hAnsi="Arial"/>
          <w:sz w:val="16"/>
          <w:szCs w:val="16"/>
          <w:color w:val="auto"/>
        </w:rPr>
        <w:t>. The preamble is amended in its entirety and replaced with the following:</w:t>
      </w:r>
    </w:p>
    <w:p>
      <w:pPr>
        <w:spacing w:after="0" w:line="225" w:lineRule="exact"/>
        <w:rPr>
          <w:sz w:val="20"/>
          <w:szCs w:val="20"/>
          <w:color w:val="auto"/>
        </w:rPr>
      </w:pPr>
    </w:p>
    <w:p>
      <w:pPr>
        <w:ind w:left="980" w:right="120"/>
        <w:spacing w:after="0" w:line="25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THIS LOAN AND SECURITY AGREEMENT</w:t>
      </w:r>
      <w:r>
        <w:rPr>
          <w:rFonts w:ascii="Arial" w:cs="Arial" w:eastAsia="Arial" w:hAnsi="Arial"/>
          <w:sz w:val="18"/>
          <w:szCs w:val="18"/>
          <w:color w:val="auto"/>
        </w:rPr>
        <w:t xml:space="preserve"> (as amended, restated, modified or otherwise supplemented from time to time,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December 20, 2019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among (a) </w:t>
      </w: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in its capacity as administrative agent and collateral agent (“</w:t>
      </w:r>
      <w:r>
        <w:rPr>
          <w:rFonts w:ascii="Arial" w:cs="Arial" w:eastAsia="Arial" w:hAnsi="Arial"/>
          <w:sz w:val="18"/>
          <w:szCs w:val="18"/>
          <w:b w:val="1"/>
          <w:bCs w:val="1"/>
          <w:color w:val="auto"/>
        </w:rPr>
        <w:t>Agent</w:t>
      </w:r>
      <w:r>
        <w:rPr>
          <w:rFonts w:ascii="Arial" w:cs="Arial" w:eastAsia="Arial" w:hAnsi="Arial"/>
          <w:sz w:val="18"/>
          <w:szCs w:val="18"/>
          <w:color w:val="auto"/>
        </w:rPr>
        <w:t xml:space="preserve">”), (b) </w:t>
      </w: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as a lender (“</w:t>
      </w:r>
      <w:r>
        <w:rPr>
          <w:rFonts w:ascii="Arial" w:cs="Arial" w:eastAsia="Arial" w:hAnsi="Arial"/>
          <w:sz w:val="18"/>
          <w:szCs w:val="18"/>
          <w:b w:val="1"/>
          <w:bCs w:val="1"/>
          <w:color w:val="auto"/>
        </w:rPr>
        <w:t>SVB</w:t>
      </w:r>
      <w:r>
        <w:rPr>
          <w:rFonts w:ascii="Arial" w:cs="Arial" w:eastAsia="Arial" w:hAnsi="Arial"/>
          <w:sz w:val="18"/>
          <w:szCs w:val="18"/>
          <w:color w:val="auto"/>
        </w:rPr>
        <w:t xml:space="preserve">”), (c) </w:t>
      </w:r>
      <w:r>
        <w:rPr>
          <w:rFonts w:ascii="Arial" w:cs="Arial" w:eastAsia="Arial" w:hAnsi="Arial"/>
          <w:sz w:val="18"/>
          <w:szCs w:val="18"/>
          <w:b w:val="1"/>
          <w:bCs w:val="1"/>
          <w:color w:val="auto"/>
        </w:rPr>
        <w:t>WESTRIVER INNOVATION LENDING FUND VIII, L.P.</w:t>
      </w:r>
      <w:r>
        <w:rPr>
          <w:rFonts w:ascii="Arial" w:cs="Arial" w:eastAsia="Arial" w:hAnsi="Arial"/>
          <w:sz w:val="18"/>
          <w:szCs w:val="18"/>
          <w:color w:val="auto"/>
        </w:rPr>
        <w:t>, a Delaware limited partnership (“</w:t>
      </w:r>
      <w:r>
        <w:rPr>
          <w:rFonts w:ascii="Arial" w:cs="Arial" w:eastAsia="Arial" w:hAnsi="Arial"/>
          <w:sz w:val="18"/>
          <w:szCs w:val="18"/>
          <w:b w:val="1"/>
          <w:bCs w:val="1"/>
          <w:color w:val="auto"/>
        </w:rPr>
        <w:t>WestRiver</w:t>
      </w:r>
      <w:r>
        <w:rPr>
          <w:rFonts w:ascii="Arial" w:cs="Arial" w:eastAsia="Arial" w:hAnsi="Arial"/>
          <w:sz w:val="18"/>
          <w:szCs w:val="18"/>
          <w:color w:val="auto"/>
        </w:rPr>
        <w:t>”), as a lender (SVB and WestRiver and each of the other “Lenders” from time to time a party</w:t>
      </w:r>
    </w:p>
    <w:p>
      <w:pPr>
        <w:sectPr>
          <w:pgSz w:w="11900" w:h="16838" w:orient="portrait"/>
          <w:cols w:equalWidth="0" w:num="1">
            <w:col w:w="10980"/>
          </w:cols>
          <w:pgMar w:left="440" w:top="274" w:right="479" w:bottom="1440" w:gutter="0" w:footer="0" w:header="0"/>
        </w:sectPr>
      </w:pPr>
    </w:p>
    <w:bookmarkStart w:id="475" w:name="page476"/>
    <w:bookmarkEnd w:id="475"/>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hereto are referred to herein collectively as the “</w:t>
      </w:r>
      <w:r>
        <w:rPr>
          <w:rFonts w:ascii="Arial" w:cs="Arial" w:eastAsia="Arial" w:hAnsi="Arial"/>
          <w:sz w:val="18"/>
          <w:szCs w:val="18"/>
          <w:b w:val="1"/>
          <w:bCs w:val="1"/>
          <w:color w:val="auto"/>
        </w:rPr>
        <w:t>Lenders</w:t>
      </w:r>
      <w:r>
        <w:rPr>
          <w:rFonts w:ascii="Arial" w:cs="Arial" w:eastAsia="Arial" w:hAnsi="Arial"/>
          <w:sz w:val="18"/>
          <w:szCs w:val="18"/>
          <w:color w:val="auto"/>
        </w:rPr>
        <w:t>” and each individually as a “</w:t>
      </w:r>
      <w:r>
        <w:rPr>
          <w:rFonts w:ascii="Arial" w:cs="Arial" w:eastAsia="Arial" w:hAnsi="Arial"/>
          <w:sz w:val="18"/>
          <w:szCs w:val="18"/>
          <w:b w:val="1"/>
          <w:bCs w:val="1"/>
          <w:color w:val="auto"/>
        </w:rPr>
        <w:t>Lender</w:t>
      </w:r>
      <w:r>
        <w:rPr>
          <w:rFonts w:ascii="Arial" w:cs="Arial" w:eastAsia="Arial" w:hAnsi="Arial"/>
          <w:sz w:val="18"/>
          <w:szCs w:val="18"/>
          <w:color w:val="auto"/>
        </w:rPr>
        <w:t xml:space="preserve">”), and (d) (i) </w:t>
      </w:r>
      <w:r>
        <w:rPr>
          <w:rFonts w:ascii="Arial" w:cs="Arial" w:eastAsia="Arial" w:hAnsi="Arial"/>
          <w:sz w:val="18"/>
          <w:szCs w:val="18"/>
          <w:b w:val="1"/>
          <w:bCs w:val="1"/>
          <w:color w:val="auto"/>
        </w:rPr>
        <w:t>ALEXO THERAPEUTICS</w:t>
      </w:r>
      <w:r>
        <w:rPr>
          <w:rFonts w:ascii="Arial" w:cs="Arial" w:eastAsia="Arial" w:hAnsi="Arial"/>
          <w:sz w:val="18"/>
          <w:szCs w:val="18"/>
          <w:color w:val="auto"/>
        </w:rPr>
        <w:t xml:space="preserve"> </w:t>
      </w:r>
      <w:r>
        <w:rPr>
          <w:rFonts w:ascii="Arial" w:cs="Arial" w:eastAsia="Arial" w:hAnsi="Arial"/>
          <w:sz w:val="18"/>
          <w:szCs w:val="18"/>
          <w:b w:val="1"/>
          <w:bCs w:val="1"/>
          <w:color w:val="auto"/>
        </w:rPr>
        <w:t>INTERNATIONAL</w:t>
      </w:r>
      <w:r>
        <w:rPr>
          <w:rFonts w:ascii="Arial" w:cs="Arial" w:eastAsia="Arial" w:hAnsi="Arial"/>
          <w:sz w:val="18"/>
          <w:szCs w:val="18"/>
          <w:color w:val="auto"/>
        </w:rPr>
        <w:t>, an exempted company incorporated under the laws of the Cayman Islands (“</w:t>
      </w:r>
      <w:r>
        <w:rPr>
          <w:rFonts w:ascii="Arial" w:cs="Arial" w:eastAsia="Arial" w:hAnsi="Arial"/>
          <w:sz w:val="18"/>
          <w:szCs w:val="18"/>
          <w:b w:val="1"/>
          <w:bCs w:val="1"/>
          <w:color w:val="auto"/>
        </w:rPr>
        <w:t>Alexo</w:t>
      </w:r>
      <w:r>
        <w:rPr>
          <w:rFonts w:ascii="Arial" w:cs="Arial" w:eastAsia="Arial" w:hAnsi="Arial"/>
          <w:sz w:val="18"/>
          <w:szCs w:val="18"/>
          <w:color w:val="auto"/>
        </w:rPr>
        <w:t>”), (ii)</w:t>
      </w:r>
      <w:r>
        <w:rPr>
          <w:rFonts w:ascii="Arial" w:cs="Arial" w:eastAsia="Arial" w:hAnsi="Arial"/>
          <w:sz w:val="18"/>
          <w:szCs w:val="18"/>
          <w:b w:val="1"/>
          <w:bCs w:val="1"/>
          <w:color w:val="auto"/>
        </w:rPr>
        <w:t xml:space="preserve"> SIRPANT THERAPEUTICS</w:t>
      </w:r>
      <w:r>
        <w:rPr>
          <w:rFonts w:ascii="Arial" w:cs="Arial" w:eastAsia="Arial" w:hAnsi="Arial"/>
          <w:sz w:val="18"/>
          <w:szCs w:val="18"/>
          <w:color w:val="auto"/>
        </w:rPr>
        <w:t>, an exempted company incorporated under the laws of the Cayman Islands (“</w:t>
      </w:r>
      <w:r>
        <w:rPr>
          <w:rFonts w:ascii="Arial" w:cs="Arial" w:eastAsia="Arial" w:hAnsi="Arial"/>
          <w:sz w:val="18"/>
          <w:szCs w:val="18"/>
          <w:b w:val="1"/>
          <w:bCs w:val="1"/>
          <w:color w:val="auto"/>
        </w:rPr>
        <w:t>Sirpant</w:t>
      </w:r>
      <w:r>
        <w:rPr>
          <w:rFonts w:ascii="Arial" w:cs="Arial" w:eastAsia="Arial" w:hAnsi="Arial"/>
          <w:sz w:val="18"/>
          <w:szCs w:val="18"/>
          <w:color w:val="auto"/>
        </w:rPr>
        <w:t>”) and (iii)</w:t>
      </w:r>
      <w:r>
        <w:rPr>
          <w:rFonts w:ascii="Arial" w:cs="Arial" w:eastAsia="Arial" w:hAnsi="Arial"/>
          <w:sz w:val="18"/>
          <w:szCs w:val="18"/>
          <w:b w:val="1"/>
          <w:bCs w:val="1"/>
          <w:color w:val="auto"/>
        </w:rPr>
        <w:t xml:space="preserve"> ALX ONCOLOGY HOLDINGS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Parent</w:t>
      </w:r>
      <w:r>
        <w:rPr>
          <w:rFonts w:ascii="Arial" w:cs="Arial" w:eastAsia="Arial" w:hAnsi="Arial"/>
          <w:sz w:val="18"/>
          <w:szCs w:val="18"/>
          <w:color w:val="auto"/>
        </w:rPr>
        <w:t>”; together with Sirpant and Alexo, individually and collectively, jointly and</w:t>
      </w:r>
      <w:r>
        <w:rPr>
          <w:rFonts w:ascii="Arial" w:cs="Arial" w:eastAsia="Arial" w:hAnsi="Arial"/>
          <w:sz w:val="18"/>
          <w:szCs w:val="18"/>
          <w:b w:val="1"/>
          <w:bCs w:val="1"/>
          <w:color w:val="auto"/>
        </w:rPr>
        <w:t xml:space="preserve"> </w:t>
      </w:r>
      <w:r>
        <w:rPr>
          <w:rFonts w:ascii="Arial" w:cs="Arial" w:eastAsia="Arial" w:hAnsi="Arial"/>
          <w:sz w:val="18"/>
          <w:szCs w:val="18"/>
          <w:color w:val="auto"/>
        </w:rPr>
        <w:t>severally, the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Agent and the Lenders shall lend to Borrower, and Borrower shall repay Agent and the Lenders. The parties agree as follows:”</w:t>
      </w:r>
    </w:p>
    <w:p>
      <w:pPr>
        <w:spacing w:after="0" w:line="1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Section 2.7 (Withholding)</w:t>
      </w:r>
      <w:r>
        <w:rPr>
          <w:rFonts w:ascii="Arial" w:cs="Arial" w:eastAsia="Arial" w:hAnsi="Arial"/>
          <w:sz w:val="16"/>
          <w:szCs w:val="16"/>
          <w:color w:val="auto"/>
        </w:rPr>
        <w:t>. Section 2.7 is amended in its entirety and replaced with the following: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2.7  Withholding</w:t>
      </w:r>
      <w:r>
        <w:rPr>
          <w:rFonts w:ascii="Arial" w:cs="Arial" w:eastAsia="Arial" w:hAnsi="Arial"/>
          <w:sz w:val="18"/>
          <w:szCs w:val="18"/>
          <w:color w:val="auto"/>
        </w:rPr>
        <w:t>.</w:t>
      </w:r>
    </w:p>
    <w:p>
      <w:pPr>
        <w:spacing w:after="0" w:line="121" w:lineRule="exact"/>
        <w:rPr>
          <w:sz w:val="20"/>
          <w:szCs w:val="20"/>
          <w:color w:val="auto"/>
        </w:rPr>
      </w:pPr>
    </w:p>
    <w:p>
      <w:pPr>
        <w:ind w:left="440" w:right="60" w:firstLine="391"/>
        <w:spacing w:after="0" w:line="268" w:lineRule="auto"/>
        <w:tabs>
          <w:tab w:leader="none" w:pos="1203" w:val="left"/>
        </w:tabs>
        <w:numPr>
          <w:ilvl w:val="1"/>
          <w:numId w:val="417"/>
        </w:numPr>
        <w:rPr>
          <w:rFonts w:ascii="Arial" w:cs="Arial" w:eastAsia="Arial" w:hAnsi="Arial"/>
          <w:sz w:val="17"/>
          <w:szCs w:val="17"/>
          <w:color w:val="auto"/>
        </w:rPr>
      </w:pPr>
      <w:r>
        <w:rPr>
          <w:rFonts w:ascii="Arial" w:cs="Arial" w:eastAsia="Arial" w:hAnsi="Arial"/>
          <w:sz w:val="17"/>
          <w:szCs w:val="17"/>
          <w:color w:val="auto"/>
        </w:rPr>
        <w:t>Payments made by Borrower under this Agreement will be made free and clear of and without deduction for any and all present or future taxes, levies, imposts, duties, deductions, withholdings, assessments, fees or other charges imposed by any Governmental Authority (including any interest, additions to tax or penalties applicable thereto) (“</w:t>
      </w:r>
      <w:r>
        <w:rPr>
          <w:rFonts w:ascii="Arial" w:cs="Arial" w:eastAsia="Arial" w:hAnsi="Arial"/>
          <w:sz w:val="17"/>
          <w:szCs w:val="17"/>
          <w:b w:val="1"/>
          <w:bCs w:val="1"/>
          <w:color w:val="auto"/>
        </w:rPr>
        <w:t>Taxes</w:t>
      </w:r>
      <w:r>
        <w:rPr>
          <w:rFonts w:ascii="Arial" w:cs="Arial" w:eastAsia="Arial" w:hAnsi="Arial"/>
          <w:sz w:val="17"/>
          <w:szCs w:val="17"/>
          <w:color w:val="auto"/>
        </w:rPr>
        <w:t>”), except as required by applicable law. Specifically, however, if at any time any Governmental Authority, applicable law, regulation or international agreement requires Borrower to make any withholding or deduction of Taxes from any such payment or other sum payable hereunder, Borrower hereby covenants and agrees that the amount due from Borrower with respect to such payment or other sum payable hereunder will be increased to the extent necessary to ensure that, after the making of such required withholding or deduction, the applicable recipient receives a net sum equal to the sum which it would have received had no withholding or deduction been required, and Borrower shall pay the full amount withheld or deducted to the relevant Governmental Authority, provided, however, that no such additional amounts will be paid in respect of any amounts required to be withheld (x) under FATCA or (y) under U.S. backup withholding rules. Borrower will, upon request, furnish Agent with proof reasonably satisfactory to Agent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2.7 shall survive the termination of this Agreement.</w:t>
      </w:r>
    </w:p>
    <w:p>
      <w:pPr>
        <w:spacing w:after="0" w:line="73" w:lineRule="exact"/>
        <w:rPr>
          <w:rFonts w:ascii="Arial" w:cs="Arial" w:eastAsia="Arial" w:hAnsi="Arial"/>
          <w:sz w:val="17"/>
          <w:szCs w:val="17"/>
          <w:color w:val="auto"/>
        </w:rPr>
      </w:pPr>
    </w:p>
    <w:p>
      <w:pPr>
        <w:ind w:left="440" w:right="240" w:firstLine="391"/>
        <w:spacing w:after="0" w:line="277" w:lineRule="auto"/>
        <w:tabs>
          <w:tab w:leader="none" w:pos="1213" w:val="left"/>
        </w:tabs>
        <w:numPr>
          <w:ilvl w:val="1"/>
          <w:numId w:val="417"/>
        </w:numPr>
        <w:rPr>
          <w:rFonts w:ascii="Arial" w:cs="Arial" w:eastAsia="Arial" w:hAnsi="Arial"/>
          <w:sz w:val="18"/>
          <w:szCs w:val="18"/>
          <w:color w:val="auto"/>
        </w:rPr>
      </w:pPr>
      <w:r>
        <w:rPr>
          <w:rFonts w:ascii="Arial" w:cs="Arial" w:eastAsia="Arial" w:hAnsi="Arial"/>
          <w:sz w:val="18"/>
          <w:szCs w:val="18"/>
          <w:color w:val="auto"/>
        </w:rPr>
        <w:t>Each U.S. Lender shall, upon becoming party to this Agreement, deliver to any U.S. Borrower a complete and properly executed IRS Form W-9.</w:t>
      </w:r>
    </w:p>
    <w:p>
      <w:pPr>
        <w:spacing w:after="0" w:line="62" w:lineRule="exact"/>
        <w:rPr>
          <w:rFonts w:ascii="Arial" w:cs="Arial" w:eastAsia="Arial" w:hAnsi="Arial"/>
          <w:sz w:val="18"/>
          <w:szCs w:val="18"/>
          <w:color w:val="auto"/>
        </w:rPr>
      </w:pPr>
    </w:p>
    <w:p>
      <w:pPr>
        <w:ind w:left="440" w:firstLine="391"/>
        <w:spacing w:after="0" w:line="263" w:lineRule="auto"/>
        <w:tabs>
          <w:tab w:leader="none" w:pos="1203" w:val="left"/>
        </w:tabs>
        <w:numPr>
          <w:ilvl w:val="1"/>
          <w:numId w:val="417"/>
        </w:numPr>
        <w:rPr>
          <w:rFonts w:ascii="Arial" w:cs="Arial" w:eastAsia="Arial" w:hAnsi="Arial"/>
          <w:sz w:val="18"/>
          <w:szCs w:val="18"/>
          <w:color w:val="auto"/>
        </w:rPr>
      </w:pPr>
      <w:r>
        <w:rPr>
          <w:rFonts w:ascii="Arial" w:cs="Arial" w:eastAsia="Arial" w:hAnsi="Arial"/>
          <w:sz w:val="18"/>
          <w:szCs w:val="18"/>
          <w:color w:val="auto"/>
        </w:rPr>
        <w:t>Each Non-U.S. Lender shall, upon becoming party to this Agreement, to the extent that such Non-U.S. Lender is entitled to an exemption from U.S withholding tax on payments under this Agreement, deliver to any U.S. Borrower a complete and properly executed IRS Form W-8BEN, W-8BEN-E, W-</w:t>
      </w:r>
    </w:p>
    <w:p>
      <w:pPr>
        <w:sectPr>
          <w:pgSz w:w="11900" w:h="16838" w:orient="portrait"/>
          <w:cols w:equalWidth="0" w:num="1">
            <w:col w:w="10040"/>
          </w:cols>
          <w:pgMar w:left="1420" w:top="270" w:right="439" w:bottom="1440" w:gutter="0" w:footer="0" w:header="0"/>
        </w:sectPr>
      </w:pPr>
    </w:p>
    <w:bookmarkStart w:id="476" w:name="page477"/>
    <w:bookmarkEnd w:id="476"/>
    <w:p>
      <w:pPr>
        <w:ind w:left="14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8ECI or W-8IMY, as appropriate, or any successor form prescribed by the IRS, establishing that such Non-U.S. Lender is entitled to such exemption from U.S. withholding tax on interest. Notwithstanding Section 2.7(a) above, a U.S. Borrower shall not be required to pay any additional amount to any Lender under Section 2.7(a) if such Lender fails or is unable to deliver the forms, certificates or other evidence described in Section 2.7(b) or the preceding sentence, as applicable. Each Lender agrees that if any form it previously delivered expires or becomes obsolete or inaccurate in any respect, it shall update such form or certification or promptly notify the U.S. Borrower in writing of its legal inability to do so.”</w:t>
      </w:r>
    </w:p>
    <w:p>
      <w:pPr>
        <w:spacing w:after="0" w:line="174"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Section 5.4 (Financial Statements; Financial Condition)</w:t>
      </w:r>
      <w:r>
        <w:rPr>
          <w:rFonts w:ascii="Arial" w:cs="Arial" w:eastAsia="Arial" w:hAnsi="Arial"/>
          <w:sz w:val="16"/>
          <w:szCs w:val="16"/>
          <w:color w:val="auto"/>
        </w:rPr>
        <w:t>. Section 5.4 is amended in its entirety and replaced with the following:</w:t>
      </w:r>
    </w:p>
    <w:p>
      <w:pPr>
        <w:spacing w:after="0" w:line="117" w:lineRule="exact"/>
        <w:rPr>
          <w:sz w:val="20"/>
          <w:szCs w:val="20"/>
          <w:color w:val="auto"/>
        </w:rPr>
      </w:pPr>
    </w:p>
    <w:p>
      <w:pPr>
        <w:ind w:left="980" w:right="40"/>
        <w:spacing w:after="0" w:line="25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5.4 Financial Statements; Financial Condition</w:t>
      </w:r>
      <w:r>
        <w:rPr>
          <w:rFonts w:ascii="Arial" w:cs="Arial" w:eastAsia="Arial" w:hAnsi="Arial"/>
          <w:sz w:val="18"/>
          <w:szCs w:val="18"/>
          <w:color w:val="auto"/>
        </w:rPr>
        <w:t>. All consolidated and consolidating financial statements for Parent and its direct and indirect Subsidiaries delivered to Agent and the Lenders fairly present in all material respects Parent’s and its direct and indirect Subsidiaries’ consolidated financial condition and each such entity’s consolidated results of operations. There has not been any material deterioration in Parent’s and its direct and indirect Subsidiaries’ consolidated financial condition since the date of the most recent financial statements submitted to Agent and the Lenders.”</w:t>
      </w:r>
    </w:p>
    <w:p>
      <w:pPr>
        <w:spacing w:after="0" w:line="183" w:lineRule="exact"/>
        <w:rPr>
          <w:sz w:val="20"/>
          <w:szCs w:val="20"/>
          <w:color w:val="auto"/>
        </w:rPr>
      </w:pPr>
    </w:p>
    <w:p>
      <w:pPr>
        <w:ind w:right="360" w:firstLine="991"/>
        <w:spacing w:after="0" w:line="282" w:lineRule="auto"/>
        <w:rPr>
          <w:sz w:val="20"/>
          <w:szCs w:val="20"/>
          <w:color w:val="auto"/>
        </w:rPr>
      </w:pPr>
      <w:r>
        <w:rPr>
          <w:rFonts w:ascii="Arial" w:cs="Arial" w:eastAsia="Arial" w:hAnsi="Arial"/>
          <w:sz w:val="18"/>
          <w:szCs w:val="18"/>
          <w:b w:val="1"/>
          <w:bCs w:val="1"/>
          <w:color w:val="auto"/>
        </w:rPr>
        <w:t>7.4 Section 6.2 (Financial Statements, Reports, Certificates</w:t>
      </w:r>
      <w:r>
        <w:rPr>
          <w:rFonts w:ascii="Arial" w:cs="Arial" w:eastAsia="Arial" w:hAnsi="Arial"/>
          <w:sz w:val="18"/>
          <w:szCs w:val="18"/>
          <w:color w:val="auto"/>
        </w:rPr>
        <w:t>). Section 6.2 is amending subsections (a), (c), (d), (e), and (f) in their</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and replacing them with the following:</w:t>
      </w:r>
    </w:p>
    <w:p>
      <w:pPr>
        <w:spacing w:after="0" w:line="58" w:lineRule="exact"/>
        <w:rPr>
          <w:sz w:val="20"/>
          <w:szCs w:val="20"/>
          <w:color w:val="auto"/>
        </w:rPr>
      </w:pPr>
    </w:p>
    <w:p>
      <w:pPr>
        <w:ind w:left="980" w:right="60"/>
        <w:spacing w:after="0" w:line="296" w:lineRule="auto"/>
        <w:rPr>
          <w:sz w:val="20"/>
          <w:szCs w:val="20"/>
          <w:color w:val="auto"/>
        </w:rPr>
      </w:pPr>
      <w:r>
        <w:rPr>
          <w:rFonts w:ascii="Arial" w:cs="Arial" w:eastAsia="Arial" w:hAnsi="Arial"/>
          <w:sz w:val="16"/>
          <w:szCs w:val="16"/>
          <w:color w:val="auto"/>
        </w:rPr>
        <w:t xml:space="preserve">“ (a) </w:t>
      </w:r>
      <w:r>
        <w:rPr>
          <w:rFonts w:ascii="Arial" w:cs="Arial" w:eastAsia="Arial" w:hAnsi="Arial"/>
          <w:sz w:val="16"/>
          <w:szCs w:val="16"/>
          <w:u w:val="single" w:color="auto"/>
          <w:color w:val="auto"/>
        </w:rPr>
        <w:t>Monthly Financial Statements</w:t>
      </w:r>
      <w:r>
        <w:rPr>
          <w:rFonts w:ascii="Arial" w:cs="Arial" w:eastAsia="Arial" w:hAnsi="Arial"/>
          <w:sz w:val="16"/>
          <w:szCs w:val="16"/>
          <w:color w:val="auto"/>
        </w:rPr>
        <w:t>. As soon as available, but no later than thirty (30) days after the last day of each month, company prepared consolidated and consolidating balance sheet and income statement covering (i) at all times prior to the month ended April 30, 2020, ALX Ireland’s and its direct and indirect Subsidiaries’ consolidated operations for such month, and (ii) commencing with the month ended April 30, 2020, Parent’s and its direct and indirect Subsidiaries’ consolidated operations for such month, in each case, certified by a Responsible Officer and in a form of presentation reasonably acceptable to Agent (the “</w:t>
      </w:r>
      <w:r>
        <w:rPr>
          <w:rFonts w:ascii="Arial" w:cs="Arial" w:eastAsia="Arial" w:hAnsi="Arial"/>
          <w:sz w:val="16"/>
          <w:szCs w:val="16"/>
          <w:b w:val="1"/>
          <w:bCs w:val="1"/>
          <w:color w:val="auto"/>
        </w:rPr>
        <w:t>Monthly Financial Statements</w:t>
      </w:r>
      <w:r>
        <w:rPr>
          <w:rFonts w:ascii="Arial" w:cs="Arial" w:eastAsia="Arial" w:hAnsi="Arial"/>
          <w:sz w:val="16"/>
          <w:szCs w:val="16"/>
          <w:color w:val="auto"/>
        </w:rPr>
        <w:t>”);”</w:t>
      </w:r>
    </w:p>
    <w:p>
      <w:pPr>
        <w:spacing w:after="0" w:line="53"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 xml:space="preserve">“ (c) </w:t>
      </w:r>
      <w:r>
        <w:rPr>
          <w:rFonts w:ascii="Arial" w:cs="Arial" w:eastAsia="Arial" w:hAnsi="Arial"/>
          <w:sz w:val="18"/>
          <w:szCs w:val="18"/>
          <w:u w:val="single" w:color="auto"/>
          <w:color w:val="auto"/>
        </w:rPr>
        <w:t>Board Projections</w:t>
      </w:r>
      <w:r>
        <w:rPr>
          <w:rFonts w:ascii="Arial" w:cs="Arial" w:eastAsia="Arial" w:hAnsi="Arial"/>
          <w:sz w:val="18"/>
          <w:szCs w:val="18"/>
          <w:color w:val="auto"/>
        </w:rPr>
        <w:t>. As soon as available, at least annually, and in any event no later than the earlier to occur of (i) sixty (60) days after the end of each fiscal year of Parent and (ii) ten (10) days after Board approval, and contemporaneously with any updates or changes thereto, annual Board-approved operating budget and financial projections with respect to Parent and its direct and indirect Subsidiaries, in a form of presentation reasonably acceptable to Agent;”</w:t>
      </w:r>
    </w:p>
    <w:p>
      <w:pPr>
        <w:spacing w:after="0" w:line="78" w:lineRule="exact"/>
        <w:rPr>
          <w:sz w:val="20"/>
          <w:szCs w:val="20"/>
          <w:color w:val="auto"/>
        </w:rPr>
      </w:pPr>
    </w:p>
    <w:p>
      <w:pPr>
        <w:ind w:left="980" w:right="380"/>
        <w:spacing w:after="0" w:line="277" w:lineRule="auto"/>
        <w:rPr>
          <w:sz w:val="20"/>
          <w:szCs w:val="20"/>
          <w:color w:val="auto"/>
        </w:rPr>
      </w:pPr>
      <w:r>
        <w:rPr>
          <w:rFonts w:ascii="Arial" w:cs="Arial" w:eastAsia="Arial" w:hAnsi="Arial"/>
          <w:sz w:val="18"/>
          <w:szCs w:val="18"/>
          <w:color w:val="auto"/>
        </w:rPr>
        <w:t xml:space="preserve">“ (d) </w:t>
      </w:r>
      <w:r>
        <w:rPr>
          <w:rFonts w:ascii="Arial" w:cs="Arial" w:eastAsia="Arial" w:hAnsi="Arial"/>
          <w:sz w:val="18"/>
          <w:szCs w:val="18"/>
          <w:u w:val="single" w:color="auto"/>
          <w:color w:val="auto"/>
        </w:rPr>
        <w:t>Annual Audited Financial Statements</w:t>
      </w:r>
      <w:r>
        <w:rPr>
          <w:rFonts w:ascii="Arial" w:cs="Arial" w:eastAsia="Arial" w:hAnsi="Arial"/>
          <w:sz w:val="18"/>
          <w:szCs w:val="18"/>
          <w:color w:val="auto"/>
        </w:rPr>
        <w:t>. As soon as available, but no later than October 31</w:t>
      </w:r>
      <w:r>
        <w:rPr>
          <w:rFonts w:ascii="Arial" w:cs="Arial" w:eastAsia="Arial" w:hAnsi="Arial"/>
          <w:sz w:val="15"/>
          <w:szCs w:val="15"/>
          <w:color w:val="auto"/>
        </w:rPr>
        <w:t>st</w:t>
      </w:r>
      <w:r>
        <w:rPr>
          <w:rFonts w:ascii="Arial" w:cs="Arial" w:eastAsia="Arial" w:hAnsi="Arial"/>
          <w:sz w:val="18"/>
          <w:szCs w:val="18"/>
          <w:color w:val="auto"/>
        </w:rPr>
        <w:t xml:space="preserve"> of each year, beginning with ALX Ireland’s fiscal year ended December 31, 2019 and for each fiscal year of Parent thereafter, audited</w:t>
      </w:r>
    </w:p>
    <w:p>
      <w:pPr>
        <w:sectPr>
          <w:pgSz w:w="11900" w:h="16838" w:orient="portrait"/>
          <w:cols w:equalWidth="0" w:num="1">
            <w:col w:w="11000"/>
          </w:cols>
          <w:pgMar w:left="440" w:top="273" w:right="459" w:bottom="1440" w:gutter="0" w:footer="0" w:header="0"/>
        </w:sectPr>
      </w:pPr>
    </w:p>
    <w:bookmarkStart w:id="477" w:name="page478"/>
    <w:bookmarkEnd w:id="477"/>
    <w:p>
      <w:pPr>
        <w:ind w:left="440" w:right="3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consolidated financial statements prepared under GAAP, consistently applied, together with an unqualified opinion (other than a qualification as to going concern typical for venture backed companies similar to Parent) on the financial statements from an independent certified public accounting firm reasonably acceptable to Agent. Notwithstanding the foregoing, if the Board determines in its reasonable discretion not to require an audit for any fiscal year of Parent, then Agent shall accept company prepared annual consolidated financial statements no later than thirty (30) days after the end of such fiscal year of Parent;”</w:t>
      </w:r>
    </w:p>
    <w:p>
      <w:pPr>
        <w:spacing w:after="0" w:line="53" w:lineRule="exact"/>
        <w:rPr>
          <w:sz w:val="20"/>
          <w:szCs w:val="20"/>
          <w:color w:val="auto"/>
        </w:rPr>
      </w:pPr>
    </w:p>
    <w:p>
      <w:pPr>
        <w:ind w:left="440" w:right="160"/>
        <w:spacing w:after="0" w:line="308" w:lineRule="auto"/>
        <w:rPr>
          <w:sz w:val="20"/>
          <w:szCs w:val="20"/>
          <w:color w:val="auto"/>
        </w:rPr>
      </w:pPr>
      <w:r>
        <w:rPr>
          <w:rFonts w:ascii="Arial" w:cs="Arial" w:eastAsia="Arial" w:hAnsi="Arial"/>
          <w:sz w:val="17"/>
          <w:szCs w:val="17"/>
          <w:color w:val="auto"/>
        </w:rPr>
        <w:t xml:space="preserve">“ (e) </w:t>
      </w:r>
      <w:r>
        <w:rPr>
          <w:rFonts w:ascii="Arial" w:cs="Arial" w:eastAsia="Arial" w:hAnsi="Arial"/>
          <w:sz w:val="17"/>
          <w:szCs w:val="17"/>
          <w:u w:val="single" w:color="auto"/>
          <w:color w:val="auto"/>
        </w:rPr>
        <w:t>Other Statements</w:t>
      </w:r>
      <w:r>
        <w:rPr>
          <w:rFonts w:ascii="Arial" w:cs="Arial" w:eastAsia="Arial" w:hAnsi="Arial"/>
          <w:sz w:val="17"/>
          <w:szCs w:val="17"/>
          <w:color w:val="auto"/>
        </w:rPr>
        <w:t>. Within five (5) days of delivery, copies of all statements, reports and notices made available to Parent’s security holders (in their capacity as such) or to any holders of Subordinated Debt (in their capacity as such);”</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  (f)  </w:t>
      </w:r>
      <w:r>
        <w:rPr>
          <w:rFonts w:ascii="Arial" w:cs="Arial" w:eastAsia="Arial" w:hAnsi="Arial"/>
          <w:sz w:val="17"/>
          <w:szCs w:val="17"/>
          <w:u w:val="single" w:color="auto"/>
          <w:color w:val="auto"/>
        </w:rPr>
        <w:t>SEC Filings</w:t>
      </w:r>
      <w:r>
        <w:rPr>
          <w:rFonts w:ascii="Arial" w:cs="Arial" w:eastAsia="Arial" w:hAnsi="Arial"/>
          <w:sz w:val="17"/>
          <w:szCs w:val="17"/>
          <w:color w:val="auto"/>
        </w:rPr>
        <w:t>. In the event that Parent becomes subject to the reporting requirements under the Exchange Act, within five</w:t>
      </w:r>
    </w:p>
    <w:p>
      <w:pPr>
        <w:spacing w:after="0" w:line="34" w:lineRule="exact"/>
        <w:rPr>
          <w:sz w:val="20"/>
          <w:szCs w:val="20"/>
          <w:color w:val="auto"/>
        </w:rPr>
      </w:pPr>
    </w:p>
    <w:p>
      <w:pPr>
        <w:ind w:left="440"/>
        <w:spacing w:after="0" w:line="269" w:lineRule="auto"/>
        <w:rPr>
          <w:sz w:val="20"/>
          <w:szCs w:val="20"/>
          <w:color w:val="auto"/>
        </w:rPr>
      </w:pPr>
      <w:r>
        <w:rPr>
          <w:rFonts w:ascii="Arial" w:cs="Arial" w:eastAsia="Arial" w:hAnsi="Arial"/>
          <w:sz w:val="17"/>
          <w:szCs w:val="17"/>
          <w:color w:val="auto"/>
        </w:rPr>
        <w:t>(5) days of filing, copies of all periodic and other reports, proxy statements and other materials filed by Parent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Parent posts such documents, or provides a link thereto, on Parent’s website on the internet at Parent’s website address; provided, however, Borrower shall promptly notify Agent and the Lenders in writing (which may be by electronic mail) of the posting of any such documents;”</w:t>
      </w:r>
    </w:p>
    <w:p>
      <w:pPr>
        <w:spacing w:after="0" w:line="1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Section 13.2 (Successors and Assigns)</w:t>
      </w:r>
      <w:r>
        <w:rPr>
          <w:rFonts w:ascii="Arial" w:cs="Arial" w:eastAsia="Arial" w:hAnsi="Arial"/>
          <w:sz w:val="16"/>
          <w:szCs w:val="16"/>
          <w:color w:val="auto"/>
        </w:rPr>
        <w:t>. Section 13.2 is amended in its entirety and replaced with the following: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13.2  Successors and Assigns</w:t>
      </w:r>
      <w:r>
        <w:rPr>
          <w:rFonts w:ascii="Arial" w:cs="Arial" w:eastAsia="Arial" w:hAnsi="Arial"/>
          <w:sz w:val="18"/>
          <w:szCs w:val="18"/>
          <w:color w:val="auto"/>
        </w:rPr>
        <w:t>.</w:t>
      </w:r>
    </w:p>
    <w:p>
      <w:pPr>
        <w:spacing w:after="0" w:line="121" w:lineRule="exact"/>
        <w:rPr>
          <w:sz w:val="20"/>
          <w:szCs w:val="20"/>
          <w:color w:val="auto"/>
        </w:rPr>
      </w:pPr>
    </w:p>
    <w:p>
      <w:pPr>
        <w:ind w:left="440" w:right="40" w:firstLine="391"/>
        <w:spacing w:after="0" w:line="273" w:lineRule="auto"/>
        <w:tabs>
          <w:tab w:leader="none" w:pos="1200" w:val="left"/>
        </w:tabs>
        <w:numPr>
          <w:ilvl w:val="1"/>
          <w:numId w:val="421"/>
        </w:numPr>
        <w:rPr>
          <w:rFonts w:ascii="Arial" w:cs="Arial" w:eastAsia="Arial" w:hAnsi="Arial"/>
          <w:sz w:val="17"/>
          <w:szCs w:val="17"/>
          <w:color w:val="auto"/>
        </w:rPr>
      </w:pPr>
      <w:r>
        <w:rPr>
          <w:rFonts w:ascii="Arial" w:cs="Arial" w:eastAsia="Arial" w:hAnsi="Arial"/>
          <w:sz w:val="17"/>
          <w:szCs w:val="17"/>
          <w:color w:val="auto"/>
        </w:rPr>
        <w:t>This Agreement binds and is for the benefit of the successors and permitted assigns of each party. Borrower may not assign this Agreement or any rights or obligations under it without Agent and Lenders’ prior written consent (which may be granted or withheld in Agent’s and Lenders’ sole discretion). Agent and each Lender has the right, without the consent of or notice to Borrower, to sell, transfer, assign, negotiate, or grant participation in all or any part of, or any interest in, such Agent or Lender’s obligations, rights, and benefits under this Agreement and the other Loan Documents (other than the Warrant, as to which assignment, transfer and other such actions are governed by the terms thereof).</w:t>
      </w:r>
    </w:p>
    <w:p>
      <w:pPr>
        <w:spacing w:after="0" w:line="69" w:lineRule="exact"/>
        <w:rPr>
          <w:rFonts w:ascii="Arial" w:cs="Arial" w:eastAsia="Arial" w:hAnsi="Arial"/>
          <w:sz w:val="17"/>
          <w:szCs w:val="17"/>
          <w:color w:val="auto"/>
        </w:rPr>
      </w:pPr>
    </w:p>
    <w:p>
      <w:pPr>
        <w:ind w:left="440" w:right="160" w:firstLine="391"/>
        <w:spacing w:after="0" w:line="263" w:lineRule="auto"/>
        <w:tabs>
          <w:tab w:leader="none" w:pos="1203" w:val="left"/>
        </w:tabs>
        <w:numPr>
          <w:ilvl w:val="1"/>
          <w:numId w:val="421"/>
        </w:numPr>
        <w:rPr>
          <w:rFonts w:ascii="Arial" w:cs="Arial" w:eastAsia="Arial" w:hAnsi="Arial"/>
          <w:sz w:val="18"/>
          <w:szCs w:val="18"/>
          <w:color w:val="auto"/>
        </w:rPr>
      </w:pPr>
      <w:r>
        <w:rPr>
          <w:rFonts w:ascii="Arial" w:cs="Arial" w:eastAsia="Arial" w:hAnsi="Arial"/>
          <w:sz w:val="18"/>
          <w:szCs w:val="18"/>
          <w:color w:val="auto"/>
        </w:rPr>
        <w:t>Agent, acting solely for this purpose as a non-fiduciary agent of the Borrower, shall maintain a copy of each assignment delivered to it and register for the recordation of the names and addresses of the Lenders, including the principal amount of (and stated interest on) the portion of the Term Loan Advance owing to</w:t>
      </w:r>
    </w:p>
    <w:p>
      <w:pPr>
        <w:sectPr>
          <w:pgSz w:w="11900" w:h="16838" w:orient="portrait"/>
          <w:cols w:equalWidth="0" w:num="1">
            <w:col w:w="10000"/>
          </w:cols>
          <w:pgMar w:left="1420" w:top="273" w:right="479" w:bottom="1440" w:gutter="0" w:footer="0" w:header="0"/>
        </w:sectPr>
      </w:pPr>
    </w:p>
    <w:bookmarkStart w:id="478" w:name="page479"/>
    <w:bookmarkEnd w:id="478"/>
    <w:p>
      <w:pPr>
        <w:ind w:left="1420"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No assignment shall become effective unless and until such assignment is recorded in the Register pursuant to this Section 13.2.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50" w:lineRule="exact"/>
        <w:rPr>
          <w:sz w:val="20"/>
          <w:szCs w:val="20"/>
          <w:color w:val="auto"/>
        </w:rPr>
      </w:pPr>
    </w:p>
    <w:p>
      <w:pPr>
        <w:ind w:left="1420" w:firstLine="391"/>
        <w:spacing w:after="0" w:line="269" w:lineRule="auto"/>
        <w:tabs>
          <w:tab w:leader="none" w:pos="218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To the extent any Lender sells a participation, it shall, acting solely for this purpose as a non-fiduciary agent of Borrower, maintain a register on which it enters the name and address of each participant and the principal amounts (and stated interest) of each participant’s interest in the Term Loan Advance or other obligations under the Loan Documents (the “</w:t>
      </w:r>
      <w:r>
        <w:rPr>
          <w:rFonts w:ascii="Arial" w:cs="Arial" w:eastAsia="Arial" w:hAnsi="Arial"/>
          <w:sz w:val="17"/>
          <w:szCs w:val="17"/>
          <w:b w:val="1"/>
          <w:bCs w:val="1"/>
          <w:color w:val="auto"/>
        </w:rPr>
        <w:t>Participant Register</w:t>
      </w:r>
      <w:r>
        <w:rPr>
          <w:rFonts w:ascii="Arial" w:cs="Arial" w:eastAsia="Arial" w:hAnsi="Arial"/>
          <w:sz w:val="17"/>
          <w:szCs w:val="17"/>
          <w:color w:val="auto"/>
        </w:rPr>
        <w:t>”); provided that the Lenders shall not have any obligation to disclose all or any portion of the Participant Register (including the identity of any participant or any information relating to a participant’s interest in a Term Loan Advance or any commitments or other obligations under any Loan Document) to any person except to the extent that such disclosure is necessary to establish that such Term Loan Advance or any commitment or other obligation is in registered form under Section 5f.103-1(c) of the United States Treasury Regulations. The entries in the Participant Register shall be conclusive absent manifest error, and the Lenders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178"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 xml:space="preserve">Section 13.12 (Electronic Execution of Documents). </w:t>
      </w:r>
      <w:r>
        <w:rPr>
          <w:rFonts w:ascii="Arial" w:cs="Arial" w:eastAsia="Arial" w:hAnsi="Arial"/>
          <w:sz w:val="16"/>
          <w:szCs w:val="16"/>
          <w:color w:val="auto"/>
        </w:rPr>
        <w:t>Section 13.12 is amended in its entirety and replaced with the following:</w:t>
      </w:r>
    </w:p>
    <w:p>
      <w:pPr>
        <w:spacing w:after="0" w:line="117" w:lineRule="exact"/>
        <w:rPr>
          <w:sz w:val="20"/>
          <w:szCs w:val="20"/>
          <w:color w:val="auto"/>
        </w:rPr>
      </w:pPr>
    </w:p>
    <w:p>
      <w:pPr>
        <w:ind w:left="980" w:right="80"/>
        <w:spacing w:after="0" w:line="291"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13.12 Electronic Execution of Documents</w:t>
      </w:r>
      <w:r>
        <w:rPr>
          <w:rFonts w:ascii="Arial" w:cs="Arial" w:eastAsia="Arial" w:hAnsi="Arial"/>
          <w:sz w:val="16"/>
          <w:szCs w:val="16"/>
          <w:color w:val="auto"/>
        </w:rPr>
        <w:t>. The words “execution,” “signed,” “signature” and words of like import in any Loan Document shall be deemed to include electronic signatures, including any Electronic Signature as defined in the Electronic Transactions Law (2003 Revision) of the Cayman Islands (the “</w:t>
      </w:r>
      <w:r>
        <w:rPr>
          <w:rFonts w:ascii="Arial" w:cs="Arial" w:eastAsia="Arial" w:hAnsi="Arial"/>
          <w:sz w:val="16"/>
          <w:szCs w:val="16"/>
          <w:b w:val="1"/>
          <w:bCs w:val="1"/>
          <w:color w:val="auto"/>
        </w:rPr>
        <w:t>Cayman Islands Electronic Signature Law</w:t>
      </w:r>
      <w:r>
        <w:rPr>
          <w:rFonts w:ascii="Arial" w:cs="Arial" w:eastAsia="Arial" w:hAnsi="Arial"/>
          <w:sz w:val="16"/>
          <w:szCs w:val="16"/>
          <w:color w:val="auto"/>
        </w:rPr>
        <w:t>”), or the keeping of records in electronic form, including any Electronic Record, as defined in Cayman Islands Electronic Signature Law,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 or the Cayman Islands Electronic Signature Law; provided, however that sections 8 and 19(3) of the Cayman Islands Electronic Signature Law shall not apply to this Agreement or the execution or delivery thereof.”</w:t>
      </w:r>
    </w:p>
    <w:p>
      <w:pPr>
        <w:spacing w:after="0" w:line="159"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Section 14.1 (Definitions)</w:t>
      </w:r>
      <w:r>
        <w:rPr>
          <w:rFonts w:ascii="Arial" w:cs="Arial" w:eastAsia="Arial" w:hAnsi="Arial"/>
          <w:sz w:val="16"/>
          <w:szCs w:val="16"/>
          <w:color w:val="auto"/>
        </w:rPr>
        <w:t>. The following new terms and their respective definitions are hereby inserted to appear alphabetically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Section 14.1 of the Loan Agreement:</w:t>
      </w:r>
    </w:p>
    <w:p>
      <w:pPr>
        <w:sectPr>
          <w:pgSz w:w="11900" w:h="16838" w:orient="portrait"/>
          <w:cols w:equalWidth="0" w:num="1">
            <w:col w:w="11020"/>
          </w:cols>
          <w:pgMar w:left="440" w:top="269" w:right="439" w:bottom="1440" w:gutter="0" w:footer="0" w:header="0"/>
        </w:sectPr>
      </w:pPr>
    </w:p>
    <w:bookmarkStart w:id="479" w:name="page480"/>
    <w:bookmarkEnd w:id="47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w:t>
      </w:r>
      <w:r>
        <w:rPr>
          <w:rFonts w:ascii="Arial" w:cs="Arial" w:eastAsia="Arial" w:hAnsi="Arial"/>
          <w:sz w:val="18"/>
          <w:szCs w:val="18"/>
          <w:b w:val="1"/>
          <w:bCs w:val="1"/>
          <w:color w:val="auto"/>
        </w:rPr>
        <w:t>Cayman Islands Electronic Signature Law</w:t>
      </w:r>
      <w:r>
        <w:rPr>
          <w:rFonts w:ascii="Arial" w:cs="Arial" w:eastAsia="Arial" w:hAnsi="Arial"/>
          <w:sz w:val="18"/>
          <w:szCs w:val="18"/>
          <w:color w:val="auto"/>
        </w:rPr>
        <w:t>” is defined in Section 13.12.”</w:t>
      </w:r>
    </w:p>
    <w:p>
      <w:pPr>
        <w:spacing w:after="0" w:line="117" w:lineRule="exact"/>
        <w:rPr>
          <w:sz w:val="20"/>
          <w:szCs w:val="20"/>
          <w:color w:val="auto"/>
        </w:rPr>
      </w:pPr>
    </w:p>
    <w:p>
      <w:pPr>
        <w:ind w:left="980" w:right="100"/>
        <w:spacing w:after="0" w:line="277" w:lineRule="auto"/>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FATCA</w:t>
      </w:r>
      <w:r>
        <w:rPr>
          <w:rFonts w:ascii="Arial" w:cs="Arial" w:eastAsia="Arial" w:hAnsi="Arial"/>
          <w:sz w:val="17"/>
          <w:szCs w:val="17"/>
          <w:color w:val="auto"/>
        </w:rPr>
        <w:t>” means Sections 1471 through 1474 of the Internal Revenue Code as of the date of this Agreement (or any amended or successor version that is substantially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5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First Amendment Effective Date</w:t>
      </w:r>
      <w:r>
        <w:rPr>
          <w:rFonts w:ascii="Arial" w:cs="Arial" w:eastAsia="Arial" w:hAnsi="Arial"/>
          <w:sz w:val="18"/>
          <w:szCs w:val="18"/>
          <w:color w:val="auto"/>
        </w:rPr>
        <w:t>” is May 21, 2020</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Internal Revenue Code</w:t>
      </w:r>
      <w:r>
        <w:rPr>
          <w:rFonts w:ascii="Arial" w:cs="Arial" w:eastAsia="Arial" w:hAnsi="Arial"/>
          <w:sz w:val="18"/>
          <w:szCs w:val="18"/>
          <w:color w:val="auto"/>
        </w:rPr>
        <w:t>” means the U.S. Internal Revenue Code of 1986, as amended.”</w:t>
      </w:r>
    </w:p>
    <w:p>
      <w:pPr>
        <w:spacing w:after="0" w:line="117" w:lineRule="exact"/>
        <w:rPr>
          <w:sz w:val="20"/>
          <w:szCs w:val="20"/>
          <w:color w:val="auto"/>
        </w:rPr>
      </w:pPr>
    </w:p>
    <w:p>
      <w:pPr>
        <w:ind w:left="980" w:right="60"/>
        <w:spacing w:after="0" w:line="282"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Non-U.S. Lender</w:t>
      </w:r>
      <w:r>
        <w:rPr>
          <w:rFonts w:ascii="Arial" w:cs="Arial" w:eastAsia="Arial" w:hAnsi="Arial"/>
          <w:sz w:val="18"/>
          <w:szCs w:val="18"/>
          <w:color w:val="auto"/>
        </w:rPr>
        <w:t>” means, in the case of a Borrower that is a U.S. Person, any Lender or Agent (including any assignee thereof under Section 13.2 of this Agreement) that is not a U.S. Person.”</w:t>
      </w:r>
    </w:p>
    <w:p>
      <w:pPr>
        <w:spacing w:after="0" w:line="5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Parent</w:t>
      </w:r>
      <w:r>
        <w:rPr>
          <w:rFonts w:ascii="Arial" w:cs="Arial" w:eastAsia="Arial" w:hAnsi="Arial"/>
          <w:sz w:val="18"/>
          <w:szCs w:val="18"/>
          <w:color w:val="auto"/>
        </w:rPr>
        <w:t>” is defined in the preamble hereof.”</w:t>
      </w:r>
    </w:p>
    <w:p>
      <w:pPr>
        <w:spacing w:after="0" w:line="117" w:lineRule="exact"/>
        <w:rPr>
          <w:sz w:val="20"/>
          <w:szCs w:val="20"/>
          <w:color w:val="auto"/>
        </w:rPr>
      </w:pPr>
    </w:p>
    <w:p>
      <w:pPr>
        <w:ind w:left="980" w:right="5860"/>
        <w:spacing w:after="0" w:line="375"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Participant Register</w:t>
      </w:r>
      <w:r>
        <w:rPr>
          <w:rFonts w:ascii="Arial" w:cs="Arial" w:eastAsia="Arial" w:hAnsi="Arial"/>
          <w:sz w:val="18"/>
          <w:szCs w:val="18"/>
          <w:color w:val="auto"/>
        </w:rPr>
        <w:t>” is defined in Section 13.2(c).” “ “</w:t>
      </w:r>
      <w:r>
        <w:rPr>
          <w:rFonts w:ascii="Arial" w:cs="Arial" w:eastAsia="Arial" w:hAnsi="Arial"/>
          <w:sz w:val="18"/>
          <w:szCs w:val="18"/>
          <w:b w:val="1"/>
          <w:bCs w:val="1"/>
          <w:color w:val="auto"/>
        </w:rPr>
        <w:t>Register</w:t>
      </w:r>
      <w:r>
        <w:rPr>
          <w:rFonts w:ascii="Arial" w:cs="Arial" w:eastAsia="Arial" w:hAnsi="Arial"/>
          <w:sz w:val="18"/>
          <w:szCs w:val="18"/>
          <w:color w:val="auto"/>
        </w:rPr>
        <w:t>” is defined in Section 13.2(c).”</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Taxes</w:t>
      </w:r>
      <w:r>
        <w:rPr>
          <w:rFonts w:ascii="Arial" w:cs="Arial" w:eastAsia="Arial" w:hAnsi="Arial"/>
          <w:sz w:val="18"/>
          <w:szCs w:val="18"/>
          <w:color w:val="auto"/>
        </w:rPr>
        <w:t>” is defined in Section 2.7(a).”</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U.S. Borrower</w:t>
      </w:r>
      <w:r>
        <w:rPr>
          <w:rFonts w:ascii="Arial" w:cs="Arial" w:eastAsia="Arial" w:hAnsi="Arial"/>
          <w:sz w:val="18"/>
          <w:szCs w:val="18"/>
          <w:color w:val="auto"/>
        </w:rPr>
        <w:t>” means any Borrower that is a U.S. Person.”</w:t>
      </w:r>
    </w:p>
    <w:p>
      <w:pPr>
        <w:spacing w:after="0" w:line="117" w:lineRule="exact"/>
        <w:rPr>
          <w:sz w:val="20"/>
          <w:szCs w:val="20"/>
          <w:color w:val="auto"/>
        </w:rPr>
      </w:pPr>
    </w:p>
    <w:p>
      <w:pPr>
        <w:ind w:left="980" w:right="440"/>
        <w:spacing w:after="0" w:line="282"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U.S. Lender</w:t>
      </w:r>
      <w:r>
        <w:rPr>
          <w:rFonts w:ascii="Arial" w:cs="Arial" w:eastAsia="Arial" w:hAnsi="Arial"/>
          <w:sz w:val="18"/>
          <w:szCs w:val="18"/>
          <w:color w:val="auto"/>
        </w:rPr>
        <w:t>” means, in the case of a Borrower that is a U.S. Person, any Lender or Agent (including any assignee thereof under Section 13.2 of this Agreement) that is a U.S. Person.”</w:t>
      </w:r>
    </w:p>
    <w:p>
      <w:pPr>
        <w:spacing w:after="0" w:line="5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b w:val="1"/>
          <w:bCs w:val="1"/>
          <w:color w:val="auto"/>
        </w:rPr>
        <w:t>7.8 Section 14.1 (Definitions)</w:t>
      </w:r>
      <w:r>
        <w:rPr>
          <w:rFonts w:ascii="Arial" w:cs="Arial" w:eastAsia="Arial" w:hAnsi="Arial"/>
          <w:sz w:val="18"/>
          <w:szCs w:val="18"/>
          <w:color w:val="auto"/>
        </w:rPr>
        <w:t>. The following terms and their respective definitions appearing in Section 14.1 of the Loan Agreement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in their entirety and replaced with the following:</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Board</w:t>
      </w:r>
      <w:r>
        <w:rPr>
          <w:rFonts w:ascii="Arial" w:cs="Arial" w:eastAsia="Arial" w:hAnsi="Arial"/>
          <w:sz w:val="18"/>
          <w:szCs w:val="18"/>
          <w:color w:val="auto"/>
        </w:rPr>
        <w:t>” means Borrower’s board of directors, as applicable.”</w:t>
      </w:r>
    </w:p>
    <w:p>
      <w:pPr>
        <w:spacing w:after="0" w:line="117" w:lineRule="exact"/>
        <w:rPr>
          <w:sz w:val="20"/>
          <w:szCs w:val="20"/>
          <w:color w:val="auto"/>
        </w:rPr>
      </w:pPr>
    </w:p>
    <w:p>
      <w:pPr>
        <w:jc w:val="both"/>
        <w:ind w:left="980" w:right="20"/>
        <w:spacing w:after="0" w:line="266"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Equity Event</w:t>
      </w:r>
      <w:r>
        <w:rPr>
          <w:rFonts w:ascii="Arial" w:cs="Arial" w:eastAsia="Arial" w:hAnsi="Arial"/>
          <w:sz w:val="18"/>
          <w:szCs w:val="18"/>
          <w:color w:val="auto"/>
        </w:rPr>
        <w:t>” means Borrower has provided Agent and the Lenders with evidence, satisfactory to Agent and each Lender in Agent’s and each Lender’s sole and absolute discretion, that ALX Ireland has received, after the Effective Date, unrestricted and unencumbered net cash proceeds in an amount of</w:t>
      </w:r>
    </w:p>
    <w:p>
      <w:pPr>
        <w:sectPr>
          <w:pgSz w:w="11900" w:h="16838" w:orient="portrait"/>
          <w:cols w:equalWidth="0" w:num="1">
            <w:col w:w="11020"/>
          </w:cols>
          <w:pgMar w:left="440" w:top="269" w:right="439" w:bottom="1440" w:gutter="0" w:footer="0" w:header="0"/>
        </w:sectPr>
      </w:pPr>
    </w:p>
    <w:bookmarkStart w:id="480" w:name="page481"/>
    <w:bookmarkEnd w:id="480"/>
    <w:p>
      <w:pPr>
        <w:jc w:val="both"/>
        <w:ind w:right="4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least Fifty Million Dollars ($50,000,000.00) from the issuance and sale by ALX Ireland of its equity securities to investors (which amount shall be inclusive of any funds received by ALX Ireland with respect to the Interest Only Extension Event). Agent and each Lender acknowledge and agree that the Equity Event has occurred.”</w:t>
      </w:r>
    </w:p>
    <w:p>
      <w:pPr>
        <w:spacing w:after="0" w:line="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Interest Only Extension Event</w:t>
      </w:r>
      <w:r>
        <w:rPr>
          <w:rFonts w:ascii="Arial" w:cs="Arial" w:eastAsia="Arial" w:hAnsi="Arial"/>
          <w:sz w:val="16"/>
          <w:szCs w:val="16"/>
          <w:color w:val="auto"/>
        </w:rPr>
        <w:t>” means Borrower has provided Agent and the Lenders with evidence, satisfactory to Agent and each Lender in Agent’s and each Lender’s sole and absolute discretion, on or prior to March 31, 2020, that ALX Ireland has received, after the Effective Date, but on or prior to March 31, 2020, unrestricted and unencumbered net cash proceeds in an amount of at least Forty Million Dollars ($40,000,000.00) from either (a) the issuance and sale by ALX Ireland of its equity securities to investors or (b) a partnership, joint-venture or strategic alliance. Agent and each Lender acknowledge and agree that the Interest Only Extension Event has occurred.”</w:t>
      </w:r>
    </w:p>
    <w:p>
      <w:pPr>
        <w:spacing w:after="0" w:line="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Agent’s, for the ratable benefit of the Lenders, Lien in the Collateral or in the value of such Collateral; (b) a material adverse change in the business, operations, financial condition of Borrower; or (c) a material impairment of the prospect of repayment of any portion of the Obligations.”</w:t>
      </w:r>
    </w:p>
    <w:p>
      <w:pPr>
        <w:spacing w:after="0" w:line="67"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Subsidiary</w:t>
      </w:r>
      <w:r>
        <w:rPr>
          <w:rFonts w:ascii="Arial" w:cs="Arial" w:eastAsia="Arial" w:hAnsi="Arial"/>
          <w:sz w:val="17"/>
          <w:szCs w:val="17"/>
          <w:color w:val="auto"/>
        </w:rPr>
        <w:t>” is, as to any Person, a corporation, partnership, exempted company, exempted limited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6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Term Sheet Event</w:t>
      </w:r>
      <w:r>
        <w:rPr>
          <w:rFonts w:ascii="Arial" w:cs="Arial" w:eastAsia="Arial" w:hAnsi="Arial"/>
          <w:sz w:val="17"/>
          <w:szCs w:val="17"/>
          <w:color w:val="auto"/>
        </w:rPr>
        <w:t>” means confirmation by Agent, on or prior to March 31, 2020, that Borrower has delivered to Agent, a signed, binding, and unconditional term sheet (“</w:t>
      </w:r>
      <w:r>
        <w:rPr>
          <w:rFonts w:ascii="Arial" w:cs="Arial" w:eastAsia="Arial" w:hAnsi="Arial"/>
          <w:sz w:val="17"/>
          <w:szCs w:val="17"/>
          <w:b w:val="1"/>
          <w:bCs w:val="1"/>
          <w:color w:val="auto"/>
        </w:rPr>
        <w:t>Term Sheet</w:t>
      </w:r>
      <w:r>
        <w:rPr>
          <w:rFonts w:ascii="Arial" w:cs="Arial" w:eastAsia="Arial" w:hAnsi="Arial"/>
          <w:sz w:val="17"/>
          <w:szCs w:val="17"/>
          <w:color w:val="auto"/>
        </w:rPr>
        <w:t>”) from one or more parties, satisfactory to Agent and each Lender, in Agent’s and each Lender’s sole but reasonable discretion, in favor of, and accepted by Borrower or ALX Ireland, evidencing such party’s or parties’ commitment to either (i) purchase equity securities of Borrower or ALX Ireland or enter into a partnership, joint venture, or strategic alliance (on terms satisfactory to Agent and each Lender in Agent’s and each Lender’s sole but reasonable discretion), which would result in the receipt by Borrower or ALX Ireland of unrestricted and unencumbered net cash proceeds in an amount of at least Thirty Million Dollars ($30,000,000.00) or (ii) merge or consolidate with another Person, which merger or consolidation agreement shall provide for an up-front cash payment to Borrower or ALX Ireland in an amount</w:t>
      </w:r>
    </w:p>
    <w:p>
      <w:pPr>
        <w:sectPr>
          <w:pgSz w:w="11900" w:h="16838" w:orient="portrait"/>
          <w:cols w:equalWidth="0" w:num="1">
            <w:col w:w="10020"/>
          </w:cols>
          <w:pgMar w:left="1420" w:top="273" w:right="459" w:bottom="1440" w:gutter="0" w:footer="0" w:header="0"/>
        </w:sectPr>
      </w:pPr>
    </w:p>
    <w:bookmarkStart w:id="481" w:name="page482"/>
    <w:bookmarkEnd w:id="481"/>
    <w:p>
      <w:pPr>
        <w:jc w:val="both"/>
        <w:ind w:left="984"/>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at least One Hundred Million Dollars ($100,000,000.00); provided that, in the case of either (i) or (ii) herein, such proposed transaction is consummated and Borrower or ALX Ireland has received such funds after the Effective Date, but no later than ninety (90) days after the execution of such Term Sheet. Agent and each Lender acknowledge and agree that the Term Sheet Event has occurred.”</w:t>
      </w:r>
    </w:p>
    <w:p>
      <w:pPr>
        <w:spacing w:after="0" w:line="37" w:lineRule="exact"/>
        <w:rPr>
          <w:sz w:val="20"/>
          <w:szCs w:val="20"/>
          <w:color w:val="auto"/>
        </w:rPr>
      </w:pPr>
    </w:p>
    <w:p>
      <w:pPr>
        <w:ind w:left="984" w:right="140"/>
        <w:spacing w:after="0" w:line="261"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Warrant</w:t>
      </w:r>
      <w:r>
        <w:rPr>
          <w:rFonts w:ascii="Arial" w:cs="Arial" w:eastAsia="Arial" w:hAnsi="Arial"/>
          <w:sz w:val="18"/>
          <w:szCs w:val="18"/>
          <w:color w:val="auto"/>
        </w:rPr>
        <w:t>” means, collectively, (a) that certain amended and restated warrant to purchase stock dated as of the First Amendment Effective Date between Parent and SVB Financial Group and (b) that certain amended and restated warrant to purchase stock dated as of the First Amendment Effective Date between Parent and WestRiver, in each case, as may be amended, modified, supplemented and/or restated from time to time.”</w:t>
      </w:r>
    </w:p>
    <w:p>
      <w:pPr>
        <w:spacing w:after="0" w:line="180" w:lineRule="exact"/>
        <w:rPr>
          <w:sz w:val="20"/>
          <w:szCs w:val="20"/>
          <w:color w:val="auto"/>
        </w:rPr>
      </w:pPr>
    </w:p>
    <w:p>
      <w:pPr>
        <w:ind w:left="4" w:right="220" w:firstLine="991"/>
        <w:spacing w:after="0" w:line="282" w:lineRule="auto"/>
        <w:rPr>
          <w:sz w:val="20"/>
          <w:szCs w:val="20"/>
          <w:color w:val="auto"/>
        </w:rPr>
      </w:pPr>
      <w:r>
        <w:rPr>
          <w:rFonts w:ascii="Arial" w:cs="Arial" w:eastAsia="Arial" w:hAnsi="Arial"/>
          <w:sz w:val="18"/>
          <w:szCs w:val="18"/>
          <w:b w:val="1"/>
          <w:bCs w:val="1"/>
          <w:color w:val="auto"/>
        </w:rPr>
        <w:t xml:space="preserve">7.9 Exhibit B (Compliance Certificate). </w:t>
      </w:r>
      <w:r>
        <w:rPr>
          <w:rFonts w:ascii="Arial" w:cs="Arial" w:eastAsia="Arial" w:hAnsi="Arial"/>
          <w:sz w:val="18"/>
          <w:szCs w:val="18"/>
          <w:color w:val="auto"/>
        </w:rPr>
        <w:t>The Compliance Certificate appearing 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to the Loan Agreement is deleted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entirety and replaced with the Compliance Certificate attached as </w:t>
      </w:r>
      <w:r>
        <w:rPr>
          <w:rFonts w:ascii="Arial" w:cs="Arial" w:eastAsia="Arial" w:hAnsi="Arial"/>
          <w:sz w:val="18"/>
          <w:szCs w:val="18"/>
          <w:b w:val="1"/>
          <w:bCs w:val="1"/>
          <w:u w:val="single" w:color="auto"/>
          <w:color w:val="auto"/>
        </w:rPr>
        <w:t>Schedule 3</w:t>
      </w:r>
      <w:r>
        <w:rPr>
          <w:rFonts w:ascii="Arial" w:cs="Arial" w:eastAsia="Arial" w:hAnsi="Arial"/>
          <w:sz w:val="18"/>
          <w:szCs w:val="18"/>
          <w:color w:val="auto"/>
        </w:rPr>
        <w:t xml:space="preserve"> attached hereto.</w:t>
      </w:r>
    </w:p>
    <w:p>
      <w:pPr>
        <w:spacing w:after="0" w:line="162" w:lineRule="exact"/>
        <w:rPr>
          <w:sz w:val="20"/>
          <w:szCs w:val="20"/>
          <w:color w:val="auto"/>
        </w:rPr>
      </w:pPr>
    </w:p>
    <w:p>
      <w:pPr>
        <w:ind w:left="4" w:right="180" w:firstLine="991"/>
        <w:spacing w:after="0" w:line="347" w:lineRule="auto"/>
        <w:rPr>
          <w:sz w:val="20"/>
          <w:szCs w:val="20"/>
          <w:color w:val="auto"/>
        </w:rPr>
      </w:pPr>
      <w:r>
        <w:rPr>
          <w:rFonts w:ascii="Arial" w:cs="Arial" w:eastAsia="Arial" w:hAnsi="Arial"/>
          <w:sz w:val="16"/>
          <w:szCs w:val="16"/>
          <w:b w:val="1"/>
          <w:bCs w:val="1"/>
          <w:color w:val="auto"/>
        </w:rPr>
        <w:t xml:space="preserve">7.10 Exhibit C (Loan Payment/Advance Request Form). </w:t>
      </w:r>
      <w:r>
        <w:rPr>
          <w:rFonts w:ascii="Arial" w:cs="Arial" w:eastAsia="Arial" w:hAnsi="Arial"/>
          <w:sz w:val="16"/>
          <w:szCs w:val="16"/>
          <w:color w:val="auto"/>
        </w:rPr>
        <w:t>The Loan Payment/Advance Request Form appearing as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Exhibit C</w:t>
      </w:r>
      <w:r>
        <w:rPr>
          <w:rFonts w:ascii="Arial" w:cs="Arial" w:eastAsia="Arial" w:hAnsi="Arial"/>
          <w:sz w:val="16"/>
          <w:szCs w:val="16"/>
          <w:b w:val="1"/>
          <w:bCs w:val="1"/>
          <w:color w:val="auto"/>
        </w:rPr>
        <w:t xml:space="preserve"> </w:t>
      </w:r>
      <w:r>
        <w:rPr>
          <w:rFonts w:ascii="Arial" w:cs="Arial" w:eastAsia="Arial" w:hAnsi="Arial"/>
          <w:sz w:val="16"/>
          <w:szCs w:val="16"/>
          <w:color w:val="auto"/>
        </w:rPr>
        <w:t>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Loan Agreement is deleted in its entirety and replaced with the Loan Payment/Advance Request Form attached as </w:t>
      </w:r>
      <w:r>
        <w:rPr>
          <w:rFonts w:ascii="Arial" w:cs="Arial" w:eastAsia="Arial" w:hAnsi="Arial"/>
          <w:sz w:val="16"/>
          <w:szCs w:val="16"/>
          <w:b w:val="1"/>
          <w:bCs w:val="1"/>
          <w:u w:val="single" w:color="auto"/>
          <w:color w:val="auto"/>
        </w:rPr>
        <w:t>Schedule 4</w:t>
      </w:r>
      <w:r>
        <w:rPr>
          <w:rFonts w:ascii="Arial" w:cs="Arial" w:eastAsia="Arial" w:hAnsi="Arial"/>
          <w:sz w:val="16"/>
          <w:szCs w:val="16"/>
          <w:color w:val="auto"/>
        </w:rPr>
        <w:t xml:space="preserve"> attached hereto.</w:t>
      </w:r>
    </w:p>
    <w:p>
      <w:pPr>
        <w:spacing w:after="0" w:line="116" w:lineRule="exact"/>
        <w:rPr>
          <w:sz w:val="20"/>
          <w:szCs w:val="20"/>
          <w:color w:val="auto"/>
        </w:rPr>
      </w:pPr>
    </w:p>
    <w:p>
      <w:pPr>
        <w:ind w:left="4" w:right="520" w:firstLine="991"/>
        <w:spacing w:after="0" w:line="282" w:lineRule="auto"/>
        <w:rPr>
          <w:sz w:val="20"/>
          <w:szCs w:val="20"/>
          <w:color w:val="auto"/>
        </w:rPr>
      </w:pPr>
      <w:r>
        <w:rPr>
          <w:rFonts w:ascii="Arial" w:cs="Arial" w:eastAsia="Arial" w:hAnsi="Arial"/>
          <w:sz w:val="18"/>
          <w:szCs w:val="18"/>
          <w:b w:val="1"/>
          <w:bCs w:val="1"/>
          <w:color w:val="auto"/>
        </w:rPr>
        <w:t xml:space="preserve">7.11 Exhibit D (Disbursement Letter). </w:t>
      </w:r>
      <w:r>
        <w:rPr>
          <w:rFonts w:ascii="Arial" w:cs="Arial" w:eastAsia="Arial" w:hAnsi="Arial"/>
          <w:sz w:val="18"/>
          <w:szCs w:val="18"/>
          <w:color w:val="auto"/>
        </w:rPr>
        <w:t>The Disbursement Letter appearing 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Loan Agreement is deleted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entirety and replaced with the Disbursement Letter attached as </w:t>
      </w:r>
      <w:r>
        <w:rPr>
          <w:rFonts w:ascii="Arial" w:cs="Arial" w:eastAsia="Arial" w:hAnsi="Arial"/>
          <w:sz w:val="18"/>
          <w:szCs w:val="18"/>
          <w:b w:val="1"/>
          <w:bCs w:val="1"/>
          <w:u w:val="single" w:color="auto"/>
          <w:color w:val="auto"/>
        </w:rPr>
        <w:t>Schedule 5</w:t>
      </w:r>
      <w:r>
        <w:rPr>
          <w:rFonts w:ascii="Arial" w:cs="Arial" w:eastAsia="Arial" w:hAnsi="Arial"/>
          <w:sz w:val="18"/>
          <w:szCs w:val="18"/>
          <w:color w:val="auto"/>
        </w:rPr>
        <w:t xml:space="preserve"> attached hereto.</w:t>
      </w:r>
    </w:p>
    <w:p>
      <w:pPr>
        <w:spacing w:after="0" w:line="162" w:lineRule="exact"/>
        <w:rPr>
          <w:sz w:val="20"/>
          <w:szCs w:val="20"/>
          <w:color w:val="auto"/>
        </w:rPr>
      </w:pPr>
    </w:p>
    <w:p>
      <w:pPr>
        <w:ind w:left="764" w:hanging="324"/>
        <w:spacing w:after="0"/>
        <w:tabs>
          <w:tab w:leader="none" w:pos="764"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Amendments.</w:t>
      </w:r>
    </w:p>
    <w:p>
      <w:pPr>
        <w:spacing w:after="0" w:line="225" w:lineRule="exact"/>
        <w:rPr>
          <w:sz w:val="20"/>
          <w:szCs w:val="20"/>
          <w:color w:val="auto"/>
        </w:rPr>
      </w:pPr>
    </w:p>
    <w:p>
      <w:pPr>
        <w:ind w:left="4" w:right="60" w:firstLine="991"/>
        <w:spacing w:after="0" w:line="293" w:lineRule="auto"/>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color w:val="auto"/>
        </w:rPr>
        <w:t>The amendments set forth in Section 7, above, are effective for the purposes set forth herein and shall be limited precisely as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not be deemed to (a) be a consent to any amendment, waiver or modification of any other term or condition of any Loan Document, or</w:t>
      </w:r>
    </w:p>
    <w:p>
      <w:pPr>
        <w:spacing w:after="0" w:line="1" w:lineRule="exact"/>
        <w:rPr>
          <w:sz w:val="20"/>
          <w:szCs w:val="20"/>
          <w:color w:val="auto"/>
        </w:rPr>
      </w:pPr>
    </w:p>
    <w:p>
      <w:pPr>
        <w:ind w:left="4" w:right="60" w:hanging="4"/>
        <w:spacing w:after="0" w:line="260" w:lineRule="auto"/>
        <w:tabs>
          <w:tab w:leader="none" w:pos="259" w:val="left"/>
        </w:tabs>
        <w:numPr>
          <w:ilvl w:val="0"/>
          <w:numId w:val="429"/>
        </w:numPr>
        <w:rPr>
          <w:rFonts w:ascii="Arial" w:cs="Arial" w:eastAsia="Arial" w:hAnsi="Arial"/>
          <w:sz w:val="18"/>
          <w:szCs w:val="18"/>
          <w:color w:val="auto"/>
        </w:rPr>
      </w:pPr>
      <w:r>
        <w:rPr>
          <w:rFonts w:ascii="Arial" w:cs="Arial" w:eastAsia="Arial" w:hAnsi="Arial"/>
          <w:sz w:val="18"/>
          <w:szCs w:val="18"/>
          <w:color w:val="auto"/>
        </w:rPr>
        <w:t>otherwise prejudice any right or remedy which Agent or the Lenders may now have or may have in the future under or in connection with any Loan Document.</w:t>
      </w:r>
    </w:p>
    <w:p>
      <w:pPr>
        <w:spacing w:after="0" w:line="181" w:lineRule="exact"/>
        <w:rPr>
          <w:sz w:val="20"/>
          <w:szCs w:val="20"/>
          <w:color w:val="auto"/>
        </w:rPr>
      </w:pPr>
    </w:p>
    <w:p>
      <w:pPr>
        <w:jc w:val="both"/>
        <w:ind w:left="4" w:firstLine="991"/>
        <w:spacing w:after="0" w:line="266"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color w:val="auto"/>
        </w:rPr>
        <w:t>This Amendment shall be construed in connection with and as part of the Loan Documents and all terms, conditions,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covenants and agreements set forth in the Loan Documents, except as herein amended, are hereby ratified and confirmed and shall remain in full force and effect.</w:t>
      </w:r>
    </w:p>
    <w:p>
      <w:pPr>
        <w:spacing w:after="0" w:line="176" w:lineRule="exact"/>
        <w:rPr>
          <w:sz w:val="20"/>
          <w:szCs w:val="20"/>
          <w:color w:val="auto"/>
        </w:rPr>
      </w:pPr>
    </w:p>
    <w:p>
      <w:pPr>
        <w:ind w:left="4" w:right="40" w:firstLine="436"/>
        <w:spacing w:after="0" w:line="282" w:lineRule="auto"/>
        <w:tabs>
          <w:tab w:leader="none" w:pos="759"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To induce Agent and the Lenders to enter into this Amendment, Borrower hereby represents and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to Agent and the Lenders as follows:</w:t>
      </w:r>
    </w:p>
    <w:p>
      <w:pPr>
        <w:spacing w:after="0" w:line="54" w:lineRule="exact"/>
        <w:rPr>
          <w:sz w:val="20"/>
          <w:szCs w:val="20"/>
          <w:color w:val="auto"/>
        </w:rPr>
      </w:pPr>
    </w:p>
    <w:p>
      <w:pPr>
        <w:jc w:val="both"/>
        <w:ind w:left="4" w:right="100" w:firstLine="991"/>
        <w:spacing w:after="0" w:line="289"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color w:val="auto"/>
        </w:rPr>
        <w:t>Immediately after giving effect to this Amendment (a) the representations and warranties contained in the Loan Documents are true</w:t>
      </w:r>
      <w:r>
        <w:rPr>
          <w:rFonts w:ascii="Arial" w:cs="Arial" w:eastAsia="Arial" w:hAnsi="Arial"/>
          <w:sz w:val="17"/>
          <w:szCs w:val="17"/>
          <w:b w:val="1"/>
          <w:bCs w:val="1"/>
          <w:color w:val="auto"/>
        </w:rPr>
        <w:t xml:space="preserve"> </w:t>
      </w:r>
      <w:r>
        <w:rPr>
          <w:rFonts w:ascii="Arial" w:cs="Arial" w:eastAsia="Arial" w:hAnsi="Arial"/>
          <w:sz w:val="17"/>
          <w:szCs w:val="17"/>
          <w:color w:val="auto"/>
        </w:rPr>
        <w:t>and correct in all material respects as of the date hereof (except to the extent such representations and warranties relate to an earlier date, in which case they are true and correct as of such date), and (b) no Event of Default has occurred and is continuing;</w:t>
      </w:r>
    </w:p>
    <w:p>
      <w:pPr>
        <w:sectPr>
          <w:pgSz w:w="11900" w:h="16838" w:orient="portrait"/>
          <w:cols w:equalWidth="0" w:num="1">
            <w:col w:w="10964"/>
          </w:cols>
          <w:pgMar w:left="436" w:top="273" w:right="499" w:bottom="1440" w:gutter="0" w:footer="0" w:header="0"/>
        </w:sectPr>
      </w:pPr>
    </w:p>
    <w:bookmarkStart w:id="482" w:name="page483"/>
    <w:bookmarkEnd w:id="482"/>
    <w:p>
      <w:pPr>
        <w:ind w:right="700" w:firstLine="99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9.2 </w:t>
      </w:r>
      <w:r>
        <w:rPr>
          <w:rFonts w:ascii="Arial" w:cs="Arial" w:eastAsia="Arial" w:hAnsi="Arial"/>
          <w:sz w:val="18"/>
          <w:szCs w:val="18"/>
          <w:color w:val="auto"/>
        </w:rPr>
        <w:t>Borrower has the power and authority to execute and deliver this Amendment and to perform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w:t>
      </w:r>
    </w:p>
    <w:p>
      <w:pPr>
        <w:spacing w:after="0" w:line="162" w:lineRule="exact"/>
        <w:rPr>
          <w:sz w:val="20"/>
          <w:szCs w:val="20"/>
          <w:color w:val="auto"/>
        </w:rPr>
      </w:pPr>
    </w:p>
    <w:p>
      <w:pPr>
        <w:ind w:right="20" w:firstLine="991"/>
        <w:spacing w:after="0" w:line="28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color w:val="auto"/>
        </w:rPr>
        <w:t>The organizational documents of Existing Borrower delivered to Agent on the Effective Date remain true, accurate and complete and</w:t>
      </w:r>
      <w:r>
        <w:rPr>
          <w:rFonts w:ascii="Arial" w:cs="Arial" w:eastAsia="Arial" w:hAnsi="Arial"/>
          <w:sz w:val="18"/>
          <w:szCs w:val="18"/>
          <w:b w:val="1"/>
          <w:bCs w:val="1"/>
          <w:color w:val="auto"/>
        </w:rPr>
        <w:t xml:space="preserve"> </w:t>
      </w:r>
      <w:r>
        <w:rPr>
          <w:rFonts w:ascii="Arial" w:cs="Arial" w:eastAsia="Arial" w:hAnsi="Arial"/>
          <w:sz w:val="18"/>
          <w:szCs w:val="18"/>
          <w:color w:val="auto"/>
        </w:rPr>
        <w:t>have not been amended, supplemented or restated and are and continue to be in full force and effect;</w:t>
      </w:r>
    </w:p>
    <w:p>
      <w:pPr>
        <w:spacing w:after="0" w:line="162" w:lineRule="exact"/>
        <w:rPr>
          <w:sz w:val="20"/>
          <w:szCs w:val="20"/>
          <w:color w:val="auto"/>
        </w:rPr>
      </w:pPr>
    </w:p>
    <w:p>
      <w:pPr>
        <w:ind w:right="380" w:firstLine="991"/>
        <w:spacing w:after="0" w:line="282" w:lineRule="auto"/>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have been duly authorized;</w:t>
      </w:r>
    </w:p>
    <w:p>
      <w:pPr>
        <w:spacing w:after="0" w:line="162" w:lineRule="exact"/>
        <w:rPr>
          <w:sz w:val="20"/>
          <w:szCs w:val="20"/>
          <w:color w:val="auto"/>
        </w:rPr>
      </w:pPr>
    </w:p>
    <w:p>
      <w:pPr>
        <w:jc w:val="both"/>
        <w:ind w:right="280" w:firstLine="991"/>
        <w:spacing w:after="0" w:line="261" w:lineRule="auto"/>
        <w:rPr>
          <w:sz w:val="20"/>
          <w:szCs w:val="20"/>
          <w:color w:val="auto"/>
        </w:rPr>
      </w:pPr>
      <w:r>
        <w:rPr>
          <w:rFonts w:ascii="Arial" w:cs="Arial" w:eastAsia="Arial" w:hAnsi="Arial"/>
          <w:sz w:val="18"/>
          <w:szCs w:val="18"/>
          <w:b w:val="1"/>
          <w:bCs w:val="1"/>
          <w:color w:val="auto"/>
        </w:rPr>
        <w:t xml:space="preserve">9.5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and will not contravene (a) any material Requirement of Law, (b) any material agreement with a Person binding on Borrower, (c) any applicable material order, judgment or decree of any court or other governmental or public body or authority, or subdivision thereof, binding on Borrower, or (d) the organizational documents of Borrower;</w:t>
      </w:r>
    </w:p>
    <w:p>
      <w:pPr>
        <w:spacing w:after="0" w:line="180" w:lineRule="exact"/>
        <w:rPr>
          <w:sz w:val="20"/>
          <w:szCs w:val="20"/>
          <w:color w:val="auto"/>
        </w:rPr>
      </w:pPr>
    </w:p>
    <w:p>
      <w:pPr>
        <w:ind w:right="200" w:firstLine="991"/>
        <w:spacing w:after="0" w:line="261" w:lineRule="auto"/>
        <w:rPr>
          <w:sz w:val="20"/>
          <w:szCs w:val="20"/>
          <w:color w:val="auto"/>
        </w:rPr>
      </w:pPr>
      <w:r>
        <w:rPr>
          <w:rFonts w:ascii="Arial" w:cs="Arial" w:eastAsia="Arial" w:hAnsi="Arial"/>
          <w:sz w:val="18"/>
          <w:szCs w:val="18"/>
          <w:b w:val="1"/>
          <w:bCs w:val="1"/>
          <w:color w:val="auto"/>
        </w:rPr>
        <w:t xml:space="preserve">9.6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80" w:lineRule="exact"/>
        <w:rPr>
          <w:sz w:val="20"/>
          <w:szCs w:val="20"/>
          <w:color w:val="auto"/>
        </w:rPr>
      </w:pPr>
    </w:p>
    <w:p>
      <w:pPr>
        <w:jc w:val="both"/>
        <w:ind w:right="100" w:firstLine="991"/>
        <w:spacing w:after="0" w:line="289" w:lineRule="auto"/>
        <w:rPr>
          <w:sz w:val="20"/>
          <w:szCs w:val="20"/>
          <w:color w:val="auto"/>
        </w:rPr>
      </w:pPr>
      <w:r>
        <w:rPr>
          <w:rFonts w:ascii="Arial" w:cs="Arial" w:eastAsia="Arial" w:hAnsi="Arial"/>
          <w:sz w:val="17"/>
          <w:szCs w:val="17"/>
          <w:b w:val="1"/>
          <w:bCs w:val="1"/>
          <w:color w:val="auto"/>
        </w:rPr>
        <w:t xml:space="preserve">9.7 </w:t>
      </w:r>
      <w:r>
        <w:rPr>
          <w:rFonts w:ascii="Arial" w:cs="Arial" w:eastAsia="Arial" w:hAnsi="Arial"/>
          <w:sz w:val="17"/>
          <w:szCs w:val="17"/>
          <w:color w:val="auto"/>
        </w:rPr>
        <w:t>This Amendment has been duly executed and delivered by Borrower and is the binding obligation of Borrower, enforceable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58" w:lineRule="exact"/>
        <w:rPr>
          <w:sz w:val="20"/>
          <w:szCs w:val="20"/>
          <w:color w:val="auto"/>
        </w:rPr>
      </w:pPr>
    </w:p>
    <w:p>
      <w:pPr>
        <w:ind w:firstLine="436"/>
        <w:spacing w:after="0" w:line="255" w:lineRule="auto"/>
        <w:tabs>
          <w:tab w:leader="none" w:pos="845"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Perfection Certificates</w:t>
      </w:r>
      <w:r>
        <w:rPr>
          <w:rFonts w:ascii="Arial" w:cs="Arial" w:eastAsia="Arial" w:hAnsi="Arial"/>
          <w:sz w:val="18"/>
          <w:szCs w:val="18"/>
          <w:color w:val="auto"/>
        </w:rPr>
        <w:t>. Existing Borrower hereby ratifies, confirms and reaffirms, all and singular, the terms and disclosures contained in a</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Perfection Certificate dated as of December 20, 2019 (the “</w:t>
      </w:r>
      <w:r>
        <w:rPr>
          <w:rFonts w:ascii="Arial" w:cs="Arial" w:eastAsia="Arial" w:hAnsi="Arial"/>
          <w:sz w:val="18"/>
          <w:szCs w:val="18"/>
          <w:b w:val="1"/>
          <w:bCs w:val="1"/>
          <w:color w:val="auto"/>
        </w:rPr>
        <w:t>Existing Borrower Perfection Certificate</w:t>
      </w:r>
      <w:r>
        <w:rPr>
          <w:rFonts w:ascii="Arial" w:cs="Arial" w:eastAsia="Arial" w:hAnsi="Arial"/>
          <w:sz w:val="18"/>
          <w:szCs w:val="18"/>
          <w:color w:val="auto"/>
        </w:rPr>
        <w:t xml:space="preserve">”), and acknowledges, confirms and agrees that the disclosures and information Borrower provided to Agent in the Existing Borrower Perfection Certificate have not changed, as of the date hereof, except as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New Borrower has delivered a Perfection Certificate in connection with this Amendment dated as of the date hereof (the “</w:t>
      </w:r>
      <w:r>
        <w:rPr>
          <w:rFonts w:ascii="Arial" w:cs="Arial" w:eastAsia="Arial" w:hAnsi="Arial"/>
          <w:sz w:val="18"/>
          <w:szCs w:val="18"/>
          <w:b w:val="1"/>
          <w:bCs w:val="1"/>
          <w:color w:val="auto"/>
        </w:rPr>
        <w:t>New Borrower Perfection Certificate</w:t>
      </w:r>
      <w:r>
        <w:rPr>
          <w:rFonts w:ascii="Arial" w:cs="Arial" w:eastAsia="Arial" w:hAnsi="Arial"/>
          <w:sz w:val="18"/>
          <w:szCs w:val="18"/>
          <w:color w:val="auto"/>
        </w:rPr>
        <w:t>”). Each Borrower hereby agrees that all references in the Loan Agreement to the “Perfection Certificate” shall hereinafter be deemed to be references to the Existing Borrower Perfection Certificate and the New Borrower Perfection Certificate, as applicable.</w:t>
      </w:r>
    </w:p>
    <w:p>
      <w:pPr>
        <w:spacing w:after="0" w:line="188" w:lineRule="exact"/>
        <w:rPr>
          <w:rFonts w:ascii="Arial" w:cs="Arial" w:eastAsia="Arial" w:hAnsi="Arial"/>
          <w:sz w:val="18"/>
          <w:szCs w:val="18"/>
          <w:b w:val="1"/>
          <w:bCs w:val="1"/>
          <w:color w:val="auto"/>
        </w:rPr>
      </w:pPr>
    </w:p>
    <w:p>
      <w:pPr>
        <w:ind w:right="80" w:firstLine="436"/>
        <w:spacing w:after="0" w:line="281" w:lineRule="auto"/>
        <w:tabs>
          <w:tab w:leader="none" w:pos="835" w:val="left"/>
        </w:tabs>
        <w:numPr>
          <w:ilvl w:val="0"/>
          <w:numId w:val="431"/>
        </w:numPr>
        <w:rPr>
          <w:rFonts w:ascii="Arial" w:cs="Arial" w:eastAsia="Arial" w:hAnsi="Arial"/>
          <w:sz w:val="17"/>
          <w:szCs w:val="17"/>
          <w:b w:val="1"/>
          <w:bCs w:val="1"/>
          <w:color w:val="auto"/>
        </w:rPr>
      </w:pPr>
      <w:r>
        <w:rPr>
          <w:rFonts w:ascii="Arial" w:cs="Arial" w:eastAsia="Arial" w:hAnsi="Arial"/>
          <w:sz w:val="17"/>
          <w:szCs w:val="17"/>
          <w:b w:val="1"/>
          <w:bCs w:val="1"/>
          <w:color w:val="auto"/>
        </w:rPr>
        <w:t>Post-Closing Condition</w:t>
      </w:r>
      <w:r>
        <w:rPr>
          <w:rFonts w:ascii="Arial" w:cs="Arial" w:eastAsia="Arial" w:hAnsi="Arial"/>
          <w:sz w:val="17"/>
          <w:szCs w:val="17"/>
          <w:color w:val="auto"/>
        </w:rPr>
        <w:t>. Within thirty (30) days of the First Amendment Effective Date, Borrower shall deliver to Agent (a) evidence</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satisfactory to Agent that the insurance policies and endorsements required by Section 6.5 of the Loan Agreement are in full force and effect, together with appropriate evidence showing lender loss payable and/or additional insured clauses or endorsements in favor of Agent and (b) a certificate of good standing for Parent as a foreign corporation from the State of California, in form and substance satisfactory to Agent.</w:t>
      </w:r>
    </w:p>
    <w:p>
      <w:pPr>
        <w:sectPr>
          <w:pgSz w:w="11900" w:h="16838" w:orient="portrait"/>
          <w:cols w:equalWidth="0" w:num="1">
            <w:col w:w="11000"/>
          </w:cols>
          <w:pgMar w:left="440" w:top="269" w:right="459" w:bottom="1440" w:gutter="0" w:footer="0" w:header="0"/>
        </w:sectPr>
      </w:pPr>
    </w:p>
    <w:bookmarkStart w:id="483" w:name="page484"/>
    <w:bookmarkEnd w:id="483"/>
    <w:p>
      <w:pPr>
        <w:ind w:left="-20" w:right="320" w:firstLine="436"/>
        <w:spacing w:after="0" w:line="289" w:lineRule="auto"/>
        <w:tabs>
          <w:tab w:leader="none" w:pos="825" w:val="left"/>
        </w:tabs>
        <w:numPr>
          <w:ilvl w:val="0"/>
          <w:numId w:val="43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Integration</w:t>
      </w:r>
      <w:r>
        <w:rPr>
          <w:rFonts w:ascii="Arial" w:cs="Arial" w:eastAsia="Arial" w:hAnsi="Arial"/>
          <w:sz w:val="17"/>
          <w:szCs w:val="17"/>
          <w:color w:val="auto"/>
        </w:rPr>
        <w:t>. This Amendment and the Loan Documents represent the entire agreement about this subject matter and supersede prior</w:t>
      </w:r>
      <w:r>
        <w:rPr>
          <w:rFonts w:ascii="Arial" w:cs="Arial" w:eastAsia="Arial" w:hAnsi="Arial"/>
          <w:sz w:val="17"/>
          <w:szCs w:val="17"/>
          <w:b w:val="1"/>
          <w:bCs w:val="1"/>
          <w:color w:val="auto"/>
        </w:rPr>
        <w:t xml:space="preserve"> </w:t>
      </w:r>
      <w:r>
        <w:rPr>
          <w:rFonts w:ascii="Arial" w:cs="Arial" w:eastAsia="Arial" w:hAnsi="Arial"/>
          <w:sz w:val="17"/>
          <w:szCs w:val="17"/>
          <w:color w:val="auto"/>
        </w:rPr>
        <w:t>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57" w:lineRule="exact"/>
        <w:rPr>
          <w:rFonts w:ascii="Arial" w:cs="Arial" w:eastAsia="Arial" w:hAnsi="Arial"/>
          <w:sz w:val="17"/>
          <w:szCs w:val="17"/>
          <w:b w:val="1"/>
          <w:bCs w:val="1"/>
          <w:color w:val="auto"/>
        </w:rPr>
      </w:pPr>
    </w:p>
    <w:p>
      <w:pPr>
        <w:ind w:left="-20" w:firstLine="436"/>
        <w:spacing w:after="0" w:line="282" w:lineRule="auto"/>
        <w:tabs>
          <w:tab w:leader="none" w:pos="825" w:val="left"/>
        </w:tabs>
        <w:numPr>
          <w:ilvl w:val="0"/>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 together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constitute one and the same instrument.</w:t>
      </w:r>
    </w:p>
    <w:p>
      <w:pPr>
        <w:spacing w:after="0" w:line="161" w:lineRule="exact"/>
        <w:rPr>
          <w:rFonts w:ascii="Arial" w:cs="Arial" w:eastAsia="Arial" w:hAnsi="Arial"/>
          <w:sz w:val="18"/>
          <w:szCs w:val="18"/>
          <w:b w:val="1"/>
          <w:bCs w:val="1"/>
          <w:color w:val="auto"/>
        </w:rPr>
      </w:pPr>
    </w:p>
    <w:p>
      <w:pPr>
        <w:ind w:left="-20" w:right="80" w:firstLine="436"/>
        <w:spacing w:after="0" w:line="261" w:lineRule="auto"/>
        <w:tabs>
          <w:tab w:leader="none" w:pos="825" w:val="left"/>
        </w:tabs>
        <w:numPr>
          <w:ilvl w:val="0"/>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 This Amendment shall be deemed effective upon (a) the due execution and delivery to Agent of this Amendment by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 hereto; (b) Bank’s receipt of the Acknowledgement of Amendment and Reaffirmation of Guaranty in the form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duly executed and delivered by Guarantor, and (c) Borrower’s payment to Agent of Agent’s and the Lenders’ legal fees and expenses incurred in connection with this Amendment.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980"/>
          </w:cols>
          <w:pgMar w:left="460" w:top="269" w:right="459" w:bottom="1440" w:gutter="0" w:footer="0" w:header="0"/>
        </w:sectPr>
      </w:pPr>
    </w:p>
    <w:bookmarkStart w:id="484" w:name="page485"/>
    <w:bookmarkEnd w:id="484"/>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caused this Amendment to be duly executed and delivered as of the date first written above.</w:t>
      </w:r>
    </w:p>
    <w:p>
      <w:pPr>
        <w:spacing w:after="0" w:line="27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EXECUTED AS A DEED BY:</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ALEXO THERAPEUTICS INTERNATIONAL</w:t>
      </w:r>
    </w:p>
    <w:p>
      <w:pPr>
        <w:spacing w:after="0" w:line="2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9"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 the presence of:  /s/ Christine 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180848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6"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Christine 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180848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259"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EXECUTED AS A DEED BY:</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SIRPANT THERAPEUTICS</w:t>
      </w:r>
    </w:p>
    <w:p>
      <w:pPr>
        <w:spacing w:after="0" w:line="2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59"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 the presence of:  /s/ Christine 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180848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6"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Christine 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180848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5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Director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SILICON VALLEY BANK, as Agent</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Peter Sletteland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Peter Sletteland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LENDERS: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Peter Sletteland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Peter Sletteland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WESTRIVER INNOVATION LENDING FUND VIII, L.P.</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Trent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Trent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0600"/>
          </w:cols>
          <w:pgMar w:left="440" w:top="269" w:right="859" w:bottom="1440" w:gutter="0" w:footer="0" w:header="0"/>
        </w:sectPr>
      </w:pPr>
    </w:p>
    <w:bookmarkStart w:id="485" w:name="page486"/>
    <w:bookmarkEnd w:id="485"/>
    <w:p>
      <w:pPr>
        <w:jc w:val="center"/>
        <w:ind w:right="-1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ACKNOWLEDGMENT OF AMENDMENT</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AND REAFFIRMATION OF GUARANTY</w:t>
      </w:r>
    </w:p>
    <w:p>
      <w:pPr>
        <w:spacing w:after="0" w:line="207"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color w:val="auto"/>
        </w:rPr>
        <w:t>Guarantor hereby acknowledges and confirms that it has reviewed and approved the terms and conditions of the Joinder and First</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to Loan and Security Agreement dated as of even date herewith (“the “Amendment”).</w:t>
      </w:r>
    </w:p>
    <w:p>
      <w:pPr>
        <w:spacing w:after="0" w:line="162"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color w:val="auto"/>
        </w:rPr>
        <w:t>Guarantor hereby consents to the Amendment and agrees that the Guaranty relating to the Obligations of Borrower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continue in full force and effect, shall be valid and enforceable and shall not be impaired or otherwise affected by the execution of the Amendment or any other document or instruction delivered in connection herewith.</w:t>
      </w:r>
    </w:p>
    <w:p>
      <w:pPr>
        <w:spacing w:after="0" w:line="176"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color w:val="auto"/>
        </w:rPr>
        <w:t>Guarantor represents and warrants that, after giving effect to the Amendment, all representations and warranties contained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Guaranty are true, accurate and complete as if made the date hereof.</w:t>
      </w:r>
    </w:p>
    <w:p>
      <w:pPr>
        <w:spacing w:after="0" w:line="166" w:lineRule="exact"/>
        <w:rPr>
          <w:sz w:val="20"/>
          <w:szCs w:val="20"/>
          <w:color w:val="auto"/>
        </w:rPr>
      </w:pPr>
    </w:p>
    <w:p>
      <w:pPr>
        <w:spacing w:after="0"/>
        <w:tabs>
          <w:tab w:leader="none" w:pos="1240" w:val="left"/>
          <w:tab w:leader="none" w:pos="216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8"/>
          <w:szCs w:val="18"/>
          <w:color w:val="auto"/>
        </w:rPr>
        <w:t>May 21</w:t>
      </w:r>
      <w:r>
        <w:rPr>
          <w:sz w:val="20"/>
          <w:szCs w:val="20"/>
          <w:color w:val="auto"/>
        </w:rPr>
        <w:tab/>
      </w:r>
      <w:r>
        <w:rPr>
          <w:rFonts w:ascii="Arial" w:cs="Arial" w:eastAsia="Arial" w:hAnsi="Arial"/>
          <w:sz w:val="15"/>
          <w:szCs w:val="15"/>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-10160</wp:posOffset>
            </wp:positionV>
            <wp:extent cx="83756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SIGNED AND DELIVERED as a deed</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ALX ONCOLOGY LIMITED</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its lawfully appointed attorney</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Jaume Pons in the presence of:</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Christine 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(Signature of Witness)</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Christine 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
        <w:spacing w:after="0"/>
        <w:rPr>
          <w:sz w:val="20"/>
          <w:szCs w:val="20"/>
          <w:color w:val="auto"/>
        </w:rPr>
      </w:pPr>
      <w:r>
        <w:rPr>
          <w:rFonts w:ascii="Arial" w:cs="Arial" w:eastAsia="Arial" w:hAnsi="Arial"/>
          <w:sz w:val="18"/>
          <w:szCs w:val="18"/>
          <w:color w:val="auto"/>
        </w:rPr>
        <w:t>(Occupation of Witness)</w:t>
      </w:r>
    </w:p>
    <w:p>
      <w:pPr>
        <w:sectPr>
          <w:pgSz w:w="11900" w:h="16838" w:orient="portrait"/>
          <w:cols w:equalWidth="0" w:num="1">
            <w:col w:w="10860"/>
          </w:cols>
          <w:pgMar w:left="440" w:top="269" w:right="599" w:bottom="1440" w:gutter="0" w:footer="0" w:header="0"/>
        </w:sectPr>
      </w:pPr>
    </w:p>
    <w:bookmarkStart w:id="486" w:name="page487"/>
    <w:bookmarkEnd w:id="486"/>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2</w:t>
      </w:r>
    </w:p>
    <w:p>
      <w:pPr>
        <w:sectPr>
          <w:pgSz w:w="11900" w:h="16838" w:orient="portrait"/>
          <w:cols w:equalWidth="0" w:num="1">
            <w:col w:w="9019"/>
          </w:cols>
          <w:pgMar w:left="1440" w:top="269" w:right="1440" w:bottom="1440"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N/A</w:t>
      </w:r>
    </w:p>
    <w:p>
      <w:pPr>
        <w:sectPr>
          <w:pgSz w:w="11900" w:h="16838" w:orient="portrait"/>
          <w:cols w:equalWidth="0" w:num="1">
            <w:col w:w="9019"/>
          </w:cols>
          <w:pgMar w:left="1440" w:top="269" w:right="1440" w:bottom="1440" w:gutter="0" w:footer="0" w:header="0"/>
          <w:type w:val="continuous"/>
        </w:sectPr>
      </w:pPr>
    </w:p>
    <w:bookmarkStart w:id="487" w:name="page488"/>
    <w:bookmarkEnd w:id="487"/>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Schedule 3</w:t>
            </w:r>
          </w:p>
        </w:tc>
        <w:tc>
          <w:tcPr>
            <w:tcW w:w="1820" w:type="dxa"/>
            <w:vAlign w:val="bottom"/>
            <w:gridSpan w:val="3"/>
          </w:tcPr>
          <w:p>
            <w:pPr>
              <w:spacing w:after="0"/>
              <w:rPr>
                <w:sz w:val="17"/>
                <w:szCs w:val="17"/>
                <w:color w:val="auto"/>
              </w:rPr>
            </w:pPr>
          </w:p>
        </w:tc>
        <w:tc>
          <w:tcPr>
            <w:tcW w:w="1360" w:type="dxa"/>
            <w:vAlign w:val="bottom"/>
          </w:tcPr>
          <w:p>
            <w:pPr>
              <w:spacing w:after="0"/>
              <w:rPr>
                <w:sz w:val="17"/>
                <w:szCs w:val="17"/>
                <w:color w:val="auto"/>
              </w:rPr>
            </w:pPr>
          </w:p>
        </w:tc>
      </w:tr>
      <w:tr>
        <w:trPr>
          <w:trHeight w:val="412"/>
        </w:trPr>
        <w:tc>
          <w:tcPr>
            <w:tcW w:w="4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EXHIBIT B</w:t>
            </w:r>
          </w:p>
        </w:tc>
        <w:tc>
          <w:tcPr>
            <w:tcW w:w="176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500" w:type="dxa"/>
            <w:vAlign w:val="bottom"/>
            <w:gridSpan w:val="6"/>
          </w:tcPr>
          <w:p>
            <w:pPr>
              <w:jc w:val="center"/>
              <w:ind w:right="980"/>
              <w:spacing w:after="0" w:line="196" w:lineRule="exact"/>
              <w:rPr>
                <w:sz w:val="20"/>
                <w:szCs w:val="20"/>
                <w:color w:val="auto"/>
              </w:rPr>
            </w:pPr>
            <w:r>
              <w:rPr>
                <w:rFonts w:ascii="Arial" w:cs="Arial" w:eastAsia="Arial" w:hAnsi="Arial"/>
                <w:sz w:val="18"/>
                <w:szCs w:val="18"/>
                <w:b w:val="1"/>
                <w:bCs w:val="1"/>
                <w:color w:val="auto"/>
              </w:rPr>
              <w:t>COMPLIANCE CERTIFICATE</w:t>
            </w:r>
          </w:p>
        </w:tc>
        <w:tc>
          <w:tcPr>
            <w:tcW w:w="136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520" w:type="dxa"/>
            <w:vAlign w:val="bottom"/>
            <w:gridSpan w:val="5"/>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79"/>
        </w:trPr>
        <w:tc>
          <w:tcPr>
            <w:tcW w:w="480" w:type="dxa"/>
            <w:vAlign w:val="bottom"/>
          </w:tcPr>
          <w:p>
            <w:pPr>
              <w:spacing w:after="0"/>
              <w:rPr>
                <w:sz w:val="20"/>
                <w:szCs w:val="20"/>
                <w:color w:val="auto"/>
              </w:rPr>
            </w:pPr>
            <w:r>
              <w:rPr>
                <w:rFonts w:ascii="Arial" w:cs="Arial" w:eastAsia="Arial" w:hAnsi="Arial"/>
                <w:sz w:val="18"/>
                <w:szCs w:val="18"/>
                <w:color w:val="auto"/>
              </w:rPr>
              <w:t>TO:</w:t>
            </w:r>
          </w:p>
        </w:tc>
        <w:tc>
          <w:tcPr>
            <w:tcW w:w="7260" w:type="dxa"/>
            <w:vAlign w:val="bottom"/>
            <w:gridSpan w:val="7"/>
          </w:tcPr>
          <w:p>
            <w:pPr>
              <w:ind w:left="200"/>
              <w:spacing w:after="0"/>
              <w:rPr>
                <w:sz w:val="20"/>
                <w:szCs w:val="20"/>
                <w:color w:val="auto"/>
              </w:rPr>
            </w:pPr>
            <w:r>
              <w:rPr>
                <w:rFonts w:ascii="Arial" w:cs="Arial" w:eastAsia="Arial" w:hAnsi="Arial"/>
                <w:sz w:val="18"/>
                <w:szCs w:val="18"/>
                <w:color w:val="auto"/>
              </w:rPr>
              <w:t>SILICON VALLEY BANK, as Agent, SVB, and WESTRIVER</w:t>
            </w:r>
          </w:p>
        </w:tc>
        <w:tc>
          <w:tcPr>
            <w:tcW w:w="1360" w:type="dxa"/>
            <w:vAlign w:val="bottom"/>
          </w:tcPr>
          <w:p>
            <w:pPr>
              <w:ind w:left="980"/>
              <w:spacing w:after="0"/>
              <w:rPr>
                <w:sz w:val="20"/>
                <w:szCs w:val="20"/>
                <w:color w:val="auto"/>
              </w:rPr>
            </w:pPr>
            <w:r>
              <w:rPr>
                <w:rFonts w:ascii="Arial" w:cs="Arial" w:eastAsia="Arial" w:hAnsi="Arial"/>
                <w:sz w:val="18"/>
                <w:szCs w:val="18"/>
                <w:color w:val="auto"/>
                <w:w w:val="83"/>
              </w:rPr>
              <w:t>Date:</w:t>
            </w:r>
          </w:p>
        </w:tc>
      </w:tr>
    </w:tbl>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ALEXO THERAPEUTICS INTERNATIONAL (“Alexo”)</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SIRPANT THERAPEUTICS (“Sirpant”)</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ALX ONCOLOGY HOLDINGS INC. (“Parent”)</w:t>
      </w:r>
    </w:p>
    <w:p>
      <w:pPr>
        <w:spacing w:after="0" w:line="220" w:lineRule="exact"/>
        <w:rPr>
          <w:sz w:val="20"/>
          <w:szCs w:val="20"/>
          <w:color w:val="auto"/>
        </w:rPr>
      </w:pPr>
    </w:p>
    <w:p>
      <w:pPr>
        <w:ind w:right="740"/>
        <w:spacing w:after="0" w:line="312" w:lineRule="auto"/>
        <w:rPr>
          <w:sz w:val="20"/>
          <w:szCs w:val="20"/>
          <w:color w:val="auto"/>
        </w:rPr>
      </w:pPr>
      <w:r>
        <w:rPr>
          <w:rFonts w:ascii="Arial" w:cs="Arial" w:eastAsia="Arial" w:hAnsi="Arial"/>
          <w:sz w:val="17"/>
          <w:szCs w:val="17"/>
          <w:color w:val="auto"/>
        </w:rPr>
        <w:t>The undersigned authorized officer of Alexo, Sirpant, and Parent (individually and collectively, “</w:t>
      </w:r>
      <w:r>
        <w:rPr>
          <w:rFonts w:ascii="Arial" w:cs="Arial" w:eastAsia="Arial" w:hAnsi="Arial"/>
          <w:sz w:val="17"/>
          <w:szCs w:val="17"/>
          <w:b w:val="1"/>
          <w:bCs w:val="1"/>
          <w:color w:val="auto"/>
        </w:rPr>
        <w:t>Borrower</w:t>
      </w:r>
      <w:r>
        <w:rPr>
          <w:rFonts w:ascii="Arial" w:cs="Arial" w:eastAsia="Arial" w:hAnsi="Arial"/>
          <w:sz w:val="17"/>
          <w:szCs w:val="17"/>
          <w:color w:val="auto"/>
        </w:rPr>
        <w:t>”) certifies that under the terms and conditions of the Loan and Security Agreement among Borrower, SVB, and WestRiver (as amended, the “</w:t>
      </w:r>
      <w:r>
        <w:rPr>
          <w:rFonts w:ascii="Arial" w:cs="Arial" w:eastAsia="Arial" w:hAnsi="Arial"/>
          <w:sz w:val="17"/>
          <w:szCs w:val="17"/>
          <w:b w:val="1"/>
          <w:bCs w:val="1"/>
          <w:color w:val="auto"/>
        </w:rPr>
        <w:t>Loan Agreement</w:t>
      </w:r>
      <w:r>
        <w:rPr>
          <w:rFonts w:ascii="Arial" w:cs="Arial" w:eastAsia="Arial" w:hAnsi="Arial"/>
          <w:sz w:val="17"/>
          <w:szCs w:val="17"/>
          <w:color w:val="auto"/>
        </w:rPr>
        <w:t>”):</w:t>
      </w:r>
    </w:p>
    <w:p>
      <w:pPr>
        <w:spacing w:after="0" w:line="3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(1) Borrower is in complete compliance for the period ending with all required covenants except as noted below, (2) there are no Events of Default, (3) all representations and warranties in the Agreement are true and correct in all material respects on this date except as noted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materiality qualifier shall not be applicable to any representations and warranties that already are qualified or modified by materiality in the text thereof;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those representations and warranties expressly referring to a specific date shall be true and correct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relating to unpaid employee payroll or benefits of which Borrower has not previously provided written notification to Agent.</w:t>
      </w:r>
    </w:p>
    <w:p>
      <w:pPr>
        <w:spacing w:after="0" w:line="16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ectPr>
          <w:pgSz w:w="11900" w:h="16838" w:orient="portrait"/>
          <w:cols w:equalWidth="0" w:num="1">
            <w:col w:w="11020"/>
          </w:cols>
          <w:pgMar w:left="440" w:top="256" w:right="4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Reporting Covenants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Monthly Financial Statements with Compliance Certificate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Annual financial statement (CPA Audited)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960" w:type="dxa"/>
            <w:vAlign w:val="bottom"/>
            <w:gridSpan w:val="2"/>
          </w:tcPr>
          <w:p>
            <w:pPr>
              <w:ind w:left="2140"/>
              <w:spacing w:after="0"/>
              <w:rPr>
                <w:sz w:val="20"/>
                <w:szCs w:val="20"/>
                <w:color w:val="auto"/>
              </w:rPr>
            </w:pPr>
            <w:r>
              <w:rPr>
                <w:rFonts w:ascii="Arial" w:cs="Arial" w:eastAsia="Arial" w:hAnsi="Arial"/>
                <w:sz w:val="14"/>
                <w:szCs w:val="14"/>
                <w:b w:val="1"/>
                <w:bCs w:val="1"/>
                <w:color w:val="auto"/>
              </w:rPr>
              <w:t>Required</w:t>
            </w:r>
          </w:p>
        </w:tc>
        <w:tc>
          <w:tcPr>
            <w:tcW w:w="8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Complies</w:t>
            </w:r>
          </w:p>
        </w:tc>
      </w:tr>
      <w:tr>
        <w:trPr>
          <w:trHeight w:val="224"/>
        </w:trPr>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Monthly within 30 days</w:t>
            </w:r>
          </w:p>
        </w:tc>
        <w:tc>
          <w:tcPr>
            <w:tcW w:w="120" w:type="dxa"/>
            <w:vAlign w:val="bottom"/>
          </w:tcPr>
          <w:p>
            <w:pPr>
              <w:spacing w:after="0"/>
              <w:rPr>
                <w:sz w:val="19"/>
                <w:szCs w:val="19"/>
                <w:color w:val="auto"/>
              </w:rPr>
            </w:pPr>
          </w:p>
        </w:tc>
        <w:tc>
          <w:tcPr>
            <w:tcW w:w="4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No</w:t>
            </w:r>
          </w:p>
        </w:tc>
      </w:tr>
      <w:tr>
        <w:trPr>
          <w:trHeight w:val="403"/>
        </w:trPr>
        <w:tc>
          <w:tcPr>
            <w:tcW w:w="4960" w:type="dxa"/>
            <w:vAlign w:val="bottom"/>
            <w:gridSpan w:val="2"/>
          </w:tcPr>
          <w:p>
            <w:pPr>
              <w:spacing w:after="0"/>
              <w:rPr>
                <w:sz w:val="20"/>
                <w:szCs w:val="20"/>
                <w:color w:val="auto"/>
              </w:rPr>
            </w:pPr>
            <w:r>
              <w:rPr>
                <w:rFonts w:ascii="Arial" w:cs="Arial" w:eastAsia="Arial" w:hAnsi="Arial"/>
                <w:sz w:val="18"/>
                <w:szCs w:val="18"/>
                <w:color w:val="auto"/>
                <w:w w:val="93"/>
              </w:rPr>
              <w:t>By October 31; if the Board determines in its reasonable discretion</w:t>
            </w:r>
          </w:p>
        </w:tc>
        <w:tc>
          <w:tcPr>
            <w:tcW w:w="400" w:type="dxa"/>
            <w:vAlign w:val="bottom"/>
          </w:tcPr>
          <w:p>
            <w:pPr>
              <w:ind w:left="60"/>
              <w:spacing w:after="0"/>
              <w:rPr>
                <w:sz w:val="20"/>
                <w:szCs w:val="20"/>
                <w:color w:val="auto"/>
              </w:rPr>
            </w:pPr>
            <w:r>
              <w:rPr>
                <w:rFonts w:ascii="Arial" w:cs="Arial" w:eastAsia="Arial" w:hAnsi="Arial"/>
                <w:sz w:val="18"/>
                <w:szCs w:val="18"/>
                <w:color w:val="auto"/>
              </w:rPr>
              <w:t>Yes</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No</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not to require an audit for any fiscal year of Borrower, then 30</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days after such FYE</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4460" w:space="720"/>
            <w:col w:w="5840"/>
          </w:cols>
          <w:pgMar w:left="440" w:top="256" w:right="439" w:bottom="1440" w:gutter="0" w:footer="0" w:header="0"/>
          <w:type w:val="continuous"/>
        </w:sectPr>
      </w:pPr>
    </w:p>
    <w:p>
      <w:pPr>
        <w:spacing w:after="0" w:line="2" w:lineRule="exact"/>
        <w:rPr>
          <w:sz w:val="20"/>
          <w:szCs w:val="20"/>
          <w:color w:val="auto"/>
        </w:rPr>
      </w:pPr>
    </w:p>
    <w:p>
      <w:pPr>
        <w:spacing w:after="0"/>
        <w:tabs>
          <w:tab w:leader="none" w:pos="5160" w:val="left"/>
          <w:tab w:leader="none" w:pos="10180" w:val="left"/>
          <w:tab w:leader="none" w:pos="10620" w:val="left"/>
        </w:tabs>
        <w:rPr>
          <w:sz w:val="20"/>
          <w:szCs w:val="20"/>
          <w:color w:val="auto"/>
        </w:rPr>
      </w:pPr>
      <w:r>
        <w:rPr>
          <w:rFonts w:ascii="Arial" w:cs="Arial" w:eastAsia="Arial" w:hAnsi="Arial"/>
          <w:sz w:val="18"/>
          <w:szCs w:val="18"/>
          <w:color w:val="auto"/>
        </w:rPr>
        <w:t>10-Q, 10-K and 8-K</w:t>
      </w:r>
      <w:r>
        <w:rPr>
          <w:sz w:val="20"/>
          <w:szCs w:val="20"/>
          <w:color w:val="auto"/>
        </w:rPr>
        <w:tab/>
      </w:r>
      <w:r>
        <w:rPr>
          <w:rFonts w:ascii="Arial" w:cs="Arial" w:eastAsia="Arial" w:hAnsi="Arial"/>
          <w:sz w:val="18"/>
          <w:szCs w:val="18"/>
          <w:color w:val="auto"/>
        </w:rPr>
        <w:t>Within 5 days after filing with SEC</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225" w:lineRule="exact"/>
        <w:rPr>
          <w:sz w:val="20"/>
          <w:szCs w:val="20"/>
          <w:color w:val="auto"/>
        </w:rPr>
      </w:pPr>
    </w:p>
    <w:p>
      <w:pPr>
        <w:spacing w:after="0"/>
        <w:tabs>
          <w:tab w:leader="none" w:pos="5160" w:val="left"/>
          <w:tab w:leader="none" w:pos="10180" w:val="left"/>
          <w:tab w:leader="none" w:pos="10620" w:val="left"/>
        </w:tabs>
        <w:rPr>
          <w:sz w:val="20"/>
          <w:szCs w:val="20"/>
          <w:color w:val="auto"/>
        </w:rPr>
      </w:pPr>
      <w:r>
        <w:rPr>
          <w:rFonts w:ascii="Arial" w:cs="Arial" w:eastAsia="Arial" w:hAnsi="Arial"/>
          <w:sz w:val="18"/>
          <w:szCs w:val="18"/>
          <w:color w:val="auto"/>
        </w:rPr>
        <w:t>Board-Approved Projections</w:t>
      </w:r>
      <w:r>
        <w:rPr>
          <w:sz w:val="20"/>
          <w:szCs w:val="20"/>
          <w:color w:val="auto"/>
        </w:rPr>
        <w:tab/>
      </w:r>
      <w:r>
        <w:rPr>
          <w:rFonts w:ascii="Arial" w:cs="Arial" w:eastAsia="Arial" w:hAnsi="Arial"/>
          <w:sz w:val="18"/>
          <w:szCs w:val="18"/>
          <w:color w:val="auto"/>
        </w:rPr>
        <w:t>Within the earlier to occur of (a) 60 days after FYE and (b) 10</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days after Board approval, and contemporaneously with changes</w:t>
      </w:r>
    </w:p>
    <w:p>
      <w:pPr>
        <w:spacing w:after="0" w:line="211"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Cash maintained at ALX U.S. $</w:t>
      </w:r>
      <w:r>
        <w:rPr>
          <w:sz w:val="20"/>
          <w:szCs w:val="20"/>
          <w:color w:val="auto"/>
        </w:rPr>
        <w:tab/>
      </w:r>
      <w:r>
        <w:rPr>
          <w:rFonts w:ascii="Arial" w:cs="Arial" w:eastAsia="Arial" w:hAnsi="Arial"/>
          <w:sz w:val="15"/>
          <w:szCs w:val="15"/>
          <w:color w:val="auto"/>
        </w:rPr>
        <w:t>as of</w:t>
      </w:r>
    </w:p>
    <w:p>
      <w:pPr>
        <w:sectPr>
          <w:pgSz w:w="11900" w:h="16838" w:orient="portrait"/>
          <w:cols w:equalWidth="0" w:num="1">
            <w:col w:w="11020"/>
          </w:cols>
          <w:pgMar w:left="440" w:top="256" w:right="439" w:bottom="1440" w:gutter="0" w:footer="0" w:header="0"/>
          <w:type w:val="continuous"/>
        </w:sectPr>
      </w:pPr>
    </w:p>
    <w:bookmarkStart w:id="488" w:name="page489"/>
    <w:bookmarkEnd w:id="488"/>
    <w:tbl>
      <w:tblPr>
        <w:tblLayout w:type="fixed"/>
        <w:tblInd w:w="0" w:type="dxa"/>
        <w:tblCellMar>
          <w:top w:w="0" w:type="dxa"/>
          <w:left w:w="0" w:type="dxa"/>
          <w:bottom w:w="0" w:type="dxa"/>
          <w:right w:w="0" w:type="dxa"/>
        </w:tblCellMar>
      </w:tblPr>
      <w:tr>
        <w:trPr>
          <w:trHeight w:val="207"/>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Other Matters</w:t>
            </w:r>
          </w:p>
        </w:tc>
        <w:tc>
          <w:tcPr>
            <w:tcW w:w="8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9560" w:type="dxa"/>
            <w:vAlign w:val="bottom"/>
            <w:gridSpan w:val="2"/>
          </w:tcPr>
          <w:p>
            <w:pPr>
              <w:spacing w:after="0"/>
              <w:rPr>
                <w:sz w:val="20"/>
                <w:szCs w:val="20"/>
                <w:color w:val="auto"/>
              </w:rPr>
            </w:pPr>
            <w:r>
              <w:rPr>
                <w:rFonts w:ascii="Arial" w:cs="Arial" w:eastAsia="Arial" w:hAnsi="Arial"/>
                <w:sz w:val="18"/>
                <w:szCs w:val="18"/>
                <w:color w:val="auto"/>
                <w:w w:val="93"/>
              </w:rPr>
              <w:t>Have there been any amendments of or other changes to the capitalization table of Borrower and to the Operating Documents of</w:t>
            </w:r>
          </w:p>
        </w:tc>
        <w:tc>
          <w:tcPr>
            <w:tcW w:w="880" w:type="dxa"/>
            <w:vAlign w:val="bottom"/>
            <w:vMerge w:val="restart"/>
          </w:tcPr>
          <w:p>
            <w:pPr>
              <w:ind w:left="280"/>
              <w:spacing w:after="0"/>
              <w:rPr>
                <w:sz w:val="20"/>
                <w:szCs w:val="20"/>
                <w:color w:val="auto"/>
              </w:rPr>
            </w:pPr>
            <w:r>
              <w:rPr>
                <w:rFonts w:ascii="Arial" w:cs="Arial" w:eastAsia="Arial" w:hAnsi="Arial"/>
                <w:sz w:val="18"/>
                <w:szCs w:val="18"/>
                <w:color w:val="auto"/>
              </w:rPr>
              <w:t>Yes</w:t>
            </w:r>
          </w:p>
        </w:tc>
        <w:tc>
          <w:tcPr>
            <w:tcW w:w="560" w:type="dxa"/>
            <w:vAlign w:val="bottom"/>
            <w:vMerge w:val="restart"/>
          </w:tcPr>
          <w:p>
            <w:pPr>
              <w:ind w:left="3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122"/>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w w:val="93"/>
              </w:rPr>
              <w:t>Borrower or any of its Subsidiaries? If yes, provide copies of any such amendments or changes with this Compliance Certificate.</w:t>
            </w:r>
          </w:p>
        </w:tc>
        <w:tc>
          <w:tcPr>
            <w:tcW w:w="8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56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9560" w:type="dxa"/>
            <w:vAlign w:val="bottom"/>
            <w:gridSpan w:val="2"/>
          </w:tcPr>
          <w:p>
            <w:pPr>
              <w:spacing w:after="0"/>
              <w:rPr>
                <w:sz w:val="20"/>
                <w:szCs w:val="20"/>
                <w:color w:val="auto"/>
              </w:rPr>
            </w:pPr>
            <w:r>
              <w:rPr>
                <w:rFonts w:ascii="Arial" w:cs="Arial" w:eastAsia="Arial" w:hAnsi="Arial"/>
                <w:sz w:val="18"/>
                <w:szCs w:val="18"/>
                <w:color w:val="auto"/>
                <w:w w:val="95"/>
              </w:rPr>
              <w:t>The following are the exceptions with respect to the certification above: (If no exceptions exist, state “No exceptions to note.”)</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582930</wp:posOffset>
            </wp:positionV>
            <wp:extent cx="699516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436880</wp:posOffset>
            </wp:positionV>
            <wp:extent cx="699516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291465</wp:posOffset>
            </wp:positionV>
            <wp:extent cx="699516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25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ALEXO THERAPEUTICS INTERNATIONAL</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-19050</wp:posOffset>
            </wp:positionV>
            <wp:extent cx="116586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-19050</wp:posOffset>
            </wp:positionV>
            <wp:extent cx="99441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-19050</wp:posOffset>
            </wp:positionV>
            <wp:extent cx="105410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SIRPANT THERAPEUTICS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-19050</wp:posOffset>
            </wp:positionV>
            <wp:extent cx="116586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-19050</wp:posOffset>
            </wp:positionV>
            <wp:extent cx="99441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-19050</wp:posOffset>
            </wp:positionV>
            <wp:extent cx="105410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-19050</wp:posOffset>
            </wp:positionV>
            <wp:extent cx="116586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-19050</wp:posOffset>
            </wp:positionV>
            <wp:extent cx="99441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-19050</wp:posOffset>
            </wp:positionV>
            <wp:extent cx="105410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 USE ONLY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Received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-19050</wp:posOffset>
            </wp:positionV>
            <wp:extent cx="99441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p>
    <w:p>
      <w:pPr>
        <w:jc w:val="right"/>
        <w:ind w:right="2820"/>
        <w:spacing w:after="0"/>
        <w:rPr>
          <w:sz w:val="20"/>
          <w:szCs w:val="20"/>
          <w:color w:val="auto"/>
        </w:rPr>
      </w:pPr>
      <w:r>
        <w:rPr>
          <w:rFonts w:ascii="Arial" w:cs="Arial" w:eastAsia="Arial" w:hAnsi="Arial"/>
          <w:sz w:val="15"/>
          <w:szCs w:val="15"/>
          <w:color w:val="auto"/>
        </w:rPr>
        <w:t>AUTHORIZED SIGNER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-19050</wp:posOffset>
            </wp:positionV>
            <wp:extent cx="108013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Verified: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-19050</wp:posOffset>
            </wp:positionV>
            <wp:extent cx="99441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 w:lineRule="exact"/>
        <w:rPr>
          <w:sz w:val="20"/>
          <w:szCs w:val="20"/>
          <w:color w:val="auto"/>
        </w:rPr>
      </w:pPr>
    </w:p>
    <w:p>
      <w:pPr>
        <w:jc w:val="center"/>
        <w:ind w:right="2440"/>
        <w:spacing w:after="0"/>
        <w:rPr>
          <w:sz w:val="20"/>
          <w:szCs w:val="20"/>
          <w:color w:val="auto"/>
        </w:rPr>
      </w:pPr>
      <w:r>
        <w:rPr>
          <w:rFonts w:ascii="Arial" w:cs="Arial" w:eastAsia="Arial" w:hAnsi="Arial"/>
          <w:sz w:val="15"/>
          <w:szCs w:val="15"/>
          <w:color w:val="auto"/>
        </w:rPr>
        <w:t>AUTHORIZED SIGNER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-19050</wp:posOffset>
            </wp:positionV>
            <wp:extent cx="108013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32" w:lineRule="exact"/>
        <w:rPr>
          <w:sz w:val="20"/>
          <w:szCs w:val="20"/>
          <w:color w:val="auto"/>
        </w:rPr>
      </w:pPr>
    </w:p>
    <w:p>
      <w:pPr>
        <w:spacing w:after="0"/>
        <w:tabs>
          <w:tab w:leader="none" w:pos="1560" w:val="left"/>
          <w:tab w:leader="none" w:pos="2080" w:val="left"/>
        </w:tabs>
        <w:rPr>
          <w:sz w:val="20"/>
          <w:szCs w:val="20"/>
          <w:color w:val="auto"/>
        </w:rPr>
      </w:pPr>
      <w:r>
        <w:rPr>
          <w:rFonts w:ascii="Arial" w:cs="Arial" w:eastAsia="Arial" w:hAnsi="Arial"/>
          <w:sz w:val="18"/>
          <w:szCs w:val="18"/>
          <w:color w:val="auto"/>
        </w:rPr>
        <w:t>Compliance Status:</w:t>
        <w:tab/>
        <w:t>Yes</w:t>
      </w:r>
      <w:r>
        <w:rPr>
          <w:sz w:val="20"/>
          <w:szCs w:val="20"/>
          <w:color w:val="auto"/>
        </w:rPr>
        <w:tab/>
      </w:r>
      <w:r>
        <w:rPr>
          <w:rFonts w:ascii="Arial" w:cs="Arial" w:eastAsia="Arial" w:hAnsi="Arial"/>
          <w:sz w:val="17"/>
          <w:szCs w:val="17"/>
          <w:color w:val="auto"/>
        </w:rPr>
        <w:t>No</w:t>
      </w:r>
    </w:p>
    <w:p>
      <w:pPr>
        <w:sectPr>
          <w:pgSz w:w="11900" w:h="16838" w:orient="portrait"/>
          <w:cols w:equalWidth="0" w:num="2">
            <w:col w:w="4900" w:space="720"/>
            <w:col w:w="5380"/>
          </w:cols>
          <w:pgMar w:left="440" w:top="256" w:right="459" w:bottom="1440" w:gutter="0" w:footer="0" w:header="0"/>
          <w:type w:val="continuous"/>
        </w:sectPr>
      </w:pPr>
    </w:p>
    <w:bookmarkStart w:id="489" w:name="page490"/>
    <w:bookmarkEnd w:id="489"/>
    <w:p>
      <w:pPr>
        <w:jc w:val="center"/>
        <w:ind w:right="-1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4</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LOAN PAYMENT/ADVANCE REQUEST FORM</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EADLINE FOR SAME DAY PROCESSING IS</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ACIFIC</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IME</w:t>
      </w:r>
    </w:p>
    <w:p>
      <w:pPr>
        <w:spacing w:after="0" w:line="256"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Fax To:</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14605</wp:posOffset>
            </wp:positionV>
            <wp:extent cx="13290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329055" cy="825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184150</wp:posOffset>
            </wp:positionV>
            <wp:extent cx="6998970" cy="1435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998970" cy="1435735"/>
                    </a:xfrm>
                    <a:prstGeom prst="rect">
                      <a:avLst/>
                    </a:prstGeom>
                    <a:noFill/>
                  </pic:spPr>
                </pic:pic>
              </a:graphicData>
            </a:graphic>
          </wp:anchor>
        </w:drawing>
      </w:r>
    </w:p>
    <w:p>
      <w:pPr>
        <w:spacing w:after="0" w:line="309"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color w:val="auto"/>
        </w:rPr>
        <w:t>ALX ONCOLOGY HOLDINGS INC., ALEXO THERAPEUTICS INTERNATIONAL, AND SIRPANT THERAPEUTICS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00" w:type="dxa"/>
            <w:vAlign w:val="bottom"/>
            <w:gridSpan w:val="6"/>
          </w:tcPr>
          <w:p>
            <w:pPr>
              <w:spacing w:after="0"/>
              <w:rPr>
                <w:sz w:val="20"/>
                <w:szCs w:val="20"/>
                <w:color w:val="auto"/>
              </w:rPr>
            </w:pPr>
            <w:r>
              <w:rPr>
                <w:rFonts w:ascii="Arial" w:cs="Arial" w:eastAsia="Arial" w:hAnsi="Arial"/>
                <w:sz w:val="18"/>
                <w:szCs w:val="18"/>
                <w:color w:val="auto"/>
              </w:rPr>
              <w:t>From Account #</w:t>
            </w:r>
          </w:p>
        </w:tc>
        <w:tc>
          <w:tcPr>
            <w:tcW w:w="4320" w:type="dxa"/>
            <w:vAlign w:val="bottom"/>
            <w:gridSpan w:val="4"/>
          </w:tcPr>
          <w:p>
            <w:pPr>
              <w:ind w:left="180"/>
              <w:spacing w:after="0"/>
              <w:rPr>
                <w:sz w:val="20"/>
                <w:szCs w:val="20"/>
                <w:color w:val="auto"/>
              </w:rPr>
            </w:pPr>
            <w:r>
              <w:rPr>
                <w:rFonts w:ascii="Arial" w:cs="Arial" w:eastAsia="Arial" w:hAnsi="Arial"/>
                <w:sz w:val="18"/>
                <w:szCs w:val="18"/>
                <w:color w:val="auto"/>
              </w:rPr>
              <w:t>To Account #</w:t>
            </w:r>
          </w:p>
        </w:tc>
        <w:tc>
          <w:tcPr>
            <w:tcW w:w="420" w:type="dxa"/>
            <w:vAlign w:val="bottom"/>
          </w:tcPr>
          <w:p>
            <w:pPr>
              <w:spacing w:after="0"/>
              <w:rPr>
                <w:sz w:val="20"/>
                <w:szCs w:val="20"/>
                <w:color w:val="auto"/>
              </w:rPr>
            </w:pPr>
          </w:p>
        </w:tc>
      </w:tr>
      <w:tr>
        <w:trPr>
          <w:trHeight w:val="224"/>
        </w:trPr>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gridSpan w:val="3"/>
          </w:tcPr>
          <w:p>
            <w:pPr>
              <w:ind w:left="320"/>
              <w:spacing w:after="0"/>
              <w:rPr>
                <w:sz w:val="20"/>
                <w:szCs w:val="20"/>
                <w:color w:val="auto"/>
              </w:rPr>
            </w:pPr>
            <w:r>
              <w:rPr>
                <w:rFonts w:ascii="Arial" w:cs="Arial" w:eastAsia="Arial" w:hAnsi="Arial"/>
                <w:sz w:val="18"/>
                <w:szCs w:val="18"/>
                <w:color w:val="auto"/>
              </w:rPr>
              <w:t>(Deposit Account #)</w:t>
            </w:r>
          </w:p>
        </w:tc>
        <w:tc>
          <w:tcPr>
            <w:tcW w:w="1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2"/>
          </w:tcPr>
          <w:p>
            <w:pPr>
              <w:ind w:left="560"/>
              <w:spacing w:after="0"/>
              <w:rPr>
                <w:sz w:val="20"/>
                <w:szCs w:val="20"/>
                <w:color w:val="auto"/>
              </w:rPr>
            </w:pPr>
            <w:r>
              <w:rPr>
                <w:rFonts w:ascii="Arial" w:cs="Arial" w:eastAsia="Arial" w:hAnsi="Arial"/>
                <w:sz w:val="18"/>
                <w:szCs w:val="18"/>
                <w:color w:val="auto"/>
              </w:rPr>
              <w:t>(Loan Account #)</w:t>
            </w:r>
          </w:p>
        </w:tc>
        <w:tc>
          <w:tcPr>
            <w:tcW w:w="420" w:type="dxa"/>
            <w:vAlign w:val="bottom"/>
          </w:tcPr>
          <w:p>
            <w:pPr>
              <w:spacing w:after="0"/>
              <w:rPr>
                <w:sz w:val="19"/>
                <w:szCs w:val="19"/>
                <w:color w:val="auto"/>
              </w:rPr>
            </w:pPr>
          </w:p>
        </w:tc>
      </w:tr>
      <w:tr>
        <w:trPr>
          <w:trHeight w:val="458"/>
        </w:trPr>
        <w:tc>
          <w:tcPr>
            <w:tcW w:w="920" w:type="dxa"/>
            <w:vAlign w:val="bottom"/>
          </w:tcPr>
          <w:p>
            <w:pPr>
              <w:spacing w:after="0"/>
              <w:rPr>
                <w:sz w:val="20"/>
                <w:szCs w:val="20"/>
                <w:color w:val="auto"/>
              </w:rPr>
            </w:pPr>
            <w:r>
              <w:rPr>
                <w:rFonts w:ascii="Arial" w:cs="Arial" w:eastAsia="Arial" w:hAnsi="Arial"/>
                <w:sz w:val="18"/>
                <w:szCs w:val="18"/>
                <w:color w:val="auto"/>
              </w:rPr>
              <w:t>Principal $</w:t>
            </w:r>
          </w:p>
        </w:tc>
        <w:tc>
          <w:tcPr>
            <w:tcW w:w="2760" w:type="dxa"/>
            <w:vAlign w:val="bottom"/>
            <w:tcBorders>
              <w:bottom w:val="single" w:sz="8" w:color="auto"/>
            </w:tcBorders>
            <w:gridSpan w:val="3"/>
          </w:tcPr>
          <w:p>
            <w:pPr>
              <w:spacing w:after="0"/>
              <w:rPr>
                <w:sz w:val="24"/>
                <w:szCs w:val="24"/>
                <w:color w:val="auto"/>
              </w:rPr>
            </w:pPr>
          </w:p>
        </w:tc>
        <w:tc>
          <w:tcPr>
            <w:tcW w:w="720" w:type="dxa"/>
            <w:vAlign w:val="bottom"/>
            <w:gridSpan w:val="2"/>
          </w:tcPr>
          <w:p>
            <w:pPr>
              <w:spacing w:after="0"/>
              <w:rPr>
                <w:sz w:val="24"/>
                <w:szCs w:val="24"/>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and/or Interest $</w:t>
            </w:r>
          </w:p>
        </w:tc>
        <w:tc>
          <w:tcPr>
            <w:tcW w:w="2740" w:type="dxa"/>
            <w:vAlign w:val="bottom"/>
            <w:tcBorders>
              <w:bottom w:val="single" w:sz="8" w:color="auto"/>
            </w:tcBorders>
            <w:gridSpan w:val="2"/>
          </w:tcPr>
          <w:p>
            <w:pPr>
              <w:spacing w:after="0"/>
              <w:rPr>
                <w:sz w:val="24"/>
                <w:szCs w:val="24"/>
                <w:color w:val="auto"/>
              </w:rPr>
            </w:pPr>
          </w:p>
        </w:tc>
        <w:tc>
          <w:tcPr>
            <w:tcW w:w="420" w:type="dxa"/>
            <w:vAlign w:val="bottom"/>
          </w:tcPr>
          <w:p>
            <w:pPr>
              <w:spacing w:after="0"/>
              <w:rPr>
                <w:sz w:val="24"/>
                <w:szCs w:val="24"/>
                <w:color w:val="auto"/>
              </w:rPr>
            </w:pPr>
          </w:p>
        </w:tc>
      </w:tr>
      <w:tr>
        <w:trPr>
          <w:trHeight w:val="466"/>
        </w:trPr>
        <w:tc>
          <w:tcPr>
            <w:tcW w:w="4400" w:type="dxa"/>
            <w:vAlign w:val="bottom"/>
            <w:gridSpan w:val="6"/>
          </w:tcPr>
          <w:p>
            <w:pPr>
              <w:spacing w:after="0"/>
              <w:rPr>
                <w:sz w:val="20"/>
                <w:szCs w:val="20"/>
                <w:color w:val="auto"/>
              </w:rPr>
            </w:pPr>
            <w:r>
              <w:rPr>
                <w:rFonts w:ascii="Arial" w:cs="Arial" w:eastAsia="Arial" w:hAnsi="Arial"/>
                <w:sz w:val="18"/>
                <w:szCs w:val="18"/>
                <w:color w:val="auto"/>
              </w:rPr>
              <w:t>Authorized Signature:</w:t>
            </w:r>
          </w:p>
        </w:tc>
        <w:tc>
          <w:tcPr>
            <w:tcW w:w="4320" w:type="dxa"/>
            <w:vAlign w:val="bottom"/>
            <w:gridSpan w:val="4"/>
          </w:tcPr>
          <w:p>
            <w:pPr>
              <w:ind w:left="1040"/>
              <w:spacing w:after="0"/>
              <w:rPr>
                <w:sz w:val="20"/>
                <w:szCs w:val="20"/>
                <w:color w:val="auto"/>
              </w:rPr>
            </w:pPr>
            <w:r>
              <w:rPr>
                <w:rFonts w:ascii="Arial" w:cs="Arial" w:eastAsia="Arial" w:hAnsi="Arial"/>
                <w:sz w:val="18"/>
                <w:szCs w:val="18"/>
                <w:color w:val="auto"/>
              </w:rPr>
              <w:t>Phone Number:</w:t>
            </w:r>
          </w:p>
        </w:tc>
        <w:tc>
          <w:tcPr>
            <w:tcW w:w="420" w:type="dxa"/>
            <w:vAlign w:val="bottom"/>
          </w:tcPr>
          <w:p>
            <w:pPr>
              <w:spacing w:after="0"/>
              <w:rPr>
                <w:sz w:val="24"/>
                <w:szCs w:val="24"/>
                <w:color w:val="auto"/>
              </w:rPr>
            </w:pPr>
          </w:p>
        </w:tc>
      </w:tr>
      <w:tr>
        <w:trPr>
          <w:trHeight w:val="223"/>
        </w:trPr>
        <w:tc>
          <w:tcPr>
            <w:tcW w:w="1800" w:type="dxa"/>
            <w:vAlign w:val="bottom"/>
            <w:gridSpan w:val="3"/>
          </w:tcPr>
          <w:p>
            <w:pPr>
              <w:spacing w:after="0"/>
              <w:rPr>
                <w:sz w:val="20"/>
                <w:szCs w:val="20"/>
                <w:color w:val="auto"/>
              </w:rPr>
            </w:pPr>
            <w:r>
              <w:rPr>
                <w:rFonts w:ascii="Arial" w:cs="Arial" w:eastAsia="Arial" w:hAnsi="Arial"/>
                <w:sz w:val="18"/>
                <w:szCs w:val="18"/>
                <w:color w:val="auto"/>
              </w:rPr>
              <w:t>Print Name/Title:</w:t>
            </w:r>
          </w:p>
        </w:tc>
        <w:tc>
          <w:tcPr>
            <w:tcW w:w="2420" w:type="dxa"/>
            <w:vAlign w:val="bottom"/>
            <w:tcBorders>
              <w:top w:val="single" w:sz="8" w:color="auto"/>
              <w:bottom w:val="single" w:sz="8" w:color="auto"/>
            </w:tcBorders>
            <w:gridSpan w:val="2"/>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203835</wp:posOffset>
            </wp:positionV>
            <wp:extent cx="6998970" cy="21126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998970" cy="2112645"/>
                    </a:xfrm>
                    <a:prstGeom prst="rect">
                      <a:avLst/>
                    </a:prstGeom>
                    <a:noFill/>
                  </pic:spPr>
                </pic:pic>
              </a:graphicData>
            </a:graphic>
          </wp:anchor>
        </w:drawing>
      </w:r>
    </w:p>
    <w:p>
      <w:pPr>
        <w:spacing w:after="0" w:line="3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DVANCE</w:t>
      </w:r>
      <w:r>
        <w:rPr>
          <w:rFonts w:ascii="Arial" w:cs="Arial" w:eastAsia="Arial" w:hAnsi="Arial"/>
          <w:sz w:val="18"/>
          <w:szCs w:val="18"/>
          <w:b w:val="1"/>
          <w:bCs w:val="1"/>
          <w:color w:val="auto"/>
        </w:rPr>
        <w: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From Account #</w:t>
            </w:r>
          </w:p>
        </w:tc>
        <w:tc>
          <w:tcPr>
            <w:tcW w:w="4320" w:type="dxa"/>
            <w:vAlign w:val="bottom"/>
            <w:gridSpan w:val="3"/>
          </w:tcPr>
          <w:p>
            <w:pPr>
              <w:ind w:left="180"/>
              <w:spacing w:after="0"/>
              <w:rPr>
                <w:sz w:val="20"/>
                <w:szCs w:val="20"/>
                <w:color w:val="auto"/>
              </w:rPr>
            </w:pPr>
            <w:r>
              <w:rPr>
                <w:rFonts w:ascii="Arial" w:cs="Arial" w:eastAsia="Arial" w:hAnsi="Arial"/>
                <w:sz w:val="18"/>
                <w:szCs w:val="18"/>
                <w:color w:val="auto"/>
              </w:rPr>
              <w:t>To Account #</w:t>
            </w:r>
          </w:p>
        </w:tc>
      </w:tr>
      <w:tr>
        <w:trPr>
          <w:trHeight w:val="224"/>
        </w:trPr>
        <w:tc>
          <w:tcPr>
            <w:tcW w:w="1320" w:type="dxa"/>
            <w:vAlign w:val="bottom"/>
          </w:tcPr>
          <w:p>
            <w:pPr>
              <w:spacing w:after="0"/>
              <w:rPr>
                <w:sz w:val="19"/>
                <w:szCs w:val="19"/>
                <w:color w:val="auto"/>
              </w:rPr>
            </w:pPr>
          </w:p>
        </w:tc>
        <w:tc>
          <w:tcPr>
            <w:tcW w:w="3080" w:type="dxa"/>
            <w:vAlign w:val="bottom"/>
            <w:tcBorders>
              <w:top w:val="single" w:sz="8" w:color="auto"/>
            </w:tcBorders>
            <w:gridSpan w:val="2"/>
          </w:tcPr>
          <w:p>
            <w:pPr>
              <w:ind w:left="900"/>
              <w:spacing w:after="0"/>
              <w:rPr>
                <w:sz w:val="20"/>
                <w:szCs w:val="20"/>
                <w:color w:val="auto"/>
              </w:rPr>
            </w:pPr>
            <w:r>
              <w:rPr>
                <w:rFonts w:ascii="Arial" w:cs="Arial" w:eastAsia="Arial" w:hAnsi="Arial"/>
                <w:sz w:val="18"/>
                <w:szCs w:val="18"/>
                <w:color w:val="auto"/>
              </w:rPr>
              <w:t>(Loan Account #)</w:t>
            </w:r>
          </w:p>
        </w:tc>
        <w:tc>
          <w:tcPr>
            <w:tcW w:w="1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(Deposit Account #)</w:t>
            </w:r>
          </w:p>
        </w:tc>
      </w:tr>
      <w:tr>
        <w:trPr>
          <w:trHeight w:val="458"/>
        </w:trPr>
        <w:tc>
          <w:tcPr>
            <w:tcW w:w="2780" w:type="dxa"/>
            <w:vAlign w:val="bottom"/>
            <w:gridSpan w:val="2"/>
          </w:tcPr>
          <w:p>
            <w:pPr>
              <w:spacing w:after="0"/>
              <w:rPr>
                <w:sz w:val="20"/>
                <w:szCs w:val="20"/>
                <w:color w:val="auto"/>
              </w:rPr>
            </w:pPr>
            <w:r>
              <w:rPr>
                <w:rFonts w:ascii="Arial" w:cs="Arial" w:eastAsia="Arial" w:hAnsi="Arial"/>
                <w:sz w:val="18"/>
                <w:szCs w:val="18"/>
                <w:color w:val="auto"/>
              </w:rPr>
              <w:t>Amount of Term Loan Advance $</w:t>
            </w:r>
          </w:p>
        </w:tc>
        <w:tc>
          <w:tcPr>
            <w:tcW w:w="1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bl>
    <w:p>
      <w:pPr>
        <w:spacing w:after="0" w:line="215" w:lineRule="exact"/>
        <w:rPr>
          <w:sz w:val="20"/>
          <w:szCs w:val="20"/>
          <w:color w:val="auto"/>
        </w:rPr>
      </w:pPr>
    </w:p>
    <w:p>
      <w:pPr>
        <w:ind w:left="40" w:right="140"/>
        <w:spacing w:after="0" w:line="277"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on the date of the request for an advance</w:t>
      </w:r>
    </w:p>
    <w:p>
      <w:pPr>
        <w:spacing w:after="0" w:line="197"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8"/>
          <w:szCs w:val="18"/>
          <w:color w:val="auto"/>
        </w:rPr>
        <w:t>Authorized Signature:</w:t>
      </w:r>
      <w:r>
        <w:rPr>
          <w:sz w:val="20"/>
          <w:szCs w:val="20"/>
          <w:color w:val="auto"/>
        </w:rPr>
        <w:tab/>
      </w:r>
      <w:r>
        <w:rPr>
          <w:rFonts w:ascii="Arial" w:cs="Arial" w:eastAsia="Arial" w:hAnsi="Arial"/>
          <w:sz w:val="15"/>
          <w:szCs w:val="15"/>
          <w:color w:val="auto"/>
        </w:rPr>
        <w:t>Phone Number: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217805</wp:posOffset>
            </wp:positionV>
            <wp:extent cx="6998970" cy="364744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998970" cy="3647440"/>
                    </a:xfrm>
                    <a:prstGeom prst="rect">
                      <a:avLst/>
                    </a:prstGeom>
                    <a:noFill/>
                  </pic:spPr>
                </pic:pic>
              </a:graphicData>
            </a:graphic>
          </wp:anchor>
        </w:drawing>
      </w:r>
    </w:p>
    <w:p>
      <w:pPr>
        <w:spacing w:after="0" w:line="3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EQUEST</w:t>
      </w:r>
      <w:r>
        <w:rPr>
          <w:rFonts w:ascii="Arial" w:cs="Arial" w:eastAsia="Arial" w:hAnsi="Arial"/>
          <w:sz w:val="18"/>
          <w:szCs w:val="18"/>
          <w:b w:val="1"/>
          <w:bCs w:val="1"/>
          <w:color w:val="auto"/>
        </w:rPr>
        <w:t>:</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Deadline for same day processing is noon, Pacific Time</w:t>
      </w:r>
    </w:p>
    <w:p>
      <w:pPr>
        <w:sectPr>
          <w:pgSz w:w="11900" w:h="16838" w:orient="portrait"/>
          <w:cols w:equalWidth="0" w:num="1">
            <w:col w:w="10680"/>
          </w:cols>
          <w:pgMar w:left="520" w:top="269" w:right="699" w:bottom="1440" w:gutter="0" w:footer="0" w:header="0"/>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Beneficiary Name: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Beneficiary Bank:</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City and State:</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7"/>
          <w:szCs w:val="17"/>
          <w:color w:val="auto"/>
        </w:rPr>
        <w:t>Beneficiary Bank Transit (ABA) #:</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Intermediary Bank:</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Further Credit to:</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Special Instruction:</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Amount of Wire: $</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Account Number: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Beneficiary Bank Code (Swift, Sort, Chip, etc.):</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(For International Wire Only)</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Transit (ABA) #:</w:t>
      </w:r>
    </w:p>
    <w:p>
      <w:pPr>
        <w:spacing w:after="0" w:line="901" w:lineRule="exact"/>
        <w:rPr>
          <w:sz w:val="20"/>
          <w:szCs w:val="20"/>
          <w:color w:val="auto"/>
        </w:rPr>
      </w:pPr>
    </w:p>
    <w:p>
      <w:pPr>
        <w:sectPr>
          <w:pgSz w:w="11900" w:h="16838" w:orient="portrait"/>
          <w:cols w:equalWidth="0" w:num="2">
            <w:col w:w="3940" w:space="720"/>
            <w:col w:w="6020"/>
          </w:cols>
          <w:pgMar w:left="520" w:top="269" w:right="699" w:bottom="1440" w:gutter="0" w:footer="0" w:header="0"/>
          <w:type w:val="continuous"/>
        </w:sectPr>
      </w:pPr>
    </w:p>
    <w:p>
      <w:pPr>
        <w:spacing w:after="0" w:line="52" w:lineRule="exact"/>
        <w:rPr>
          <w:sz w:val="20"/>
          <w:szCs w:val="20"/>
          <w:color w:val="auto"/>
        </w:rPr>
      </w:pPr>
    </w:p>
    <w:p>
      <w:pPr>
        <w:ind w:left="40"/>
        <w:spacing w:after="0" w:line="263" w:lineRule="auto"/>
        <w:rPr>
          <w:sz w:val="20"/>
          <w:szCs w:val="20"/>
          <w:color w:val="auto"/>
        </w:rPr>
      </w:pPr>
      <w:r>
        <w:rPr>
          <w:rFonts w:ascii="Arial" w:cs="Arial" w:eastAsia="Arial" w:hAnsi="Arial"/>
          <w:sz w:val="18"/>
          <w:szCs w:val="18"/>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Authorized Signature:</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500" w:type="dxa"/>
            <w:vAlign w:val="bottom"/>
            <w:gridSpan w:val="2"/>
          </w:tcPr>
          <w:p>
            <w:pPr>
              <w:ind w:left="120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Signature (if required):</w:t>
            </w:r>
          </w:p>
        </w:tc>
        <w:tc>
          <w:tcPr>
            <w:tcW w:w="580" w:type="dxa"/>
            <w:vAlign w:val="bottom"/>
            <w:tcBorders>
              <w:bottom w:val="single" w:sz="8" w:color="auto"/>
            </w:tcBorders>
            <w:gridSpan w:val="2"/>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1800" w:type="dxa"/>
            <w:vAlign w:val="bottom"/>
            <w:gridSpan w:val="2"/>
          </w:tcPr>
          <w:p>
            <w:pPr>
              <w:spacing w:after="0"/>
              <w:rPr>
                <w:sz w:val="20"/>
                <w:szCs w:val="20"/>
                <w:color w:val="auto"/>
              </w:rPr>
            </w:pPr>
            <w:r>
              <w:rPr>
                <w:rFonts w:ascii="Arial" w:cs="Arial" w:eastAsia="Arial" w:hAnsi="Arial"/>
                <w:sz w:val="18"/>
                <w:szCs w:val="18"/>
                <w:color w:val="auto"/>
              </w:rPr>
              <w:t>Print Name/Title:</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80" w:type="dxa"/>
            <w:vAlign w:val="bottom"/>
            <w:gridSpan w:val="4"/>
          </w:tcPr>
          <w:p>
            <w:pPr>
              <w:ind w:left="1200"/>
              <w:spacing w:after="0"/>
              <w:rPr>
                <w:sz w:val="20"/>
                <w:szCs w:val="20"/>
                <w:color w:val="auto"/>
              </w:rPr>
            </w:pPr>
            <w:r>
              <w:rPr>
                <w:rFonts w:ascii="Arial" w:cs="Arial" w:eastAsia="Arial" w:hAnsi="Arial"/>
                <w:sz w:val="18"/>
                <w:szCs w:val="18"/>
                <w:color w:val="auto"/>
              </w:rPr>
              <w:t>Print Name/Title:</w:t>
            </w:r>
          </w:p>
        </w:tc>
        <w:tc>
          <w:tcPr>
            <w:tcW w:w="1280" w:type="dxa"/>
            <w:vAlign w:val="bottom"/>
          </w:tcPr>
          <w:p>
            <w:pPr>
              <w:spacing w:after="0"/>
              <w:rPr>
                <w:sz w:val="19"/>
                <w:szCs w:val="19"/>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Telephone #:</w:t>
            </w:r>
          </w:p>
        </w:tc>
        <w:tc>
          <w:tcPr>
            <w:tcW w:w="66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0" w:type="dxa"/>
            <w:vAlign w:val="bottom"/>
          </w:tcPr>
          <w:p>
            <w:pPr>
              <w:ind w:left="1200"/>
              <w:spacing w:after="0" w:line="196" w:lineRule="exact"/>
              <w:rPr>
                <w:sz w:val="20"/>
                <w:szCs w:val="20"/>
                <w:color w:val="auto"/>
              </w:rPr>
            </w:pPr>
            <w:r>
              <w:rPr>
                <w:rFonts w:ascii="Arial" w:cs="Arial" w:eastAsia="Arial" w:hAnsi="Arial"/>
                <w:sz w:val="18"/>
                <w:szCs w:val="18"/>
                <w:color w:val="auto"/>
              </w:rPr>
              <w:t>Telephone #:</w:t>
            </w:r>
          </w:p>
        </w:tc>
        <w:tc>
          <w:tcPr>
            <w:tcW w:w="1360" w:type="dxa"/>
            <w:vAlign w:val="bottom"/>
            <w:tcBorders>
              <w:bottom w:val="single" w:sz="8" w:color="auto"/>
            </w:tcBorders>
            <w:gridSpan w:val="2"/>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ectPr>
          <w:pgSz w:w="11900" w:h="16838" w:orient="portrait"/>
          <w:cols w:equalWidth="0" w:num="1">
            <w:col w:w="10680"/>
          </w:cols>
          <w:pgMar w:left="520" w:top="269" w:right="699" w:bottom="1440" w:gutter="0" w:footer="0" w:header="0"/>
          <w:type w:val="continuous"/>
        </w:sectPr>
      </w:pPr>
    </w:p>
    <w:bookmarkStart w:id="490" w:name="page491"/>
    <w:bookmarkEnd w:id="4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Schedule 5</w:t>
            </w:r>
          </w:p>
        </w:tc>
        <w:tc>
          <w:tcPr>
            <w:tcW w:w="180" w:type="dxa"/>
            <w:vAlign w:val="bottom"/>
          </w:tcPr>
          <w:p>
            <w:pPr>
              <w:spacing w:after="0"/>
              <w:rPr>
                <w:sz w:val="17"/>
                <w:szCs w:val="17"/>
                <w:color w:val="auto"/>
              </w:rPr>
            </w:pPr>
          </w:p>
        </w:tc>
        <w:tc>
          <w:tcPr>
            <w:tcW w:w="4780" w:type="dxa"/>
            <w:vAlign w:val="bottom"/>
          </w:tcPr>
          <w:p>
            <w:pPr>
              <w:spacing w:after="0"/>
              <w:rPr>
                <w:sz w:val="17"/>
                <w:szCs w:val="17"/>
                <w:color w:val="auto"/>
              </w:rPr>
            </w:pPr>
          </w:p>
        </w:tc>
      </w:tr>
      <w:tr>
        <w:trPr>
          <w:trHeight w:val="453"/>
        </w:trPr>
        <w:tc>
          <w:tcPr>
            <w:tcW w:w="3820" w:type="dxa"/>
            <w:vAlign w:val="bottom"/>
          </w:tcPr>
          <w:p>
            <w:pPr>
              <w:spacing w:after="0"/>
              <w:rPr>
                <w:sz w:val="24"/>
                <w:szCs w:val="24"/>
                <w:color w:val="auto"/>
              </w:rPr>
            </w:pPr>
          </w:p>
        </w:tc>
        <w:tc>
          <w:tcPr>
            <w:tcW w:w="184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rPr>
              <w:t>EXHIBIT D</w:t>
            </w:r>
          </w:p>
        </w:tc>
        <w:tc>
          <w:tcPr>
            <w:tcW w:w="4780" w:type="dxa"/>
            <w:vAlign w:val="bottom"/>
          </w:tcPr>
          <w:p>
            <w:pPr>
              <w:spacing w:after="0"/>
              <w:rPr>
                <w:sz w:val="24"/>
                <w:szCs w:val="24"/>
                <w:color w:val="auto"/>
              </w:rPr>
            </w:pPr>
          </w:p>
        </w:tc>
      </w:tr>
      <w:tr>
        <w:trPr>
          <w:trHeight w:val="432"/>
        </w:trPr>
        <w:tc>
          <w:tcPr>
            <w:tcW w:w="3820" w:type="dxa"/>
            <w:vAlign w:val="bottom"/>
          </w:tcPr>
          <w:p>
            <w:pPr>
              <w:spacing w:after="0"/>
              <w:rPr>
                <w:sz w:val="24"/>
                <w:szCs w:val="24"/>
                <w:color w:val="auto"/>
              </w:rPr>
            </w:pPr>
          </w:p>
        </w:tc>
        <w:tc>
          <w:tcPr>
            <w:tcW w:w="6620" w:type="dxa"/>
            <w:vAlign w:val="bottom"/>
            <w:gridSpan w:val="5"/>
          </w:tcPr>
          <w:p>
            <w:pPr>
              <w:jc w:val="center"/>
              <w:ind w:right="4050"/>
              <w:spacing w:after="0"/>
              <w:rPr>
                <w:sz w:val="20"/>
                <w:szCs w:val="20"/>
                <w:color w:val="auto"/>
              </w:rPr>
            </w:pPr>
            <w:r>
              <w:rPr>
                <w:rFonts w:ascii="Arial" w:cs="Arial" w:eastAsia="Arial" w:hAnsi="Arial"/>
                <w:sz w:val="18"/>
                <w:szCs w:val="18"/>
                <w:b w:val="1"/>
                <w:bCs w:val="1"/>
                <w:color w:val="auto"/>
              </w:rPr>
              <w:t>DISBURSEMENT LETTER</w:t>
            </w:r>
          </w:p>
        </w:tc>
      </w:tr>
      <w:tr>
        <w:trPr>
          <w:trHeight w:val="432"/>
        </w:trPr>
        <w:tc>
          <w:tcPr>
            <w:tcW w:w="3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8"/>
              </w:rPr>
              <w:t>[DATE]</w:t>
            </w:r>
          </w:p>
        </w:tc>
        <w:tc>
          <w:tcPr>
            <w:tcW w:w="4780" w:type="dxa"/>
            <w:vAlign w:val="bottom"/>
          </w:tcPr>
          <w:p>
            <w:pPr>
              <w:spacing w:after="0"/>
              <w:rPr>
                <w:sz w:val="24"/>
                <w:szCs w:val="24"/>
                <w:color w:val="auto"/>
              </w:rPr>
            </w:pP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w w:val="93"/>
              </w:rPr>
              <w:t>The undersigned, being the duly elected and acting</w:t>
            </w:r>
          </w:p>
        </w:tc>
        <w:tc>
          <w:tcPr>
            <w:tcW w:w="8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of</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(i)</w:t>
            </w:r>
          </w:p>
        </w:tc>
        <w:tc>
          <w:tcPr>
            <w:tcW w:w="4780" w:type="dxa"/>
            <w:vAlign w:val="bottom"/>
          </w:tcPr>
          <w:p>
            <w:pPr>
              <w:ind w:left="120"/>
              <w:spacing w:after="0"/>
              <w:rPr>
                <w:sz w:val="20"/>
                <w:szCs w:val="20"/>
                <w:color w:val="auto"/>
              </w:rPr>
            </w:pPr>
            <w:r>
              <w:rPr>
                <w:rFonts w:ascii="Arial" w:cs="Arial" w:eastAsia="Arial" w:hAnsi="Arial"/>
                <w:sz w:val="18"/>
                <w:szCs w:val="18"/>
                <w:b w:val="1"/>
                <w:bCs w:val="1"/>
                <w:color w:val="auto"/>
                <w:w w:val="98"/>
              </w:rPr>
              <w:t>ALEXO THERAPEUTICS INTERNATIONAL</w:t>
            </w:r>
            <w:r>
              <w:rPr>
                <w:rFonts w:ascii="Arial" w:cs="Arial" w:eastAsia="Arial" w:hAnsi="Arial"/>
                <w:sz w:val="18"/>
                <w:szCs w:val="18"/>
                <w:color w:val="auto"/>
                <w:w w:val="98"/>
              </w:rPr>
              <w:t>, an exempted</w:t>
            </w:r>
          </w:p>
        </w:tc>
      </w:tr>
    </w:tbl>
    <w:p>
      <w:pPr>
        <w:ind w:right="40"/>
        <w:spacing w:after="0" w:line="251" w:lineRule="auto"/>
        <w:rPr>
          <w:sz w:val="20"/>
          <w:szCs w:val="20"/>
          <w:color w:val="auto"/>
        </w:rPr>
      </w:pPr>
      <w:r>
        <w:rPr>
          <w:rFonts w:ascii="Arial" w:cs="Arial" w:eastAsia="Arial" w:hAnsi="Arial"/>
          <w:sz w:val="18"/>
          <w:szCs w:val="18"/>
          <w:color w:val="auto"/>
        </w:rPr>
        <w:t>company incorporated under the laws of the Cayman Islands (“</w:t>
      </w:r>
      <w:r>
        <w:rPr>
          <w:rFonts w:ascii="Arial" w:cs="Arial" w:eastAsia="Arial" w:hAnsi="Arial"/>
          <w:sz w:val="18"/>
          <w:szCs w:val="18"/>
          <w:b w:val="1"/>
          <w:bCs w:val="1"/>
          <w:color w:val="auto"/>
        </w:rPr>
        <w:t>Alexo</w:t>
      </w:r>
      <w:r>
        <w:rPr>
          <w:rFonts w:ascii="Arial" w:cs="Arial" w:eastAsia="Arial" w:hAnsi="Arial"/>
          <w:sz w:val="18"/>
          <w:szCs w:val="18"/>
          <w:color w:val="auto"/>
        </w:rPr>
        <w:t xml:space="preserve">”), (ii) </w:t>
      </w:r>
      <w:r>
        <w:rPr>
          <w:rFonts w:ascii="Arial" w:cs="Arial" w:eastAsia="Arial" w:hAnsi="Arial"/>
          <w:sz w:val="18"/>
          <w:szCs w:val="18"/>
          <w:b w:val="1"/>
          <w:bCs w:val="1"/>
          <w:color w:val="auto"/>
        </w:rPr>
        <w:t>SIRPANT THERAPEUTICS</w:t>
      </w:r>
      <w:r>
        <w:rPr>
          <w:rFonts w:ascii="Arial" w:cs="Arial" w:eastAsia="Arial" w:hAnsi="Arial"/>
          <w:sz w:val="18"/>
          <w:szCs w:val="18"/>
          <w:color w:val="auto"/>
        </w:rPr>
        <w:t>, an exempted company incorporated under the laws of the Cayman Islands (“</w:t>
      </w:r>
      <w:r>
        <w:rPr>
          <w:rFonts w:ascii="Arial" w:cs="Arial" w:eastAsia="Arial" w:hAnsi="Arial"/>
          <w:sz w:val="18"/>
          <w:szCs w:val="18"/>
          <w:b w:val="1"/>
          <w:bCs w:val="1"/>
          <w:color w:val="auto"/>
        </w:rPr>
        <w:t>Sirpant</w:t>
      </w:r>
      <w:r>
        <w:rPr>
          <w:rFonts w:ascii="Arial" w:cs="Arial" w:eastAsia="Arial" w:hAnsi="Arial"/>
          <w:sz w:val="18"/>
          <w:szCs w:val="18"/>
          <w:color w:val="auto"/>
        </w:rPr>
        <w:t xml:space="preserve">”), and (iii) </w:t>
      </w:r>
      <w:r>
        <w:rPr>
          <w:rFonts w:ascii="Arial" w:cs="Arial" w:eastAsia="Arial" w:hAnsi="Arial"/>
          <w:sz w:val="18"/>
          <w:szCs w:val="18"/>
          <w:b w:val="1"/>
          <w:bCs w:val="1"/>
          <w:color w:val="auto"/>
        </w:rPr>
        <w:t>ALX ONCOLOGY HOLDINGS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ALX</w:t>
      </w:r>
      <w:r>
        <w:rPr>
          <w:rFonts w:ascii="Arial" w:cs="Arial" w:eastAsia="Arial" w:hAnsi="Arial"/>
          <w:sz w:val="18"/>
          <w:szCs w:val="18"/>
          <w:color w:val="auto"/>
        </w:rPr>
        <w:t>”; together with Sirpant and Alexo, individually and collectively, jointly and severally, the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does hereby certify to (a) </w:t>
      </w: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SVB</w:t>
      </w:r>
      <w:r>
        <w:rPr>
          <w:rFonts w:ascii="Arial" w:cs="Arial" w:eastAsia="Arial" w:hAnsi="Arial"/>
          <w:sz w:val="18"/>
          <w:szCs w:val="18"/>
          <w:color w:val="auto"/>
        </w:rPr>
        <w:t>”), in its capacity as administrative agent and collateral agent (“</w:t>
      </w:r>
      <w:r>
        <w:rPr>
          <w:rFonts w:ascii="Arial" w:cs="Arial" w:eastAsia="Arial" w:hAnsi="Arial"/>
          <w:sz w:val="18"/>
          <w:szCs w:val="18"/>
          <w:b w:val="1"/>
          <w:bCs w:val="1"/>
          <w:color w:val="auto"/>
        </w:rPr>
        <w:t>Agent</w:t>
      </w:r>
      <w:r>
        <w:rPr>
          <w:rFonts w:ascii="Arial" w:cs="Arial" w:eastAsia="Arial" w:hAnsi="Arial"/>
          <w:sz w:val="18"/>
          <w:szCs w:val="18"/>
          <w:color w:val="auto"/>
        </w:rPr>
        <w:t xml:space="preserve">”), (b) </w:t>
      </w:r>
      <w:r>
        <w:rPr>
          <w:rFonts w:ascii="Arial" w:cs="Arial" w:eastAsia="Arial" w:hAnsi="Arial"/>
          <w:sz w:val="18"/>
          <w:szCs w:val="18"/>
          <w:b w:val="1"/>
          <w:bCs w:val="1"/>
          <w:color w:val="auto"/>
        </w:rPr>
        <w:t>SILICON VALLEY BANK</w:t>
      </w:r>
      <w:r>
        <w:rPr>
          <w:rFonts w:ascii="Arial" w:cs="Arial" w:eastAsia="Arial" w:hAnsi="Arial"/>
          <w:sz w:val="18"/>
          <w:szCs w:val="18"/>
          <w:color w:val="auto"/>
        </w:rPr>
        <w:t xml:space="preserve">, a California corporation, as a lender, (c) </w:t>
      </w:r>
      <w:r>
        <w:rPr>
          <w:rFonts w:ascii="Arial" w:cs="Arial" w:eastAsia="Arial" w:hAnsi="Arial"/>
          <w:sz w:val="18"/>
          <w:szCs w:val="18"/>
          <w:b w:val="1"/>
          <w:bCs w:val="1"/>
          <w:color w:val="auto"/>
        </w:rPr>
        <w:t>WESTRIVER INNOVATION LENDING FUND VIII, L.P.</w:t>
      </w:r>
      <w:r>
        <w:rPr>
          <w:rFonts w:ascii="Arial" w:cs="Arial" w:eastAsia="Arial" w:hAnsi="Arial"/>
          <w:sz w:val="18"/>
          <w:szCs w:val="18"/>
          <w:color w:val="auto"/>
        </w:rPr>
        <w:t>, a Delaware limited partnership (“</w:t>
      </w:r>
      <w:r>
        <w:rPr>
          <w:rFonts w:ascii="Arial" w:cs="Arial" w:eastAsia="Arial" w:hAnsi="Arial"/>
          <w:sz w:val="18"/>
          <w:szCs w:val="18"/>
          <w:b w:val="1"/>
          <w:bCs w:val="1"/>
          <w:color w:val="auto"/>
        </w:rPr>
        <w:t>WestRiver</w:t>
      </w:r>
      <w:r>
        <w:rPr>
          <w:rFonts w:ascii="Arial" w:cs="Arial" w:eastAsia="Arial" w:hAnsi="Arial"/>
          <w:sz w:val="18"/>
          <w:szCs w:val="18"/>
          <w:color w:val="auto"/>
        </w:rPr>
        <w:t>”), as a lender (SVB and WestRiver and each of the other “Lenders” from time to time a party hereto are referred to herein collectively as the “</w:t>
      </w:r>
      <w:r>
        <w:rPr>
          <w:rFonts w:ascii="Arial" w:cs="Arial" w:eastAsia="Arial" w:hAnsi="Arial"/>
          <w:sz w:val="18"/>
          <w:szCs w:val="18"/>
          <w:b w:val="1"/>
          <w:bCs w:val="1"/>
          <w:color w:val="auto"/>
        </w:rPr>
        <w:t>Lenders</w:t>
      </w:r>
      <w:r>
        <w:rPr>
          <w:rFonts w:ascii="Arial" w:cs="Arial" w:eastAsia="Arial" w:hAnsi="Arial"/>
          <w:sz w:val="18"/>
          <w:szCs w:val="18"/>
          <w:color w:val="auto"/>
        </w:rPr>
        <w:t>” and each individually as a “</w:t>
      </w:r>
      <w:r>
        <w:rPr>
          <w:rFonts w:ascii="Arial" w:cs="Arial" w:eastAsia="Arial" w:hAnsi="Arial"/>
          <w:sz w:val="18"/>
          <w:szCs w:val="18"/>
          <w:b w:val="1"/>
          <w:bCs w:val="1"/>
          <w:color w:val="auto"/>
        </w:rPr>
        <w:t>Lender</w:t>
      </w:r>
      <w:r>
        <w:rPr>
          <w:rFonts w:ascii="Arial" w:cs="Arial" w:eastAsia="Arial" w:hAnsi="Arial"/>
          <w:sz w:val="18"/>
          <w:szCs w:val="18"/>
          <w:color w:val="auto"/>
        </w:rPr>
        <w:t>”) in connection with that certain Loan and Security Agreement dated as of December 20, 2019, by and among Borrower,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with other capitalized terms used below having the meanings ascribed thereto in the Loan Agreement) that:</w:t>
      </w:r>
    </w:p>
    <w:p>
      <w:pPr>
        <w:spacing w:after="0" w:line="89" w:lineRule="exact"/>
        <w:rPr>
          <w:sz w:val="20"/>
          <w:szCs w:val="20"/>
          <w:color w:val="auto"/>
        </w:rPr>
      </w:pPr>
    </w:p>
    <w:p>
      <w:pPr>
        <w:ind w:right="380" w:firstLine="436"/>
        <w:spacing w:after="0" w:line="277" w:lineRule="auto"/>
        <w:tabs>
          <w:tab w:leader="none" w:pos="752"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representations and warranties made by Borrower in Section 5 of the Loan Agreement and in the other Loan Documents are true and correct in all material respects as of the date hereof.</w:t>
      </w:r>
    </w:p>
    <w:p>
      <w:pPr>
        <w:spacing w:after="0" w:line="170" w:lineRule="exact"/>
        <w:rPr>
          <w:rFonts w:ascii="Arial" w:cs="Arial" w:eastAsia="Arial" w:hAnsi="Arial"/>
          <w:sz w:val="18"/>
          <w:szCs w:val="18"/>
          <w:color w:val="auto"/>
        </w:rPr>
      </w:pPr>
    </w:p>
    <w:p>
      <w:pPr>
        <w:ind w:left="760" w:hanging="324"/>
        <w:spacing w:after="0"/>
        <w:tabs>
          <w:tab w:leader="none" w:pos="76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No event or condition has occurred that would constitute an Event of Default under the Loan Agreement or any other Loan Document.</w:t>
      </w:r>
    </w:p>
    <w:p>
      <w:pPr>
        <w:spacing w:after="0" w:line="236" w:lineRule="exact"/>
        <w:rPr>
          <w:rFonts w:ascii="Arial" w:cs="Arial" w:eastAsia="Arial" w:hAnsi="Arial"/>
          <w:sz w:val="17"/>
          <w:szCs w:val="17"/>
          <w:color w:val="auto"/>
        </w:rPr>
      </w:pPr>
    </w:p>
    <w:p>
      <w:pPr>
        <w:ind w:left="760" w:hanging="324"/>
        <w:spacing w:after="0"/>
        <w:tabs>
          <w:tab w:leader="none" w:pos="7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Borrower is in compliance with the covenants and requirements contained in Sections 4, 6 and 7 of the Loan Agreement.</w:t>
      </w:r>
    </w:p>
    <w:p>
      <w:pPr>
        <w:spacing w:after="0" w:line="225" w:lineRule="exact"/>
        <w:rPr>
          <w:rFonts w:ascii="Arial" w:cs="Arial" w:eastAsia="Arial" w:hAnsi="Arial"/>
          <w:sz w:val="18"/>
          <w:szCs w:val="18"/>
          <w:color w:val="auto"/>
        </w:rPr>
      </w:pPr>
    </w:p>
    <w:p>
      <w:pPr>
        <w:ind w:firstLine="436"/>
        <w:spacing w:after="0" w:line="277" w:lineRule="auto"/>
        <w:tabs>
          <w:tab w:leader="none" w:pos="745"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All conditions referred to in Section 3 of the Loan Agreement to the making of a Credit Extension to be made on or about the date hereof have been satisfied or waived by Agent.</w:t>
      </w:r>
    </w:p>
    <w:p>
      <w:pPr>
        <w:spacing w:after="0" w:line="170" w:lineRule="exact"/>
        <w:rPr>
          <w:rFonts w:ascii="Arial" w:cs="Arial" w:eastAsia="Arial" w:hAnsi="Arial"/>
          <w:sz w:val="18"/>
          <w:szCs w:val="18"/>
          <w:color w:val="auto"/>
        </w:rPr>
      </w:pPr>
    </w:p>
    <w:p>
      <w:pPr>
        <w:ind w:left="760" w:hanging="324"/>
        <w:spacing w:after="0"/>
        <w:tabs>
          <w:tab w:leader="none" w:pos="7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No Material Adverse Change has occurred.</w:t>
      </w:r>
    </w:p>
    <w:p>
      <w:pPr>
        <w:spacing w:after="0" w:line="225" w:lineRule="exact"/>
        <w:rPr>
          <w:rFonts w:ascii="Arial" w:cs="Arial" w:eastAsia="Arial" w:hAnsi="Arial"/>
          <w:sz w:val="18"/>
          <w:szCs w:val="18"/>
          <w:color w:val="auto"/>
        </w:rPr>
      </w:pPr>
    </w:p>
    <w:p>
      <w:pPr>
        <w:ind w:left="740" w:hanging="304"/>
        <w:spacing w:after="0"/>
        <w:tabs>
          <w:tab w:leader="none" w:pos="7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undersigned is an Authorized Signer.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ectPr>
          <w:pgSz w:w="11900" w:h="16838" w:orient="portrait"/>
          <w:cols w:equalWidth="0" w:num="1">
            <w:col w:w="11000"/>
          </w:cols>
          <w:pgMar w:left="440" w:top="256" w:right="459" w:bottom="1440" w:gutter="0" w:footer="0" w:header="0"/>
        </w:sectPr>
      </w:pPr>
    </w:p>
    <w:bookmarkStart w:id="491" w:name="page492"/>
    <w:bookmarkEnd w:id="49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7A. The proceeds of the Term Loan Advance shall be disbursed as follows:</w:t>
      </w:r>
    </w:p>
    <w:p>
      <w:pPr>
        <w:spacing w:after="0" w:line="266" w:lineRule="exact"/>
        <w:rPr>
          <w:sz w:val="20"/>
          <w:szCs w:val="20"/>
          <w:color w:val="auto"/>
        </w:rPr>
      </w:pPr>
    </w:p>
    <w:tbl>
      <w:tblPr>
        <w:tblLayout w:type="fixed"/>
        <w:tblInd w:w="444"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Disbursement from SVB:</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ind w:left="240"/>
              <w:spacing w:after="0"/>
              <w:rPr>
                <w:sz w:val="20"/>
                <w:szCs w:val="20"/>
                <w:color w:val="auto"/>
              </w:rPr>
            </w:pPr>
            <w:r>
              <w:rPr>
                <w:rFonts w:ascii="Arial" w:cs="Arial" w:eastAsia="Arial" w:hAnsi="Arial"/>
                <w:sz w:val="18"/>
                <w:szCs w:val="18"/>
                <w:color w:val="auto"/>
              </w:rPr>
              <w:t>Loan Amount</w:t>
            </w:r>
          </w:p>
        </w:tc>
        <w:tc>
          <w:tcPr>
            <w:tcW w:w="35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Plus:</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ind w:left="600"/>
              <w:spacing w:after="0"/>
              <w:rPr>
                <w:sz w:val="20"/>
                <w:szCs w:val="20"/>
                <w:color w:val="auto"/>
              </w:rPr>
            </w:pPr>
            <w:r>
              <w:rPr>
                <w:rFonts w:ascii="Arial" w:cs="Arial" w:eastAsia="Arial" w:hAnsi="Arial"/>
                <w:sz w:val="18"/>
                <w:szCs w:val="18"/>
                <w:color w:val="auto"/>
              </w:rPr>
              <w:t>—Deposit Received</w:t>
            </w:r>
          </w:p>
        </w:tc>
        <w:tc>
          <w:tcPr>
            <w:tcW w:w="3560" w:type="dxa"/>
            <w:vAlign w:val="bottom"/>
          </w:tcPr>
          <w:p>
            <w:pPr>
              <w:spacing w:after="0"/>
              <w:rPr>
                <w:sz w:val="20"/>
                <w:szCs w:val="20"/>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Less:</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ind w:left="600"/>
              <w:spacing w:after="0"/>
              <w:rPr>
                <w:sz w:val="20"/>
                <w:szCs w:val="20"/>
                <w:color w:val="auto"/>
              </w:rPr>
            </w:pPr>
            <w:r>
              <w:rPr>
                <w:rFonts w:ascii="Arial" w:cs="Arial" w:eastAsia="Arial" w:hAnsi="Arial"/>
                <w:sz w:val="18"/>
                <w:szCs w:val="18"/>
                <w:color w:val="auto"/>
              </w:rPr>
              <w:t>—[Interim Interest]</w:t>
            </w:r>
          </w:p>
        </w:tc>
        <w:tc>
          <w:tcPr>
            <w:tcW w:w="35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—Lender’s Legal Fees</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24"/>
        </w:trPr>
        <w:tc>
          <w:tcPr>
            <w:tcW w:w="4120" w:type="dxa"/>
            <w:vAlign w:val="bottom"/>
            <w:gridSpan w:val="3"/>
          </w:tcPr>
          <w:p>
            <w:pPr>
              <w:ind w:left="1320"/>
              <w:spacing w:after="0"/>
              <w:rPr>
                <w:sz w:val="20"/>
                <w:szCs w:val="20"/>
                <w:color w:val="auto"/>
              </w:rPr>
            </w:pPr>
            <w:r>
              <w:rPr>
                <w:rFonts w:ascii="Arial" w:cs="Arial" w:eastAsia="Arial" w:hAnsi="Arial"/>
                <w:sz w:val="18"/>
                <w:szCs w:val="18"/>
                <w:b w:val="1"/>
                <w:bCs w:val="1"/>
                <w:color w:val="auto"/>
              </w:rPr>
              <w:t>Net Proceeds due from SVB:</w:t>
            </w:r>
          </w:p>
        </w:tc>
        <w:tc>
          <w:tcPr>
            <w:tcW w:w="35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20" w:type="dxa"/>
            <w:vAlign w:val="bottom"/>
            <w:vMerge w:val="restart"/>
          </w:tcPr>
          <w:p>
            <w:pPr>
              <w:spacing w:after="0"/>
              <w:rPr>
                <w:sz w:val="9"/>
                <w:szCs w:val="9"/>
                <w:color w:val="auto"/>
              </w:rPr>
            </w:pPr>
          </w:p>
        </w:tc>
        <w:tc>
          <w:tcPr>
            <w:tcW w:w="2800" w:type="dxa"/>
            <w:vAlign w:val="bottom"/>
            <w:gridSpan w:val="2"/>
          </w:tcPr>
          <w:p>
            <w:pPr>
              <w:spacing w:after="0"/>
              <w:rPr>
                <w:sz w:val="9"/>
                <w:szCs w:val="9"/>
                <w:color w:val="auto"/>
              </w:rPr>
            </w:pPr>
          </w:p>
        </w:tc>
        <w:tc>
          <w:tcPr>
            <w:tcW w:w="3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Disbursement from WestRiver:</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ind w:left="240"/>
              <w:spacing w:after="0"/>
              <w:rPr>
                <w:sz w:val="20"/>
                <w:szCs w:val="20"/>
                <w:color w:val="auto"/>
              </w:rPr>
            </w:pPr>
            <w:r>
              <w:rPr>
                <w:rFonts w:ascii="Arial" w:cs="Arial" w:eastAsia="Arial" w:hAnsi="Arial"/>
                <w:sz w:val="18"/>
                <w:szCs w:val="18"/>
                <w:color w:val="auto"/>
              </w:rPr>
              <w:t>Loan Amount</w:t>
            </w:r>
          </w:p>
        </w:tc>
        <w:tc>
          <w:tcPr>
            <w:tcW w:w="35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Plus:</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ind w:left="600"/>
              <w:spacing w:after="0"/>
              <w:rPr>
                <w:sz w:val="20"/>
                <w:szCs w:val="20"/>
                <w:color w:val="auto"/>
              </w:rPr>
            </w:pPr>
            <w:r>
              <w:rPr>
                <w:rFonts w:ascii="Arial" w:cs="Arial" w:eastAsia="Arial" w:hAnsi="Arial"/>
                <w:sz w:val="18"/>
                <w:szCs w:val="18"/>
                <w:color w:val="auto"/>
              </w:rPr>
              <w:t>—Deposit Received</w:t>
            </w:r>
          </w:p>
        </w:tc>
        <w:tc>
          <w:tcPr>
            <w:tcW w:w="3560" w:type="dxa"/>
            <w:vAlign w:val="bottom"/>
          </w:tcPr>
          <w:p>
            <w:pPr>
              <w:spacing w:after="0"/>
              <w:rPr>
                <w:sz w:val="20"/>
                <w:szCs w:val="20"/>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Less:</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ind w:left="600"/>
              <w:spacing w:after="0"/>
              <w:rPr>
                <w:sz w:val="20"/>
                <w:szCs w:val="20"/>
                <w:color w:val="auto"/>
              </w:rPr>
            </w:pPr>
            <w:r>
              <w:rPr>
                <w:rFonts w:ascii="Arial" w:cs="Arial" w:eastAsia="Arial" w:hAnsi="Arial"/>
                <w:sz w:val="18"/>
                <w:szCs w:val="18"/>
                <w:color w:val="auto"/>
              </w:rPr>
              <w:t>—[Interim Interest]</w:t>
            </w:r>
          </w:p>
        </w:tc>
        <w:tc>
          <w:tcPr>
            <w:tcW w:w="3560" w:type="dxa"/>
            <w:vAlign w:val="bottom"/>
          </w:tcPr>
          <w:p>
            <w:pPr>
              <w:spacing w:after="0"/>
              <w:rPr>
                <w:sz w:val="20"/>
                <w:szCs w:val="20"/>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320" w:type="dxa"/>
            <w:vAlign w:val="bottom"/>
            <w:vMerge w:val="restart"/>
          </w:tcPr>
          <w:p>
            <w:pPr>
              <w:spacing w:after="0"/>
              <w:rPr>
                <w:sz w:val="8"/>
                <w:szCs w:val="8"/>
                <w:color w:val="auto"/>
              </w:rPr>
            </w:pPr>
          </w:p>
        </w:tc>
        <w:tc>
          <w:tcPr>
            <w:tcW w:w="2800" w:type="dxa"/>
            <w:vAlign w:val="bottom"/>
            <w:gridSpan w:val="2"/>
          </w:tcPr>
          <w:p>
            <w:pPr>
              <w:spacing w:after="0"/>
              <w:rPr>
                <w:sz w:val="8"/>
                <w:szCs w:val="8"/>
                <w:color w:val="auto"/>
              </w:rPr>
            </w:pPr>
          </w:p>
        </w:tc>
        <w:tc>
          <w:tcPr>
            <w:tcW w:w="3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Net Proceeds due from WestRiver:</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7680" w:type="dxa"/>
            <w:vAlign w:val="bottom"/>
            <w:gridSpan w:val="4"/>
          </w:tcPr>
          <w:p>
            <w:pPr>
              <w:ind w:left="1320"/>
              <w:spacing w:after="0"/>
              <w:rPr>
                <w:sz w:val="20"/>
                <w:szCs w:val="20"/>
                <w:color w:val="auto"/>
              </w:rPr>
            </w:pPr>
            <w:r>
              <w:rPr>
                <w:rFonts w:ascii="Arial" w:cs="Arial" w:eastAsia="Arial" w:hAnsi="Arial"/>
                <w:sz w:val="18"/>
                <w:szCs w:val="18"/>
                <w:b w:val="1"/>
                <w:bCs w:val="1"/>
                <w:color w:val="auto"/>
                <w:w w:val="96"/>
              </w:rPr>
              <w:t>Disbursement from Agent (cumulative and not duplicative of the amounts set</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ind w:left="60"/>
              <w:spacing w:after="0"/>
              <w:rPr>
                <w:sz w:val="20"/>
                <w:szCs w:val="20"/>
                <w:color w:val="auto"/>
              </w:rPr>
            </w:pPr>
            <w:r>
              <w:rPr>
                <w:rFonts w:ascii="Arial" w:cs="Arial" w:eastAsia="Arial" w:hAnsi="Arial"/>
                <w:sz w:val="18"/>
                <w:szCs w:val="18"/>
                <w:b w:val="1"/>
                <w:bCs w:val="1"/>
                <w:color w:val="auto"/>
              </w:rPr>
              <w:t>forth above):</w:t>
            </w:r>
          </w:p>
        </w:tc>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Loan Amount</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ind w:left="600"/>
              <w:spacing w:after="0"/>
              <w:rPr>
                <w:sz w:val="20"/>
                <w:szCs w:val="20"/>
                <w:color w:val="auto"/>
              </w:rPr>
            </w:pPr>
            <w:r>
              <w:rPr>
                <w:rFonts w:ascii="Arial" w:cs="Arial" w:eastAsia="Arial" w:hAnsi="Arial"/>
                <w:sz w:val="18"/>
                <w:szCs w:val="18"/>
                <w:color w:val="auto"/>
              </w:rPr>
              <w:t>Plus:</w:t>
            </w:r>
          </w:p>
        </w:tc>
        <w:tc>
          <w:tcPr>
            <w:tcW w:w="35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—Deposit Received</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ind w:left="600"/>
              <w:spacing w:after="0"/>
              <w:rPr>
                <w:sz w:val="20"/>
                <w:szCs w:val="20"/>
                <w:color w:val="auto"/>
              </w:rPr>
            </w:pPr>
            <w:r>
              <w:rPr>
                <w:rFonts w:ascii="Arial" w:cs="Arial" w:eastAsia="Arial" w:hAnsi="Arial"/>
                <w:sz w:val="18"/>
                <w:szCs w:val="18"/>
                <w:color w:val="auto"/>
              </w:rPr>
              <w:t>Less:</w:t>
            </w:r>
          </w:p>
        </w:tc>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—[Interim Interest]</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ind w:left="600"/>
              <w:spacing w:after="0"/>
              <w:rPr>
                <w:sz w:val="20"/>
                <w:szCs w:val="20"/>
                <w:color w:val="auto"/>
              </w:rPr>
            </w:pPr>
            <w:r>
              <w:rPr>
                <w:rFonts w:ascii="Arial" w:cs="Arial" w:eastAsia="Arial" w:hAnsi="Arial"/>
                <w:sz w:val="18"/>
                <w:szCs w:val="18"/>
                <w:color w:val="auto"/>
              </w:rPr>
              <w:t>—Lender’s Legal Fees</w:t>
            </w:r>
          </w:p>
        </w:tc>
        <w:tc>
          <w:tcPr>
            <w:tcW w:w="3560" w:type="dxa"/>
            <w:vAlign w:val="bottom"/>
          </w:tcPr>
          <w:p>
            <w:pPr>
              <w:spacing w:after="0"/>
              <w:rPr>
                <w:sz w:val="20"/>
                <w:szCs w:val="20"/>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4"/>
        </w:trPr>
        <w:tc>
          <w:tcPr>
            <w:tcW w:w="1320" w:type="dxa"/>
            <w:vAlign w:val="bottom"/>
            <w:vMerge w:val="restart"/>
          </w:tcPr>
          <w:p>
            <w:pPr>
              <w:spacing w:after="0"/>
              <w:rPr>
                <w:sz w:val="8"/>
                <w:szCs w:val="8"/>
                <w:color w:val="auto"/>
              </w:rPr>
            </w:pPr>
          </w:p>
        </w:tc>
        <w:tc>
          <w:tcPr>
            <w:tcW w:w="2800" w:type="dxa"/>
            <w:vAlign w:val="bottom"/>
            <w:gridSpan w:val="2"/>
          </w:tcPr>
          <w:p>
            <w:pPr>
              <w:spacing w:after="0"/>
              <w:rPr>
                <w:sz w:val="8"/>
                <w:szCs w:val="8"/>
                <w:color w:val="auto"/>
              </w:rPr>
            </w:pPr>
          </w:p>
        </w:tc>
        <w:tc>
          <w:tcPr>
            <w:tcW w:w="3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Proceeds due from Agent:</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680" w:type="dxa"/>
            <w:vAlign w:val="bottom"/>
            <w:gridSpan w:val="4"/>
          </w:tcPr>
          <w:p>
            <w:pPr>
              <w:ind w:left="1320"/>
              <w:spacing w:after="0"/>
              <w:rPr>
                <w:sz w:val="20"/>
                <w:szCs w:val="20"/>
                <w:color w:val="auto"/>
              </w:rPr>
            </w:pPr>
            <w:r>
              <w:rPr>
                <w:rFonts w:ascii="Arial" w:cs="Arial" w:eastAsia="Arial" w:hAnsi="Arial"/>
                <w:sz w:val="18"/>
                <w:szCs w:val="18"/>
                <w:b w:val="1"/>
                <w:bCs w:val="1"/>
                <w:color w:val="auto"/>
              </w:rPr>
              <w:t>TOTAL TERM LOAN ADVANCE NET PROCEEDS FROM LENDERS</w:t>
            </w:r>
          </w:p>
        </w:tc>
        <w:tc>
          <w:tcPr>
            <w:tcW w:w="36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40" w:type="dxa"/>
            <w:vAlign w:val="bottom"/>
            <w:gridSpan w:val="2"/>
          </w:tcPr>
          <w:p>
            <w:pPr>
              <w:spacing w:after="0"/>
              <w:rPr>
                <w:sz w:val="20"/>
                <w:szCs w:val="20"/>
                <w:color w:val="auto"/>
              </w:rPr>
            </w:pPr>
            <w:r>
              <w:rPr>
                <w:rFonts w:ascii="Arial" w:cs="Arial" w:eastAsia="Arial" w:hAnsi="Arial"/>
                <w:sz w:val="18"/>
                <w:szCs w:val="18"/>
                <w:color w:val="auto"/>
              </w:rPr>
              <w:t>7B.  Funds from [</w:t>
            </w:r>
          </w:p>
        </w:tc>
        <w:tc>
          <w:tcPr>
            <w:tcW w:w="6240" w:type="dxa"/>
            <w:vAlign w:val="bottom"/>
            <w:gridSpan w:val="2"/>
          </w:tcPr>
          <w:p>
            <w:pPr>
              <w:jc w:val="center"/>
              <w:ind w:left="390"/>
              <w:spacing w:after="0"/>
              <w:rPr>
                <w:sz w:val="20"/>
                <w:szCs w:val="20"/>
                <w:color w:val="auto"/>
              </w:rPr>
            </w:pPr>
            <w:r>
              <w:rPr>
                <w:rFonts w:ascii="Arial" w:cs="Arial" w:eastAsia="Arial" w:hAnsi="Arial"/>
                <w:sz w:val="18"/>
                <w:szCs w:val="18"/>
                <w:color w:val="auto"/>
                <w:w w:val="92"/>
              </w:rPr>
              <w:t>] (“</w:t>
            </w:r>
            <w:r>
              <w:rPr>
                <w:rFonts w:ascii="Arial" w:cs="Arial" w:eastAsia="Arial" w:hAnsi="Arial"/>
                <w:sz w:val="18"/>
                <w:szCs w:val="18"/>
                <w:b w:val="1"/>
                <w:bCs w:val="1"/>
                <w:color w:val="auto"/>
                <w:w w:val="92"/>
              </w:rPr>
              <w:t>Borrower</w:t>
            </w:r>
            <w:r>
              <w:rPr>
                <w:rFonts w:ascii="Arial" w:cs="Arial" w:eastAsia="Arial" w:hAnsi="Arial"/>
                <w:sz w:val="18"/>
                <w:szCs w:val="18"/>
                <w:color w:val="auto"/>
                <w:w w:val="92"/>
              </w:rPr>
              <w:t>”) Designated Deposit Account shall be disbursed as follows: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40" w:type="dxa"/>
            <w:vAlign w:val="bottom"/>
            <w:gridSpan w:val="2"/>
          </w:tcPr>
          <w:p>
            <w:pPr>
              <w:ind w:left="540"/>
              <w:spacing w:after="0"/>
              <w:rPr>
                <w:sz w:val="20"/>
                <w:szCs w:val="20"/>
                <w:color w:val="auto"/>
              </w:rPr>
            </w:pPr>
            <w:r>
              <w:rPr>
                <w:rFonts w:ascii="Arial" w:cs="Arial" w:eastAsia="Arial" w:hAnsi="Arial"/>
                <w:sz w:val="18"/>
                <w:szCs w:val="18"/>
                <w:b w:val="1"/>
                <w:bCs w:val="1"/>
                <w:i w:val="1"/>
                <w:iCs w:val="1"/>
                <w:color w:val="auto"/>
              </w:rPr>
              <w:t>SVB:</w:t>
            </w:r>
          </w:p>
        </w:tc>
        <w:tc>
          <w:tcPr>
            <w:tcW w:w="26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Term Loan Fees</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ind w:left="240"/>
              <w:spacing w:after="0"/>
              <w:rPr>
                <w:sz w:val="20"/>
                <w:szCs w:val="20"/>
                <w:color w:val="auto"/>
              </w:rPr>
            </w:pPr>
            <w:r>
              <w:rPr>
                <w:rFonts w:ascii="Arial" w:cs="Arial" w:eastAsia="Arial" w:hAnsi="Arial"/>
                <w:sz w:val="18"/>
                <w:szCs w:val="18"/>
                <w:color w:val="auto"/>
              </w:rPr>
              <w:t>Lender’s Legal Fees</w:t>
            </w:r>
          </w:p>
        </w:tc>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20" w:type="dxa"/>
            <w:vAlign w:val="bottom"/>
            <w:vMerge w:val="restart"/>
          </w:tcPr>
          <w:p>
            <w:pPr>
              <w:spacing w:after="0"/>
              <w:rPr>
                <w:sz w:val="17"/>
                <w:szCs w:val="17"/>
                <w:color w:val="auto"/>
              </w:rPr>
            </w:pPr>
          </w:p>
        </w:tc>
        <w:tc>
          <w:tcPr>
            <w:tcW w:w="636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 xml:space="preserve">WestRiver: </w:t>
            </w:r>
            <w:r>
              <w:rPr>
                <w:rFonts w:ascii="Arial" w:cs="Arial" w:eastAsia="Arial" w:hAnsi="Arial"/>
                <w:sz w:val="18"/>
                <w:szCs w:val="18"/>
                <w:i w:val="1"/>
                <w:iCs w:val="1"/>
                <w:color w:val="auto"/>
              </w:rPr>
              <w:t>Designated Deposit Account: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ind w:left="240"/>
              <w:spacing w:after="0"/>
              <w:rPr>
                <w:sz w:val="20"/>
                <w:szCs w:val="20"/>
                <w:color w:val="auto"/>
              </w:rPr>
            </w:pPr>
            <w:r>
              <w:rPr>
                <w:rFonts w:ascii="Arial" w:cs="Arial" w:eastAsia="Arial" w:hAnsi="Arial"/>
                <w:sz w:val="18"/>
                <w:szCs w:val="18"/>
                <w:color w:val="auto"/>
              </w:rPr>
              <w:t>Term Loan Fees</w:t>
            </w:r>
          </w:p>
        </w:tc>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Funds due from [</w:t>
            </w:r>
          </w:p>
        </w:tc>
        <w:tc>
          <w:tcPr>
            <w:tcW w:w="3560" w:type="dxa"/>
            <w:vAlign w:val="bottom"/>
            <w:shd w:val="clear" w:color="auto" w:fill="CCEEFF"/>
          </w:tcPr>
          <w:p>
            <w:pPr>
              <w:jc w:val="center"/>
              <w:ind w:right="2150"/>
              <w:spacing w:after="0"/>
              <w:rPr>
                <w:sz w:val="20"/>
                <w:szCs w:val="20"/>
                <w:color w:val="auto"/>
              </w:rPr>
            </w:pPr>
            <w:r>
              <w:rPr>
                <w:rFonts w:ascii="Arial" w:cs="Arial" w:eastAsia="Arial" w:hAnsi="Arial"/>
                <w:sz w:val="18"/>
                <w:szCs w:val="18"/>
                <w:color w:val="auto"/>
              </w:rPr>
              <w:t>] (“Borrower”)</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hanging="224"/>
        <w:spacing w:after="0" w:line="277" w:lineRule="auto"/>
        <w:tabs>
          <w:tab w:leader="none" w:pos="224" w:val="left"/>
        </w:tabs>
        <w:numPr>
          <w:ilvl w:val="0"/>
          <w:numId w:val="434"/>
        </w:numPr>
        <w:rPr>
          <w:rFonts w:ascii="Arial" w:cs="Arial" w:eastAsia="Arial" w:hAnsi="Arial"/>
          <w:sz w:val="15"/>
          <w:szCs w:val="15"/>
          <w:color w:val="auto"/>
        </w:rPr>
      </w:pPr>
      <w:r>
        <w:rPr>
          <w:rFonts w:ascii="Arial" w:cs="Arial" w:eastAsia="Arial" w:hAnsi="Arial"/>
          <w:sz w:val="18"/>
          <w:szCs w:val="18"/>
          <w:color w:val="auto"/>
        </w:rPr>
        <w:t>Legal fees and costs are through the Effective Date. Post-closing legal fees and costs, payable after the Effective Date, to be invoiced and paid post-closing.</w:t>
      </w:r>
    </w:p>
    <w:p>
      <w:pPr>
        <w:sectPr>
          <w:pgSz w:w="11900" w:h="16838" w:orient="portrait"/>
          <w:cols w:equalWidth="0" w:num="1">
            <w:col w:w="10444"/>
          </w:cols>
          <w:pgMar w:left="436" w:top="273" w:right="1019" w:bottom="1440" w:gutter="0" w:footer="0" w:header="0"/>
        </w:sectPr>
      </w:pPr>
    </w:p>
    <w:bookmarkStart w:id="492" w:name="page493"/>
    <w:bookmarkEnd w:id="49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8A. The aggregate net proceeds of the Term Loan Advance shall be transferred to the Designated Deposit Account as follows:</w:t>
      </w:r>
    </w:p>
    <w:p>
      <w:pPr>
        <w:spacing w:after="0" w:line="275"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Account Name:</w:t>
            </w:r>
          </w:p>
        </w:tc>
        <w:tc>
          <w:tcPr>
            <w:tcW w:w="180" w:type="dxa"/>
            <w:vAlign w:val="bottom"/>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80" w:type="dxa"/>
            <w:vAlign w:val="bottom"/>
          </w:tcPr>
          <w:p>
            <w:pPr>
              <w:spacing w:after="0"/>
              <w:rPr>
                <w:sz w:val="20"/>
                <w:szCs w:val="20"/>
                <w:color w:val="auto"/>
              </w:rPr>
            </w:pPr>
            <w:r>
              <w:rPr>
                <w:rFonts w:ascii="Arial" w:cs="Arial" w:eastAsia="Arial" w:hAnsi="Arial"/>
                <w:sz w:val="18"/>
                <w:szCs w:val="18"/>
                <w:color w:val="auto"/>
              </w:rPr>
              <w:t>Bank Name:</w:t>
            </w:r>
          </w:p>
        </w:tc>
        <w:tc>
          <w:tcPr>
            <w:tcW w:w="18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Silicon Valley Bank</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Bank Address:</w:t>
            </w:r>
          </w:p>
        </w:tc>
        <w:tc>
          <w:tcPr>
            <w:tcW w:w="6000" w:type="dxa"/>
            <w:vAlign w:val="bottom"/>
            <w:gridSpan w:val="2"/>
          </w:tcPr>
          <w:p>
            <w:pPr>
              <w:ind w:left="180"/>
              <w:spacing w:after="0"/>
              <w:rPr>
                <w:sz w:val="20"/>
                <w:szCs w:val="20"/>
                <w:color w:val="auto"/>
              </w:rPr>
            </w:pPr>
            <w:r>
              <w:rPr>
                <w:rFonts w:ascii="Arial" w:cs="Arial" w:eastAsia="Arial" w:hAnsi="Arial"/>
                <w:sz w:val="18"/>
                <w:szCs w:val="18"/>
                <w:color w:val="auto"/>
              </w:rPr>
              <w:t>3003 Tasman Drive</w:t>
            </w:r>
          </w:p>
        </w:tc>
        <w:tc>
          <w:tcPr>
            <w:tcW w:w="0" w:type="dxa"/>
            <w:vAlign w:val="bottom"/>
          </w:tcPr>
          <w:p>
            <w:pPr>
              <w:spacing w:after="0"/>
              <w:rPr>
                <w:sz w:val="1"/>
                <w:szCs w:val="1"/>
                <w:color w:val="auto"/>
              </w:rPr>
            </w:pPr>
          </w:p>
        </w:tc>
      </w:tr>
      <w:tr>
        <w:trPr>
          <w:trHeight w:val="230"/>
        </w:trPr>
        <w:tc>
          <w:tcPr>
            <w:tcW w:w="1480" w:type="dxa"/>
            <w:vAlign w:val="bottom"/>
            <w:vMerge w:val="restart"/>
          </w:tcPr>
          <w:p>
            <w:pPr>
              <w:spacing w:after="0"/>
              <w:rPr>
                <w:sz w:val="20"/>
                <w:szCs w:val="20"/>
                <w:color w:val="auto"/>
              </w:rPr>
            </w:pPr>
            <w:r>
              <w:rPr>
                <w:rFonts w:ascii="Arial" w:cs="Arial" w:eastAsia="Arial" w:hAnsi="Arial"/>
                <w:sz w:val="18"/>
                <w:szCs w:val="18"/>
                <w:color w:val="auto"/>
              </w:rPr>
              <w:t>Account Number:</w:t>
            </w:r>
          </w:p>
        </w:tc>
        <w:tc>
          <w:tcPr>
            <w:tcW w:w="6000" w:type="dxa"/>
            <w:vAlign w:val="bottom"/>
            <w:gridSpan w:val="2"/>
          </w:tcPr>
          <w:p>
            <w:pPr>
              <w:ind w:left="180"/>
              <w:spacing w:after="0"/>
              <w:rPr>
                <w:sz w:val="20"/>
                <w:szCs w:val="20"/>
                <w:color w:val="auto"/>
              </w:rPr>
            </w:pPr>
            <w:r>
              <w:rPr>
                <w:rFonts w:ascii="Arial" w:cs="Arial" w:eastAsia="Arial" w:hAnsi="Arial"/>
                <w:sz w:val="18"/>
                <w:szCs w:val="18"/>
                <w:color w:val="auto"/>
              </w:rPr>
              <w:t>Santa Clara, California 95054</w:t>
            </w:r>
          </w:p>
        </w:tc>
        <w:tc>
          <w:tcPr>
            <w:tcW w:w="0" w:type="dxa"/>
            <w:vAlign w:val="bottom"/>
          </w:tcPr>
          <w:p>
            <w:pPr>
              <w:spacing w:after="0"/>
              <w:rPr>
                <w:sz w:val="1"/>
                <w:szCs w:val="1"/>
                <w:color w:val="auto"/>
              </w:rPr>
            </w:pPr>
          </w:p>
        </w:tc>
      </w:tr>
      <w:tr>
        <w:trPr>
          <w:trHeight w:val="229"/>
        </w:trPr>
        <w:tc>
          <w:tcPr>
            <w:tcW w:w="14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20"/>
                <w:szCs w:val="20"/>
                <w:color w:val="auto"/>
              </w:rPr>
            </w:pPr>
            <w:r>
              <w:rPr>
                <w:rFonts w:ascii="Arial" w:cs="Arial" w:eastAsia="Arial" w:hAnsi="Arial"/>
                <w:sz w:val="18"/>
                <w:szCs w:val="18"/>
                <w:color w:val="auto"/>
              </w:rPr>
              <w:t>ABA Number:</w:t>
            </w:r>
          </w:p>
        </w:tc>
        <w:tc>
          <w:tcPr>
            <w:tcW w:w="180" w:type="dxa"/>
            <w:vAlign w:val="bottom"/>
          </w:tcPr>
          <w:p>
            <w:pPr>
              <w:spacing w:after="0"/>
              <w:rPr>
                <w:sz w:val="19"/>
                <w:szCs w:val="19"/>
                <w:color w:val="auto"/>
              </w:rPr>
            </w:pPr>
          </w:p>
        </w:tc>
        <w:tc>
          <w:tcPr>
            <w:tcW w:w="5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8B. Borrower authorized SVB to debit the Total Funds from the Designated Deposit Account set forth below:</w:t>
      </w:r>
    </w:p>
    <w:p>
      <w:pPr>
        <w:spacing w:after="0" w:line="252"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Account Name:</w:t>
            </w:r>
          </w:p>
        </w:tc>
        <w:tc>
          <w:tcPr>
            <w:tcW w:w="260" w:type="dxa"/>
            <w:vAlign w:val="bottom"/>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p>
        </w:tc>
      </w:tr>
      <w:tr>
        <w:trPr>
          <w:trHeight w:val="209"/>
        </w:trPr>
        <w:tc>
          <w:tcPr>
            <w:tcW w:w="1400" w:type="dxa"/>
            <w:vAlign w:val="bottom"/>
          </w:tcPr>
          <w:p>
            <w:pPr>
              <w:spacing w:after="0"/>
              <w:rPr>
                <w:sz w:val="20"/>
                <w:szCs w:val="20"/>
                <w:color w:val="auto"/>
              </w:rPr>
            </w:pPr>
            <w:r>
              <w:rPr>
                <w:rFonts w:ascii="Arial" w:cs="Arial" w:eastAsia="Arial" w:hAnsi="Arial"/>
                <w:sz w:val="18"/>
                <w:szCs w:val="18"/>
                <w:color w:val="auto"/>
              </w:rPr>
              <w:t>Bank Name:</w:t>
            </w:r>
          </w:p>
        </w:tc>
        <w:tc>
          <w:tcPr>
            <w:tcW w:w="2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Silicon Valley Bank</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Bank Address:</w:t>
            </w:r>
          </w:p>
        </w:tc>
        <w:tc>
          <w:tcPr>
            <w:tcW w:w="6080" w:type="dxa"/>
            <w:vAlign w:val="bottom"/>
            <w:gridSpan w:val="2"/>
          </w:tcPr>
          <w:p>
            <w:pPr>
              <w:ind w:left="260"/>
              <w:spacing w:after="0"/>
              <w:rPr>
                <w:sz w:val="20"/>
                <w:szCs w:val="20"/>
                <w:color w:val="auto"/>
              </w:rPr>
            </w:pPr>
            <w:r>
              <w:rPr>
                <w:rFonts w:ascii="Arial" w:cs="Arial" w:eastAsia="Arial" w:hAnsi="Arial"/>
                <w:sz w:val="18"/>
                <w:szCs w:val="18"/>
                <w:color w:val="auto"/>
              </w:rPr>
              <w:t>3003 Tasman Drive</w:t>
            </w:r>
          </w:p>
        </w:tc>
      </w:tr>
      <w:tr>
        <w:trPr>
          <w:trHeight w:val="230"/>
        </w:trPr>
        <w:tc>
          <w:tcPr>
            <w:tcW w:w="1400" w:type="dxa"/>
            <w:vAlign w:val="bottom"/>
          </w:tcPr>
          <w:p>
            <w:pPr>
              <w:spacing w:after="0"/>
              <w:rPr>
                <w:sz w:val="20"/>
                <w:szCs w:val="20"/>
                <w:color w:val="auto"/>
              </w:rPr>
            </w:pPr>
          </w:p>
        </w:tc>
        <w:tc>
          <w:tcPr>
            <w:tcW w:w="6080" w:type="dxa"/>
            <w:vAlign w:val="bottom"/>
            <w:gridSpan w:val="2"/>
          </w:tcPr>
          <w:p>
            <w:pPr>
              <w:ind w:left="260"/>
              <w:spacing w:after="0"/>
              <w:rPr>
                <w:sz w:val="20"/>
                <w:szCs w:val="20"/>
                <w:color w:val="auto"/>
              </w:rPr>
            </w:pPr>
            <w:r>
              <w:rPr>
                <w:rFonts w:ascii="Arial" w:cs="Arial" w:eastAsia="Arial" w:hAnsi="Arial"/>
                <w:sz w:val="18"/>
                <w:szCs w:val="18"/>
                <w:color w:val="auto"/>
              </w:rPr>
              <w:t>Santa Clara, California 95054</w:t>
            </w:r>
          </w:p>
        </w:tc>
      </w:tr>
    </w:tbl>
    <w:p>
      <w:pPr>
        <w:ind w:left="132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14605</wp:posOffset>
            </wp:positionV>
            <wp:extent cx="370332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ABA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14605</wp:posOffset>
            </wp:positionV>
            <wp:extent cx="370332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232" w:lineRule="exact"/>
        <w:rPr>
          <w:sz w:val="20"/>
          <w:szCs w:val="20"/>
          <w:color w:val="auto"/>
        </w:rPr>
      </w:pPr>
    </w:p>
    <w:p>
      <w:pPr>
        <w:ind w:left="3480"/>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ectPr>
          <w:pgSz w:w="11900" w:h="16838" w:orient="portrait"/>
          <w:cols w:equalWidth="0" w:num="1">
            <w:col w:w="9579"/>
          </w:cols>
          <w:pgMar w:left="880" w:top="273" w:right="1440" w:bottom="1440" w:gutter="0" w:footer="0" w:header="0"/>
        </w:sectPr>
      </w:pPr>
    </w:p>
    <w:bookmarkStart w:id="493" w:name="page494"/>
    <w:bookmarkEnd w:id="4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Dated as of the date first set forth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ALEXO THERAPEUTICS INTERNATIONAL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SIRPANT THERAPEUTICS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WESTRIVER INNOVATION LENDING FUND VIII, L.P.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ectPr>
          <w:pgSz w:w="11900" w:h="16838" w:orient="portrait"/>
          <w:cols w:equalWidth="0" w:num="1">
            <w:col w:w="10019"/>
          </w:cols>
          <w:pgMar w:left="440" w:top="273" w:right="1440" w:bottom="1440" w:gutter="0" w:footer="0" w:header="0"/>
        </w:sectPr>
      </w:pPr>
    </w:p>
    <w:bookmarkStart w:id="494" w:name="page495"/>
    <w:bookmarkEnd w:id="494"/>
    <w:p>
      <w:pPr>
        <w:jc w:val="right"/>
        <w:spacing w:after="0"/>
        <w:rPr>
          <w:sz w:val="20"/>
          <w:szCs w:val="20"/>
          <w:color w:val="auto"/>
        </w:rPr>
      </w:pPr>
      <w:r>
        <w:rPr>
          <w:rFonts w:ascii="Arial" w:cs="Arial" w:eastAsia="Arial" w:hAnsi="Arial"/>
          <w:sz w:val="18"/>
          <w:szCs w:val="18"/>
          <w:b w:val="1"/>
          <w:bCs w:val="1"/>
          <w:color w:val="auto"/>
        </w:rPr>
        <w:t>EXHIBIT 10.14</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CONFORMED COPY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amended by that certain Amendment No.1 to Research 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Development Service Agreement, dated as of May 3, 2019</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AMENDED AND RESTATED RESEARCH AND DEVELOPMENT SERVICES</w:t>
      </w:r>
    </w:p>
    <w:p>
      <w:pPr>
        <w:spacing w:after="0" w:line="3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AGREEMENT</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as of June 18, 2018</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ALX ONCOLOGY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TOLLNINE, INC.</w:t>
      </w:r>
    </w:p>
    <w:p>
      <w:pPr>
        <w:sectPr>
          <w:pgSz w:w="11900" w:h="16838" w:orient="portrait"/>
          <w:cols w:equalWidth="0" w:num="1">
            <w:col w:w="10020"/>
          </w:cols>
          <w:pgMar w:left="1440" w:top="121" w:right="439" w:bottom="1440" w:gutter="0" w:footer="0" w:header="0"/>
        </w:sectPr>
      </w:pPr>
    </w:p>
    <w:bookmarkStart w:id="495" w:name="page496"/>
    <w:bookmarkEnd w:id="49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AMENDED AND RESTATED RESEARCH AND DEVELOPMENT SERVICES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AGREEMENT</w:t>
      </w:r>
    </w:p>
    <w:p>
      <w:pPr>
        <w:spacing w:after="0" w:line="21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This research and development services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June 18, 2018,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by and between Tollnine, Inc., a Delaware corporation (“</w:t>
      </w:r>
      <w:r>
        <w:rPr>
          <w:rFonts w:ascii="Arial" w:cs="Arial" w:eastAsia="Arial" w:hAnsi="Arial"/>
          <w:sz w:val="17"/>
          <w:szCs w:val="17"/>
          <w:b w:val="1"/>
          <w:bCs w:val="1"/>
          <w:i w:val="1"/>
          <w:iCs w:val="1"/>
          <w:color w:val="auto"/>
        </w:rPr>
        <w:t>Tollnine</w:t>
      </w:r>
      <w:r>
        <w:rPr>
          <w:rFonts w:ascii="Arial" w:cs="Arial" w:eastAsia="Arial" w:hAnsi="Arial"/>
          <w:sz w:val="17"/>
          <w:szCs w:val="17"/>
          <w:color w:val="auto"/>
        </w:rPr>
        <w:t>”) having an address at 1700 Owens Street, Suite 595, San Francisco, CA 94158, and ALX Oncology Inc., a Delaware corporation (“</w:t>
      </w:r>
      <w:r>
        <w:rPr>
          <w:rFonts w:ascii="Arial" w:cs="Arial" w:eastAsia="Arial" w:hAnsi="Arial"/>
          <w:sz w:val="17"/>
          <w:szCs w:val="17"/>
          <w:b w:val="1"/>
          <w:bCs w:val="1"/>
          <w:i w:val="1"/>
          <w:iCs w:val="1"/>
          <w:color w:val="auto"/>
        </w:rPr>
        <w:t>ATI</w:t>
      </w:r>
      <w:r>
        <w:rPr>
          <w:rFonts w:ascii="Arial" w:cs="Arial" w:eastAsia="Arial" w:hAnsi="Arial"/>
          <w:sz w:val="17"/>
          <w:szCs w:val="17"/>
          <w:color w:val="auto"/>
        </w:rPr>
        <w:t>”, formerly Alexo Therapeutics Inc.) having an address at 866 Malcolm Road, Suite 100, Burlingame, CA 94010. Tollnine and ATI are sometimes referred to herein individually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WHEREAS, Tollnine is a biotechnology company engaged in the business of developing protein based therapeutics for the treatment of oncology conditions in humans;</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WHEREAS, ATI has capabilities in the area of providing research and development services, and possesses suitable facilities for and employs professional personnel knowledgeable about and experienced in such work;</w:t>
      </w:r>
    </w:p>
    <w:p>
      <w:pPr>
        <w:spacing w:after="0" w:line="16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 xml:space="preserve">WHEREAS, Tollnine desires that ATI perform research and development services set out in </w:t>
      </w:r>
      <w:r>
        <w:rPr>
          <w:rFonts w:ascii="Arial" w:cs="Arial" w:eastAsia="Arial" w:hAnsi="Arial"/>
          <w:sz w:val="18"/>
          <w:szCs w:val="18"/>
          <w:b w:val="1"/>
          <w:bCs w:val="1"/>
          <w:u w:val="single" w:color="auto"/>
          <w:color w:val="auto"/>
        </w:rPr>
        <w:t>Attachment 1</w:t>
      </w:r>
      <w:r>
        <w:rPr>
          <w:rFonts w:ascii="Arial" w:cs="Arial" w:eastAsia="Arial" w:hAnsi="Arial"/>
          <w:sz w:val="18"/>
          <w:szCs w:val="18"/>
          <w:color w:val="auto"/>
        </w:rPr>
        <w:t xml:space="preserve"> and other services mutually agreed upon by the Parties on behalf of Tollnine; and</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WHEREAS, ATI is willing, from time to time, to provide, directly or indirectly, such services to be specified from time-to-time in accordance with Section 2.1, on the terms and conditions set out in this Agreement on behalf of Tollnine.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mutual covenants and conditions set forth herein, and for other good and valuable consideration the receipt and sufficiency of which are hereby acknowledged, the Parties hereby agree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Definition</w:t>
      </w:r>
      <w:r>
        <w:rPr>
          <w:rFonts w:ascii="Arial" w:cs="Arial" w:eastAsia="Arial" w:hAnsi="Arial"/>
          <w:sz w:val="18"/>
          <w:szCs w:val="18"/>
          <w:color w:val="auto"/>
        </w:rPr>
        <w:t>. Capitalized terms used in this Agreement and not otherwise defined herein shall have the meaning set forth below.</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either Party, any Person that, directly or indirectly, is controlled by, controls or is under common control with such Party. For purposes of this Agreement,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with respect to any Person, the direct or indirect ownership of more than fifty percent (50%) of the voting or economic interest in such Person or the possession otherwise, directly or indirectly, of the power to direct the management or policies of such Person.</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Rate</w:t>
      </w:r>
      <w:r>
        <w:rPr>
          <w:rFonts w:ascii="Arial" w:cs="Arial" w:eastAsia="Arial" w:hAnsi="Arial"/>
          <w:sz w:val="18"/>
          <w:szCs w:val="18"/>
          <w:color w:val="auto"/>
        </w:rPr>
        <w:t>” means the lesser of two percent (2%) per annum or the maximum rate of interest permitted by law, but in no case less than the applicable federal rate for short-term obligations under Section 1274(d) of the Internal Revenue Code of 1986, as amended, for the period for which the Applicable Rate is being applied.</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ATI Background Technology</w:t>
      </w:r>
      <w:r>
        <w:rPr>
          <w:rFonts w:ascii="Arial" w:cs="Arial" w:eastAsia="Arial" w:hAnsi="Arial"/>
          <w:sz w:val="18"/>
          <w:szCs w:val="18"/>
          <w:color w:val="auto"/>
        </w:rPr>
        <w:t>” means technology, know-how, inventions and trade secrets that are or were (a) invented by officers, employees or agents of, or consultants to, ATI or any of its Affiliates, alone or jointly with third parties, at any time outside of the Services or (b) acquired by purchase, license, assignment or other means from third parties by ATI or any of its Affiliates, alone or jointly with third parties, at any time outside of the Services.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69" w:right="499" w:bottom="1440" w:gutter="0" w:footer="0" w:header="0"/>
        </w:sectPr>
      </w:pPr>
    </w:p>
    <w:bookmarkStart w:id="496" w:name="page497"/>
    <w:bookmarkEnd w:id="4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Business Day(s)</w:t>
      </w:r>
      <w:r>
        <w:rPr>
          <w:rFonts w:ascii="Arial" w:cs="Arial" w:eastAsia="Arial" w:hAnsi="Arial"/>
          <w:sz w:val="18"/>
          <w:szCs w:val="18"/>
          <w:color w:val="auto"/>
        </w:rPr>
        <w:t>” means any day other than a Saturday or Sunday that is not a national holiday in the United States.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 Rights</w:t>
      </w:r>
      <w:r>
        <w:rPr>
          <w:rFonts w:ascii="Arial" w:cs="Arial" w:eastAsia="Arial" w:hAnsi="Arial"/>
          <w:sz w:val="18"/>
          <w:szCs w:val="18"/>
          <w:color w:val="auto"/>
        </w:rPr>
        <w:t>” means all inventions, know-how, trade secrets, inventions, discoveries, modifications, improvements, materials, compositions of matter, techniques, methods, processes, products, works of authorship, designs and data (whether or not protectable under patent, copyright, trade secrecy or similar laws) and all Patents, patent applications, copyrights, copyright registrations, trademarks, service marks, registrations and applications for trademarks and service marks, trade names, logos, designs, brand names and trade dress, including but not limited to Existing Technology and New Technology (as defined in Section 4.1) and all rights and forms of protection as may subsist anywhere in the world and having equivalent or similar effect to any of the foregoing.</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Patent</w:t>
      </w:r>
      <w:r>
        <w:rPr>
          <w:rFonts w:ascii="Arial" w:cs="Arial" w:eastAsia="Arial" w:hAnsi="Arial"/>
          <w:sz w:val="17"/>
          <w:szCs w:val="17"/>
          <w:color w:val="auto"/>
        </w:rPr>
        <w:t>” means any and all (a) patents issued by any government authority, including without limitation re-examinations, reissues, renewals, extensions, supplementary protection certificates, and term restorations, and (b) pending applications for patents filed with any government authority, including without limitation continuations, continuations-in-part, divisionals, substitute applications and inventor’s certificates.</w:t>
      </w:r>
    </w:p>
    <w:p>
      <w:pPr>
        <w:spacing w:after="0" w:line="16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corporation, association, partnership (general or limited), joint venture, trust, estate, limited liability company, limited liability partnership, unincorporated organization, government (or any agency or political subdivision thereof) or other legal entity or organization.</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Authority</w:t>
      </w:r>
      <w:r>
        <w:rPr>
          <w:rFonts w:ascii="Arial" w:cs="Arial" w:eastAsia="Arial" w:hAnsi="Arial"/>
          <w:sz w:val="18"/>
          <w:szCs w:val="18"/>
          <w:color w:val="auto"/>
        </w:rPr>
        <w:t>” means any national, supra-national, regional, state or local regulatory agency, department, bureau, commission, council or other governmental entity, including, without limitation, the FDA.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Results</w:t>
      </w:r>
      <w:r>
        <w:rPr>
          <w:rFonts w:ascii="Arial" w:cs="Arial" w:eastAsia="Arial" w:hAnsi="Arial"/>
          <w:sz w:val="18"/>
          <w:szCs w:val="18"/>
          <w:color w:val="auto"/>
        </w:rPr>
        <w:t>” means all results, inventions, data, reports and other Intellectual Property Rights made by ATI arising from the Services.</w:t>
      </w:r>
    </w:p>
    <w:p>
      <w:pPr>
        <w:spacing w:after="0" w:line="22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xml:space="preserve">” means, subject to the terms and conditions in this Agreement, research and development support service(s) described in </w:t>
      </w:r>
      <w:r>
        <w:rPr>
          <w:rFonts w:ascii="Arial" w:cs="Arial" w:eastAsia="Arial" w:hAnsi="Arial"/>
          <w:sz w:val="18"/>
          <w:szCs w:val="18"/>
          <w:b w:val="1"/>
          <w:bCs w:val="1"/>
          <w:u w:val="single" w:color="auto"/>
          <w:color w:val="auto"/>
        </w:rPr>
        <w:t>Attachment 1,</w:t>
      </w:r>
      <w:r>
        <w:rPr>
          <w:rFonts w:ascii="Arial" w:cs="Arial" w:eastAsia="Arial" w:hAnsi="Arial"/>
          <w:sz w:val="18"/>
          <w:szCs w:val="18"/>
          <w:color w:val="auto"/>
        </w:rPr>
        <w:t xml:space="preserve"> and, going forward, any related services as may be agreed by the Parties.</w:t>
      </w:r>
    </w:p>
    <w:p>
      <w:pPr>
        <w:spacing w:after="0" w:line="166"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Services Work Product</w:t>
      </w:r>
      <w:r>
        <w:rPr>
          <w:rFonts w:ascii="Arial" w:cs="Arial" w:eastAsia="Arial" w:hAnsi="Arial"/>
          <w:sz w:val="16"/>
          <w:szCs w:val="16"/>
          <w:color w:val="auto"/>
        </w:rPr>
        <w:t>” means all work product that arises by the performance by ATI of the Services, provided that “Services Work Product” excludes ATI Background Technology and improvements to ATI Background Technology that arise during performance of the Services.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Other Defined Terms. </w:t>
      </w:r>
      <w:r>
        <w:rPr>
          <w:rFonts w:ascii="Arial" w:cs="Arial" w:eastAsia="Arial" w:hAnsi="Arial"/>
          <w:sz w:val="18"/>
          <w:szCs w:val="18"/>
          <w:color w:val="auto"/>
        </w:rPr>
        <w:t>Each of the following terms has the meaning ascribed to it in the section set forth opposite such term:</w:t>
      </w:r>
    </w:p>
    <w:p>
      <w:pPr>
        <w:sectPr>
          <w:pgSz w:w="11900" w:h="16838" w:orient="portrait"/>
          <w:cols w:equalWidth="0" w:num="1">
            <w:col w:w="10980"/>
          </w:cols>
          <w:pgMar w:left="440" w:top="273" w:right="47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“Affected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Section 2.5(a)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Section 7.12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4.2(a)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3.1</w:t>
      </w:r>
    </w:p>
    <w:p>
      <w:pPr>
        <w:spacing w:after="0" w:line="143" w:lineRule="exact"/>
        <w:rPr>
          <w:sz w:val="20"/>
          <w:szCs w:val="20"/>
          <w:color w:val="auto"/>
        </w:rPr>
      </w:pPr>
    </w:p>
    <w:p>
      <w:pPr>
        <w:sectPr>
          <w:pgSz w:w="11900" w:h="16838" w:orient="portrait"/>
          <w:cols w:equalWidth="0" w:num="2">
            <w:col w:w="2480" w:space="720"/>
            <w:col w:w="7780"/>
          </w:cols>
          <w:pgMar w:left="440" w:top="273" w:right="479" w:bottom="1440" w:gutter="0" w:footer="0" w:header="0"/>
          <w:type w:val="continuous"/>
        </w:sect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980"/>
          </w:cols>
          <w:pgMar w:left="440" w:top="273" w:right="479" w:bottom="1440" w:gutter="0" w:footer="0" w:header="0"/>
          <w:type w:val="continuous"/>
        </w:sectPr>
      </w:pPr>
    </w:p>
    <w:bookmarkStart w:id="497" w:name="page498"/>
    <w:bookmarkEnd w:id="497"/>
    <w:tbl>
      <w:tblPr>
        <w:tblLayout w:type="fixed"/>
        <w:tblInd w:w="4"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“Confidential Information”</w:t>
            </w:r>
          </w:p>
        </w:tc>
        <w:tc>
          <w:tcPr>
            <w:tcW w:w="1040" w:type="dxa"/>
            <w:vAlign w:val="bottom"/>
          </w:tcPr>
          <w:p>
            <w:pPr>
              <w:spacing w:after="0"/>
              <w:rPr>
                <w:sz w:val="20"/>
                <w:szCs w:val="20"/>
                <w:color w:val="auto"/>
              </w:rPr>
            </w:pPr>
            <w:r>
              <w:rPr>
                <w:rFonts w:ascii="Arial" w:cs="Arial" w:eastAsia="Arial" w:hAnsi="Arial"/>
                <w:sz w:val="18"/>
                <w:szCs w:val="18"/>
                <w:color w:val="auto"/>
              </w:rPr>
              <w:t>Section 4.2</w:t>
            </w: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“Disadvantaged Party”</w:t>
            </w:r>
          </w:p>
        </w:tc>
        <w:tc>
          <w:tcPr>
            <w:tcW w:w="1040" w:type="dxa"/>
            <w:vAlign w:val="bottom"/>
          </w:tcPr>
          <w:p>
            <w:pPr>
              <w:spacing w:after="0"/>
              <w:rPr>
                <w:sz w:val="20"/>
                <w:szCs w:val="20"/>
                <w:color w:val="auto"/>
              </w:rPr>
            </w:pPr>
            <w:r>
              <w:rPr>
                <w:rFonts w:ascii="Arial" w:cs="Arial" w:eastAsia="Arial" w:hAnsi="Arial"/>
                <w:sz w:val="18"/>
                <w:szCs w:val="18"/>
                <w:color w:val="auto"/>
              </w:rPr>
              <w:t>Section 7.12</w:t>
            </w: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“Effective Date”</w:t>
            </w:r>
          </w:p>
        </w:tc>
        <w:tc>
          <w:tcPr>
            <w:tcW w:w="104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“Existing Technology”</w:t>
            </w:r>
          </w:p>
        </w:tc>
        <w:tc>
          <w:tcPr>
            <w:tcW w:w="1040" w:type="dxa"/>
            <w:vAlign w:val="bottom"/>
          </w:tcPr>
          <w:p>
            <w:pPr>
              <w:spacing w:after="0"/>
              <w:rPr>
                <w:sz w:val="20"/>
                <w:szCs w:val="20"/>
                <w:color w:val="auto"/>
              </w:rPr>
            </w:pPr>
            <w:r>
              <w:rPr>
                <w:rFonts w:ascii="Arial" w:cs="Arial" w:eastAsia="Arial" w:hAnsi="Arial"/>
                <w:sz w:val="18"/>
                <w:szCs w:val="18"/>
                <w:color w:val="auto"/>
                <w:w w:val="90"/>
              </w:rPr>
              <w:t>Section 4.1(a)</w:t>
            </w: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“FDA”</w:t>
            </w:r>
          </w:p>
        </w:tc>
        <w:tc>
          <w:tcPr>
            <w:tcW w:w="1040" w:type="dxa"/>
            <w:vAlign w:val="bottom"/>
          </w:tcPr>
          <w:p>
            <w:pPr>
              <w:spacing w:after="0"/>
              <w:rPr>
                <w:sz w:val="20"/>
                <w:szCs w:val="20"/>
                <w:color w:val="auto"/>
              </w:rPr>
            </w:pPr>
            <w:r>
              <w:rPr>
                <w:rFonts w:ascii="Arial" w:cs="Arial" w:eastAsia="Arial" w:hAnsi="Arial"/>
                <w:sz w:val="18"/>
                <w:szCs w:val="18"/>
                <w:color w:val="auto"/>
                <w:w w:val="90"/>
              </w:rPr>
              <w:t>Section 2.5(a)</w:t>
            </w: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“Force Majeure”</w:t>
            </w:r>
          </w:p>
        </w:tc>
        <w:tc>
          <w:tcPr>
            <w:tcW w:w="1040" w:type="dxa"/>
            <w:vAlign w:val="bottom"/>
          </w:tcPr>
          <w:p>
            <w:pPr>
              <w:spacing w:after="0"/>
              <w:rPr>
                <w:sz w:val="20"/>
                <w:szCs w:val="20"/>
                <w:color w:val="auto"/>
              </w:rPr>
            </w:pPr>
            <w:r>
              <w:rPr>
                <w:rFonts w:ascii="Arial" w:cs="Arial" w:eastAsia="Arial" w:hAnsi="Arial"/>
                <w:sz w:val="18"/>
                <w:szCs w:val="18"/>
                <w:color w:val="auto"/>
              </w:rPr>
              <w:t>Section 7.12</w:t>
            </w: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“New Technology”</w:t>
            </w:r>
          </w:p>
        </w:tc>
        <w:tc>
          <w:tcPr>
            <w:tcW w:w="1040" w:type="dxa"/>
            <w:vAlign w:val="bottom"/>
          </w:tcPr>
          <w:p>
            <w:pPr>
              <w:spacing w:after="0"/>
              <w:rPr>
                <w:sz w:val="20"/>
                <w:szCs w:val="20"/>
                <w:color w:val="auto"/>
              </w:rPr>
            </w:pPr>
            <w:r>
              <w:rPr>
                <w:rFonts w:ascii="Arial" w:cs="Arial" w:eastAsia="Arial" w:hAnsi="Arial"/>
                <w:sz w:val="18"/>
                <w:szCs w:val="18"/>
                <w:color w:val="auto"/>
                <w:w w:val="90"/>
              </w:rPr>
              <w:t>Section 4.1(b)</w:t>
            </w: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“Party”</w:t>
            </w:r>
          </w:p>
        </w:tc>
        <w:tc>
          <w:tcPr>
            <w:tcW w:w="1040" w:type="dxa"/>
            <w:vAlign w:val="bottom"/>
          </w:tcPr>
          <w:p>
            <w:pPr>
              <w:spacing w:after="0"/>
              <w:rPr>
                <w:sz w:val="20"/>
                <w:szCs w:val="20"/>
                <w:color w:val="auto"/>
              </w:rPr>
            </w:pPr>
            <w:r>
              <w:rPr>
                <w:rFonts w:ascii="Arial" w:cs="Arial" w:eastAsia="Arial" w:hAnsi="Arial"/>
                <w:sz w:val="18"/>
                <w:szCs w:val="18"/>
                <w:color w:val="auto"/>
              </w:rPr>
              <w:t>Recitals</w:t>
            </w:r>
          </w:p>
        </w:tc>
      </w:tr>
      <w:tr>
        <w:trPr>
          <w:trHeight w:val="212"/>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“Parties”</w:t>
            </w:r>
          </w:p>
        </w:tc>
        <w:tc>
          <w:tcPr>
            <w:tcW w:w="1040" w:type="dxa"/>
            <w:vAlign w:val="bottom"/>
          </w:tcPr>
          <w:p>
            <w:pPr>
              <w:spacing w:after="0"/>
              <w:rPr>
                <w:sz w:val="20"/>
                <w:szCs w:val="20"/>
                <w:color w:val="auto"/>
              </w:rPr>
            </w:pPr>
            <w:r>
              <w:rPr>
                <w:rFonts w:ascii="Arial" w:cs="Arial" w:eastAsia="Arial" w:hAnsi="Arial"/>
                <w:sz w:val="18"/>
                <w:szCs w:val="18"/>
                <w:color w:val="auto"/>
              </w:rPr>
              <w:t>Recitals</w:t>
            </w:r>
          </w:p>
        </w:tc>
      </w:tr>
      <w:tr>
        <w:trPr>
          <w:trHeight w:val="194"/>
        </w:trPr>
        <w:tc>
          <w:tcPr>
            <w:tcW w:w="3200" w:type="dxa"/>
            <w:vAlign w:val="bottom"/>
          </w:tcPr>
          <w:p>
            <w:pPr>
              <w:spacing w:after="0" w:line="194" w:lineRule="exact"/>
              <w:rPr>
                <w:sz w:val="20"/>
                <w:szCs w:val="20"/>
                <w:color w:val="auto"/>
              </w:rPr>
            </w:pPr>
            <w:r>
              <w:rPr>
                <w:rFonts w:ascii="Arial" w:cs="Arial" w:eastAsia="Arial" w:hAnsi="Arial"/>
                <w:sz w:val="18"/>
                <w:szCs w:val="18"/>
                <w:b w:val="1"/>
                <w:bCs w:val="1"/>
                <w:i w:val="1"/>
                <w:iCs w:val="1"/>
                <w:color w:val="auto"/>
              </w:rPr>
              <w:t>“Service Fee”</w:t>
            </w:r>
          </w:p>
        </w:tc>
        <w:tc>
          <w:tcPr>
            <w:tcW w:w="104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9"/>
              </w:rPr>
              <w:t>Attachment 2</w:t>
            </w:r>
          </w:p>
        </w:tc>
      </w:tr>
      <w:tr>
        <w:trPr>
          <w:trHeight w:val="222"/>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“Supplier(s)”</w:t>
            </w:r>
          </w:p>
        </w:tc>
        <w:tc>
          <w:tcPr>
            <w:tcW w:w="1040" w:type="dxa"/>
            <w:vAlign w:val="bottom"/>
          </w:tcPr>
          <w:p>
            <w:pPr>
              <w:spacing w:after="0"/>
              <w:rPr>
                <w:sz w:val="20"/>
                <w:szCs w:val="20"/>
                <w:color w:val="auto"/>
              </w:rPr>
            </w:pPr>
            <w:r>
              <w:rPr>
                <w:rFonts w:ascii="Arial" w:cs="Arial" w:eastAsia="Arial" w:hAnsi="Arial"/>
                <w:sz w:val="18"/>
                <w:szCs w:val="18"/>
                <w:color w:val="auto"/>
              </w:rPr>
              <w:t>Section 2.3</w:t>
            </w: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“Term”</w:t>
            </w:r>
          </w:p>
        </w:tc>
        <w:tc>
          <w:tcPr>
            <w:tcW w:w="1040" w:type="dxa"/>
            <w:vAlign w:val="bottom"/>
          </w:tcPr>
          <w:p>
            <w:pPr>
              <w:spacing w:after="0"/>
              <w:rPr>
                <w:sz w:val="20"/>
                <w:szCs w:val="20"/>
                <w:color w:val="auto"/>
              </w:rPr>
            </w:pPr>
            <w:r>
              <w:rPr>
                <w:rFonts w:ascii="Arial" w:cs="Arial" w:eastAsia="Arial" w:hAnsi="Arial"/>
                <w:sz w:val="18"/>
                <w:szCs w:val="18"/>
                <w:color w:val="auto"/>
              </w:rPr>
              <w:t>Section 6.1</w:t>
            </w:r>
          </w:p>
        </w:tc>
      </w:tr>
      <w:tr>
        <w:trPr>
          <w:trHeight w:val="230"/>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“Tollnine”</w:t>
            </w:r>
          </w:p>
        </w:tc>
        <w:tc>
          <w:tcPr>
            <w:tcW w:w="1040" w:type="dxa"/>
            <w:vAlign w:val="bottom"/>
          </w:tcPr>
          <w:p>
            <w:pPr>
              <w:spacing w:after="0"/>
              <w:rPr>
                <w:sz w:val="20"/>
                <w:szCs w:val="20"/>
                <w:color w:val="auto"/>
              </w:rPr>
            </w:pPr>
            <w:r>
              <w:rPr>
                <w:rFonts w:ascii="Arial" w:cs="Arial" w:eastAsia="Arial" w:hAnsi="Arial"/>
                <w:sz w:val="18"/>
                <w:szCs w:val="18"/>
                <w:color w:val="auto"/>
              </w:rPr>
              <w:t>Recitals</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color w:val="auto"/>
        </w:rPr>
        <w:t>2. SERVICES</w:t>
      </w:r>
    </w:p>
    <w:p>
      <w:pPr>
        <w:spacing w:after="0" w:line="117" w:lineRule="exact"/>
        <w:rPr>
          <w:sz w:val="20"/>
          <w:szCs w:val="20"/>
          <w:color w:val="auto"/>
        </w:rPr>
      </w:pPr>
    </w:p>
    <w:p>
      <w:pPr>
        <w:ind w:left="4" w:right="320"/>
        <w:spacing w:after="0" w:line="266" w:lineRule="auto"/>
        <w:rPr>
          <w:sz w:val="20"/>
          <w:szCs w:val="20"/>
          <w:color w:val="auto"/>
        </w:rPr>
      </w:pPr>
      <w:r>
        <w:rPr>
          <w:rFonts w:ascii="Arial" w:cs="Arial" w:eastAsia="Arial" w:hAnsi="Arial"/>
          <w:sz w:val="18"/>
          <w:szCs w:val="18"/>
          <w:b w:val="1"/>
          <w:bCs w:val="1"/>
          <w:color w:val="auto"/>
        </w:rPr>
        <w:t xml:space="preserve">2.1 Development Services. </w:t>
      </w:r>
      <w:r>
        <w:rPr>
          <w:rFonts w:ascii="Arial" w:cs="Arial" w:eastAsia="Arial" w:hAnsi="Arial"/>
          <w:sz w:val="18"/>
          <w:szCs w:val="18"/>
          <w:color w:val="auto"/>
        </w:rPr>
        <w:t>During the Term, ATI shall, at the request of Tollnine, provide to Tollnine the Services. ATI shall also be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preparing a detailed budget for the Services when requested by Tollnine. If required, each budget will be updated on a quarterly basis by ATI and submitted to Tollnine for approval.</w:t>
      </w:r>
    </w:p>
    <w:p>
      <w:pPr>
        <w:spacing w:after="0" w:line="176" w:lineRule="exact"/>
        <w:rPr>
          <w:sz w:val="20"/>
          <w:szCs w:val="20"/>
          <w:color w:val="auto"/>
        </w:rPr>
      </w:pPr>
    </w:p>
    <w:p>
      <w:pPr>
        <w:ind w:left="4"/>
        <w:spacing w:after="0" w:line="347" w:lineRule="auto"/>
        <w:rPr>
          <w:sz w:val="20"/>
          <w:szCs w:val="20"/>
          <w:color w:val="auto"/>
        </w:rPr>
      </w:pPr>
      <w:r>
        <w:rPr>
          <w:rFonts w:ascii="Arial" w:cs="Arial" w:eastAsia="Arial" w:hAnsi="Arial"/>
          <w:sz w:val="16"/>
          <w:szCs w:val="16"/>
          <w:b w:val="1"/>
          <w:bCs w:val="1"/>
          <w:color w:val="auto"/>
        </w:rPr>
        <w:t xml:space="preserve">2.2 Changes in Services or Budgeted Amounts. </w:t>
      </w:r>
      <w:r>
        <w:rPr>
          <w:rFonts w:ascii="Arial" w:cs="Arial" w:eastAsia="Arial" w:hAnsi="Arial"/>
          <w:sz w:val="16"/>
          <w:szCs w:val="16"/>
          <w:color w:val="auto"/>
        </w:rPr>
        <w:t>Tollnine may propose changes in the Services as reasonably required based upon the Results. ATI may</w:t>
      </w:r>
      <w:r>
        <w:rPr>
          <w:rFonts w:ascii="Arial" w:cs="Arial" w:eastAsia="Arial" w:hAnsi="Arial"/>
          <w:sz w:val="16"/>
          <w:szCs w:val="16"/>
          <w:b w:val="1"/>
          <w:bCs w:val="1"/>
          <w:color w:val="auto"/>
        </w:rPr>
        <w:t xml:space="preserve"> </w:t>
      </w:r>
      <w:r>
        <w:rPr>
          <w:rFonts w:ascii="Arial" w:cs="Arial" w:eastAsia="Arial" w:hAnsi="Arial"/>
          <w:sz w:val="16"/>
          <w:szCs w:val="16"/>
          <w:color w:val="auto"/>
        </w:rPr>
        <w:t>also propose changes in the Services and adjustments to the corresponding budgeted amount based upon the Results with the consent of Tollnine.</w:t>
      </w:r>
    </w:p>
    <w:p>
      <w:pPr>
        <w:spacing w:after="0" w:line="116" w:lineRule="exact"/>
        <w:rPr>
          <w:sz w:val="20"/>
          <w:szCs w:val="20"/>
          <w:color w:val="auto"/>
        </w:rPr>
      </w:pPr>
    </w:p>
    <w:p>
      <w:pPr>
        <w:ind w:left="4" w:right="420"/>
        <w:spacing w:after="0" w:line="303" w:lineRule="auto"/>
        <w:rPr>
          <w:sz w:val="20"/>
          <w:szCs w:val="20"/>
          <w:color w:val="auto"/>
        </w:rPr>
      </w:pPr>
      <w:r>
        <w:rPr>
          <w:rFonts w:ascii="Arial" w:cs="Arial" w:eastAsia="Arial" w:hAnsi="Arial"/>
          <w:sz w:val="16"/>
          <w:szCs w:val="16"/>
          <w:b w:val="1"/>
          <w:bCs w:val="1"/>
          <w:color w:val="auto"/>
        </w:rPr>
        <w:t xml:space="preserve">2.3 Use of Third Parties. </w:t>
      </w:r>
      <w:r>
        <w:rPr>
          <w:rFonts w:ascii="Arial" w:cs="Arial" w:eastAsia="Arial" w:hAnsi="Arial"/>
          <w:sz w:val="16"/>
          <w:szCs w:val="16"/>
          <w:color w:val="auto"/>
        </w:rPr>
        <w:t>ATI may subcontract to one or more qualified third party suppliers (“</w:t>
      </w:r>
      <w:r>
        <w:rPr>
          <w:rFonts w:ascii="Arial" w:cs="Arial" w:eastAsia="Arial" w:hAnsi="Arial"/>
          <w:sz w:val="16"/>
          <w:szCs w:val="16"/>
          <w:b w:val="1"/>
          <w:bCs w:val="1"/>
          <w:i w:val="1"/>
          <w:iCs w:val="1"/>
          <w:color w:val="auto"/>
        </w:rPr>
        <w:t>Supplier(s)</w:t>
      </w:r>
      <w:r>
        <w:rPr>
          <w:rFonts w:ascii="Arial" w:cs="Arial" w:eastAsia="Arial" w:hAnsi="Arial"/>
          <w:sz w:val="16"/>
          <w:szCs w:val="16"/>
          <w:color w:val="auto"/>
        </w:rPr>
        <w:t>”) for those portions of the Services that</w:t>
      </w:r>
      <w:r>
        <w:rPr>
          <w:rFonts w:ascii="Arial" w:cs="Arial" w:eastAsia="Arial" w:hAnsi="Arial"/>
          <w:sz w:val="16"/>
          <w:szCs w:val="16"/>
          <w:b w:val="1"/>
          <w:bCs w:val="1"/>
          <w:color w:val="auto"/>
        </w:rPr>
        <w:t xml:space="preserve"> </w:t>
      </w:r>
      <w:r>
        <w:rPr>
          <w:rFonts w:ascii="Arial" w:cs="Arial" w:eastAsia="Arial" w:hAnsi="Arial"/>
          <w:sz w:val="16"/>
          <w:szCs w:val="16"/>
          <w:color w:val="auto"/>
        </w:rPr>
        <w:t>require the use of special personnel or equipment, provided that the subcontracting of such Services shall not limit or affect ATI’s liabilities, responsibilities, obligations or duties under this Agreement, including but not limited to the obligations under Section 2.5 and Article 4 of this Agreement. ATI shall provide Tollnine with notice of those third party Suppliers to which it subcontracts portions of the Services.</w:t>
      </w:r>
    </w:p>
    <w:p>
      <w:pPr>
        <w:spacing w:after="0" w:line="151" w:lineRule="exact"/>
        <w:rPr>
          <w:sz w:val="20"/>
          <w:szCs w:val="20"/>
          <w:color w:val="auto"/>
        </w:rPr>
      </w:pPr>
    </w:p>
    <w:p>
      <w:pPr>
        <w:ind w:left="4" w:right="260"/>
        <w:spacing w:after="0" w:line="282" w:lineRule="auto"/>
        <w:rPr>
          <w:sz w:val="20"/>
          <w:szCs w:val="20"/>
          <w:color w:val="auto"/>
        </w:rPr>
      </w:pPr>
      <w:r>
        <w:rPr>
          <w:rFonts w:ascii="Arial" w:cs="Arial" w:eastAsia="Arial" w:hAnsi="Arial"/>
          <w:sz w:val="18"/>
          <w:szCs w:val="18"/>
          <w:b w:val="1"/>
          <w:bCs w:val="1"/>
          <w:color w:val="auto"/>
        </w:rPr>
        <w:t xml:space="preserve">2.4 Tollnine Assistance. </w:t>
      </w:r>
      <w:r>
        <w:rPr>
          <w:rFonts w:ascii="Arial" w:cs="Arial" w:eastAsia="Arial" w:hAnsi="Arial"/>
          <w:sz w:val="18"/>
          <w:szCs w:val="18"/>
          <w:color w:val="auto"/>
        </w:rPr>
        <w:t>Tollnine shall provide ATI with certain assistance in connection with the Services, as ATI reasonably requests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delivery of the Services.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2.5 Diligence; Standards of Conduct.</w:t>
      </w:r>
    </w:p>
    <w:p>
      <w:pPr>
        <w:spacing w:after="0" w:line="229" w:lineRule="exact"/>
        <w:rPr>
          <w:sz w:val="20"/>
          <w:szCs w:val="20"/>
          <w:color w:val="auto"/>
        </w:rPr>
      </w:pPr>
    </w:p>
    <w:p>
      <w:pPr>
        <w:ind w:left="4" w:right="60" w:hanging="4"/>
        <w:spacing w:after="0" w:line="257" w:lineRule="auto"/>
        <w:tabs>
          <w:tab w:leader="none" w:pos="249"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In performing the Services, ATI shall comply with the instructions of Tollnine and standard operating procedures mutually approved by Tollnine and ATI. ATI shall perform the Services, when appropriate, in a manner consistent with “Good Laboratory/Clinical Practices”, all relevant professional standards and applicable laws, rules and regulations, including, but not limited to, the U.S. Food, Drug and Cosmetic Act of 1934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and regulations promulgated thereunder by the U.S. Food and Drug Administration (the “</w:t>
      </w:r>
      <w:r>
        <w:rPr>
          <w:rFonts w:ascii="Arial" w:cs="Arial" w:eastAsia="Arial" w:hAnsi="Arial"/>
          <w:sz w:val="18"/>
          <w:szCs w:val="18"/>
          <w:b w:val="1"/>
          <w:bCs w:val="1"/>
          <w:i w:val="1"/>
          <w:iCs w:val="1"/>
          <w:color w:val="auto"/>
        </w:rPr>
        <w:t>FDA</w:t>
      </w:r>
      <w:r>
        <w:rPr>
          <w:rFonts w:ascii="Arial" w:cs="Arial" w:eastAsia="Arial" w:hAnsi="Arial"/>
          <w:sz w:val="18"/>
          <w:szCs w:val="18"/>
          <w:color w:val="auto"/>
        </w:rPr>
        <w:t>”) and, as applicable, regulations issued by other applicable Regulatory Authorities.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3" w:right="459" w:bottom="1440" w:gutter="0" w:footer="0" w:header="0"/>
        </w:sectPr>
      </w:pPr>
    </w:p>
    <w:bookmarkStart w:id="498" w:name="page499"/>
    <w:bookmarkEnd w:id="498"/>
    <w:p>
      <w:pPr>
        <w:ind w:left="4" w:hanging="4"/>
        <w:spacing w:after="0" w:line="257" w:lineRule="auto"/>
        <w:tabs>
          <w:tab w:leader="none" w:pos="259" w:val="left"/>
        </w:tabs>
        <w:numPr>
          <w:ilvl w:val="0"/>
          <w:numId w:val="4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Tollnine will comply with all applicable laws and regulations pertaining to performance by Tollnine of its obligations under this Agreement, including, but not limited to, all relevant tax laws and regulations. ATI will comply with all applicable laws and regulations pertaining to performance by ATI of its obligations under this Agreement, including, but not limited to, all relevant tax laws and regulations. Neither Party shall be required to perform or omit to perform any act required or permitted under this Agreement if such performance or omission would violate the provisions of any such law or regulation.</w:t>
      </w:r>
    </w:p>
    <w:p>
      <w:pPr>
        <w:spacing w:after="0" w:line="187" w:lineRule="exact"/>
        <w:rPr>
          <w:rFonts w:ascii="Arial" w:cs="Arial" w:eastAsia="Arial" w:hAnsi="Arial"/>
          <w:sz w:val="18"/>
          <w:szCs w:val="18"/>
          <w:color w:val="auto"/>
        </w:rPr>
      </w:pPr>
    </w:p>
    <w:p>
      <w:pPr>
        <w:ind w:left="4" w:right="20" w:hanging="4"/>
        <w:spacing w:after="0" w:line="259" w:lineRule="auto"/>
        <w:tabs>
          <w:tab w:leader="none" w:pos="249"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ATI shall have and maintain in full force and effect any and all licenses, permits, authorizations, registrations and qualifications from all governmental agencies, to the extent necessary or appropriate to perform its obligations under this Agreement. ATI shall provide Tollnine with prompt written notice of any changes in any applicable law, rule, regulation or governmental order, which comes to ATI’s attention that may affect either Party’s performance of its obligations hereunder.</w:t>
      </w:r>
    </w:p>
    <w:p>
      <w:pPr>
        <w:spacing w:after="0" w:line="183" w:lineRule="exact"/>
        <w:rPr>
          <w:sz w:val="20"/>
          <w:szCs w:val="20"/>
          <w:color w:val="auto"/>
        </w:rPr>
      </w:pPr>
    </w:p>
    <w:p>
      <w:pPr>
        <w:ind w:left="4" w:right="180"/>
        <w:spacing w:after="0" w:line="266" w:lineRule="auto"/>
        <w:rPr>
          <w:sz w:val="20"/>
          <w:szCs w:val="20"/>
          <w:color w:val="auto"/>
        </w:rPr>
      </w:pPr>
      <w:r>
        <w:rPr>
          <w:rFonts w:ascii="Arial" w:cs="Arial" w:eastAsia="Arial" w:hAnsi="Arial"/>
          <w:sz w:val="18"/>
          <w:szCs w:val="18"/>
          <w:b w:val="1"/>
          <w:bCs w:val="1"/>
          <w:color w:val="auto"/>
        </w:rPr>
        <w:t xml:space="preserve">2.6 Records; Reports(a) . </w:t>
      </w:r>
      <w:r>
        <w:rPr>
          <w:rFonts w:ascii="Arial" w:cs="Arial" w:eastAsia="Arial" w:hAnsi="Arial"/>
          <w:sz w:val="18"/>
          <w:szCs w:val="18"/>
          <w:color w:val="auto"/>
        </w:rPr>
        <w:t>(a) ATI shall maintain clear, accurate and complete records in respect of all Services, including, without limitation, detailed</w:t>
      </w:r>
      <w:r>
        <w:rPr>
          <w:rFonts w:ascii="Arial" w:cs="Arial" w:eastAsia="Arial" w:hAnsi="Arial"/>
          <w:sz w:val="18"/>
          <w:szCs w:val="18"/>
          <w:b w:val="1"/>
          <w:bCs w:val="1"/>
          <w:color w:val="auto"/>
        </w:rPr>
        <w:t xml:space="preserve"> </w:t>
      </w:r>
      <w:r>
        <w:rPr>
          <w:rFonts w:ascii="Arial" w:cs="Arial" w:eastAsia="Arial" w:hAnsi="Arial"/>
          <w:sz w:val="18"/>
          <w:szCs w:val="18"/>
          <w:color w:val="auto"/>
        </w:rPr>
        <w:t>laboratory notebooks setting out experimental procedures and the resulting data, experimental reports, quality control records, analytical test results, progress reports, memoranda and correspondence.</w:t>
      </w:r>
    </w:p>
    <w:p>
      <w:pPr>
        <w:spacing w:after="0" w:line="180" w:lineRule="exact"/>
        <w:rPr>
          <w:sz w:val="20"/>
          <w:szCs w:val="20"/>
          <w:color w:val="auto"/>
        </w:rPr>
      </w:pPr>
    </w:p>
    <w:p>
      <w:pPr>
        <w:ind w:left="4" w:right="200" w:hanging="4"/>
        <w:spacing w:after="0" w:line="277" w:lineRule="auto"/>
        <w:tabs>
          <w:tab w:leader="none" w:pos="259" w:val="left"/>
        </w:tabs>
        <w:numPr>
          <w:ilvl w:val="0"/>
          <w:numId w:val="437"/>
        </w:numPr>
        <w:rPr>
          <w:rFonts w:ascii="Arial" w:cs="Arial" w:eastAsia="Arial" w:hAnsi="Arial"/>
          <w:sz w:val="18"/>
          <w:szCs w:val="18"/>
          <w:color w:val="auto"/>
        </w:rPr>
      </w:pPr>
      <w:r>
        <w:rPr>
          <w:rFonts w:ascii="Arial" w:cs="Arial" w:eastAsia="Arial" w:hAnsi="Arial"/>
          <w:sz w:val="18"/>
          <w:szCs w:val="18"/>
          <w:color w:val="auto"/>
        </w:rPr>
        <w:t>Upon the written request of Tollnine during the Term, ATI shall provide status reports in a form to be agreed upon between the Parties. Such status reports shall specify the progress that has been made with respect to any and all Services then ongoing.</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 PRICING; PAYMENT</w:t>
      </w:r>
    </w:p>
    <w:p>
      <w:pPr>
        <w:spacing w:after="0" w:line="117" w:lineRule="exact"/>
        <w:rPr>
          <w:sz w:val="20"/>
          <w:szCs w:val="20"/>
          <w:color w:val="auto"/>
        </w:rPr>
      </w:pPr>
    </w:p>
    <w:p>
      <w:pPr>
        <w:ind w:left="4" w:right="200"/>
        <w:spacing w:after="0" w:line="347" w:lineRule="auto"/>
        <w:rPr>
          <w:sz w:val="20"/>
          <w:szCs w:val="20"/>
          <w:color w:val="auto"/>
        </w:rPr>
      </w:pPr>
      <w:r>
        <w:rPr>
          <w:rFonts w:ascii="Arial" w:cs="Arial" w:eastAsia="Arial" w:hAnsi="Arial"/>
          <w:sz w:val="16"/>
          <w:szCs w:val="16"/>
          <w:b w:val="1"/>
          <w:bCs w:val="1"/>
          <w:color w:val="auto"/>
        </w:rPr>
        <w:t xml:space="preserve">3.1 Pricing. </w:t>
      </w:r>
      <w:r>
        <w:rPr>
          <w:rFonts w:ascii="Arial" w:cs="Arial" w:eastAsia="Arial" w:hAnsi="Arial"/>
          <w:sz w:val="16"/>
          <w:szCs w:val="16"/>
          <w:color w:val="auto"/>
        </w:rPr>
        <w:t>Tollnine shall pay ATI a fee for providing the Services (the “</w:t>
      </w:r>
      <w:r>
        <w:rPr>
          <w:rFonts w:ascii="Arial" w:cs="Arial" w:eastAsia="Arial" w:hAnsi="Arial"/>
          <w:sz w:val="16"/>
          <w:szCs w:val="16"/>
          <w:b w:val="1"/>
          <w:bCs w:val="1"/>
          <w:i w:val="1"/>
          <w:iCs w:val="1"/>
          <w:color w:val="auto"/>
        </w:rPr>
        <w:t>Compensation</w:t>
      </w:r>
      <w:r>
        <w:rPr>
          <w:rFonts w:ascii="Arial" w:cs="Arial" w:eastAsia="Arial" w:hAnsi="Arial"/>
          <w:sz w:val="16"/>
          <w:szCs w:val="16"/>
          <w:color w:val="auto"/>
        </w:rPr>
        <w:t>”) calculated as the sum of: (a) an amount to be determined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accordance with </w:t>
      </w:r>
      <w:r>
        <w:rPr>
          <w:rFonts w:ascii="Arial" w:cs="Arial" w:eastAsia="Arial" w:hAnsi="Arial"/>
          <w:sz w:val="16"/>
          <w:szCs w:val="16"/>
          <w:b w:val="1"/>
          <w:bCs w:val="1"/>
          <w:u w:val="single" w:color="auto"/>
          <w:color w:val="auto"/>
        </w:rPr>
        <w:t>Attachment 2</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reimbursement for such other costs and expenses as may be agreed from time to time by the Parties.</w:t>
      </w:r>
    </w:p>
    <w:p>
      <w:pPr>
        <w:spacing w:after="0" w:line="116" w:lineRule="exact"/>
        <w:rPr>
          <w:sz w:val="20"/>
          <w:szCs w:val="20"/>
          <w:color w:val="auto"/>
        </w:rPr>
      </w:pPr>
    </w:p>
    <w:p>
      <w:pPr>
        <w:ind w:left="4" w:right="100"/>
        <w:spacing w:after="0" w:line="258" w:lineRule="auto"/>
        <w:rPr>
          <w:sz w:val="20"/>
          <w:szCs w:val="20"/>
          <w:color w:val="auto"/>
        </w:rPr>
      </w:pPr>
      <w:r>
        <w:rPr>
          <w:rFonts w:ascii="Arial" w:cs="Arial" w:eastAsia="Arial" w:hAnsi="Arial"/>
          <w:sz w:val="18"/>
          <w:szCs w:val="18"/>
          <w:b w:val="1"/>
          <w:bCs w:val="1"/>
          <w:color w:val="auto"/>
        </w:rPr>
        <w:t xml:space="preserve">3.2 Taxes and Withholding. </w:t>
      </w:r>
      <w:r>
        <w:rPr>
          <w:rFonts w:ascii="Arial" w:cs="Arial" w:eastAsia="Arial" w:hAnsi="Arial"/>
          <w:sz w:val="18"/>
          <w:szCs w:val="18"/>
          <w:color w:val="auto"/>
        </w:rPr>
        <w:t>If Tollnine is required by applicable law to make a payment to ATI subject to a deduction of tax or withholding tax, the</w:t>
      </w:r>
      <w:r>
        <w:rPr>
          <w:rFonts w:ascii="Arial" w:cs="Arial" w:eastAsia="Arial" w:hAnsi="Arial"/>
          <w:sz w:val="18"/>
          <w:szCs w:val="18"/>
          <w:b w:val="1"/>
          <w:bCs w:val="1"/>
          <w:color w:val="auto"/>
        </w:rPr>
        <w:t xml:space="preserve"> </w:t>
      </w:r>
      <w:r>
        <w:rPr>
          <w:rFonts w:ascii="Arial" w:cs="Arial" w:eastAsia="Arial" w:hAnsi="Arial"/>
          <w:sz w:val="18"/>
          <w:szCs w:val="18"/>
          <w:color w:val="auto"/>
        </w:rPr>
        <w:t>sum payable by Tollnine (in respect of which such deduction or withholding is required to be made) shall be made to ATI after deduction of the amount required to be so deducted or withheld by the applicable tax authorities, which deducted or withheld amount shall be remitted to the applicable tax authorities in accordance with applicable law. Any such withholding taxes required to be paid or withheld shall be an expense of, and borne solely by, Tollnine.</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3.3 Payment.</w:t>
      </w:r>
    </w:p>
    <w:p>
      <w:pPr>
        <w:spacing w:after="0" w:line="229" w:lineRule="exact"/>
        <w:rPr>
          <w:sz w:val="20"/>
          <w:szCs w:val="20"/>
          <w:color w:val="auto"/>
        </w:rPr>
      </w:pPr>
    </w:p>
    <w:p>
      <w:pPr>
        <w:ind w:left="4" w:right="400" w:hanging="4"/>
        <w:spacing w:after="0" w:line="342" w:lineRule="auto"/>
        <w:tabs>
          <w:tab w:leader="none" w:pos="249" w:val="left"/>
        </w:tabs>
        <w:numPr>
          <w:ilvl w:val="0"/>
          <w:numId w:val="438"/>
        </w:numPr>
        <w:rPr>
          <w:rFonts w:ascii="Arial" w:cs="Arial" w:eastAsia="Arial" w:hAnsi="Arial"/>
          <w:sz w:val="16"/>
          <w:szCs w:val="16"/>
          <w:color w:val="auto"/>
        </w:rPr>
      </w:pPr>
      <w:r>
        <w:rPr>
          <w:rFonts w:ascii="Arial" w:cs="Arial" w:eastAsia="Arial" w:hAnsi="Arial"/>
          <w:sz w:val="16"/>
          <w:szCs w:val="16"/>
          <w:color w:val="auto"/>
        </w:rPr>
        <w:t>ATI shall invoice Tollnine for the Compensation on a calendar quarterly basis or as otherwise mutually agreed by the Parties. Each invoice shall include, in reasonable detail, a description of the Services provided to Tollnine during the time period to which such invoice relates.</w:t>
      </w:r>
    </w:p>
    <w:p>
      <w:pPr>
        <w:spacing w:after="0" w:line="123" w:lineRule="exact"/>
        <w:rPr>
          <w:rFonts w:ascii="Arial" w:cs="Arial" w:eastAsia="Arial" w:hAnsi="Arial"/>
          <w:sz w:val="16"/>
          <w:szCs w:val="16"/>
          <w:color w:val="auto"/>
        </w:rPr>
      </w:pPr>
    </w:p>
    <w:p>
      <w:pPr>
        <w:ind w:left="264" w:hanging="264"/>
        <w:spacing w:after="0"/>
        <w:tabs>
          <w:tab w:leader="none" w:pos="264"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Tollnine shall pay for Services within thirty (30) days following its receipt of ATI’s invoice.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3" w:right="459" w:bottom="1440" w:gutter="0" w:footer="0" w:header="0"/>
        </w:sectPr>
      </w:pPr>
    </w:p>
    <w:bookmarkStart w:id="499" w:name="page500"/>
    <w:bookmarkEnd w:id="499"/>
    <w:p>
      <w:pPr>
        <w:ind w:left="4" w:right="360" w:hanging="4"/>
        <w:spacing w:after="0" w:line="277" w:lineRule="auto"/>
        <w:tabs>
          <w:tab w:leader="none" w:pos="249" w:val="left"/>
        </w:tabs>
        <w:numPr>
          <w:ilvl w:val="0"/>
          <w:numId w:val="4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of the Compensation shall be made directly to ATI or to a bank designated by ATI by notice to Tollnine from time to time, and shall be made in United States Dollars.</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439"/>
        </w:numPr>
        <w:rPr>
          <w:rFonts w:ascii="Arial" w:cs="Arial" w:eastAsia="Arial" w:hAnsi="Arial"/>
          <w:sz w:val="18"/>
          <w:szCs w:val="18"/>
          <w:color w:val="auto"/>
        </w:rPr>
      </w:pPr>
      <w:r>
        <w:rPr>
          <w:rFonts w:ascii="Arial" w:cs="Arial" w:eastAsia="Arial" w:hAnsi="Arial"/>
          <w:sz w:val="18"/>
          <w:szCs w:val="18"/>
          <w:color w:val="auto"/>
        </w:rPr>
        <w:t>If Tollnine fails to make any undisputed payment when due, such payment shall bear interest at the Applicable Rate until paid in full.</w:t>
      </w:r>
    </w:p>
    <w:p>
      <w:pPr>
        <w:spacing w:after="0" w:line="221" w:lineRule="exact"/>
        <w:rPr>
          <w:sz w:val="20"/>
          <w:szCs w:val="20"/>
          <w:color w:val="auto"/>
        </w:rPr>
      </w:pPr>
    </w:p>
    <w:p>
      <w:pPr>
        <w:ind w:left="4"/>
        <w:spacing w:after="0" w:line="255" w:lineRule="auto"/>
        <w:rPr>
          <w:sz w:val="20"/>
          <w:szCs w:val="20"/>
          <w:color w:val="auto"/>
        </w:rPr>
      </w:pPr>
      <w:r>
        <w:rPr>
          <w:rFonts w:ascii="Arial" w:cs="Arial" w:eastAsia="Arial" w:hAnsi="Arial"/>
          <w:sz w:val="18"/>
          <w:szCs w:val="18"/>
          <w:b w:val="1"/>
          <w:bCs w:val="1"/>
          <w:color w:val="auto"/>
        </w:rPr>
        <w:t xml:space="preserve">3.4 Records. </w:t>
      </w:r>
      <w:r>
        <w:rPr>
          <w:rFonts w:ascii="Arial" w:cs="Arial" w:eastAsia="Arial" w:hAnsi="Arial"/>
          <w:sz w:val="18"/>
          <w:szCs w:val="18"/>
          <w:color w:val="auto"/>
        </w:rPr>
        <w:t>During the Term and for a period of three (3) years after any termination or expiration of the Term, ATI will maintain complete and</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accounting books and records, prepared in accordance with U.S. GAAP, of all transactions relating to the subject matter of this Agreement in sufficient detail to permit Tollnine to confirm the accuracy of all costs and expenses incurred by ATI in discharging its obligations under this Agreement and the compensation due to ATI for each year. At the written request of Tollnine and at Tollnine’s expense, ATI shall allow an independent accounting firm selected by Tollnine, to examine the accounting books and records maintained hereunder during ATI’s regular business hours at ATI’s place of business. In the event that such examination concludes that there has been an overpayment the excess shall be credited to Tollnine against future payments under this Agreement.</w:t>
      </w:r>
    </w:p>
    <w:p>
      <w:pPr>
        <w:spacing w:after="0" w:line="297" w:lineRule="exact"/>
        <w:rPr>
          <w:sz w:val="20"/>
          <w:szCs w:val="20"/>
          <w:color w:val="auto"/>
        </w:rPr>
      </w:pPr>
    </w:p>
    <w:p>
      <w:pPr>
        <w:ind w:left="184" w:hanging="184"/>
        <w:spacing w:after="0"/>
        <w:tabs>
          <w:tab w:leader="none" w:pos="184"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RIGHTS; CONFIDENTIALITY</w:t>
      </w:r>
    </w:p>
    <w:p>
      <w:pPr>
        <w:spacing w:after="0" w:line="117"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 Proprietary Rights.</w:t>
      </w:r>
    </w:p>
    <w:p>
      <w:pPr>
        <w:spacing w:after="0" w:line="229" w:lineRule="exact"/>
        <w:rPr>
          <w:sz w:val="20"/>
          <w:szCs w:val="20"/>
          <w:color w:val="auto"/>
        </w:rPr>
      </w:pPr>
    </w:p>
    <w:p>
      <w:pPr>
        <w:ind w:left="4" w:right="580" w:hanging="4"/>
        <w:spacing w:after="0" w:line="277" w:lineRule="auto"/>
        <w:tabs>
          <w:tab w:leader="none" w:pos="249"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ATI acknowledges that it shall have no claim to any right, title, and interest in and to any Intellectual Property Rights owned or controlled by Tollnine prior to the Effective Date (collectively, the “</w:t>
      </w:r>
      <w:r>
        <w:rPr>
          <w:rFonts w:ascii="Arial" w:cs="Arial" w:eastAsia="Arial" w:hAnsi="Arial"/>
          <w:sz w:val="18"/>
          <w:szCs w:val="18"/>
          <w:b w:val="1"/>
          <w:bCs w:val="1"/>
          <w:i w:val="1"/>
          <w:iCs w:val="1"/>
          <w:color w:val="auto"/>
        </w:rPr>
        <w:t>Existing Technology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right="20" w:hanging="4"/>
        <w:spacing w:after="0" w:line="273" w:lineRule="auto"/>
        <w:tabs>
          <w:tab w:leader="none" w:pos="259" w:val="left"/>
        </w:tabs>
        <w:numPr>
          <w:ilvl w:val="0"/>
          <w:numId w:val="441"/>
        </w:numPr>
        <w:rPr>
          <w:rFonts w:ascii="Arial" w:cs="Arial" w:eastAsia="Arial" w:hAnsi="Arial"/>
          <w:sz w:val="17"/>
          <w:szCs w:val="17"/>
          <w:color w:val="auto"/>
        </w:rPr>
      </w:pPr>
      <w:r>
        <w:rPr>
          <w:rFonts w:ascii="Arial" w:cs="Arial" w:eastAsia="Arial" w:hAnsi="Arial"/>
          <w:sz w:val="17"/>
          <w:szCs w:val="17"/>
          <w:color w:val="auto"/>
        </w:rPr>
        <w:t>ATI further acknowledges that, except for improvements to ATI Background Technology, all right, title, and interest in and to: (i) any Services Work Product and/or any Intellectual Property Rights directly resulting from or conceived or reduced to practice during or after the Term by ATI or its Suppliers in performance of the Services (collectively, the “</w:t>
      </w:r>
      <w:r>
        <w:rPr>
          <w:rFonts w:ascii="Arial" w:cs="Arial" w:eastAsia="Arial" w:hAnsi="Arial"/>
          <w:sz w:val="17"/>
          <w:szCs w:val="17"/>
          <w:b w:val="1"/>
          <w:bCs w:val="1"/>
          <w:i w:val="1"/>
          <w:iCs w:val="1"/>
          <w:color w:val="auto"/>
        </w:rPr>
        <w:t>New Technology</w:t>
      </w:r>
      <w:r>
        <w:rPr>
          <w:rFonts w:ascii="Arial" w:cs="Arial" w:eastAsia="Arial" w:hAnsi="Arial"/>
          <w:sz w:val="17"/>
          <w:szCs w:val="17"/>
          <w:color w:val="auto"/>
        </w:rPr>
        <w:t>”); and/or (ii) any improvements or enhancements to Existing Technology or New Technology conceived or reduced to practice during or after the Term shall be the property of Tollnine. ATI shall not have the right to use or otherwise exploit any Existing Technology, New Technology or any improvements or enhancements to Exístíng Technology or New Technology except as required for the performance of the Services in accordance with this Agreement.</w:t>
      </w:r>
    </w:p>
    <w:p>
      <w:pPr>
        <w:spacing w:after="0" w:line="177" w:lineRule="exact"/>
        <w:rPr>
          <w:rFonts w:ascii="Arial" w:cs="Arial" w:eastAsia="Arial" w:hAnsi="Arial"/>
          <w:sz w:val="17"/>
          <w:szCs w:val="17"/>
          <w:color w:val="auto"/>
        </w:rPr>
      </w:pPr>
    </w:p>
    <w:p>
      <w:pPr>
        <w:ind w:left="4" w:right="40" w:hanging="4"/>
        <w:spacing w:after="0" w:line="293" w:lineRule="auto"/>
        <w:tabs>
          <w:tab w:leader="none" w:pos="249" w:val="left"/>
        </w:tabs>
        <w:numPr>
          <w:ilvl w:val="0"/>
          <w:numId w:val="441"/>
        </w:numPr>
        <w:rPr>
          <w:rFonts w:ascii="Arial" w:cs="Arial" w:eastAsia="Arial" w:hAnsi="Arial"/>
          <w:sz w:val="16"/>
          <w:szCs w:val="16"/>
          <w:color w:val="auto"/>
        </w:rPr>
      </w:pPr>
      <w:r>
        <w:rPr>
          <w:rFonts w:ascii="Arial" w:cs="Arial" w:eastAsia="Arial" w:hAnsi="Arial"/>
          <w:sz w:val="16"/>
          <w:szCs w:val="16"/>
          <w:color w:val="auto"/>
        </w:rPr>
        <w:t>Before retaining the services of any employee, consultant or Supplier, whether directly or indirectly, ATI shall cause such employee, consultant or Supplier and all affiliated personnel performing any work ín connection with the Services to enter into a written contract with ATI pursuant to the terms of which every such person or entity agrees (i) to assign to ATI ownership of all rights (or where not assignable, a waiver of all non-assignable rights) such person or entity may have with respect to all such Exístíng Technology (and any improvements or enhancements thereto) and New Technology (and any improvements or enhancements thereto) and (ii) to take all actions necessary or useful to cause all such Existing Technology (and any improvements or enhancements thereto) and all New Technology (and any improvements or enhancements thereto) to be assigned to ATI.</w:t>
      </w:r>
    </w:p>
    <w:p>
      <w:pPr>
        <w:spacing w:after="0" w:line="9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4"/>
          </w:cols>
          <w:pgMar w:left="436" w:top="273" w:right="499" w:bottom="1440" w:gutter="0" w:footer="0" w:header="0"/>
        </w:sectPr>
      </w:pPr>
    </w:p>
    <w:bookmarkStart w:id="500" w:name="page501"/>
    <w:bookmarkEnd w:id="500"/>
    <w:p>
      <w:pPr>
        <w:ind w:left="4" w:right="40" w:hanging="4"/>
        <w:spacing w:after="0" w:line="296" w:lineRule="auto"/>
        <w:tabs>
          <w:tab w:leader="none" w:pos="259" w:val="left"/>
        </w:tabs>
        <w:numPr>
          <w:ilvl w:val="0"/>
          <w:numId w:val="4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between ATI and Tollnine, ATI shall retain ownership of all ATI Background Technology and improvements thereto that arise during the performance of the Services. ATI hereby assigns and agrees to assign to Tollnine all right, title, and interest in and to all Service Work Product and New Technology (except All Background Technology and improvements thereto), including without limitation any Intellectual Property Rights embodied in such Service Work Product and New Technology (whether or not protectable under patent, copyright, trade secret or similar laws). At the request of Tollnine, ATI shall undertake to do all things and to execute all documents necessary to give effect to the provisions of this Section 4.1.</w:t>
      </w:r>
    </w:p>
    <w:p>
      <w:pPr>
        <w:spacing w:after="0" w:line="161" w:lineRule="exact"/>
        <w:rPr>
          <w:rFonts w:ascii="Arial" w:cs="Arial" w:eastAsia="Arial" w:hAnsi="Arial"/>
          <w:sz w:val="16"/>
          <w:szCs w:val="16"/>
          <w:color w:val="auto"/>
        </w:rPr>
      </w:pPr>
    </w:p>
    <w:p>
      <w:pPr>
        <w:ind w:left="4" w:right="100" w:hanging="4"/>
        <w:spacing w:after="0" w:line="342" w:lineRule="auto"/>
        <w:tabs>
          <w:tab w:leader="none" w:pos="249" w:val="left"/>
        </w:tabs>
        <w:numPr>
          <w:ilvl w:val="0"/>
          <w:numId w:val="442"/>
        </w:numPr>
        <w:rPr>
          <w:rFonts w:ascii="Arial" w:cs="Arial" w:eastAsia="Arial" w:hAnsi="Arial"/>
          <w:sz w:val="16"/>
          <w:szCs w:val="16"/>
          <w:color w:val="auto"/>
        </w:rPr>
      </w:pPr>
      <w:r>
        <w:rPr>
          <w:rFonts w:ascii="Arial" w:cs="Arial" w:eastAsia="Arial" w:hAnsi="Arial"/>
          <w:sz w:val="16"/>
          <w:szCs w:val="16"/>
          <w:color w:val="auto"/>
        </w:rPr>
        <w:t>ATI shall promptly disclose to Tollnine any (i) New Technology (and any improvements or enhancements thereto), and/or (ii) any improvements or enhancements to Existing Technology that it becomes aware of that might, under applicable law, be patentable or otherwise protectable.</w:t>
      </w:r>
    </w:p>
    <w:p>
      <w:pPr>
        <w:spacing w:after="0" w:line="123" w:lineRule="exact"/>
        <w:rPr>
          <w:rFonts w:ascii="Arial" w:cs="Arial" w:eastAsia="Arial" w:hAnsi="Arial"/>
          <w:sz w:val="16"/>
          <w:szCs w:val="16"/>
          <w:color w:val="auto"/>
        </w:rPr>
      </w:pPr>
    </w:p>
    <w:p>
      <w:pPr>
        <w:ind w:left="4" w:right="40" w:hanging="4"/>
        <w:spacing w:after="0" w:line="263" w:lineRule="auto"/>
        <w:tabs>
          <w:tab w:leader="none" w:pos="229"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Tollnine shall have control over the filing, prosecution, maintenance, interference and every and all other aspects of the management of any and all patent, trademark and copyright applications for both Existing Technology (and any improvements or enhancements thereto) and New Technology (and any improvements or enhancements thereto).</w:t>
      </w:r>
    </w:p>
    <w:p>
      <w:pPr>
        <w:spacing w:after="0" w:line="183" w:lineRule="exact"/>
        <w:rPr>
          <w:rFonts w:ascii="Arial" w:cs="Arial" w:eastAsia="Arial" w:hAnsi="Arial"/>
          <w:sz w:val="18"/>
          <w:szCs w:val="18"/>
          <w:color w:val="auto"/>
        </w:rPr>
      </w:pPr>
    </w:p>
    <w:p>
      <w:pPr>
        <w:ind w:left="4" w:hanging="4"/>
        <w:spacing w:after="0" w:line="259" w:lineRule="auto"/>
        <w:tabs>
          <w:tab w:leader="none" w:pos="259"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In the event that ATI reasonably believes that a third party is or may be infringing, encroaching or violating any Intellectual Property Right owned or controlled by Tollnine, then ATI shall promptly notify Tollnine in writing of such alleged infringement, encroachment or violation, and Tollnine shall have the sole right, in its sole discretion, to take or not take whatever action it believes is appropriate, without the obligation to do so, and shall have the sole right to control any resulting litigation.</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4.2 Confidentiality.</w:t>
      </w:r>
    </w:p>
    <w:p>
      <w:pPr>
        <w:spacing w:after="0" w:line="229" w:lineRule="exact"/>
        <w:rPr>
          <w:sz w:val="20"/>
          <w:szCs w:val="20"/>
          <w:color w:val="auto"/>
        </w:rPr>
      </w:pPr>
    </w:p>
    <w:p>
      <w:pPr>
        <w:ind w:left="4" w:right="40" w:hanging="4"/>
        <w:spacing w:after="0" w:line="275" w:lineRule="auto"/>
        <w:tabs>
          <w:tab w:leader="none" w:pos="249" w:val="left"/>
        </w:tabs>
        <w:numPr>
          <w:ilvl w:val="0"/>
          <w:numId w:val="4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means all information disclosed by one Party (the “</w:t>
      </w:r>
      <w:r>
        <w:rPr>
          <w:rFonts w:ascii="Arial" w:cs="Arial" w:eastAsia="Arial" w:hAnsi="Arial"/>
          <w:sz w:val="17"/>
          <w:szCs w:val="17"/>
          <w:b w:val="1"/>
          <w:bCs w:val="1"/>
          <w:i w:val="1"/>
          <w:iCs w:val="1"/>
          <w:color w:val="auto"/>
        </w:rPr>
        <w:t>Disclosing Party</w:t>
      </w:r>
      <w:r>
        <w:rPr>
          <w:rFonts w:ascii="Arial" w:cs="Arial" w:eastAsia="Arial" w:hAnsi="Arial"/>
          <w:sz w:val="17"/>
          <w:szCs w:val="17"/>
          <w:color w:val="auto"/>
        </w:rPr>
        <w:t>”) to the other Party (the “</w:t>
      </w:r>
      <w:r>
        <w:rPr>
          <w:rFonts w:ascii="Arial" w:cs="Arial" w:eastAsia="Arial" w:hAnsi="Arial"/>
          <w:sz w:val="17"/>
          <w:szCs w:val="17"/>
          <w:b w:val="1"/>
          <w:bCs w:val="1"/>
          <w:i w:val="1"/>
          <w:iCs w:val="1"/>
          <w:color w:val="auto"/>
        </w:rPr>
        <w:t>Receiving Party</w:t>
      </w:r>
      <w:r>
        <w:rPr>
          <w:rFonts w:ascii="Arial" w:cs="Arial" w:eastAsia="Arial" w:hAnsi="Arial"/>
          <w:sz w:val="17"/>
          <w:szCs w:val="17"/>
          <w:color w:val="auto"/>
        </w:rPr>
        <w:t>”) hereunder and relating to this Agreement, a whether or not in writing or verbally, and whether or not marked or otherwise identified as confidential; including, without limitation, all technical and non-technical information conveyed from Disclosing Party to the Receiving Party in any form, including but not limited to Existing Technology, New Technology and ATI Background Technology. Notwithstanding any other provisions herein, Confidential Information does not include information which, to the extent the Receiving Party can prove by competent evidence,</w:t>
      </w:r>
    </w:p>
    <w:p>
      <w:pPr>
        <w:spacing w:after="0" w:line="176" w:lineRule="exact"/>
        <w:rPr>
          <w:rFonts w:ascii="Arial" w:cs="Arial" w:eastAsia="Arial" w:hAnsi="Arial"/>
          <w:sz w:val="17"/>
          <w:szCs w:val="17"/>
          <w:color w:val="auto"/>
        </w:rPr>
      </w:pPr>
    </w:p>
    <w:p>
      <w:pPr>
        <w:ind w:left="664" w:hanging="224"/>
        <w:spacing w:after="0"/>
        <w:tabs>
          <w:tab w:leader="none" w:pos="664" w:val="left"/>
        </w:tabs>
        <w:numPr>
          <w:ilvl w:val="1"/>
          <w:numId w:val="443"/>
        </w:numPr>
        <w:rPr>
          <w:rFonts w:ascii="Arial" w:cs="Arial" w:eastAsia="Arial" w:hAnsi="Arial"/>
          <w:sz w:val="18"/>
          <w:szCs w:val="18"/>
          <w:color w:val="auto"/>
        </w:rPr>
      </w:pPr>
      <w:r>
        <w:rPr>
          <w:rFonts w:ascii="Arial" w:cs="Arial" w:eastAsia="Arial" w:hAnsi="Arial"/>
          <w:sz w:val="18"/>
          <w:szCs w:val="18"/>
          <w:color w:val="auto"/>
        </w:rPr>
        <w:t>at the time of its disclosure is publicly known;</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443"/>
        </w:numPr>
        <w:rPr>
          <w:rFonts w:ascii="Arial" w:cs="Arial" w:eastAsia="Arial" w:hAnsi="Arial"/>
          <w:sz w:val="18"/>
          <w:szCs w:val="18"/>
          <w:color w:val="auto"/>
        </w:rPr>
      </w:pPr>
      <w:r>
        <w:rPr>
          <w:rFonts w:ascii="Arial" w:cs="Arial" w:eastAsia="Arial" w:hAnsi="Arial"/>
          <w:sz w:val="18"/>
          <w:szCs w:val="18"/>
          <w:color w:val="auto"/>
        </w:rPr>
        <w:t>after its disclosure hereunder, becomes publicly known by publication or otherwise, except in breach of this agreement;</w:t>
      </w:r>
    </w:p>
    <w:p>
      <w:pPr>
        <w:spacing w:after="0" w:line="225" w:lineRule="exact"/>
        <w:rPr>
          <w:rFonts w:ascii="Arial" w:cs="Arial" w:eastAsia="Arial" w:hAnsi="Arial"/>
          <w:sz w:val="18"/>
          <w:szCs w:val="18"/>
          <w:color w:val="auto"/>
        </w:rPr>
      </w:pPr>
    </w:p>
    <w:p>
      <w:pPr>
        <w:ind w:left="4" w:right="120" w:firstLine="436"/>
        <w:spacing w:after="0" w:line="263" w:lineRule="auto"/>
        <w:tabs>
          <w:tab w:leader="none" w:pos="759" w:val="left"/>
        </w:tabs>
        <w:numPr>
          <w:ilvl w:val="1"/>
          <w:numId w:val="443"/>
        </w:numPr>
        <w:rPr>
          <w:rFonts w:ascii="Arial" w:cs="Arial" w:eastAsia="Arial" w:hAnsi="Arial"/>
          <w:sz w:val="18"/>
          <w:szCs w:val="18"/>
          <w:color w:val="auto"/>
        </w:rPr>
      </w:pPr>
      <w:r>
        <w:rPr>
          <w:rFonts w:ascii="Arial" w:cs="Arial" w:eastAsia="Arial" w:hAnsi="Arial"/>
          <w:sz w:val="18"/>
          <w:szCs w:val="18"/>
          <w:color w:val="auto"/>
        </w:rPr>
        <w:t>the Receiving Party can conclusively establish with contemporaneous records was in its or its Affiliates’ possession at the time of disclosure hereunder or was subsequently and independently developed by its or its Affiliates’ employees who had no knowledge of Information disclosed hereunder; or</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3" w:right="499" w:bottom="1440" w:gutter="0" w:footer="0" w:header="0"/>
        </w:sectPr>
      </w:pPr>
    </w:p>
    <w:bookmarkStart w:id="501" w:name="page502"/>
    <w:bookmarkEnd w:id="501"/>
    <w:p>
      <w:pPr>
        <w:ind w:left="4" w:right="340" w:firstLine="436"/>
        <w:spacing w:after="0" w:line="277" w:lineRule="auto"/>
        <w:tabs>
          <w:tab w:leader="none" w:pos="749" w:val="left"/>
        </w:tabs>
        <w:numPr>
          <w:ilvl w:val="0"/>
          <w:numId w:val="4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Receiving Party or its Affiliates receives from a third party not under obligation or duty of confidentiality, directly or indirectly, to the other Party hereto.</w:t>
      </w:r>
    </w:p>
    <w:p>
      <w:pPr>
        <w:spacing w:after="0" w:line="170"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Tollnine and ATI acknowledge and agree that Existing Technology and New Technology shall be deemed the Confidential Information of Tollnine and shall be held in trust by ATIoh for the benefit of Tollnine, and that ATI Background Technology shall be deemed the Confidential Information of ATI and shall be held in trust by Tollnine for the benefit of ATI.</w:t>
      </w:r>
    </w:p>
    <w:p>
      <w:pPr>
        <w:spacing w:after="0" w:line="184" w:lineRule="exact"/>
        <w:rPr>
          <w:sz w:val="20"/>
          <w:szCs w:val="20"/>
          <w:color w:val="auto"/>
        </w:rPr>
      </w:pPr>
    </w:p>
    <w:p>
      <w:pPr>
        <w:ind w:left="264" w:hanging="264"/>
        <w:spacing w:after="0"/>
        <w:tabs>
          <w:tab w:leader="none" w:pos="264" w:val="left"/>
        </w:tabs>
        <w:numPr>
          <w:ilvl w:val="0"/>
          <w:numId w:val="445"/>
        </w:numPr>
        <w:rPr>
          <w:rFonts w:ascii="Arial" w:cs="Arial" w:eastAsia="Arial" w:hAnsi="Arial"/>
          <w:sz w:val="17"/>
          <w:szCs w:val="17"/>
          <w:color w:val="auto"/>
        </w:rPr>
      </w:pPr>
      <w:r>
        <w:rPr>
          <w:rFonts w:ascii="Arial" w:cs="Arial" w:eastAsia="Arial" w:hAnsi="Arial"/>
          <w:sz w:val="17"/>
          <w:szCs w:val="17"/>
          <w:color w:val="auto"/>
        </w:rPr>
        <w:t>Confidential Information disclosed by a Disclosing Party to a Receiving Party hereunder remains the sole property of the Disclosing Party.</w:t>
      </w:r>
    </w:p>
    <w:p>
      <w:pPr>
        <w:spacing w:after="0" w:line="236" w:lineRule="exact"/>
        <w:rPr>
          <w:rFonts w:ascii="Arial" w:cs="Arial" w:eastAsia="Arial" w:hAnsi="Arial"/>
          <w:sz w:val="17"/>
          <w:szCs w:val="17"/>
          <w:color w:val="auto"/>
        </w:rPr>
      </w:pPr>
    </w:p>
    <w:p>
      <w:pPr>
        <w:ind w:left="244" w:hanging="244"/>
        <w:spacing w:after="0"/>
        <w:tabs>
          <w:tab w:leader="none" w:pos="244" w:val="left"/>
        </w:tabs>
        <w:numPr>
          <w:ilvl w:val="0"/>
          <w:numId w:val="445"/>
        </w:numPr>
        <w:rPr>
          <w:rFonts w:ascii="Arial" w:cs="Arial" w:eastAsia="Arial" w:hAnsi="Arial"/>
          <w:sz w:val="18"/>
          <w:szCs w:val="18"/>
          <w:color w:val="auto"/>
        </w:rPr>
      </w:pPr>
      <w:r>
        <w:rPr>
          <w:rFonts w:ascii="Arial" w:cs="Arial" w:eastAsia="Arial" w:hAnsi="Arial"/>
          <w:sz w:val="18"/>
          <w:szCs w:val="18"/>
          <w:color w:val="auto"/>
        </w:rPr>
        <w:t>During the Term and for a period of ten (10) years thereafter, the Receiving Party shall:</w:t>
      </w:r>
    </w:p>
    <w:p>
      <w:pPr>
        <w:spacing w:after="0" w:line="225" w:lineRule="exact"/>
        <w:rPr>
          <w:rFonts w:ascii="Arial" w:cs="Arial" w:eastAsia="Arial" w:hAnsi="Arial"/>
          <w:sz w:val="18"/>
          <w:szCs w:val="18"/>
          <w:color w:val="auto"/>
        </w:rPr>
      </w:pPr>
    </w:p>
    <w:p>
      <w:pPr>
        <w:ind w:left="4" w:right="620" w:firstLine="436"/>
        <w:spacing w:after="0" w:line="277" w:lineRule="auto"/>
        <w:tabs>
          <w:tab w:leader="none" w:pos="659"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take all reasonable steps to hold in trust and confidence Confidential Information of the Disclosing Party and not use such Confidential Information except for the limited purposes set forth in this Agreement;</w:t>
      </w:r>
    </w:p>
    <w:p>
      <w:pPr>
        <w:spacing w:after="0" w:line="170" w:lineRule="exact"/>
        <w:rPr>
          <w:rFonts w:ascii="Arial" w:cs="Arial" w:eastAsia="Arial" w:hAnsi="Arial"/>
          <w:sz w:val="18"/>
          <w:szCs w:val="18"/>
          <w:color w:val="auto"/>
        </w:rPr>
      </w:pPr>
    </w:p>
    <w:p>
      <w:pPr>
        <w:ind w:left="4" w:firstLine="436"/>
        <w:spacing w:after="0" w:line="286" w:lineRule="auto"/>
        <w:tabs>
          <w:tab w:leader="none" w:pos="709" w:val="left"/>
        </w:tabs>
        <w:numPr>
          <w:ilvl w:val="1"/>
          <w:numId w:val="445"/>
        </w:numPr>
        <w:rPr>
          <w:rFonts w:ascii="Arial" w:cs="Arial" w:eastAsia="Arial" w:hAnsi="Arial"/>
          <w:sz w:val="17"/>
          <w:szCs w:val="17"/>
          <w:color w:val="auto"/>
        </w:rPr>
      </w:pPr>
      <w:r>
        <w:rPr>
          <w:rFonts w:ascii="Arial" w:cs="Arial" w:eastAsia="Arial" w:hAnsi="Arial"/>
          <w:sz w:val="17"/>
          <w:szCs w:val="17"/>
          <w:color w:val="auto"/>
        </w:rPr>
        <w:t>not disclose the Confidential Information of the Disclosing Party, except to those of its employees, consultants, contractors, subcontractors and agents who (A) require access to such Confidential Information for purposes of the Receiving Party performing its obligations hereunder and (B) have been informed of the limitations on use and disclosure of such Confidential Information created by this Agreement; and</w:t>
      </w:r>
    </w:p>
    <w:p>
      <w:pPr>
        <w:spacing w:after="0" w:line="165" w:lineRule="exact"/>
        <w:rPr>
          <w:rFonts w:ascii="Arial" w:cs="Arial" w:eastAsia="Arial" w:hAnsi="Arial"/>
          <w:sz w:val="17"/>
          <w:szCs w:val="17"/>
          <w:color w:val="auto"/>
        </w:rPr>
      </w:pPr>
    </w:p>
    <w:p>
      <w:pPr>
        <w:ind w:left="764" w:hanging="324"/>
        <w:spacing w:after="0"/>
        <w:tabs>
          <w:tab w:leader="none" w:pos="764"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take all reasonable steps to prevent unauthorized disclosure or use of Confidential Information of the Disclosing Party;</w:t>
      </w:r>
    </w:p>
    <w:p>
      <w:pPr>
        <w:spacing w:after="0" w:line="225"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provided, however, that with respect to any of Confidential Information that is a trade secret, such obligations shall survive and continue for so long as such information qualifies as a trade secret under applicable law.</w:t>
      </w:r>
    </w:p>
    <w:p>
      <w:pPr>
        <w:spacing w:after="0" w:line="170" w:lineRule="exact"/>
        <w:rPr>
          <w:sz w:val="20"/>
          <w:szCs w:val="20"/>
          <w:color w:val="auto"/>
        </w:rPr>
      </w:pPr>
    </w:p>
    <w:p>
      <w:pPr>
        <w:ind w:left="4" w:right="60" w:hanging="4"/>
        <w:spacing w:after="0" w:line="301" w:lineRule="auto"/>
        <w:tabs>
          <w:tab w:leader="none" w:pos="259" w:val="left"/>
        </w:tabs>
        <w:numPr>
          <w:ilvl w:val="0"/>
          <w:numId w:val="446"/>
        </w:numPr>
        <w:rPr>
          <w:rFonts w:ascii="Arial" w:cs="Arial" w:eastAsia="Arial" w:hAnsi="Arial"/>
          <w:sz w:val="16"/>
          <w:szCs w:val="16"/>
          <w:color w:val="auto"/>
        </w:rPr>
      </w:pPr>
      <w:r>
        <w:rPr>
          <w:rFonts w:ascii="Arial" w:cs="Arial" w:eastAsia="Arial" w:hAnsi="Arial"/>
          <w:sz w:val="16"/>
          <w:szCs w:val="16"/>
          <w:color w:val="auto"/>
        </w:rPr>
        <w:t>No provision of this Agreement shall be construed to preclude such disclosure of Confidential Information if the Receiving Party (or its Affiliates, employees, consultants, contractors, subcontractors and agents) is required to disclose Confidential Information by order or requirement of a court, administrative agency, or other governmental body, provided the Receiving Party (or its employees, consultants, contractors, subcontractors and agents) shall provide the Disclosing Party prompt notice thereof to enable the Disclosing Party to seek a protective order or otherwise prevent such disclosure</w:t>
      </w:r>
    </w:p>
    <w:p>
      <w:pPr>
        <w:spacing w:after="0" w:line="157" w:lineRule="exact"/>
        <w:rPr>
          <w:rFonts w:ascii="Arial" w:cs="Arial" w:eastAsia="Arial" w:hAnsi="Arial"/>
          <w:sz w:val="16"/>
          <w:szCs w:val="16"/>
          <w:color w:val="auto"/>
        </w:rPr>
      </w:pPr>
    </w:p>
    <w:p>
      <w:pPr>
        <w:ind w:left="4" w:hanging="4"/>
        <w:spacing w:after="0" w:line="257" w:lineRule="auto"/>
        <w:tabs>
          <w:tab w:leader="none" w:pos="249" w:val="left"/>
        </w:tabs>
        <w:numPr>
          <w:ilvl w:val="0"/>
          <w:numId w:val="446"/>
        </w:numPr>
        <w:rPr>
          <w:rFonts w:ascii="Arial" w:cs="Arial" w:eastAsia="Arial" w:hAnsi="Arial"/>
          <w:sz w:val="18"/>
          <w:szCs w:val="18"/>
          <w:color w:val="auto"/>
        </w:rPr>
      </w:pPr>
      <w:r>
        <w:rPr>
          <w:rFonts w:ascii="Arial" w:cs="Arial" w:eastAsia="Arial" w:hAnsi="Arial"/>
          <w:sz w:val="18"/>
          <w:szCs w:val="18"/>
          <w:color w:val="auto"/>
        </w:rPr>
        <w:t>Each Party acknowledges and agrees that, disclosure of Confidential Information contrary to the terms of this Agreement may cause significant harm and injury to Disclosing Party and agrees that the Disclosing Party shall have the right, in addition to any other rights available under applicable law, to seek from any tribunal of competent jurisdiction (i) injunctive relief to enjoin any breach or violation or (ii) specific performance of the provisions of this Agreement to specifically enforce, any covenant or obligation of such Party under such provisions, without the necessity of posting any bond or security.</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3" w:right="479" w:bottom="1440" w:gutter="0" w:footer="0" w:header="0"/>
        </w:sectPr>
      </w:pPr>
    </w:p>
    <w:bookmarkStart w:id="502" w:name="page503"/>
    <w:bookmarkEnd w:id="502"/>
    <w:p>
      <w:pPr>
        <w:ind w:left="4" w:right="80" w:hanging="4"/>
        <w:spacing w:after="0" w:line="311" w:lineRule="auto"/>
        <w:tabs>
          <w:tab w:leader="none" w:pos="229" w:val="left"/>
        </w:tabs>
        <w:numPr>
          <w:ilvl w:val="0"/>
          <w:numId w:val="4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 is understood and agreed by the Parties that Confidential Information shall not include any portion of such information or data that: (i) is disclosed to the Receiving Party by a third person who is under no obligation of confidentiality to the Disclosing Party with respect to such information and who otherwise has a right to make such disclosure; or (ii) is or becomes generally known in the trade through no fault of the Receiving Party.</w:t>
      </w:r>
    </w:p>
    <w:p>
      <w:pPr>
        <w:spacing w:after="0" w:line="145" w:lineRule="exact"/>
        <w:rPr>
          <w:sz w:val="20"/>
          <w:szCs w:val="20"/>
          <w:color w:val="auto"/>
        </w:rPr>
      </w:pPr>
    </w:p>
    <w:p>
      <w:pPr>
        <w:ind w:left="4" w:right="140"/>
        <w:spacing w:after="0" w:line="255" w:lineRule="auto"/>
        <w:rPr>
          <w:sz w:val="20"/>
          <w:szCs w:val="20"/>
          <w:color w:val="auto"/>
        </w:rPr>
      </w:pPr>
      <w:r>
        <w:rPr>
          <w:rFonts w:ascii="Arial" w:cs="Arial" w:eastAsia="Arial" w:hAnsi="Arial"/>
          <w:sz w:val="18"/>
          <w:szCs w:val="18"/>
          <w:b w:val="1"/>
          <w:bCs w:val="1"/>
          <w:color w:val="auto"/>
        </w:rPr>
        <w:t xml:space="preserve">4.3 Return of Confidential Information. </w:t>
      </w:r>
      <w:r>
        <w:rPr>
          <w:rFonts w:ascii="Arial" w:cs="Arial" w:eastAsia="Arial" w:hAnsi="Arial"/>
          <w:sz w:val="18"/>
          <w:szCs w:val="18"/>
          <w:color w:val="auto"/>
        </w:rPr>
        <w:t>On the termination of this Agreement, or upon the Disclosing Party’s earlier request, the Receiving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return or destroy any Confidential Information of the Disclosing Party in its possession; provided that the Receiving Party: (i) may retain one complete set to ensure compliance with its obligations under this Agreement, for its corporate governance and secretarial purposes, and for compliance by it with the applicable rules of professional bodies; (ii) shall not be required to destroy back-up computer files created in the ordinary course of business; and (iii) may, in its discretion, destroy any of its own work product containing Confidential Information of the Disclosing Party that it is not entitled to retain under (i) or (ii) above. The Receiving Party shall confirm in writing that it has complied with the obligations set forth in this Section 4.3.</w:t>
      </w:r>
    </w:p>
    <w:p>
      <w:pPr>
        <w:spacing w:after="0" w:line="29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 REPRESENTATIONS AND WARRANTIES</w:t>
      </w:r>
    </w:p>
    <w:p>
      <w:pPr>
        <w:spacing w:after="0" w:line="117" w:lineRule="exact"/>
        <w:rPr>
          <w:sz w:val="20"/>
          <w:szCs w:val="20"/>
          <w:color w:val="auto"/>
        </w:rPr>
      </w:pPr>
    </w:p>
    <w:p>
      <w:pPr>
        <w:ind w:left="4" w:right="120"/>
        <w:spacing w:after="0" w:line="261" w:lineRule="auto"/>
        <w:rPr>
          <w:sz w:val="20"/>
          <w:szCs w:val="20"/>
          <w:color w:val="auto"/>
        </w:rPr>
      </w:pPr>
      <w:r>
        <w:rPr>
          <w:rFonts w:ascii="Arial" w:cs="Arial" w:eastAsia="Arial" w:hAnsi="Arial"/>
          <w:sz w:val="18"/>
          <w:szCs w:val="18"/>
          <w:b w:val="1"/>
          <w:bCs w:val="1"/>
          <w:color w:val="auto"/>
        </w:rPr>
        <w:t xml:space="preserve">5.1 Authorization. </w:t>
      </w:r>
      <w:r>
        <w:rPr>
          <w:rFonts w:ascii="Arial" w:cs="Arial" w:eastAsia="Arial" w:hAnsi="Arial"/>
          <w:sz w:val="18"/>
          <w:szCs w:val="18"/>
          <w:color w:val="auto"/>
        </w:rPr>
        <w:t>Each of Tollnine and ATI represents and warrants to the other that: (a) it is duly organized, validly existing and in good 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laws of its organizing jurisdiction; (b) it has all requisite power and authority, corporate and otherwise, to execute and deliver this Agreement and to perform its obligations hereunder; (c) it is (by all necessary corporate action) duly authorized to execute and deliver this Agreement and to perform its obligations hereunder and consummate the transactions contemplated hereby.</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5.2 Binding Obligation.</w:t>
      </w:r>
    </w:p>
    <w:p>
      <w:pPr>
        <w:spacing w:after="0" w:line="229" w:lineRule="exact"/>
        <w:rPr>
          <w:sz w:val="20"/>
          <w:szCs w:val="20"/>
          <w:color w:val="auto"/>
        </w:rPr>
      </w:pPr>
    </w:p>
    <w:p>
      <w:pPr>
        <w:ind w:left="4" w:right="320" w:hanging="4"/>
        <w:spacing w:after="0" w:line="308" w:lineRule="auto"/>
        <w:tabs>
          <w:tab w:leader="none" w:pos="249" w:val="left"/>
        </w:tabs>
        <w:numPr>
          <w:ilvl w:val="0"/>
          <w:numId w:val="448"/>
        </w:numPr>
        <w:rPr>
          <w:rFonts w:ascii="Arial" w:cs="Arial" w:eastAsia="Arial" w:hAnsi="Arial"/>
          <w:sz w:val="17"/>
          <w:szCs w:val="17"/>
          <w:color w:val="auto"/>
        </w:rPr>
      </w:pPr>
      <w:r>
        <w:rPr>
          <w:rFonts w:ascii="Arial" w:cs="Arial" w:eastAsia="Arial" w:hAnsi="Arial"/>
          <w:sz w:val="17"/>
          <w:szCs w:val="17"/>
          <w:color w:val="auto"/>
        </w:rPr>
        <w:t>This Agreement is the valid and legally binding obligation of ATI in accordance with its terms, subject to bankruptcy, reorganization, insolvency, moratorium and similar laws and to general principles of equity which are within the discretion of courts of applicable jurisdiction.</w:t>
      </w:r>
    </w:p>
    <w:p>
      <w:pPr>
        <w:spacing w:after="0" w:line="146" w:lineRule="exact"/>
        <w:rPr>
          <w:rFonts w:ascii="Arial" w:cs="Arial" w:eastAsia="Arial" w:hAnsi="Arial"/>
          <w:sz w:val="17"/>
          <w:szCs w:val="17"/>
          <w:color w:val="auto"/>
        </w:rPr>
      </w:pPr>
    </w:p>
    <w:p>
      <w:pPr>
        <w:ind w:left="4" w:right="720" w:hanging="4"/>
        <w:spacing w:after="0" w:line="342" w:lineRule="auto"/>
        <w:tabs>
          <w:tab w:leader="none" w:pos="259" w:val="left"/>
        </w:tabs>
        <w:numPr>
          <w:ilvl w:val="0"/>
          <w:numId w:val="448"/>
        </w:numPr>
        <w:rPr>
          <w:rFonts w:ascii="Arial" w:cs="Arial" w:eastAsia="Arial" w:hAnsi="Arial"/>
          <w:sz w:val="16"/>
          <w:szCs w:val="16"/>
          <w:color w:val="auto"/>
        </w:rPr>
      </w:pPr>
      <w:r>
        <w:rPr>
          <w:rFonts w:ascii="Arial" w:cs="Arial" w:eastAsia="Arial" w:hAnsi="Arial"/>
          <w:sz w:val="16"/>
          <w:szCs w:val="16"/>
          <w:color w:val="auto"/>
        </w:rPr>
        <w:t>This Agreement is the valid and legally binding obligation of Tollnine in accordance with its terms, subject to bankruptcy, reorganization, insolvency, moratorium and similar laws and to general principles of equity which are within the discretion of courts of applicable jurisdiction.</w:t>
      </w:r>
    </w:p>
    <w:p>
      <w:pPr>
        <w:spacing w:after="0" w:line="120" w:lineRule="exact"/>
        <w:rPr>
          <w:sz w:val="20"/>
          <w:szCs w:val="20"/>
          <w:color w:val="auto"/>
        </w:rPr>
      </w:pPr>
    </w:p>
    <w:p>
      <w:pPr>
        <w:ind w:left="4"/>
        <w:spacing w:after="0" w:line="261" w:lineRule="auto"/>
        <w:rPr>
          <w:sz w:val="20"/>
          <w:szCs w:val="20"/>
          <w:color w:val="auto"/>
        </w:rPr>
      </w:pPr>
      <w:r>
        <w:rPr>
          <w:rFonts w:ascii="Arial" w:cs="Arial" w:eastAsia="Arial" w:hAnsi="Arial"/>
          <w:sz w:val="18"/>
          <w:szCs w:val="18"/>
          <w:b w:val="1"/>
          <w:bCs w:val="1"/>
          <w:color w:val="auto"/>
        </w:rPr>
        <w:t xml:space="preserve">5.3 Independent Contractor. </w:t>
      </w:r>
      <w:r>
        <w:rPr>
          <w:rFonts w:ascii="Arial" w:cs="Arial" w:eastAsia="Arial" w:hAnsi="Arial"/>
          <w:sz w:val="18"/>
          <w:szCs w:val="18"/>
          <w:color w:val="auto"/>
        </w:rPr>
        <w:t>ATI shall perform its obligations under this Agreement as an independent contractor and shall be solely responsible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own financial obligations. Nothing in this Agreement shall be construed to imply a joint venture or principal and agent relationship between the Parties, and neither Party shall, by virtue of this Agreement, have any right, power or authority to direct and control the day-to-day activities of the other or create any obligation, express or implied, on behalf of the other.</w:t>
      </w:r>
    </w:p>
    <w:p>
      <w:pPr>
        <w:spacing w:after="0" w:line="180" w:lineRule="exact"/>
        <w:rPr>
          <w:sz w:val="20"/>
          <w:szCs w:val="20"/>
          <w:color w:val="auto"/>
        </w:rPr>
      </w:pPr>
    </w:p>
    <w:p>
      <w:pPr>
        <w:jc w:val="both"/>
        <w:ind w:left="4" w:right="200"/>
        <w:spacing w:after="0" w:line="266" w:lineRule="auto"/>
        <w:rPr>
          <w:sz w:val="20"/>
          <w:szCs w:val="20"/>
          <w:color w:val="auto"/>
        </w:rPr>
      </w:pPr>
      <w:r>
        <w:rPr>
          <w:rFonts w:ascii="Arial" w:cs="Arial" w:eastAsia="Arial" w:hAnsi="Arial"/>
          <w:sz w:val="18"/>
          <w:szCs w:val="18"/>
          <w:b w:val="1"/>
          <w:bCs w:val="1"/>
          <w:color w:val="auto"/>
        </w:rPr>
        <w:t xml:space="preserve">5.4 ATI Authorization with Respect to Third Parties. </w:t>
      </w:r>
      <w:r>
        <w:rPr>
          <w:rFonts w:ascii="Arial" w:cs="Arial" w:eastAsia="Arial" w:hAnsi="Arial"/>
          <w:sz w:val="18"/>
          <w:szCs w:val="18"/>
          <w:color w:val="auto"/>
        </w:rPr>
        <w:t>ATI shall at all times hold itself out to third parties as an independent contractor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representations to any third party that it has the right under this Agreement to assume or create any obligation of any kind, either express or implied, on behalf of Tollnine. ATI shall not take any action that would legally bind Tollnine.</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3" w:right="459" w:bottom="1440" w:gutter="0" w:footer="0" w:header="0"/>
        </w:sectPr>
      </w:pPr>
    </w:p>
    <w:bookmarkStart w:id="503" w:name="page504"/>
    <w:bookmarkEnd w:id="50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5.5 Limitation of Liability.</w:t>
      </w:r>
    </w:p>
    <w:p>
      <w:pPr>
        <w:spacing w:after="0" w:line="229" w:lineRule="exact"/>
        <w:rPr>
          <w:sz w:val="20"/>
          <w:szCs w:val="20"/>
          <w:color w:val="auto"/>
        </w:rPr>
      </w:pPr>
    </w:p>
    <w:p>
      <w:pPr>
        <w:ind w:left="4" w:hanging="4"/>
        <w:spacing w:after="0" w:line="253" w:lineRule="auto"/>
        <w:tabs>
          <w:tab w:leader="none" w:pos="249" w:val="left"/>
        </w:tabs>
        <w:numPr>
          <w:ilvl w:val="0"/>
          <w:numId w:val="449"/>
        </w:numPr>
        <w:rPr>
          <w:rFonts w:ascii="Arial" w:cs="Arial" w:eastAsia="Arial" w:hAnsi="Arial"/>
          <w:sz w:val="18"/>
          <w:szCs w:val="18"/>
          <w:color w:val="auto"/>
        </w:rPr>
      </w:pPr>
      <w:r>
        <w:rPr>
          <w:rFonts w:ascii="Arial" w:cs="Arial" w:eastAsia="Arial" w:hAnsi="Arial"/>
          <w:sz w:val="18"/>
          <w:szCs w:val="18"/>
          <w:color w:val="auto"/>
        </w:rPr>
        <w:t>NEITHER PARTY SHALL BE LIABLE FOR ANY INDIRECT, CONSEQUENTIAL, SPECIAL OR PUNITIVE DAMAGES, INCLUDING WITHOUT LIMITATION LOSS OF BUSINESS OR LOSS OF USE, ARISING OUT OF THE BREACH BY A PARTY OF ITS OBLIGATIONS SET FORTH IN THIS AGREEMENT, WHETHER OR NOT FORESEEABLE AND WHETHER OR NOT A PARTY IS ADVISED OF THE POSSIBILITY OF SUCH DAMAGES; PROVIDED, HOWEVER, THAT THE FOREGOING LIMITATION OF LIABILITY SHALL NOT APPLY WITH RESPECT TO ANY BREACH OF SECTION 4.2 (CONFIDENTIALITY) OR DAMAGES ARISING FROM FRAUD, GROSS NEGLIGENCE OR WILLFUL MISCONDUCT. IN NO EVENT SHALL ATI BE LIABLE TO TOLLNINE FOR ANY LOSS ARISING UNDER OR IN CONNECTION WITH THIS AGREEMENT IN RESPECT OF ANY LOSS OF PROFIT, OPPORTUNITY, BUSINESS, SAVING OR GOODWILL (IN EACH CASE WHETHER DIRECT OR INDIRECT), AND EACH TYPE OF LOSS ARISING UNDER THIS SECTION 5.5(a) SHALL BE SEVERABLE IN ACCORDANCE WITH SECTION 7.7.</w:t>
      </w:r>
    </w:p>
    <w:p>
      <w:pPr>
        <w:spacing w:after="0" w:line="196" w:lineRule="exact"/>
        <w:rPr>
          <w:rFonts w:ascii="Arial" w:cs="Arial" w:eastAsia="Arial" w:hAnsi="Arial"/>
          <w:sz w:val="18"/>
          <w:szCs w:val="18"/>
          <w:color w:val="auto"/>
        </w:rPr>
      </w:pPr>
    </w:p>
    <w:p>
      <w:pPr>
        <w:ind w:left="4" w:right="260" w:hanging="4"/>
        <w:spacing w:after="0" w:line="311" w:lineRule="auto"/>
        <w:tabs>
          <w:tab w:leader="none" w:pos="259" w:val="left"/>
        </w:tabs>
        <w:numPr>
          <w:ilvl w:val="0"/>
          <w:numId w:val="449"/>
        </w:numPr>
        <w:rPr>
          <w:rFonts w:ascii="Arial" w:cs="Arial" w:eastAsia="Arial" w:hAnsi="Arial"/>
          <w:sz w:val="16"/>
          <w:szCs w:val="16"/>
          <w:color w:val="auto"/>
        </w:rPr>
      </w:pPr>
      <w:r>
        <w:rPr>
          <w:rFonts w:ascii="Arial" w:cs="Arial" w:eastAsia="Arial" w:hAnsi="Arial"/>
          <w:sz w:val="16"/>
          <w:szCs w:val="16"/>
          <w:color w:val="auto"/>
        </w:rPr>
        <w:t>In the event of a material error by ATI that prevents the proper performance of the Services or which renders the Services unacceptable to a regulatory authority to which Tollnine intends to submit the Results, ATI’s sole obligation to Tollnine shall be for ATI, in agreement with Tollnine to either: (a) repeat the defective part of the Services at ATI’s own cost, or (b) refund to Tollnine the amounts paid for the defective part of the Services.</w:t>
      </w:r>
    </w:p>
    <w:p>
      <w:pPr>
        <w:spacing w:after="0" w:line="148" w:lineRule="exact"/>
        <w:rPr>
          <w:rFonts w:ascii="Arial" w:cs="Arial" w:eastAsia="Arial" w:hAnsi="Arial"/>
          <w:sz w:val="16"/>
          <w:szCs w:val="16"/>
          <w:color w:val="auto"/>
        </w:rPr>
      </w:pPr>
    </w:p>
    <w:p>
      <w:pPr>
        <w:ind w:left="4" w:right="760" w:hanging="4"/>
        <w:spacing w:after="0" w:line="277" w:lineRule="auto"/>
        <w:tabs>
          <w:tab w:leader="none" w:pos="249" w:val="left"/>
        </w:tabs>
        <w:numPr>
          <w:ilvl w:val="0"/>
          <w:numId w:val="449"/>
        </w:numPr>
        <w:rPr>
          <w:rFonts w:ascii="Arial" w:cs="Arial" w:eastAsia="Arial" w:hAnsi="Arial"/>
          <w:sz w:val="18"/>
          <w:szCs w:val="18"/>
          <w:color w:val="auto"/>
        </w:rPr>
      </w:pPr>
      <w:r>
        <w:rPr>
          <w:rFonts w:ascii="Arial" w:cs="Arial" w:eastAsia="Arial" w:hAnsi="Arial"/>
          <w:sz w:val="18"/>
          <w:szCs w:val="18"/>
          <w:color w:val="auto"/>
        </w:rPr>
        <w:t>Each Party’s total liability to the other Party, whether in contract, tort (including negligence) or otherwise under this Agreement shall in no circumstances exceed two (2) times the total amount of fees paid by Tollnine for the applicable Services.</w:t>
      </w:r>
    </w:p>
    <w:p>
      <w:pPr>
        <w:spacing w:after="0" w:line="170" w:lineRule="exact"/>
        <w:rPr>
          <w:rFonts w:ascii="Arial" w:cs="Arial" w:eastAsia="Arial" w:hAnsi="Arial"/>
          <w:sz w:val="18"/>
          <w:szCs w:val="18"/>
          <w:color w:val="auto"/>
        </w:rPr>
      </w:pPr>
    </w:p>
    <w:p>
      <w:pPr>
        <w:ind w:left="4" w:hanging="4"/>
        <w:spacing w:after="0" w:line="277" w:lineRule="auto"/>
        <w:tabs>
          <w:tab w:leader="none" w:pos="259"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ATI shall not be liable for any failure, error or delay in performing the Services if such failure, error or delay is caused by Tollnine or is a result of an express instruction from Tollnine or a change in Tollnine information.</w:t>
      </w:r>
    </w:p>
    <w:p>
      <w:pPr>
        <w:spacing w:after="0" w:line="166" w:lineRule="exact"/>
        <w:rPr>
          <w:sz w:val="20"/>
          <w:szCs w:val="20"/>
          <w:color w:val="auto"/>
        </w:rPr>
      </w:pPr>
    </w:p>
    <w:p>
      <w:pPr>
        <w:ind w:left="4" w:right="140"/>
        <w:spacing w:after="0" w:line="281" w:lineRule="auto"/>
        <w:rPr>
          <w:sz w:val="20"/>
          <w:szCs w:val="20"/>
          <w:color w:val="auto"/>
        </w:rPr>
      </w:pPr>
      <w:r>
        <w:rPr>
          <w:rFonts w:ascii="Arial" w:cs="Arial" w:eastAsia="Arial" w:hAnsi="Arial"/>
          <w:sz w:val="17"/>
          <w:szCs w:val="17"/>
          <w:b w:val="1"/>
          <w:bCs w:val="1"/>
          <w:color w:val="auto"/>
        </w:rPr>
        <w:t xml:space="preserve">5.6 Disclaimer. </w:t>
      </w:r>
      <w:r>
        <w:rPr>
          <w:rFonts w:ascii="Arial" w:cs="Arial" w:eastAsia="Arial" w:hAnsi="Arial"/>
          <w:sz w:val="17"/>
          <w:szCs w:val="17"/>
          <w:color w:val="auto"/>
        </w:rPr>
        <w:t>EXCEPT FOR THE WARRANTIES PROVIDED IN THIS ARTICLE 5 AND SUBJECT TO ANY RULES OF 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THAT MAY NOT BE WAIVED, ANY AND ALL WARRANTIES AS TO THE SERVICES, THE NEW TECHNOLOGY AND THE EXISTING TECHNOLOGY, INCLUDING IMPLIED WARRANTIES OF MERCHANTABILITY AND FITNESS FOR A PARTICULAR PURPOSE OR USE, AND NON-INFRINGEMENT ARE SPECIFICALLY DISCLAIMED, EXCLUDED, WAIVED AND NEGATED.</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 TERM AND TERMINATION</w:t>
      </w:r>
    </w:p>
    <w:p>
      <w:pPr>
        <w:spacing w:after="0" w:line="117" w:lineRule="exact"/>
        <w:rPr>
          <w:sz w:val="20"/>
          <w:szCs w:val="20"/>
          <w:color w:val="auto"/>
        </w:rPr>
      </w:pPr>
    </w:p>
    <w:p>
      <w:pPr>
        <w:ind w:left="4" w:right="480"/>
        <w:spacing w:after="0" w:line="293" w:lineRule="auto"/>
        <w:rPr>
          <w:sz w:val="20"/>
          <w:szCs w:val="20"/>
          <w:color w:val="auto"/>
        </w:rPr>
      </w:pPr>
      <w:r>
        <w:rPr>
          <w:rFonts w:ascii="Arial" w:cs="Arial" w:eastAsia="Arial" w:hAnsi="Arial"/>
          <w:sz w:val="16"/>
          <w:szCs w:val="16"/>
          <w:b w:val="1"/>
          <w:bCs w:val="1"/>
          <w:color w:val="auto"/>
        </w:rPr>
        <w:t xml:space="preserve">6.1 Term. </w:t>
      </w:r>
      <w:r>
        <w:rPr>
          <w:rFonts w:ascii="Arial" w:cs="Arial" w:eastAsia="Arial" w:hAnsi="Arial"/>
          <w:sz w:val="16"/>
          <w:szCs w:val="16"/>
          <w:color w:val="auto"/>
        </w:rPr>
        <w:t>This Agreement shall take effect as the Effective Date and shall remain in effect for an initial period of three (3) years, unless sooner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in accordance with Section 6.2 (the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 At the end of the fixed term, this Agreement shall renew automatically for additional one</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(1) year</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69" w:right="479" w:bottom="1440" w:gutter="0" w:footer="0" w:header="0"/>
        </w:sectPr>
      </w:pPr>
    </w:p>
    <w:bookmarkStart w:id="504" w:name="page505"/>
    <w:bookmarkEnd w:id="504"/>
    <w:p>
      <w:pPr>
        <w:ind w:left="4"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terms (subject to earlier termination under the provisions of this Article 6), unless, prior to the date of any automatic renewal, one Party provides thirty (30) days’ advance written notice of non-renewal to the other Party.</w:t>
      </w:r>
    </w:p>
    <w:p>
      <w:pPr>
        <w:spacing w:after="0" w:line="166" w:lineRule="exact"/>
        <w:rPr>
          <w:sz w:val="20"/>
          <w:szCs w:val="20"/>
          <w:color w:val="auto"/>
        </w:rPr>
      </w:pPr>
    </w:p>
    <w:p>
      <w:pPr>
        <w:ind w:left="4"/>
        <w:spacing w:after="0" w:line="258" w:lineRule="auto"/>
        <w:rPr>
          <w:sz w:val="20"/>
          <w:szCs w:val="20"/>
          <w:color w:val="auto"/>
        </w:rPr>
      </w:pPr>
      <w:r>
        <w:rPr>
          <w:rFonts w:ascii="Arial" w:cs="Arial" w:eastAsia="Arial" w:hAnsi="Arial"/>
          <w:sz w:val="18"/>
          <w:szCs w:val="18"/>
          <w:b w:val="1"/>
          <w:bCs w:val="1"/>
          <w:color w:val="auto"/>
        </w:rPr>
        <w:t xml:space="preserve">6.2 Termination of Agreement for Cause. </w:t>
      </w:r>
      <w:r>
        <w:rPr>
          <w:rFonts w:ascii="Arial" w:cs="Arial" w:eastAsia="Arial" w:hAnsi="Arial"/>
          <w:sz w:val="18"/>
          <w:szCs w:val="18"/>
          <w:color w:val="auto"/>
        </w:rPr>
        <w:t>Either Party may terminate this Agreement at any time upon sixty (60) days’ notice to the other Party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that the other Party shall have breached any of its material obligations under this Agreement and shall not have cured such default prior to the expiration of the 60-day period. Termination of this Agreement shall not result in termination any Services then being delivered on an active basis, which shall remain in force until completed or terminated as provided in Section 6.3. If either Party desires to terminate this Agreement and all Services, it shall so state in its notice of termination.</w:t>
      </w:r>
    </w:p>
    <w:p>
      <w:pPr>
        <w:spacing w:after="0" w:line="183" w:lineRule="exact"/>
        <w:rPr>
          <w:sz w:val="20"/>
          <w:szCs w:val="20"/>
          <w:color w:val="auto"/>
        </w:rPr>
      </w:pPr>
    </w:p>
    <w:p>
      <w:pPr>
        <w:ind w:left="4" w:right="220"/>
        <w:spacing w:after="0" w:line="255" w:lineRule="auto"/>
        <w:rPr>
          <w:sz w:val="20"/>
          <w:szCs w:val="20"/>
          <w:color w:val="auto"/>
        </w:rPr>
      </w:pPr>
      <w:r>
        <w:rPr>
          <w:rFonts w:ascii="Arial" w:cs="Arial" w:eastAsia="Arial" w:hAnsi="Arial"/>
          <w:sz w:val="18"/>
          <w:szCs w:val="18"/>
          <w:b w:val="1"/>
          <w:bCs w:val="1"/>
          <w:color w:val="auto"/>
        </w:rPr>
        <w:t xml:space="preserve">6.3 Termination of Service(s) for Cause. </w:t>
      </w:r>
      <w:r>
        <w:rPr>
          <w:rFonts w:ascii="Arial" w:cs="Arial" w:eastAsia="Arial" w:hAnsi="Arial"/>
          <w:sz w:val="18"/>
          <w:szCs w:val="18"/>
          <w:color w:val="auto"/>
        </w:rPr>
        <w:t>Either Party may terminate any Service(s) at any time upon sixty (60) days’ notice to the other Party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that the other Party shall have breached any of its material obligations under this Agreement and shall not have cured such default prior to the expiration of the 60-day period. Termination of any Service(s) shall not result in termination of this Agreement or any other Service(s) then being delivered on an active basis, which shall remain in force until completed or terminated as provided in Sections 6.2 and 6.3. If either Party desires to terminate this Agreement and all Services, it shall so state in its notice of termination. If termination of multiple Services is elected pursuant to this Section 6.3, the opportunity to cure shall be available for each Service and termination shall only apply to those Service(s) with respect to which the default is not cured.</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6.4 Termination for Convenience.</w:t>
      </w:r>
    </w:p>
    <w:p>
      <w:pPr>
        <w:spacing w:after="0" w:line="229" w:lineRule="exact"/>
        <w:rPr>
          <w:sz w:val="20"/>
          <w:szCs w:val="20"/>
          <w:color w:val="auto"/>
        </w:rPr>
      </w:pPr>
    </w:p>
    <w:p>
      <w:pPr>
        <w:ind w:left="244" w:hanging="244"/>
        <w:spacing w:after="0"/>
        <w:tabs>
          <w:tab w:leader="none" w:pos="244"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Parties may terminate this Agreement at any time upon mutual written agreement of the Parties.</w:t>
      </w:r>
    </w:p>
    <w:p>
      <w:pPr>
        <w:spacing w:after="0" w:line="225" w:lineRule="exact"/>
        <w:rPr>
          <w:rFonts w:ascii="Arial" w:cs="Arial" w:eastAsia="Arial" w:hAnsi="Arial"/>
          <w:sz w:val="18"/>
          <w:szCs w:val="18"/>
          <w:color w:val="auto"/>
        </w:rPr>
      </w:pPr>
    </w:p>
    <w:p>
      <w:pPr>
        <w:ind w:left="4" w:right="360" w:hanging="4"/>
        <w:spacing w:after="0" w:line="277" w:lineRule="auto"/>
        <w:tabs>
          <w:tab w:leader="none" w:pos="259"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This Agreement may be terminated by Tollnine, for convenience, at any time, by giving ATI written notice of the termination thirty (30) days in advance.</w:t>
      </w:r>
    </w:p>
    <w:p>
      <w:pPr>
        <w:spacing w:after="0" w:line="170" w:lineRule="exact"/>
        <w:rPr>
          <w:rFonts w:ascii="Arial" w:cs="Arial" w:eastAsia="Arial" w:hAnsi="Arial"/>
          <w:sz w:val="18"/>
          <w:szCs w:val="18"/>
          <w:color w:val="auto"/>
        </w:rPr>
      </w:pPr>
    </w:p>
    <w:p>
      <w:pPr>
        <w:ind w:left="4" w:hanging="4"/>
        <w:spacing w:after="0" w:line="308" w:lineRule="auto"/>
        <w:tabs>
          <w:tab w:leader="none" w:pos="249" w:val="left"/>
        </w:tabs>
        <w:numPr>
          <w:ilvl w:val="0"/>
          <w:numId w:val="450"/>
        </w:numPr>
        <w:rPr>
          <w:rFonts w:ascii="Arial" w:cs="Arial" w:eastAsia="Arial" w:hAnsi="Arial"/>
          <w:sz w:val="17"/>
          <w:szCs w:val="17"/>
          <w:color w:val="auto"/>
        </w:rPr>
      </w:pPr>
      <w:r>
        <w:rPr>
          <w:rFonts w:ascii="Arial" w:cs="Arial" w:eastAsia="Arial" w:hAnsi="Arial"/>
          <w:sz w:val="17"/>
          <w:szCs w:val="17"/>
          <w:color w:val="auto"/>
        </w:rPr>
        <w:t>If a Force Majeure condition has prevented performance by one Party for more than forty five (45) consecutive days or an aggregate ninety (90) days in any I212-month period, the Disadvantaged Party shall have the right to terminate this Agreement upon fifteen (15) days’ notice.</w:t>
      </w:r>
    </w:p>
    <w:p>
      <w:pPr>
        <w:spacing w:after="0" w:line="142" w:lineRule="exact"/>
        <w:rPr>
          <w:sz w:val="20"/>
          <w:szCs w:val="20"/>
          <w:color w:val="auto"/>
        </w:rPr>
      </w:pPr>
    </w:p>
    <w:p>
      <w:pPr>
        <w:ind w:left="4"/>
        <w:spacing w:after="0" w:line="266" w:lineRule="auto"/>
        <w:rPr>
          <w:sz w:val="20"/>
          <w:szCs w:val="20"/>
          <w:color w:val="auto"/>
        </w:rPr>
      </w:pPr>
      <w:r>
        <w:rPr>
          <w:rFonts w:ascii="Arial" w:cs="Arial" w:eastAsia="Arial" w:hAnsi="Arial"/>
          <w:sz w:val="18"/>
          <w:szCs w:val="18"/>
          <w:b w:val="1"/>
          <w:bCs w:val="1"/>
          <w:color w:val="auto"/>
        </w:rPr>
        <w:t xml:space="preserve">6.5 Termination for Insolvency. </w:t>
      </w:r>
      <w:r>
        <w:rPr>
          <w:rFonts w:ascii="Arial" w:cs="Arial" w:eastAsia="Arial" w:hAnsi="Arial"/>
          <w:sz w:val="18"/>
          <w:szCs w:val="18"/>
          <w:color w:val="auto"/>
        </w:rPr>
        <w:t>This Agreement shall terminate immediately without notice: (i) upon the institution by or against ATI or Tollnine of</w:t>
      </w:r>
      <w:r>
        <w:rPr>
          <w:rFonts w:ascii="Arial" w:cs="Arial" w:eastAsia="Arial" w:hAnsi="Arial"/>
          <w:sz w:val="18"/>
          <w:szCs w:val="18"/>
          <w:b w:val="1"/>
          <w:bCs w:val="1"/>
          <w:color w:val="auto"/>
        </w:rPr>
        <w:t xml:space="preserve"> </w:t>
      </w:r>
      <w:r>
        <w:rPr>
          <w:rFonts w:ascii="Arial" w:cs="Arial" w:eastAsia="Arial" w:hAnsi="Arial"/>
          <w:sz w:val="18"/>
          <w:szCs w:val="18"/>
          <w:color w:val="auto"/>
        </w:rPr>
        <w:t>insolvency, receivership or bankruptcy proceedings or any other proceedings for the settlement of ATI’s or Tollnine’s debts; (ii) upon ATI’s or Tollnine’s making an assignment for the benefit of creditors; or (iii) upon ATI’s or Tollnine’s dissolution or liquidation.</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6.6 Effect of Termination.</w:t>
      </w:r>
    </w:p>
    <w:p>
      <w:pPr>
        <w:spacing w:after="0" w:line="229" w:lineRule="exact"/>
        <w:rPr>
          <w:sz w:val="20"/>
          <w:szCs w:val="20"/>
          <w:color w:val="auto"/>
        </w:rPr>
      </w:pPr>
    </w:p>
    <w:p>
      <w:pPr>
        <w:ind w:left="4" w:right="40" w:hanging="4"/>
        <w:spacing w:after="0" w:line="277" w:lineRule="auto"/>
        <w:tabs>
          <w:tab w:leader="none" w:pos="249" w:val="left"/>
        </w:tabs>
        <w:numPr>
          <w:ilvl w:val="0"/>
          <w:numId w:val="451"/>
        </w:numPr>
        <w:rPr>
          <w:rFonts w:ascii="Arial" w:cs="Arial" w:eastAsia="Arial" w:hAnsi="Arial"/>
          <w:sz w:val="18"/>
          <w:szCs w:val="18"/>
          <w:color w:val="auto"/>
        </w:rPr>
      </w:pPr>
      <w:r>
        <w:rPr>
          <w:rFonts w:ascii="Arial" w:cs="Arial" w:eastAsia="Arial" w:hAnsi="Arial"/>
          <w:sz w:val="18"/>
          <w:szCs w:val="18"/>
          <w:color w:val="auto"/>
        </w:rPr>
        <w:t>Upon termination (including expiration) of this Agreement for any reason: (i) Tollnine and ATI will terminate all tasks (if any) in an orderly manner, as soon as practical and in accordance with a</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3" w:right="479" w:bottom="1440" w:gutter="0" w:footer="0" w:header="0"/>
        </w:sectPr>
      </w:pPr>
    </w:p>
    <w:bookmarkStart w:id="505" w:name="page506"/>
    <w:bookmarkEnd w:id="505"/>
    <w:p>
      <w:pPr>
        <w:ind w:left="4"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agreed to by the Parties; and (ii) ATI will discontinue any and all use of any Existing Technology or New Technology, except as necessary to fulfill its obligations to Tollnine in accordance with this Section 6.6.</w:t>
      </w:r>
    </w:p>
    <w:p>
      <w:pPr>
        <w:spacing w:after="0" w:line="170" w:lineRule="exact"/>
        <w:rPr>
          <w:sz w:val="20"/>
          <w:szCs w:val="20"/>
          <w:color w:val="auto"/>
        </w:rPr>
      </w:pPr>
    </w:p>
    <w:p>
      <w:pPr>
        <w:ind w:left="4" w:right="260" w:hanging="4"/>
        <w:spacing w:after="0" w:line="259" w:lineRule="auto"/>
        <w:tabs>
          <w:tab w:leader="none" w:pos="259" w:val="left"/>
        </w:tabs>
        <w:numPr>
          <w:ilvl w:val="0"/>
          <w:numId w:val="452"/>
        </w:numPr>
        <w:rPr>
          <w:rFonts w:ascii="Arial" w:cs="Arial" w:eastAsia="Arial" w:hAnsi="Arial"/>
          <w:sz w:val="18"/>
          <w:szCs w:val="18"/>
          <w:color w:val="auto"/>
        </w:rPr>
      </w:pPr>
      <w:r>
        <w:rPr>
          <w:rFonts w:ascii="Arial" w:cs="Arial" w:eastAsia="Arial" w:hAnsi="Arial"/>
          <w:sz w:val="18"/>
          <w:szCs w:val="18"/>
          <w:color w:val="auto"/>
        </w:rPr>
        <w:t>Upon any termination (including expiration) the Receiving Party shall promptly: (i) cease the use of all Disclosing Party Confidential Information (except as otherwise provided under Section 6.6(a)) and return to the Disclosing Party any and all papers, material and property in its possession or control that contain or embody any Confidential Information of the Disclosing Party, without making or retaining copies thereof, in accordance with Section 4.3.</w:t>
      </w:r>
    </w:p>
    <w:p>
      <w:pPr>
        <w:spacing w:after="0" w:line="186" w:lineRule="exact"/>
        <w:rPr>
          <w:rFonts w:ascii="Arial" w:cs="Arial" w:eastAsia="Arial" w:hAnsi="Arial"/>
          <w:sz w:val="18"/>
          <w:szCs w:val="18"/>
          <w:color w:val="auto"/>
        </w:rPr>
      </w:pPr>
    </w:p>
    <w:p>
      <w:pPr>
        <w:ind w:left="4" w:right="200" w:hanging="4"/>
        <w:spacing w:after="0" w:line="279" w:lineRule="auto"/>
        <w:tabs>
          <w:tab w:leader="none" w:pos="249" w:val="left"/>
        </w:tabs>
        <w:numPr>
          <w:ilvl w:val="0"/>
          <w:numId w:val="452"/>
        </w:numPr>
        <w:rPr>
          <w:rFonts w:ascii="Arial" w:cs="Arial" w:eastAsia="Arial" w:hAnsi="Arial"/>
          <w:sz w:val="17"/>
          <w:szCs w:val="17"/>
          <w:color w:val="auto"/>
        </w:rPr>
      </w:pPr>
      <w:r>
        <w:rPr>
          <w:rFonts w:ascii="Arial" w:cs="Arial" w:eastAsia="Arial" w:hAnsi="Arial"/>
          <w:sz w:val="17"/>
          <w:szCs w:val="17"/>
          <w:color w:val="auto"/>
        </w:rPr>
        <w:t>Tollnine shall pay all reasonable costs incurred by ATI that are necessary or reasonably required in connection with the orderly cessation of the Services in accordance with the plan described in Section 6.6(a), provided that ATI shall use commercially reasonable efforts to minimize costs associated with the cessation of the Services and Tollnine shall not be responsible for such mitigated costs. ATI shall promptly issue to Tollnine a final invoice or credit note, as the case may be, with respect to all outstanding amounts due under this Agreement.</w:t>
      </w:r>
    </w:p>
    <w:p>
      <w:pPr>
        <w:spacing w:after="0" w:line="171" w:lineRule="exact"/>
        <w:rPr>
          <w:rFonts w:ascii="Arial" w:cs="Arial" w:eastAsia="Arial" w:hAnsi="Arial"/>
          <w:sz w:val="17"/>
          <w:szCs w:val="17"/>
          <w:color w:val="auto"/>
        </w:rPr>
      </w:pPr>
    </w:p>
    <w:p>
      <w:pPr>
        <w:ind w:left="4" w:right="180" w:hanging="4"/>
        <w:spacing w:after="0" w:line="263" w:lineRule="auto"/>
        <w:tabs>
          <w:tab w:leader="none" w:pos="259"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Termination of this Agreement shall not affect rights and obligations of either Party that may have accrued prior to the effective date of termination or any obligation specifically stated to survive termination. The provisions of Article 1, Section 2.6, Sections 3.2-3.4, Article 4, Article 5, Section 6.6, and Article 7 shall survive any expiration or termination of this Agreement.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 GENERAL PROVISIONS.</w:t>
      </w:r>
    </w:p>
    <w:p>
      <w:pPr>
        <w:spacing w:after="0" w:line="117" w:lineRule="exact"/>
        <w:rPr>
          <w:sz w:val="20"/>
          <w:szCs w:val="20"/>
          <w:color w:val="auto"/>
        </w:rPr>
      </w:pPr>
    </w:p>
    <w:p>
      <w:pPr>
        <w:ind w:left="4" w:right="120"/>
        <w:spacing w:after="0" w:line="281" w:lineRule="auto"/>
        <w:rPr>
          <w:sz w:val="20"/>
          <w:szCs w:val="20"/>
          <w:color w:val="auto"/>
        </w:rPr>
      </w:pPr>
      <w:r>
        <w:rPr>
          <w:rFonts w:ascii="Arial" w:cs="Arial" w:eastAsia="Arial" w:hAnsi="Arial"/>
          <w:sz w:val="17"/>
          <w:szCs w:val="17"/>
          <w:b w:val="1"/>
          <w:bCs w:val="1"/>
          <w:color w:val="auto"/>
        </w:rPr>
        <w:t xml:space="preserve">7.1 Assignment. </w:t>
      </w:r>
      <w:r>
        <w:rPr>
          <w:rFonts w:ascii="Arial" w:cs="Arial" w:eastAsia="Arial" w:hAnsi="Arial"/>
          <w:sz w:val="17"/>
          <w:szCs w:val="17"/>
          <w:color w:val="auto"/>
        </w:rPr>
        <w:t>Neither Party may assign this Agreement, without the other Party’s prior written consent, except to an Affiliate of such Party or to a</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 or acquirer of such Party, as the case may be, in connection with a merger or acquisition, or the sale of all or substantially all of the assigning Party’s assets or the sale of that portion of the assigning Party’s business to which this Agreement relates. Any purported assignment in violation of this Section 7.1 will be null and void without the prior written approval of the assignment by the non-assigning Party.</w:t>
      </w:r>
    </w:p>
    <w:p>
      <w:pPr>
        <w:spacing w:after="0" w:line="165" w:lineRule="exact"/>
        <w:rPr>
          <w:sz w:val="20"/>
          <w:szCs w:val="20"/>
          <w:color w:val="auto"/>
        </w:rPr>
      </w:pPr>
    </w:p>
    <w:p>
      <w:pPr>
        <w:ind w:left="4" w:right="160"/>
        <w:spacing w:after="0" w:line="261" w:lineRule="auto"/>
        <w:rPr>
          <w:sz w:val="20"/>
          <w:szCs w:val="20"/>
          <w:color w:val="auto"/>
        </w:rPr>
      </w:pPr>
      <w:r>
        <w:rPr>
          <w:rFonts w:ascii="Arial" w:cs="Arial" w:eastAsia="Arial" w:hAnsi="Arial"/>
          <w:sz w:val="18"/>
          <w:szCs w:val="18"/>
          <w:b w:val="1"/>
          <w:bCs w:val="1"/>
          <w:color w:val="auto"/>
        </w:rPr>
        <w:t xml:space="preserve">7.2 Governing Law. </w:t>
      </w:r>
      <w:r>
        <w:rPr>
          <w:rFonts w:ascii="Arial" w:cs="Arial" w:eastAsia="Arial" w:hAnsi="Arial"/>
          <w:sz w:val="18"/>
          <w:szCs w:val="18"/>
          <w:color w:val="auto"/>
        </w:rPr>
        <w:t>This Agreement shall be governed and construed in accordance with the internal, substantive laws of New York,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to the exclusion of any choice or conflict of laws rule or provision that would result in the application of the substantive law of any other jurisdiction. The United Nations Convention on Contracts for the International Sale of Goods shall not apply to the transactions contemplated by this Agreement.</w:t>
      </w:r>
    </w:p>
    <w:p>
      <w:pPr>
        <w:spacing w:after="0" w:line="180" w:lineRule="exact"/>
        <w:rPr>
          <w:sz w:val="20"/>
          <w:szCs w:val="20"/>
          <w:color w:val="auto"/>
        </w:rPr>
      </w:pPr>
    </w:p>
    <w:p>
      <w:pPr>
        <w:ind w:left="4"/>
        <w:spacing w:after="0" w:line="261" w:lineRule="auto"/>
        <w:rPr>
          <w:sz w:val="20"/>
          <w:szCs w:val="20"/>
          <w:color w:val="auto"/>
        </w:rPr>
      </w:pPr>
      <w:r>
        <w:rPr>
          <w:rFonts w:ascii="Arial" w:cs="Arial" w:eastAsia="Arial" w:hAnsi="Arial"/>
          <w:sz w:val="18"/>
          <w:szCs w:val="18"/>
          <w:b w:val="1"/>
          <w:bCs w:val="1"/>
          <w:color w:val="auto"/>
        </w:rPr>
        <w:t xml:space="preserve">7.3 Amendment and Waiver. </w:t>
      </w:r>
      <w:r>
        <w:rPr>
          <w:rFonts w:ascii="Arial" w:cs="Arial" w:eastAsia="Arial" w:hAnsi="Arial"/>
          <w:sz w:val="18"/>
          <w:szCs w:val="18"/>
          <w:color w:val="auto"/>
        </w:rPr>
        <w:t>No provision of or right under this Agreement shall be deemed to have been waived by any act or acquiescence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either Party, its agents or employees, but only by an instrument in writing signed by an authorized officer of each Party. No waiver by either Party of any breach of this Agreement by the other Party shall be effective as to any other breach, whether of the same or any other term or condition and whether occurring before or after the date of such waiver.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3" w:right="439" w:bottom="1440" w:gutter="0" w:footer="0" w:header="0"/>
        </w:sectPr>
      </w:pPr>
    </w:p>
    <w:bookmarkStart w:id="506" w:name="page507"/>
    <w:bookmarkEnd w:id="506"/>
    <w:p>
      <w:pPr>
        <w:ind w:right="1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7.4 Successors and Assigns. </w:t>
      </w:r>
      <w:r>
        <w:rPr>
          <w:rFonts w:ascii="Arial" w:cs="Arial" w:eastAsia="Arial" w:hAnsi="Arial"/>
          <w:sz w:val="18"/>
          <w:szCs w:val="18"/>
          <w:color w:val="auto"/>
        </w:rPr>
        <w:t>This Agreement shall be binding upon and inure to the benefit of the Parties and their respective successors and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w:t>
      </w:r>
    </w:p>
    <w:p>
      <w:pPr>
        <w:spacing w:after="0" w:line="16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7.5 Notices. </w:t>
      </w:r>
      <w:r>
        <w:rPr>
          <w:rFonts w:ascii="Arial" w:cs="Arial" w:eastAsia="Arial" w:hAnsi="Arial"/>
          <w:sz w:val="17"/>
          <w:szCs w:val="17"/>
          <w:color w:val="auto"/>
        </w:rPr>
        <w:t>Unless otherwise provided herein, any notice, report, payment or document to be given by one Party to the other shall be in writing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given when delivered personally or mailed by certified or registered mail, postage prepaid (such mailed notice to be effective on the date which is three (3) Business Days after the date of mailing), or sent by internationally recognized overnight courier (such notice sent by courier to be effective one Business Day after it is deposited with such courier), or sent by telefax (such notice sent by telefax to be effective when sent, if confirmed by certified or registered mail or overnight courier as aforesaid) to the address set forth on the signature page to this Agreement or to such other place as either Party may designate as to itself by written notice to the other Party.</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7.6 Entire Agreement. </w:t>
      </w:r>
      <w:r>
        <w:rPr>
          <w:rFonts w:ascii="Arial" w:cs="Arial" w:eastAsia="Arial" w:hAnsi="Arial"/>
          <w:sz w:val="16"/>
          <w:szCs w:val="16"/>
          <w:color w:val="auto"/>
        </w:rPr>
        <w:t>The terms and provisions contained in this Agreement (including the Attachments) constitute the entire understanding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with respect to the transactions and matters contemplated hereby and supersede all previous communications, representations, agreements and understandings relating to the subject matter hereof. No representations, inducements, promises or agreements, whether oral or otherwise, between the Parties not contained in this Agreement shall be of any force or effect. No agreement or understanding extending this Agreement or varying its terms (including any inconsistent terms in any purchase order, acknowledgment or similar form) shall be binding upon either Party unless it is in a writing specifically referring to this Agreement and signed by a duly authorized representative of the applicable Party. This Agreement is made in the English language and the English version of this Agreement shall control; in the event that any translation of this Agreement is made such translation shall be for informational purposes only and such translation shall not form part of this Agreement and only the English text shall be valid and legal.</w:t>
      </w:r>
    </w:p>
    <w:p>
      <w:pPr>
        <w:spacing w:after="0" w:line="15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7.7 Severability. </w:t>
      </w:r>
      <w:r>
        <w:rPr>
          <w:rFonts w:ascii="Arial" w:cs="Arial" w:eastAsia="Arial" w:hAnsi="Arial"/>
          <w:sz w:val="18"/>
          <w:szCs w:val="18"/>
          <w:color w:val="auto"/>
        </w:rPr>
        <w:t>In the event any provision of this Agreement shall for any reason be held to be invalid, illegal or unenforceable in any respect, such</w:t>
      </w:r>
      <w:r>
        <w:rPr>
          <w:rFonts w:ascii="Arial" w:cs="Arial" w:eastAsia="Arial" w:hAnsi="Arial"/>
          <w:sz w:val="18"/>
          <w:szCs w:val="18"/>
          <w:b w:val="1"/>
          <w:bCs w:val="1"/>
          <w:color w:val="auto"/>
        </w:rPr>
        <w:t xml:space="preserve"> </w:t>
      </w:r>
      <w:r>
        <w:rPr>
          <w:rFonts w:ascii="Arial" w:cs="Arial" w:eastAsia="Arial" w:hAnsi="Arial"/>
          <w:sz w:val="18"/>
          <w:szCs w:val="18"/>
          <w:color w:val="auto"/>
        </w:rPr>
        <w:t>invalidity, illegality or unenforceability shall not affect any other term or provision hereof. The Parties agree that they will negotiate in good faith or will permit a court to replace any provision hereof so held invalid, illegal or unenforceable with a valid provision that is as similar as possible in substance to the invalid, illegal or unenforceable provision.</w:t>
      </w:r>
    </w:p>
    <w:p>
      <w:pPr>
        <w:spacing w:after="0" w:line="180" w:lineRule="exact"/>
        <w:rPr>
          <w:sz w:val="20"/>
          <w:szCs w:val="20"/>
          <w:color w:val="auto"/>
        </w:rPr>
      </w:pPr>
    </w:p>
    <w:p>
      <w:pPr>
        <w:ind w:right="180"/>
        <w:spacing w:after="0" w:line="312" w:lineRule="auto"/>
        <w:rPr>
          <w:sz w:val="20"/>
          <w:szCs w:val="20"/>
          <w:color w:val="auto"/>
        </w:rPr>
      </w:pPr>
      <w:r>
        <w:rPr>
          <w:rFonts w:ascii="Arial" w:cs="Arial" w:eastAsia="Arial" w:hAnsi="Arial"/>
          <w:sz w:val="17"/>
          <w:szCs w:val="17"/>
          <w:b w:val="1"/>
          <w:bCs w:val="1"/>
          <w:color w:val="auto"/>
        </w:rPr>
        <w:t xml:space="preserve">7.8 Captions. </w:t>
      </w:r>
      <w:r>
        <w:rPr>
          <w:rFonts w:ascii="Arial" w:cs="Arial" w:eastAsia="Arial" w:hAnsi="Arial"/>
          <w:sz w:val="17"/>
          <w:szCs w:val="17"/>
          <w:color w:val="auto"/>
        </w:rPr>
        <w:t>Captions of the sections and subsections of this Agreement are for reference and convenience purposes only and do not constitute terms</w:t>
      </w:r>
      <w:r>
        <w:rPr>
          <w:rFonts w:ascii="Arial" w:cs="Arial" w:eastAsia="Arial" w:hAnsi="Arial"/>
          <w:sz w:val="17"/>
          <w:szCs w:val="17"/>
          <w:b w:val="1"/>
          <w:bCs w:val="1"/>
          <w:color w:val="auto"/>
        </w:rPr>
        <w:t xml:space="preserve"> </w:t>
      </w:r>
      <w:r>
        <w:rPr>
          <w:rFonts w:ascii="Arial" w:cs="Arial" w:eastAsia="Arial" w:hAnsi="Arial"/>
          <w:sz w:val="17"/>
          <w:szCs w:val="17"/>
          <w:color w:val="auto"/>
        </w:rPr>
        <w:t>or conditions of this Agreement and shall not limit or affect the meaning or construction of the terms and conditions hereof.</w:t>
      </w:r>
    </w:p>
    <w:p>
      <w:pPr>
        <w:spacing w:after="0" w:line="140"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7.9 Word Meanings. </w:t>
      </w:r>
      <w:r>
        <w:rPr>
          <w:rFonts w:ascii="Arial" w:cs="Arial" w:eastAsia="Arial" w:hAnsi="Arial"/>
          <w:sz w:val="18"/>
          <w:szCs w:val="18"/>
          <w:color w:val="auto"/>
        </w:rPr>
        <w:t>Words such as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herein, hereinafter,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refer to this Agreement as a whole and not merely to a section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in which such words appear, unless the context otherwise requires. The singular shall include the plural, and each masculine, feminine and neuter reference shall include and refer also to the others, unless the context otherwise requires.</w:t>
      </w:r>
    </w:p>
    <w:p>
      <w:pPr>
        <w:spacing w:after="0" w:line="176"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7.10 Conflict or Inconsistency. </w:t>
      </w:r>
      <w:r>
        <w:rPr>
          <w:rFonts w:ascii="Arial" w:cs="Arial" w:eastAsia="Arial" w:hAnsi="Arial"/>
          <w:sz w:val="18"/>
          <w:szCs w:val="18"/>
          <w:color w:val="auto"/>
        </w:rPr>
        <w:t>In the event of any conflict or inconsistency between the terms and conditions of this Agreement and any terms or</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any purchase order or other document relating to the transactions contemplated by this Agreement, the terms and conditions set forth in this Agreement shall prevail.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69" w:right="459" w:bottom="1440" w:gutter="0" w:footer="0" w:header="0"/>
        </w:sectPr>
      </w:pPr>
    </w:p>
    <w:bookmarkStart w:id="507" w:name="page508"/>
    <w:bookmarkEnd w:id="507"/>
    <w:p>
      <w:pPr>
        <w:ind w:left="4" w:right="3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7.11 Counterparts. </w:t>
      </w:r>
      <w:r>
        <w:rPr>
          <w:rFonts w:ascii="Arial" w:cs="Arial" w:eastAsia="Arial" w:hAnsi="Arial"/>
          <w:sz w:val="18"/>
          <w:szCs w:val="18"/>
          <w:color w:val="auto"/>
        </w:rPr>
        <w:t>This Agreement may be executed in multiple counterparts, each of which shall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instrument.</w:t>
      </w:r>
    </w:p>
    <w:p>
      <w:pPr>
        <w:spacing w:after="0" w:line="162" w:lineRule="exact"/>
        <w:rPr>
          <w:sz w:val="20"/>
          <w:szCs w:val="20"/>
          <w:color w:val="auto"/>
        </w:rPr>
      </w:pPr>
    </w:p>
    <w:p>
      <w:pPr>
        <w:ind w:left="4" w:right="120"/>
        <w:spacing w:after="0" w:line="289" w:lineRule="auto"/>
        <w:rPr>
          <w:sz w:val="20"/>
          <w:szCs w:val="20"/>
          <w:color w:val="auto"/>
        </w:rPr>
      </w:pPr>
      <w:r>
        <w:rPr>
          <w:rFonts w:ascii="Arial" w:cs="Arial" w:eastAsia="Arial" w:hAnsi="Arial"/>
          <w:sz w:val="16"/>
          <w:szCs w:val="16"/>
          <w:b w:val="1"/>
          <w:bCs w:val="1"/>
          <w:color w:val="auto"/>
        </w:rPr>
        <w:t xml:space="preserve">7.12 Force Majeure. </w:t>
      </w:r>
      <w:r>
        <w:rPr>
          <w:rFonts w:ascii="Arial" w:cs="Arial" w:eastAsia="Arial" w:hAnsi="Arial"/>
          <w:sz w:val="16"/>
          <w:szCs w:val="16"/>
          <w:color w:val="auto"/>
        </w:rPr>
        <w:t>“</w:t>
      </w:r>
      <w:r>
        <w:rPr>
          <w:rFonts w:ascii="Arial" w:cs="Arial" w:eastAsia="Arial" w:hAnsi="Arial"/>
          <w:sz w:val="16"/>
          <w:szCs w:val="16"/>
          <w:b w:val="1"/>
          <w:bCs w:val="1"/>
          <w:i w:val="1"/>
          <w:iCs w:val="1"/>
          <w:color w:val="auto"/>
        </w:rPr>
        <w:t>Force Majeure</w:t>
      </w:r>
      <w:r>
        <w:rPr>
          <w:rFonts w:ascii="Arial" w:cs="Arial" w:eastAsia="Arial" w:hAnsi="Arial"/>
          <w:sz w:val="16"/>
          <w:szCs w:val="16"/>
          <w:color w:val="auto"/>
        </w:rPr>
        <w:t>” means acts of God, wars (declared or undeclared and including the continuance, expansion or new outbreak of</w:t>
      </w:r>
      <w:r>
        <w:rPr>
          <w:rFonts w:ascii="Arial" w:cs="Arial" w:eastAsia="Arial" w:hAnsi="Arial"/>
          <w:sz w:val="16"/>
          <w:szCs w:val="16"/>
          <w:b w:val="1"/>
          <w:bCs w:val="1"/>
          <w:color w:val="auto"/>
        </w:rPr>
        <w:t xml:space="preserve"> </w:t>
      </w:r>
      <w:r>
        <w:rPr>
          <w:rFonts w:ascii="Arial" w:cs="Arial" w:eastAsia="Arial" w:hAnsi="Arial"/>
          <w:sz w:val="16"/>
          <w:szCs w:val="16"/>
          <w:color w:val="auto"/>
        </w:rPr>
        <w:t>any war or conflict now in existence), revolution, civil commotion, acts of public enemy, labor strikes (other than employees of the Affected Party, as defined herein), terrorism, embargo or acts of government in its sovereign capacity. Except as otherwise provided in this Agreement, in the event that a delay or failure of a Party (the “</w:t>
      </w:r>
      <w:r>
        <w:rPr>
          <w:rFonts w:ascii="Arial" w:cs="Arial" w:eastAsia="Arial" w:hAnsi="Arial"/>
          <w:sz w:val="16"/>
          <w:szCs w:val="16"/>
          <w:b w:val="1"/>
          <w:bCs w:val="1"/>
          <w:i w:val="1"/>
          <w:iCs w:val="1"/>
          <w:color w:val="auto"/>
        </w:rPr>
        <w:t>Affected Party</w:t>
      </w:r>
      <w:r>
        <w:rPr>
          <w:rFonts w:ascii="Arial" w:cs="Arial" w:eastAsia="Arial" w:hAnsi="Arial"/>
          <w:sz w:val="16"/>
          <w:szCs w:val="16"/>
          <w:color w:val="auto"/>
        </w:rPr>
        <w:t>”) to comply with any obligation created by this Agreement is caused by Force Majeure, the Affected Party will, after giving prompt notice to the other Party ( the “</w:t>
      </w:r>
      <w:r>
        <w:rPr>
          <w:rFonts w:ascii="Arial" w:cs="Arial" w:eastAsia="Arial" w:hAnsi="Arial"/>
          <w:sz w:val="16"/>
          <w:szCs w:val="16"/>
          <w:b w:val="1"/>
          <w:bCs w:val="1"/>
          <w:i w:val="1"/>
          <w:iCs w:val="1"/>
          <w:color w:val="auto"/>
        </w:rPr>
        <w:t>Disadvantaged Party</w:t>
      </w:r>
      <w:r>
        <w:rPr>
          <w:rFonts w:ascii="Arial" w:cs="Arial" w:eastAsia="Arial" w:hAnsi="Arial"/>
          <w:sz w:val="16"/>
          <w:szCs w:val="16"/>
          <w:color w:val="auto"/>
        </w:rPr>
        <w:t>”), be excused from such performance on a day-to-day basis during the continuance of such prevention, restriction, or interference (and the Disadvantaged Party will likewise be excused from performance of its obligations on a day-to-day basis during the same period), provided, however, that the Affected Party will use its best efforts to avoid or remove the causes of nonperformance and both Parties will proceed immediately with the performance of their obligations under this Agreement whenever the causes are removed or cease. If Force Majeure conditions continue for more than 45 consecutive days or an aggregate 90 days in any 12-month period, then the Disadvantaged Party may terminate this Agreement in accordance with Section 6.4(c).</w:t>
      </w:r>
    </w:p>
    <w:p>
      <w:pPr>
        <w:spacing w:after="0" w:line="161" w:lineRule="exact"/>
        <w:rPr>
          <w:sz w:val="20"/>
          <w:szCs w:val="20"/>
          <w:color w:val="auto"/>
        </w:rPr>
      </w:pPr>
    </w:p>
    <w:p>
      <w:pPr>
        <w:ind w:left="4"/>
        <w:spacing w:after="0" w:line="266" w:lineRule="auto"/>
        <w:rPr>
          <w:sz w:val="20"/>
          <w:szCs w:val="20"/>
          <w:color w:val="auto"/>
        </w:rPr>
      </w:pPr>
      <w:r>
        <w:rPr>
          <w:rFonts w:ascii="Arial" w:cs="Arial" w:eastAsia="Arial" w:hAnsi="Arial"/>
          <w:sz w:val="18"/>
          <w:szCs w:val="18"/>
          <w:b w:val="1"/>
          <w:bCs w:val="1"/>
          <w:color w:val="auto"/>
        </w:rPr>
        <w:t xml:space="preserve">7.13 Further Assurances. </w:t>
      </w:r>
      <w:r>
        <w:rPr>
          <w:rFonts w:ascii="Arial" w:cs="Arial" w:eastAsia="Arial" w:hAnsi="Arial"/>
          <w:sz w:val="18"/>
          <w:szCs w:val="18"/>
          <w:color w:val="auto"/>
        </w:rPr>
        <w:t>Each Party covenants and agrees that, subsequent to the execution and delivery of this Agreement and without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it will execute and deliver any further legal instruments and perform any acts that are or may become reasonably necessary to effectuate the purposes of this Agreement.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7.14 Dispute Resolution.</w:t>
      </w:r>
    </w:p>
    <w:p>
      <w:pPr>
        <w:spacing w:after="0" w:line="229" w:lineRule="exact"/>
        <w:rPr>
          <w:sz w:val="20"/>
          <w:szCs w:val="20"/>
          <w:color w:val="auto"/>
        </w:rPr>
      </w:pPr>
    </w:p>
    <w:p>
      <w:pPr>
        <w:ind w:left="4" w:right="60" w:hanging="4"/>
        <w:spacing w:after="0" w:line="285" w:lineRule="auto"/>
        <w:tabs>
          <w:tab w:leader="none" w:pos="249" w:val="left"/>
        </w:tabs>
        <w:numPr>
          <w:ilvl w:val="0"/>
          <w:numId w:val="453"/>
        </w:numPr>
        <w:rPr>
          <w:rFonts w:ascii="Arial" w:cs="Arial" w:eastAsia="Arial" w:hAnsi="Arial"/>
          <w:sz w:val="16"/>
          <w:szCs w:val="16"/>
          <w:color w:val="auto"/>
        </w:rPr>
      </w:pPr>
      <w:r>
        <w:rPr>
          <w:rFonts w:ascii="Arial" w:cs="Arial" w:eastAsia="Arial" w:hAnsi="Arial"/>
          <w:sz w:val="16"/>
          <w:szCs w:val="16"/>
          <w:color w:val="auto"/>
        </w:rPr>
        <w:t>Any disputes arising under this Agreement or connected herewith that the Parties are unable to resolve amicably within thirty (30) days after written notice thereof from one Party to the other shall be settled, solely and exclusively, by an arbitration to be conducted by one arbitrator in accordance with the Rules of Conciliation and Arbitration of the International Chamber of Commerce then in effect, excepting those disputes requiring injunctive relief, which shall be governed by Section 7.14(b). If the Parties are unable to agree on a single arbitrator, then such binding arbitration shall be conducted before a panel of three (3) arbitrators that shall be comprised of one (1) arbitrator designated by each Party and a third arbitrator designated by the two</w:t>
      </w:r>
    </w:p>
    <w:p>
      <w:pPr>
        <w:spacing w:after="0" w:line="1" w:lineRule="exact"/>
        <w:rPr>
          <w:rFonts w:ascii="Arial" w:cs="Arial" w:eastAsia="Arial" w:hAnsi="Arial"/>
          <w:sz w:val="16"/>
          <w:szCs w:val="16"/>
          <w:color w:val="auto"/>
        </w:rPr>
      </w:pPr>
    </w:p>
    <w:p>
      <w:pPr>
        <w:ind w:left="4" w:right="60"/>
        <w:spacing w:after="0" w:line="292" w:lineRule="auto"/>
        <w:rPr>
          <w:rFonts w:ascii="Arial" w:cs="Arial" w:eastAsia="Arial" w:hAnsi="Arial"/>
          <w:sz w:val="16"/>
          <w:szCs w:val="16"/>
          <w:color w:val="auto"/>
        </w:rPr>
      </w:pPr>
      <w:r>
        <w:rPr>
          <w:rFonts w:ascii="Arial" w:cs="Arial" w:eastAsia="Arial" w:hAnsi="Arial"/>
          <w:sz w:val="16"/>
          <w:szCs w:val="16"/>
          <w:color w:val="auto"/>
        </w:rPr>
        <w:t>(2) arbitrators separately designated by the Parties. Unless the Parties agree otherwise, the arbitration proceedings shall take place in San Francisco, CA and, the arbitrator(s) shall apply the laws of the State of New York and the United States without reference to conflicts of law rules that would result in the application of the laws of another jurisdiction, to all issues in dispute. All arbitration proceedings shall be conducted in English. The findings of the arbitrator(s) shall be final and binding on the Parties. Judgment may be entered in any court of appropriate jurisdiction, or application may be made to that court for a judicial acceptance of the award and an order of enforcement, as the Party seeking to enforce that award may elect.</w:t>
      </w:r>
    </w:p>
    <w:p>
      <w:pPr>
        <w:spacing w:after="0" w:line="162" w:lineRule="exact"/>
        <w:rPr>
          <w:rFonts w:ascii="Arial" w:cs="Arial" w:eastAsia="Arial" w:hAnsi="Arial"/>
          <w:sz w:val="16"/>
          <w:szCs w:val="16"/>
          <w:color w:val="auto"/>
        </w:rPr>
      </w:pPr>
    </w:p>
    <w:p>
      <w:pPr>
        <w:ind w:left="4" w:right="120" w:hanging="4"/>
        <w:spacing w:after="0" w:line="263" w:lineRule="auto"/>
        <w:tabs>
          <w:tab w:leader="none" w:pos="259"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In the event of any breach by either Party of any of the provisions of this Agreement that would cause immediate and irreparable injury to the other Party, the non-breaching Party shall be entitled to seek injunctive relief and any or all other remedies applicable at law or in equity in any court of applicable jurisdiction.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69" w:right="479" w:bottom="1440" w:gutter="0" w:footer="0" w:header="0"/>
        </w:sectPr>
      </w:pPr>
    </w:p>
    <w:bookmarkStart w:id="508" w:name="page509"/>
    <w:bookmarkEnd w:id="508"/>
    <w:p>
      <w:pPr>
        <w:ind w:right="26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7.15 Attorneys’ Fees. </w:t>
      </w:r>
      <w:r>
        <w:rPr>
          <w:rFonts w:ascii="Arial" w:cs="Arial" w:eastAsia="Arial" w:hAnsi="Arial"/>
          <w:sz w:val="17"/>
          <w:szCs w:val="17"/>
          <w:color w:val="auto"/>
        </w:rPr>
        <w:t>If any arbitral or other proceeding is initiated by either of the Parties, the prevailing Party shall be entitled to recover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Party reasonable attorneys’ fees and arbitration or proceedings costs in addition to any other relief that may be awarded.</w:t>
      </w:r>
    </w:p>
    <w:p>
      <w:pPr>
        <w:spacing w:after="0" w:line="14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7.16 Remedies. </w:t>
      </w:r>
      <w:r>
        <w:rPr>
          <w:rFonts w:ascii="Arial" w:cs="Arial" w:eastAsia="Arial" w:hAnsi="Arial"/>
          <w:sz w:val="18"/>
          <w:szCs w:val="18"/>
          <w:color w:val="auto"/>
        </w:rPr>
        <w:t>All remedies set forth in this Agreement are cumulative and are in addition to any and all other remedies provided to either Party at law</w:t>
      </w:r>
      <w:r>
        <w:rPr>
          <w:rFonts w:ascii="Arial" w:cs="Arial" w:eastAsia="Arial" w:hAnsi="Arial"/>
          <w:sz w:val="18"/>
          <w:szCs w:val="18"/>
          <w:b w:val="1"/>
          <w:bCs w:val="1"/>
          <w:color w:val="auto"/>
        </w:rPr>
        <w:t xml:space="preserve"> </w:t>
      </w:r>
      <w:r>
        <w:rPr>
          <w:rFonts w:ascii="Arial" w:cs="Arial" w:eastAsia="Arial" w:hAnsi="Arial"/>
          <w:sz w:val="18"/>
          <w:szCs w:val="18"/>
          <w:color w:val="auto"/>
        </w:rPr>
        <w:t>or in equity. The failure of a Party to enforce, at any time, or for any period of time, any of the provisions of this Agreement, or of any breach hereof, shall not be construed as a waiver of such provision or subsequent breach of the same or any other provision or of the rights of such Party thereafter to enforce such provision, nor shall either Party’s continued dealing with the other Party following a breach of any provision hereof be deemed to be a waiver of such or any other breach.</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[The rest of this page is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40" w:top="269" w:right="519" w:bottom="1440" w:gutter="0" w:footer="0" w:header="0"/>
        </w:sectPr>
      </w:pPr>
    </w:p>
    <w:bookmarkStart w:id="509" w:name="page510"/>
    <w:bookmarkEnd w:id="509"/>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Agreement to be executed on their behalf by their duly authorized representatives intending it to take effect as an instrument under seal as of the Effective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ALX ONCOLOGY INC.</w:t>
            </w:r>
          </w:p>
        </w:tc>
        <w:tc>
          <w:tcPr>
            <w:tcW w:w="5820" w:type="dxa"/>
            <w:vAlign w:val="bottom"/>
            <w:gridSpan w:val="2"/>
          </w:tcPr>
          <w:p>
            <w:pPr>
              <w:ind w:left="660"/>
              <w:spacing w:after="0"/>
              <w:rPr>
                <w:sz w:val="20"/>
                <w:szCs w:val="20"/>
                <w:color w:val="auto"/>
              </w:rPr>
            </w:pPr>
            <w:r>
              <w:rPr>
                <w:rFonts w:ascii="Arial" w:cs="Arial" w:eastAsia="Arial" w:hAnsi="Arial"/>
                <w:sz w:val="18"/>
                <w:szCs w:val="18"/>
                <w:b w:val="1"/>
                <w:bCs w:val="1"/>
                <w:color w:val="auto"/>
              </w:rPr>
              <w:t>TOLLNINE, INC</w:t>
            </w:r>
            <w:r>
              <w:rPr>
                <w:rFonts w:ascii="Arial" w:cs="Arial" w:eastAsia="Arial" w:hAnsi="Arial"/>
                <w:sz w:val="18"/>
                <w:szCs w:val="18"/>
                <w:color w:val="auto"/>
              </w:rPr>
              <w:t>.</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Jaume Pons</w:t>
            </w:r>
          </w:p>
        </w:tc>
        <w:tc>
          <w:tcPr>
            <w:tcW w:w="1300" w:type="dxa"/>
            <w:vAlign w:val="bottom"/>
          </w:tcPr>
          <w:p>
            <w:pPr>
              <w:ind w:left="66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Jaume Pons</w:t>
            </w: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Jaume Pons</w:t>
            </w:r>
          </w:p>
        </w:tc>
        <w:tc>
          <w:tcPr>
            <w:tcW w:w="1300" w:type="dxa"/>
            <w:vAlign w:val="bottom"/>
          </w:tcPr>
          <w:p>
            <w:pPr>
              <w:ind w:left="66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Jaume Pons</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w:t>
            </w:r>
          </w:p>
        </w:tc>
        <w:tc>
          <w:tcPr>
            <w:tcW w:w="1300" w:type="dxa"/>
            <w:vAlign w:val="bottom"/>
          </w:tcPr>
          <w:p>
            <w:pPr>
              <w:ind w:left="66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CEO</w:t>
            </w: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Notice Address</w:t>
            </w:r>
          </w:p>
        </w:tc>
        <w:tc>
          <w:tcPr>
            <w:tcW w:w="5820" w:type="dxa"/>
            <w:vAlign w:val="bottom"/>
            <w:gridSpan w:val="2"/>
          </w:tcPr>
          <w:p>
            <w:pPr>
              <w:ind w:left="660"/>
              <w:spacing w:after="0"/>
              <w:rPr>
                <w:sz w:val="20"/>
                <w:szCs w:val="20"/>
                <w:color w:val="auto"/>
              </w:rPr>
            </w:pPr>
            <w:r>
              <w:rPr>
                <w:rFonts w:ascii="Arial" w:cs="Arial" w:eastAsia="Arial" w:hAnsi="Arial"/>
                <w:sz w:val="18"/>
                <w:szCs w:val="18"/>
                <w:b w:val="1"/>
                <w:bCs w:val="1"/>
                <w:color w:val="auto"/>
              </w:rPr>
              <w:t>Notice Addresses:</w:t>
            </w:r>
          </w:p>
        </w:tc>
      </w:tr>
      <w:tr>
        <w:trPr>
          <w:trHeight w:val="310"/>
        </w:trPr>
        <w:tc>
          <w:tcPr>
            <w:tcW w:w="5200" w:type="dxa"/>
            <w:vAlign w:val="bottom"/>
            <w:gridSpan w:val="2"/>
          </w:tcPr>
          <w:p>
            <w:pPr>
              <w:spacing w:after="0"/>
              <w:rPr>
                <w:sz w:val="20"/>
                <w:szCs w:val="20"/>
                <w:color w:val="auto"/>
              </w:rPr>
            </w:pPr>
            <w:r>
              <w:rPr>
                <w:rFonts w:ascii="Arial" w:cs="Arial" w:eastAsia="Arial" w:hAnsi="Arial"/>
                <w:sz w:val="18"/>
                <w:szCs w:val="18"/>
                <w:color w:val="auto"/>
              </w:rPr>
              <w:t>ALX Oncology Inc.</w:t>
            </w: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Tollnine, Inc.</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866 Malcolm Road, Suite 100</w:t>
            </w: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1700 Owens Street, Suite 595</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Burlingame, CA 94010</w:t>
            </w: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San Francisco, CA 94158</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USA</w:t>
            </w:r>
          </w:p>
        </w:tc>
        <w:tc>
          <w:tcPr>
            <w:tcW w:w="4520" w:type="dxa"/>
            <w:vAlign w:val="bottom"/>
          </w:tcPr>
          <w:p>
            <w:pPr>
              <w:spacing w:after="0"/>
              <w:rPr>
                <w:sz w:val="18"/>
                <w:szCs w:val="18"/>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rPr>
              <w:t>USA</w:t>
            </w:r>
          </w:p>
        </w:tc>
        <w:tc>
          <w:tcPr>
            <w:tcW w:w="4520" w:type="dxa"/>
            <w:vAlign w:val="bottom"/>
          </w:tcPr>
          <w:p>
            <w:pPr>
              <w:spacing w:after="0"/>
              <w:rPr>
                <w:sz w:val="18"/>
                <w:szCs w:val="18"/>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Attn: Chief Executive Officer</w:t>
            </w: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Attn: Chief Executive Officer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Attachments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Attachment 1</w:t>
      </w:r>
      <w:r>
        <w:rPr>
          <w:rFonts w:ascii="Arial" w:cs="Arial" w:eastAsia="Arial" w:hAnsi="Arial"/>
          <w:sz w:val="18"/>
          <w:szCs w:val="18"/>
          <w:b w:val="1"/>
          <w:bCs w:val="1"/>
          <w:color w:val="auto"/>
        </w:rPr>
        <w:t xml:space="preserve">: </w:t>
      </w:r>
      <w:r>
        <w:rPr>
          <w:rFonts w:ascii="Arial" w:cs="Arial" w:eastAsia="Arial" w:hAnsi="Arial"/>
          <w:sz w:val="18"/>
          <w:szCs w:val="18"/>
          <w:color w:val="auto"/>
        </w:rPr>
        <w:t>Description of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Attachment 2</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w:t>
      </w:r>
    </w:p>
    <w:p>
      <w:pPr>
        <w:sectPr>
          <w:pgSz w:w="11900" w:h="16838" w:orient="portrait"/>
          <w:cols w:equalWidth="0" w:num="1">
            <w:col w:w="11020"/>
          </w:cols>
          <w:pgMar w:left="440" w:top="273" w:right="439" w:bottom="1440" w:gutter="0" w:footer="0" w:header="0"/>
        </w:sectPr>
      </w:pPr>
    </w:p>
    <w:bookmarkStart w:id="510" w:name="page511"/>
    <w:bookmarkEnd w:id="510"/>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Services to be provided to Tollnine by ATI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Services to be performed by ATI, initially, shall include the following as specified from time to time pursuant to Section 2.1:</w:t>
      </w:r>
    </w:p>
    <w:p>
      <w:pPr>
        <w:spacing w:after="0" w:line="131" w:lineRule="exact"/>
        <w:rPr>
          <w:sz w:val="20"/>
          <w:szCs w:val="20"/>
          <w:color w:val="auto"/>
        </w:rPr>
      </w:pPr>
    </w:p>
    <w:p>
      <w:pPr>
        <w:ind w:left="420" w:hanging="316"/>
        <w:spacing w:after="0"/>
        <w:tabs>
          <w:tab w:leader="none" w:pos="4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Propose research and development programs and related budgets and submit same to Tollnine for consideration and approval.</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Carry out agreed basic and developmental research work in accordance with the agreed upon Services and the agreed upon budgeted amount.</w:t>
      </w:r>
    </w:p>
    <w:p>
      <w:pPr>
        <w:spacing w:after="0" w:line="153" w:lineRule="exact"/>
        <w:rPr>
          <w:rFonts w:ascii="Arial" w:cs="Arial" w:eastAsia="Arial" w:hAnsi="Arial"/>
          <w:sz w:val="16"/>
          <w:szCs w:val="16"/>
          <w:color w:val="auto"/>
        </w:rPr>
      </w:pPr>
    </w:p>
    <w:p>
      <w:pPr>
        <w:ind w:left="420" w:hanging="316"/>
        <w:spacing w:after="0"/>
        <w:tabs>
          <w:tab w:leader="none" w:pos="4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Hire, train and supervise appropriately skilled and qualified research staff.</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Prepare related progress reports on research for Tollnine.</w:t>
      </w:r>
    </w:p>
    <w:p>
      <w:pPr>
        <w:spacing w:after="0" w:line="130" w:lineRule="exact"/>
        <w:rPr>
          <w:rFonts w:ascii="Arial" w:cs="Arial" w:eastAsia="Arial" w:hAnsi="Arial"/>
          <w:sz w:val="18"/>
          <w:szCs w:val="18"/>
          <w:color w:val="auto"/>
        </w:rPr>
      </w:pPr>
    </w:p>
    <w:p>
      <w:pPr>
        <w:ind w:left="420" w:right="480" w:hanging="316"/>
        <w:spacing w:after="0" w:line="277" w:lineRule="auto"/>
        <w:tabs>
          <w:tab w:leader="none" w:pos="4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Carry out the design of preclinical and clinical trial protocols and oversee all clinical development, including preparation and submission of regulatory filings, interactions with regulatory authorities and drug safety monitoring.</w:t>
      </w:r>
    </w:p>
    <w:p>
      <w:pPr>
        <w:spacing w:after="0" w:line="75" w:lineRule="exact"/>
        <w:rPr>
          <w:rFonts w:ascii="Arial" w:cs="Arial" w:eastAsia="Arial" w:hAnsi="Arial"/>
          <w:sz w:val="18"/>
          <w:szCs w:val="18"/>
          <w:color w:val="auto"/>
        </w:rPr>
      </w:pPr>
    </w:p>
    <w:p>
      <w:pPr>
        <w:ind w:left="420" w:hanging="316"/>
        <w:spacing w:after="0" w:line="277" w:lineRule="auto"/>
        <w:tabs>
          <w:tab w:leader="none" w:pos="4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Manage clinical trials through the hiring of Clinical Research Organizations (“CROs”), overseeing the performance of such CROs and conducting analysis and interpretation of data.</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Negotiate agreements with other Suppliers, as needed.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Supervise and interface with Suppliers.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Prepare regulatory documents and filings on a timely basis.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Assist Tollnine with intellectual property protection matters and prosecute patent applications within the New Patents.</w:t>
      </w:r>
    </w:p>
    <w:p>
      <w:pPr>
        <w:spacing w:after="0" w:line="130" w:lineRule="exact"/>
        <w:rPr>
          <w:rFonts w:ascii="Arial" w:cs="Arial" w:eastAsia="Arial" w:hAnsi="Arial"/>
          <w:sz w:val="18"/>
          <w:szCs w:val="18"/>
          <w:color w:val="auto"/>
        </w:rPr>
      </w:pPr>
    </w:p>
    <w:p>
      <w:pPr>
        <w:ind w:left="420" w:right="740" w:hanging="316"/>
        <w:spacing w:after="0" w:line="277" w:lineRule="auto"/>
        <w:tabs>
          <w:tab w:leader="none" w:pos="4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Assist Tollnine, on an as agreed basis, with other matters related to its development program, such as selection of, negotiations with and supervision of GMP manufacturing sources.</w:t>
      </w:r>
    </w:p>
    <w:p>
      <w:pPr>
        <w:sectPr>
          <w:pgSz w:w="11900" w:h="16838" w:orient="portrait"/>
          <w:cols w:equalWidth="0" w:num="1">
            <w:col w:w="10960"/>
          </w:cols>
          <w:pgMar w:left="440" w:top="269" w:right="499" w:bottom="1440" w:gutter="0" w:footer="0" w:header="0"/>
        </w:sectPr>
      </w:pPr>
    </w:p>
    <w:bookmarkStart w:id="511" w:name="page512"/>
    <w:bookmarkEnd w:id="511"/>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Compensation</w:t>
      </w:r>
    </w:p>
    <w:p>
      <w:pPr>
        <w:spacing w:after="0" w:line="229"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As full consideration for the provision of Services by ATI hereunder, Tollnine shall pay to ATI a fee (the “</w:t>
      </w:r>
      <w:r>
        <w:rPr>
          <w:rFonts w:ascii="Arial" w:cs="Arial" w:eastAsia="Arial" w:hAnsi="Arial"/>
          <w:sz w:val="18"/>
          <w:szCs w:val="18"/>
          <w:b w:val="1"/>
          <w:bCs w:val="1"/>
          <w:i w:val="1"/>
          <w:iCs w:val="1"/>
          <w:color w:val="auto"/>
        </w:rPr>
        <w:t>Service Fee</w:t>
      </w:r>
      <w:r>
        <w:rPr>
          <w:rFonts w:ascii="Arial" w:cs="Arial" w:eastAsia="Arial" w:hAnsi="Arial"/>
          <w:sz w:val="18"/>
          <w:szCs w:val="18"/>
          <w:color w:val="auto"/>
        </w:rPr>
        <w:t>”) equal to the sum of the amounts described in paragraphs (a) and (d) for such period.</w:t>
      </w:r>
    </w:p>
    <w:p>
      <w:pPr>
        <w:spacing w:after="0" w:line="170" w:lineRule="exact"/>
        <w:rPr>
          <w:sz w:val="20"/>
          <w:szCs w:val="20"/>
          <w:color w:val="auto"/>
        </w:rPr>
      </w:pPr>
    </w:p>
    <w:p>
      <w:pPr>
        <w:ind w:left="244" w:hanging="244"/>
        <w:spacing w:after="0"/>
        <w:tabs>
          <w:tab w:leader="none" w:pos="244" w:val="left"/>
        </w:tabs>
        <w:numPr>
          <w:ilvl w:val="0"/>
          <w:numId w:val="455"/>
        </w:numPr>
        <w:rPr>
          <w:rFonts w:ascii="Arial" w:cs="Arial" w:eastAsia="Arial" w:hAnsi="Arial"/>
          <w:sz w:val="18"/>
          <w:szCs w:val="18"/>
          <w:color w:val="auto"/>
        </w:rPr>
      </w:pPr>
      <w:r>
        <w:rPr>
          <w:rFonts w:ascii="Arial" w:cs="Arial" w:eastAsia="Arial" w:hAnsi="Arial"/>
          <w:sz w:val="18"/>
          <w:szCs w:val="18"/>
          <w:color w:val="auto"/>
        </w:rPr>
        <w:t xml:space="preserve">An amount equal to the costs incurred by ATI with respect to the provision of the Services,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 mark-up equal to 10% of such costs.</w:t>
      </w:r>
    </w:p>
    <w:p>
      <w:pPr>
        <w:spacing w:after="0" w:line="225" w:lineRule="exact"/>
        <w:rPr>
          <w:rFonts w:ascii="Arial" w:cs="Arial" w:eastAsia="Arial" w:hAnsi="Arial"/>
          <w:sz w:val="18"/>
          <w:szCs w:val="18"/>
          <w:color w:val="auto"/>
        </w:rPr>
      </w:pPr>
    </w:p>
    <w:p>
      <w:pPr>
        <w:ind w:left="4" w:hanging="4"/>
        <w:spacing w:after="0" w:line="277" w:lineRule="auto"/>
        <w:tabs>
          <w:tab w:leader="none" w:pos="259" w:val="left"/>
        </w:tabs>
        <w:numPr>
          <w:ilvl w:val="0"/>
          <w:numId w:val="455"/>
        </w:numPr>
        <w:rPr>
          <w:rFonts w:ascii="Arial" w:cs="Arial" w:eastAsia="Arial" w:hAnsi="Arial"/>
          <w:sz w:val="18"/>
          <w:szCs w:val="18"/>
          <w:color w:val="auto"/>
        </w:rPr>
      </w:pPr>
      <w:r>
        <w:rPr>
          <w:rFonts w:ascii="Arial" w:cs="Arial" w:eastAsia="Arial" w:hAnsi="Arial"/>
          <w:sz w:val="18"/>
          <w:szCs w:val="18"/>
          <w:color w:val="auto"/>
        </w:rPr>
        <w:t>For greater clarity, the costs reasonably attributable to the provision of the Services shall include, but are not limited to, salaries and related costs, and other costs or expenses incurred in rendering the Services.</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455"/>
        </w:numPr>
        <w:rPr>
          <w:rFonts w:ascii="Arial" w:cs="Arial" w:eastAsia="Arial" w:hAnsi="Arial"/>
          <w:sz w:val="17"/>
          <w:szCs w:val="17"/>
          <w:color w:val="auto"/>
        </w:rPr>
      </w:pPr>
      <w:r>
        <w:rPr>
          <w:rFonts w:ascii="Arial" w:cs="Arial" w:eastAsia="Arial" w:hAnsi="Arial"/>
          <w:sz w:val="17"/>
          <w:szCs w:val="17"/>
          <w:color w:val="auto"/>
        </w:rPr>
        <w:t>The Parties shall review the provisions for determining Compensation hereunder annually in order to ensure that they continue to reflect an</w:t>
      </w:r>
    </w:p>
    <w:p>
      <w:pPr>
        <w:spacing w:after="0" w:line="35"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arm’s-length basis of compensation consistent with the requirements of § 482 of the Internal Revenue Code of 1986, as amended, and the regulations promulgated thereunder (“</w:t>
      </w:r>
      <w:r>
        <w:rPr>
          <w:rFonts w:ascii="Arial" w:cs="Arial" w:eastAsia="Arial" w:hAnsi="Arial"/>
          <w:sz w:val="18"/>
          <w:szCs w:val="18"/>
          <w:b w:val="1"/>
          <w:bCs w:val="1"/>
          <w:i w:val="1"/>
          <w:iCs w:val="1"/>
          <w:color w:val="auto"/>
        </w:rPr>
        <w:t>§ 482</w:t>
      </w:r>
      <w:r>
        <w:rPr>
          <w:rFonts w:ascii="Arial" w:cs="Arial" w:eastAsia="Arial" w:hAnsi="Arial"/>
          <w:sz w:val="18"/>
          <w:szCs w:val="18"/>
          <w:color w:val="auto"/>
        </w:rPr>
        <w:t>”). The Service Fee may also be adjusted, retrospectively or prospectively, if the Parties mutually agree in writing that an adjustment is required to comply with the arm’s length standard under § 482.</w:t>
      </w:r>
    </w:p>
    <w:p>
      <w:pPr>
        <w:spacing w:after="0" w:line="190" w:lineRule="exact"/>
        <w:rPr>
          <w:sz w:val="20"/>
          <w:szCs w:val="20"/>
          <w:color w:val="auto"/>
        </w:rPr>
      </w:pPr>
    </w:p>
    <w:p>
      <w:pPr>
        <w:ind w:left="4" w:right="300" w:hanging="4"/>
        <w:spacing w:after="0" w:line="263" w:lineRule="auto"/>
        <w:tabs>
          <w:tab w:leader="none" w:pos="259"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xml:space="preserve">An amount equal to the costs incurred by ATI with respect to the services of subcontractors or Suppliers in connection with the provision of the Services,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as periodically agreed between the Parties, a mark-up equal to mutually agreed percentage of such costs. ATI will invoice Tollnine for such costs in United States Dollars.</w:t>
      </w:r>
    </w:p>
    <w:p>
      <w:pPr>
        <w:sectPr>
          <w:pgSz w:w="11900" w:h="16838" w:orient="portrait"/>
          <w:cols w:equalWidth="0" w:num="1">
            <w:col w:w="11024"/>
          </w:cols>
          <w:pgMar w:left="436" w:top="269" w:right="439" w:bottom="1440" w:gutter="0" w:footer="0" w:header="0"/>
        </w:sectPr>
      </w:pPr>
    </w:p>
    <w:bookmarkStart w:id="512" w:name="page513"/>
    <w:bookmarkEnd w:id="512"/>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AND DEVELOPMENT SERVICES AGREEMENT</w:t>
      </w:r>
    </w:p>
    <w:p>
      <w:pPr>
        <w:spacing w:after="0" w:line="229"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This research and development services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effective as of July 1, 2020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by and between ALX Oncology Holdings Inc., a Delaware corporation (“</w:t>
      </w:r>
      <w:r>
        <w:rPr>
          <w:rFonts w:ascii="Arial" w:cs="Arial" w:eastAsia="Arial" w:hAnsi="Arial"/>
          <w:sz w:val="17"/>
          <w:szCs w:val="17"/>
          <w:b w:val="1"/>
          <w:bCs w:val="1"/>
          <w:i w:val="1"/>
          <w:iCs w:val="1"/>
          <w:color w:val="auto"/>
        </w:rPr>
        <w:t>ALX</w:t>
      </w:r>
      <w:r>
        <w:rPr>
          <w:rFonts w:ascii="Arial" w:cs="Arial" w:eastAsia="Arial" w:hAnsi="Arial"/>
          <w:sz w:val="17"/>
          <w:szCs w:val="17"/>
          <w:color w:val="auto"/>
        </w:rPr>
        <w:t>”) having an address at 866 Malcolm Road, Suite 100, Burlingame, California 94010, and Tallic Therapeutics, Inc. (f/k/a Tollnine, Inc.), a Delaware corporation (“</w:t>
      </w:r>
      <w:r>
        <w:rPr>
          <w:rFonts w:ascii="Arial" w:cs="Arial" w:eastAsia="Arial" w:hAnsi="Arial"/>
          <w:sz w:val="17"/>
          <w:szCs w:val="17"/>
          <w:b w:val="1"/>
          <w:bCs w:val="1"/>
          <w:i w:val="1"/>
          <w:iCs w:val="1"/>
          <w:color w:val="auto"/>
        </w:rPr>
        <w:t>Tallac</w:t>
      </w:r>
      <w:r>
        <w:rPr>
          <w:rFonts w:ascii="Arial" w:cs="Arial" w:eastAsia="Arial" w:hAnsi="Arial"/>
          <w:sz w:val="17"/>
          <w:szCs w:val="17"/>
          <w:color w:val="auto"/>
        </w:rPr>
        <w:t>”) having an address at 1700 Owens Street, Suite 595, San Francisco, California 94158. ALX and Tallac are sometimes referred to herein individually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WHEREAS, ALX is a clinical-stage immuno-oncology company engaged in the business of developing anti-cancer therapies that block the CD47-SIRPα checkpoint pathway;</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WHEREAS, Tallac has capabilities in the area of providing research and development services, and possesses suitable facilities for and employs professional personnel knowledgeable about and experienced in such work;</w:t>
      </w:r>
    </w:p>
    <w:p>
      <w:pPr>
        <w:spacing w:after="0" w:line="16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WHEREAS, ALX desires that Tallac perform research and development services set out in </w:t>
      </w:r>
      <w:r>
        <w:rPr>
          <w:rFonts w:ascii="Arial" w:cs="Arial" w:eastAsia="Arial" w:hAnsi="Arial"/>
          <w:sz w:val="18"/>
          <w:szCs w:val="18"/>
          <w:b w:val="1"/>
          <w:bCs w:val="1"/>
          <w:u w:val="single" w:color="auto"/>
          <w:color w:val="auto"/>
        </w:rPr>
        <w:t>Attachment 1</w:t>
      </w:r>
      <w:r>
        <w:rPr>
          <w:rFonts w:ascii="Arial" w:cs="Arial" w:eastAsia="Arial" w:hAnsi="Arial"/>
          <w:sz w:val="18"/>
          <w:szCs w:val="18"/>
          <w:color w:val="auto"/>
        </w:rPr>
        <w:t xml:space="preserve"> and other services mutually agreed upon by the Parties on behalf of ALX; and</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WHEREAS, Tallac is willing, from time to time, to provide, directly or indirectly, such services to be specified from time-to-time in accordance with Section 2.1, on the terms and conditions set out in this Agreement on behalf of ALX.</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NOW THEREFORE, in consideration of the mutual covenants and conditions set forth herein, and for other good and valuable consideration the receipt and sufficiency of which are hereby acknowledged, the Parties hereby agree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Definition</w:t>
      </w:r>
      <w:r>
        <w:rPr>
          <w:rFonts w:ascii="Arial" w:cs="Arial" w:eastAsia="Arial" w:hAnsi="Arial"/>
          <w:sz w:val="18"/>
          <w:szCs w:val="18"/>
          <w:color w:val="auto"/>
        </w:rPr>
        <w:t>. Capitalized terms used in this Agreement and not otherwise defined herein shall have the meaning set forth below.</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either Party, any Person that, directly or indirectly, is controlled by, controls or is under common control with such Party. For purposes of this Agreement, “control” means, with respect to any Person, the direct or indirect ownership of more than fifty percent (50%) of the voting or economic interest in such Person or the possession otherwise, directly or indirectly, of the power to direct the management or policies of such Person.</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ALX Field</w:t>
      </w:r>
      <w:r>
        <w:rPr>
          <w:rFonts w:ascii="Arial" w:cs="Arial" w:eastAsia="Arial" w:hAnsi="Arial"/>
          <w:sz w:val="18"/>
          <w:szCs w:val="18"/>
          <w:color w:val="auto"/>
        </w:rPr>
        <w:t>” means therapies and technologies that block the CD47-SIRPα checkpoint pathway, including the affinity enhanced extracellular domain of SIRPα.</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ALX Technology</w:t>
      </w:r>
      <w:r>
        <w:rPr>
          <w:rFonts w:ascii="Arial" w:cs="Arial" w:eastAsia="Arial" w:hAnsi="Arial"/>
          <w:sz w:val="17"/>
          <w:szCs w:val="17"/>
          <w:color w:val="auto"/>
        </w:rPr>
        <w:t>” means (i) the ALX Background Technology, (ii) any improvements or enhancements to the ALX Background Technology, (iii) the New Technology (other than New Technology specifically related to the Tallac Field), including without limitation any improvements or enhancements to such New Technology, and/or (iv) all technology, know-how, and inventions, and Intellectual Property relating thereto invented by or on behalf of Tallac during the Term and specifically related to the ALX Field, in each of (i), (ii), and (iii) excluding the Tallac Technology.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13" w:name="page514"/>
    <w:bookmarkEnd w:id="513"/>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Applicable Rate</w:t>
      </w:r>
      <w:r>
        <w:rPr>
          <w:rFonts w:ascii="Arial" w:cs="Arial" w:eastAsia="Arial" w:hAnsi="Arial"/>
          <w:sz w:val="18"/>
          <w:szCs w:val="18"/>
          <w:color w:val="auto"/>
        </w:rPr>
        <w:t>” means the lesser of two percent (2%) per annum or the maximum rate of interest permitted by law, but in no case less than the applicable federal rate for short-term obligations under Section 1274(d) of the Internal Revenue Code of 1986, as amended, for the period for which the Applicable Rate is being applied.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Day(s)</w:t>
      </w:r>
      <w:r>
        <w:rPr>
          <w:rFonts w:ascii="Arial" w:cs="Arial" w:eastAsia="Arial" w:hAnsi="Arial"/>
          <w:sz w:val="18"/>
          <w:szCs w:val="18"/>
          <w:color w:val="auto"/>
        </w:rPr>
        <w:t>” means any day other than a Saturday or Sunday that is not a national holiday in the United States.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Intellectual Property Rights</w:t>
      </w:r>
      <w:r>
        <w:rPr>
          <w:rFonts w:ascii="Arial" w:cs="Arial" w:eastAsia="Arial" w:hAnsi="Arial"/>
          <w:sz w:val="17"/>
          <w:szCs w:val="17"/>
          <w:color w:val="auto"/>
        </w:rPr>
        <w:t>” means all inventions, know-how, trade secrets, inventions, discoveries, modifications, improvements, materials, compositions of matter, techniques, methods, processes, products, works of authorship, designs and data (whether or not protectable under patent, copyright, trade secrecy or similar laws) and all Patents, patent applications, copyrights, copyright registrations, trademarks, service marks, registrations and applications for trademarks and service marks, trade names, logos, designs, brand names and trade dress, and all rights and forms of protection as may subsist anywhere in the world and having equivalent or similar effect to any of the foregoing.</w:t>
      </w:r>
    </w:p>
    <w:p>
      <w:pPr>
        <w:spacing w:after="0" w:line="1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Technology</w:t>
      </w:r>
      <w:r>
        <w:rPr>
          <w:rFonts w:ascii="Arial" w:cs="Arial" w:eastAsia="Arial" w:hAnsi="Arial"/>
          <w:sz w:val="18"/>
          <w:szCs w:val="18"/>
          <w:color w:val="auto"/>
        </w:rPr>
        <w:t>” means any Results, Services Work Product and/or any Intellectual Property Rights that directly result from or are conceived or reduced to practice during or after the Term by Tallac or its Suppliers in performance of the Services.</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Patent</w:t>
      </w:r>
      <w:r>
        <w:rPr>
          <w:rFonts w:ascii="Arial" w:cs="Arial" w:eastAsia="Arial" w:hAnsi="Arial"/>
          <w:sz w:val="16"/>
          <w:szCs w:val="16"/>
          <w:color w:val="auto"/>
        </w:rPr>
        <w:t>” means any and all (a) patents issued by any government authority, including without limitation re-examinations, reissues, renewals, extensions, adjustments, supplementary protection certificates, and term restorations, and (b) pending applications for patents filed with any government authority, including without limitation continuations, continuations-in-part, divisionals, substitute applications and inventor’s certificates.</w:t>
      </w:r>
    </w:p>
    <w:p>
      <w:pPr>
        <w:spacing w:after="0" w:line="14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corporation, association, partnership (general or limited), joint venture, trust, estate, limited liability company, limited liability partnership, unincorporated organization, government (or any agency or political subdivision thereof) or other legal entity or organization.</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Authority</w:t>
      </w:r>
      <w:r>
        <w:rPr>
          <w:rFonts w:ascii="Arial" w:cs="Arial" w:eastAsia="Arial" w:hAnsi="Arial"/>
          <w:sz w:val="18"/>
          <w:szCs w:val="18"/>
          <w:color w:val="auto"/>
        </w:rPr>
        <w:t>” means any national, supra-national, regional, state or local regulatory agency, department, bureau, commission, council or other governmental entity, including, without limitation, the FDA.</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Results</w:t>
      </w:r>
      <w:r>
        <w:rPr>
          <w:rFonts w:ascii="Arial" w:cs="Arial" w:eastAsia="Arial" w:hAnsi="Arial"/>
          <w:sz w:val="16"/>
          <w:szCs w:val="16"/>
          <w:color w:val="auto"/>
        </w:rPr>
        <w:t>” means all results, inventions, data, reports and other Intellectual Property Rights made by or on behalf of Tallac arising from the Services.</w:t>
      </w:r>
    </w:p>
    <w:p>
      <w:pPr>
        <w:spacing w:after="0" w:line="24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xml:space="preserve">” means, subject to the terms and conditions in this Agreement, research and development support service(s) described in </w:t>
      </w:r>
      <w:r>
        <w:rPr>
          <w:rFonts w:ascii="Arial" w:cs="Arial" w:eastAsia="Arial" w:hAnsi="Arial"/>
          <w:sz w:val="18"/>
          <w:szCs w:val="18"/>
          <w:b w:val="1"/>
          <w:bCs w:val="1"/>
          <w:u w:val="single" w:color="auto"/>
          <w:color w:val="auto"/>
        </w:rPr>
        <w:t>Attachment 1</w:t>
      </w:r>
      <w:r>
        <w:rPr>
          <w:rFonts w:ascii="Arial" w:cs="Arial" w:eastAsia="Arial" w:hAnsi="Arial"/>
          <w:sz w:val="18"/>
          <w:szCs w:val="18"/>
          <w:color w:val="auto"/>
        </w:rPr>
        <w:t>, and, going forward, any related services as may be agreed by the Parties pursuant to a statement of work.</w:t>
      </w:r>
    </w:p>
    <w:p>
      <w:pPr>
        <w:spacing w:after="0" w:line="16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Services Work Product</w:t>
      </w:r>
      <w:r>
        <w:rPr>
          <w:rFonts w:ascii="Arial" w:cs="Arial" w:eastAsia="Arial" w:hAnsi="Arial"/>
          <w:sz w:val="18"/>
          <w:szCs w:val="18"/>
          <w:color w:val="auto"/>
        </w:rPr>
        <w:t>” means all work product that arises by the performance by Tallac of the Services, provided that “Services Work Product” excludes Tallac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SIRP</w:t>
      </w:r>
      <w:r>
        <w:rPr>
          <w:rFonts w:ascii="Arial" w:cs="Arial" w:eastAsia="Arial" w:hAnsi="Arial"/>
          <w:sz w:val="18"/>
          <w:szCs w:val="18"/>
          <w:color w:val="auto"/>
        </w:rPr>
        <w:t>α” means the signal regulatory protein alpha.</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Tallac Background Technology</w:t>
      </w:r>
      <w:r>
        <w:rPr>
          <w:rFonts w:ascii="Arial" w:cs="Arial" w:eastAsia="Arial" w:hAnsi="Arial"/>
          <w:sz w:val="17"/>
          <w:szCs w:val="17"/>
          <w:color w:val="auto"/>
        </w:rPr>
        <w:t>” means technology, know-how, and inventions, and Intellectual Property relating thereto, that are or were (a) invented by officers, employees or agents of, or consultants to, Tallac or any of its Affiliates, alone or jointly with third parties, at any time outside the performance of the Services or (b) acquired by purchase, license, assignment or other means from third parties by Tallac or any of its Affiliates, alone or jointly with third parties, at any time outside the performance of the Services, in each case (a) and (b), except to the extent such technology, know-how, inventions or Intellectual Property relating thereto specifically relate to the ALX Field.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3" w:right="479" w:bottom="1440" w:gutter="0" w:footer="0" w:header="0"/>
        </w:sectPr>
      </w:pPr>
    </w:p>
    <w:bookmarkStart w:id="514" w:name="page515"/>
    <w:bookmarkEnd w:id="514"/>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i w:val="1"/>
          <w:iCs w:val="1"/>
          <w:color w:val="auto"/>
        </w:rPr>
        <w:t>Tallac Technology</w:t>
      </w:r>
      <w:r>
        <w:rPr>
          <w:rFonts w:ascii="Arial" w:cs="Arial" w:eastAsia="Arial" w:hAnsi="Arial"/>
          <w:sz w:val="17"/>
          <w:szCs w:val="17"/>
          <w:color w:val="auto"/>
        </w:rPr>
        <w:t>” means (i) the Tallac Background Technology, (ii) any improvements or enhancements to the Tallac Background Technology,</w:t>
      </w:r>
    </w:p>
    <w:p>
      <w:pPr>
        <w:spacing w:after="0" w:line="35" w:lineRule="exact"/>
        <w:rPr>
          <w:sz w:val="20"/>
          <w:szCs w:val="20"/>
          <w:color w:val="auto"/>
        </w:rPr>
      </w:pPr>
    </w:p>
    <w:p>
      <w:pPr>
        <w:ind w:left="4" w:hanging="4"/>
        <w:spacing w:after="0" w:line="255" w:lineRule="auto"/>
        <w:tabs>
          <w:tab w:leader="none" w:pos="319"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New Technology specifically related to the Tallac Field, including without limitation any improvements or enhancements to such New Technology, and/or (iv) all technology, know-how, and inventions, and Intellectual Property relating thereto invented by or on behalf of Tallac during the Term and not specifically related to the ALX Field.</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Tallac Field</w:t>
      </w:r>
      <w:r>
        <w:rPr>
          <w:rFonts w:ascii="Arial" w:cs="Arial" w:eastAsia="Arial" w:hAnsi="Arial"/>
          <w:sz w:val="18"/>
          <w:szCs w:val="18"/>
          <w:color w:val="auto"/>
        </w:rPr>
        <w:t>” means therapies and technologies related to protein-CpG conjugates, including without limitation antibody-CpG conjugates.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1.2 Other Defined Terms</w:t>
      </w:r>
      <w:r>
        <w:rPr>
          <w:rFonts w:ascii="Arial" w:cs="Arial" w:eastAsia="Arial" w:hAnsi="Arial"/>
          <w:sz w:val="18"/>
          <w:szCs w:val="18"/>
          <w:color w:val="auto"/>
        </w:rPr>
        <w:t>. Each of the following terms has the meaning ascribed to it in the section set forth opposite such term:</w:t>
      </w:r>
    </w:p>
    <w:p>
      <w:pPr>
        <w:sectPr>
          <w:pgSz w:w="11900" w:h="16838" w:orient="portrait"/>
          <w:cols w:equalWidth="0" w:num="1">
            <w:col w:w="11004"/>
          </w:cols>
          <w:pgMar w:left="436" w:top="273" w:right="459" w:bottom="1440" w:gutter="0" w:footer="0" w:header="0"/>
        </w:sectPr>
      </w:pPr>
    </w:p>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Affected Party</w:t>
      </w: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ALX</w:t>
      </w: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ALX Background Technology</w:t>
      </w:r>
      <w:r>
        <w:rPr>
          <w:rFonts w:ascii="Arial" w:cs="Arial" w:eastAsia="Arial" w:hAnsi="Arial"/>
          <w:sz w:val="16"/>
          <w:szCs w:val="16"/>
          <w:color w:val="auto"/>
        </w:rPr>
        <w: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Designated Service Providers</w:t>
      </w:r>
      <w:r>
        <w:rPr>
          <w:rFonts w:ascii="Arial" w:cs="Arial" w:eastAsia="Arial" w:hAnsi="Arial"/>
          <w:sz w:val="15"/>
          <w:szCs w:val="15"/>
          <w:color w:val="auto"/>
        </w:rPr>
        <w:t>”</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Disadvantaged Party</w:t>
      </w: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FDA</w:t>
      </w: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Force Majeure</w:t>
      </w: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Technology</w:t>
      </w: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 Provider Costs</w:t>
      </w: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 Fee</w:t>
      </w: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Supplier(s)</w:t>
      </w: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Tallac</w:t>
      </w: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Section 2.5(a)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7.12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4.1(a)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4.2(a)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2.5(a)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7.12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4.1(b)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Attachment 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Attachment 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6.1</w:t>
      </w:r>
    </w:p>
    <w:p>
      <w:pPr>
        <w:spacing w:after="0" w:line="200" w:lineRule="exact"/>
        <w:rPr>
          <w:sz w:val="20"/>
          <w:szCs w:val="20"/>
          <w:color w:val="auto"/>
        </w:rPr>
      </w:pPr>
    </w:p>
    <w:p>
      <w:pPr>
        <w:sectPr>
          <w:pgSz w:w="11900" w:h="16838" w:orient="portrait"/>
          <w:cols w:equalWidth="0" w:num="2">
            <w:col w:w="3364" w:space="720"/>
            <w:col w:w="6920"/>
          </w:cols>
          <w:pgMar w:left="436" w:top="273" w:right="459" w:bottom="1440" w:gutter="0" w:footer="0" w:header="0"/>
          <w:type w:val="continuous"/>
        </w:sectPr>
      </w:pPr>
    </w:p>
    <w:p>
      <w:pPr>
        <w:spacing w:after="0" w:line="1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 SERVICES</w:t>
      </w:r>
    </w:p>
    <w:p>
      <w:pPr>
        <w:spacing w:after="0" w:line="117"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b w:val="1"/>
          <w:bCs w:val="1"/>
          <w:color w:val="auto"/>
        </w:rPr>
        <w:t>2.1 Development Services</w:t>
      </w:r>
      <w:r>
        <w:rPr>
          <w:rFonts w:ascii="Arial" w:cs="Arial" w:eastAsia="Arial" w:hAnsi="Arial"/>
          <w:sz w:val="17"/>
          <w:szCs w:val="17"/>
          <w:color w:val="auto"/>
        </w:rPr>
        <w:t>. During the Term, Tallac shall, at the request of ALX, provide to ALX the Services through the service providers set forth 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Attachment 3</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i w:val="1"/>
          <w:iCs w:val="1"/>
          <w:color w:val="auto"/>
        </w:rPr>
        <w:t>Designated Service Providers</w:t>
      </w:r>
      <w:r>
        <w:rPr>
          <w:rFonts w:ascii="Arial" w:cs="Arial" w:eastAsia="Arial" w:hAnsi="Arial"/>
          <w:sz w:val="17"/>
          <w:szCs w:val="17"/>
          <w:color w:val="auto"/>
        </w:rPr>
        <w:t>”), provided that Tallac may substitute an individual 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Attachment 3</w:t>
      </w:r>
      <w:r>
        <w:rPr>
          <w:rFonts w:ascii="Arial" w:cs="Arial" w:eastAsia="Arial" w:hAnsi="Arial"/>
          <w:sz w:val="17"/>
          <w:szCs w:val="17"/>
          <w:b w:val="1"/>
          <w:bCs w:val="1"/>
          <w:color w:val="auto"/>
        </w:rPr>
        <w:t xml:space="preserve"> </w:t>
      </w:r>
      <w:r>
        <w:rPr>
          <w:rFonts w:ascii="Arial" w:cs="Arial" w:eastAsia="Arial" w:hAnsi="Arial"/>
          <w:sz w:val="17"/>
          <w:szCs w:val="17"/>
          <w:color w:val="auto"/>
        </w:rPr>
        <w:t>with another service provider</w:t>
      </w:r>
      <w:r>
        <w:rPr>
          <w:rFonts w:ascii="Arial" w:cs="Arial" w:eastAsia="Arial" w:hAnsi="Arial"/>
          <w:sz w:val="17"/>
          <w:szCs w:val="17"/>
          <w:b w:val="1"/>
          <w:bCs w:val="1"/>
          <w:color w:val="auto"/>
        </w:rPr>
        <w:t xml:space="preserve"> </w:t>
      </w:r>
      <w:r>
        <w:rPr>
          <w:rFonts w:ascii="Arial" w:cs="Arial" w:eastAsia="Arial" w:hAnsi="Arial"/>
          <w:sz w:val="17"/>
          <w:szCs w:val="17"/>
          <w:color w:val="auto"/>
        </w:rPr>
        <w:t>of Tallac or add another individual as a Designated Service Provider, in each case with 15 days’ prior written notice to and consent by ALX, such consent not to be unreasonably withheld. The Services will be in the ALX Field, except to the extent set forth in any mutually agreed statement of work. Tallac agrees to use reasonable efforts to ensure that the Designated Service Providers will devote up to approximately twenty percent (20%) of their working time at Tallac to the performance of the Services (which amount may be less than twenty percent (20%) to the extent ALX does not request work amounting to approximately twenty percent (20%) or more than twenty percent (20%) to the extent requested by ALX and agreed upon by Tallac). Tallac shall also be responsible for preparing a detailed budget for the Services when requested by ALX. If required, each budget will be updated on a quarterly basis by Tallac and submitted to ALX for approval.</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3" w:right="459" w:bottom="1440" w:gutter="0" w:footer="0" w:header="0"/>
          <w:type w:val="continuous"/>
        </w:sectPr>
      </w:pPr>
    </w:p>
    <w:bookmarkStart w:id="515" w:name="page516"/>
    <w:bookmarkEnd w:id="515"/>
    <w:p>
      <w:pPr>
        <w:jc w:val="both"/>
        <w:ind w:left="4"/>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 Changes in Services or Budgeted Amounts</w:t>
      </w:r>
      <w:r>
        <w:rPr>
          <w:rFonts w:ascii="Arial" w:cs="Arial" w:eastAsia="Arial" w:hAnsi="Arial"/>
          <w:sz w:val="16"/>
          <w:szCs w:val="16"/>
          <w:color w:val="auto"/>
        </w:rPr>
        <w:t>. ALX may propose changes in the Services as reasonably required based upon the Results. Tallac may</w:t>
      </w:r>
      <w:r>
        <w:rPr>
          <w:rFonts w:ascii="Arial" w:cs="Arial" w:eastAsia="Arial" w:hAnsi="Arial"/>
          <w:sz w:val="16"/>
          <w:szCs w:val="16"/>
          <w:b w:val="1"/>
          <w:bCs w:val="1"/>
          <w:color w:val="auto"/>
        </w:rPr>
        <w:t xml:space="preserve"> </w:t>
      </w:r>
      <w:r>
        <w:rPr>
          <w:rFonts w:ascii="Arial" w:cs="Arial" w:eastAsia="Arial" w:hAnsi="Arial"/>
          <w:sz w:val="16"/>
          <w:szCs w:val="16"/>
          <w:color w:val="auto"/>
        </w:rPr>
        <w:t>also propose changes in the Services and adjustments to the corresponding budgeted amount based upon the Results with the consent of ALX.</w:t>
      </w:r>
    </w:p>
    <w:p>
      <w:pPr>
        <w:spacing w:after="0" w:line="116" w:lineRule="exact"/>
        <w:rPr>
          <w:sz w:val="20"/>
          <w:szCs w:val="20"/>
          <w:color w:val="auto"/>
        </w:rPr>
      </w:pPr>
    </w:p>
    <w:p>
      <w:pPr>
        <w:jc w:val="both"/>
        <w:ind w:left="4"/>
        <w:spacing w:after="0" w:line="303" w:lineRule="auto"/>
        <w:rPr>
          <w:sz w:val="20"/>
          <w:szCs w:val="20"/>
          <w:color w:val="auto"/>
        </w:rPr>
      </w:pPr>
      <w:r>
        <w:rPr>
          <w:rFonts w:ascii="Arial" w:cs="Arial" w:eastAsia="Arial" w:hAnsi="Arial"/>
          <w:sz w:val="16"/>
          <w:szCs w:val="16"/>
          <w:b w:val="1"/>
          <w:bCs w:val="1"/>
          <w:color w:val="auto"/>
        </w:rPr>
        <w:t>2.3 Use of Third Parties</w:t>
      </w:r>
      <w:r>
        <w:rPr>
          <w:rFonts w:ascii="Arial" w:cs="Arial" w:eastAsia="Arial" w:hAnsi="Arial"/>
          <w:sz w:val="16"/>
          <w:szCs w:val="16"/>
          <w:color w:val="auto"/>
        </w:rPr>
        <w:t>. Tallac may subcontract to one or more qualified third party suppliers (“</w:t>
      </w:r>
      <w:r>
        <w:rPr>
          <w:rFonts w:ascii="Arial" w:cs="Arial" w:eastAsia="Arial" w:hAnsi="Arial"/>
          <w:sz w:val="16"/>
          <w:szCs w:val="16"/>
          <w:b w:val="1"/>
          <w:bCs w:val="1"/>
          <w:i w:val="1"/>
          <w:iCs w:val="1"/>
          <w:color w:val="auto"/>
        </w:rPr>
        <w:t>Supplier(s)</w:t>
      </w:r>
      <w:r>
        <w:rPr>
          <w:rFonts w:ascii="Arial" w:cs="Arial" w:eastAsia="Arial" w:hAnsi="Arial"/>
          <w:sz w:val="16"/>
          <w:szCs w:val="16"/>
          <w:color w:val="auto"/>
        </w:rPr>
        <w:t>”) reasonably acceptable to ALX for those</w:t>
      </w:r>
      <w:r>
        <w:rPr>
          <w:rFonts w:ascii="Arial" w:cs="Arial" w:eastAsia="Arial" w:hAnsi="Arial"/>
          <w:sz w:val="16"/>
          <w:szCs w:val="16"/>
          <w:b w:val="1"/>
          <w:bCs w:val="1"/>
          <w:color w:val="auto"/>
        </w:rPr>
        <w:t xml:space="preserve"> </w:t>
      </w:r>
      <w:r>
        <w:rPr>
          <w:rFonts w:ascii="Arial" w:cs="Arial" w:eastAsia="Arial" w:hAnsi="Arial"/>
          <w:sz w:val="16"/>
          <w:szCs w:val="16"/>
          <w:color w:val="auto"/>
        </w:rPr>
        <w:t>portions of the Services that require the use of special personnel or equipment, provided that the subcontracting of such Services shall not limit or affect Tallac’s liabilities, responsibilities, obligations or duties under this Agreement, including but not limited to the obligations under Section 2.5 and Article 4 of this Agreement. Tallac shall provide ALX with notice of those third party Suppliers to which it subcontracts portions of the Services.</w:t>
      </w:r>
    </w:p>
    <w:p>
      <w:pPr>
        <w:spacing w:after="0" w:line="151" w:lineRule="exact"/>
        <w:rPr>
          <w:sz w:val="20"/>
          <w:szCs w:val="20"/>
          <w:color w:val="auto"/>
        </w:rPr>
      </w:pPr>
    </w:p>
    <w:p>
      <w:pPr>
        <w:jc w:val="both"/>
        <w:ind w:left="4"/>
        <w:spacing w:after="0" w:line="282" w:lineRule="auto"/>
        <w:rPr>
          <w:sz w:val="20"/>
          <w:szCs w:val="20"/>
          <w:color w:val="auto"/>
        </w:rPr>
      </w:pPr>
      <w:r>
        <w:rPr>
          <w:rFonts w:ascii="Arial" w:cs="Arial" w:eastAsia="Arial" w:hAnsi="Arial"/>
          <w:sz w:val="18"/>
          <w:szCs w:val="18"/>
          <w:b w:val="1"/>
          <w:bCs w:val="1"/>
          <w:color w:val="auto"/>
        </w:rPr>
        <w:t>2.4 ALX Assistance</w:t>
      </w:r>
      <w:r>
        <w:rPr>
          <w:rFonts w:ascii="Arial" w:cs="Arial" w:eastAsia="Arial" w:hAnsi="Arial"/>
          <w:sz w:val="18"/>
          <w:szCs w:val="18"/>
          <w:color w:val="auto"/>
        </w:rPr>
        <w:t>. ALX shall provide Tallac with certain assistance in connection with the Services, as Tallac reasonably requests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the Services.</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2.5 Diligence; Standards of Conduct</w:t>
      </w:r>
      <w:r>
        <w:rPr>
          <w:rFonts w:ascii="Arial" w:cs="Arial" w:eastAsia="Arial" w:hAnsi="Arial"/>
          <w:sz w:val="18"/>
          <w:szCs w:val="18"/>
          <w:color w:val="auto"/>
        </w:rPr>
        <w:t>.</w:t>
      </w:r>
    </w:p>
    <w:p>
      <w:pPr>
        <w:spacing w:after="0" w:line="121" w:lineRule="exact"/>
        <w:rPr>
          <w:sz w:val="20"/>
          <w:szCs w:val="20"/>
          <w:color w:val="auto"/>
        </w:rPr>
      </w:pPr>
    </w:p>
    <w:p>
      <w:pPr>
        <w:ind w:left="244" w:hanging="244"/>
        <w:spacing w:after="0"/>
        <w:tabs>
          <w:tab w:leader="none" w:pos="244" w:val="left"/>
        </w:tabs>
        <w:numPr>
          <w:ilvl w:val="0"/>
          <w:numId w:val="458"/>
        </w:numPr>
        <w:rPr>
          <w:rFonts w:ascii="Arial" w:cs="Arial" w:eastAsia="Arial" w:hAnsi="Arial"/>
          <w:sz w:val="17"/>
          <w:szCs w:val="17"/>
          <w:color w:val="auto"/>
        </w:rPr>
      </w:pPr>
      <w:r>
        <w:rPr>
          <w:rFonts w:ascii="Arial" w:cs="Arial" w:eastAsia="Arial" w:hAnsi="Arial"/>
          <w:sz w:val="17"/>
          <w:szCs w:val="17"/>
          <w:color w:val="auto"/>
        </w:rPr>
        <w:t>In performing the Services, Tallac shall comply with the instructions of ALX and standard operating procedures mutually approved by ALX and</w:t>
      </w:r>
    </w:p>
    <w:p>
      <w:pPr>
        <w:spacing w:after="0" w:line="34" w:lineRule="exact"/>
        <w:rPr>
          <w:rFonts w:ascii="Arial" w:cs="Arial" w:eastAsia="Arial" w:hAnsi="Arial"/>
          <w:sz w:val="17"/>
          <w:szCs w:val="17"/>
          <w:color w:val="auto"/>
        </w:rPr>
      </w:pPr>
    </w:p>
    <w:p>
      <w:pPr>
        <w:ind w:left="4" w:right="60"/>
        <w:spacing w:after="0" w:line="253" w:lineRule="auto"/>
        <w:rPr>
          <w:rFonts w:ascii="Arial" w:cs="Arial" w:eastAsia="Arial" w:hAnsi="Arial"/>
          <w:sz w:val="17"/>
          <w:szCs w:val="17"/>
          <w:color w:val="auto"/>
        </w:rPr>
      </w:pPr>
      <w:r>
        <w:rPr>
          <w:rFonts w:ascii="Arial" w:cs="Arial" w:eastAsia="Arial" w:hAnsi="Arial"/>
          <w:sz w:val="18"/>
          <w:szCs w:val="18"/>
          <w:color w:val="auto"/>
        </w:rPr>
        <w:t>Tallac. Tallac shall perform the Services, when appropriate, in a manner consistent with “Good Laboratory/Clinical Practices”, all relevant professional standards and applicable laws, rules and regulations, including, but not limited to, the U.S. Food, Drug and Cosmetic Act of 1934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and regulations promulgated thereunder by the U.S. Food and Drug Administration (the “</w:t>
      </w:r>
      <w:r>
        <w:rPr>
          <w:rFonts w:ascii="Arial" w:cs="Arial" w:eastAsia="Arial" w:hAnsi="Arial"/>
          <w:sz w:val="18"/>
          <w:szCs w:val="18"/>
          <w:b w:val="1"/>
          <w:bCs w:val="1"/>
          <w:i w:val="1"/>
          <w:iCs w:val="1"/>
          <w:color w:val="auto"/>
        </w:rPr>
        <w:t>FDA</w:t>
      </w:r>
      <w:r>
        <w:rPr>
          <w:rFonts w:ascii="Arial" w:cs="Arial" w:eastAsia="Arial" w:hAnsi="Arial"/>
          <w:sz w:val="18"/>
          <w:szCs w:val="18"/>
          <w:color w:val="auto"/>
        </w:rPr>
        <w:t>”) and, as applicable, regulations issued by other applicable Regulatory Authorities.</w:t>
      </w:r>
    </w:p>
    <w:p>
      <w:pPr>
        <w:spacing w:after="0" w:line="192" w:lineRule="exact"/>
        <w:rPr>
          <w:rFonts w:ascii="Arial" w:cs="Arial" w:eastAsia="Arial" w:hAnsi="Arial"/>
          <w:sz w:val="17"/>
          <w:szCs w:val="17"/>
          <w:color w:val="auto"/>
        </w:rPr>
      </w:pPr>
    </w:p>
    <w:p>
      <w:pPr>
        <w:ind w:left="4" w:right="20" w:hanging="4"/>
        <w:spacing w:after="0" w:line="257" w:lineRule="auto"/>
        <w:tabs>
          <w:tab w:leader="none" w:pos="259"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ALX will comply with all applicable laws and regulations pertaining to performance by ALX of its obligations under this Agreement, including, but not limited to, all relevant tax laws and regulations. Tallac will comply with all applicable laws and regulations pertaining to performance by Tallac of its obligations under this Agreement, including, but not limited to, all relevant tax laws and regulations. Neither Party shall be required to perform or omit to perform any act required or permitted under this Agreement if such performance or omission would violate the provisions of any such law or regulation.</w:t>
      </w:r>
    </w:p>
    <w:p>
      <w:pPr>
        <w:spacing w:after="0" w:line="187" w:lineRule="exact"/>
        <w:rPr>
          <w:rFonts w:ascii="Arial" w:cs="Arial" w:eastAsia="Arial" w:hAnsi="Arial"/>
          <w:sz w:val="18"/>
          <w:szCs w:val="18"/>
          <w:color w:val="auto"/>
        </w:rPr>
      </w:pPr>
    </w:p>
    <w:p>
      <w:pPr>
        <w:ind w:left="4" w:right="180" w:hanging="4"/>
        <w:spacing w:after="0" w:line="259" w:lineRule="auto"/>
        <w:tabs>
          <w:tab w:leader="none" w:pos="249"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Tallac shall have and maintain in full force and effect any and all licenses, permits, authorizations, registrations and qualifications from all governmental agencies, to the extent necessary or appropriate to perform its obligations under this Agreement. Tallac shall provide ALX with prompt written notice of any changes in any applicable law, rule, regulation or governmental order, which comes to Tallac’s attention that may affect either Party’s performance of its obligations hereunder.</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2.6 Records; Reports</w:t>
      </w:r>
      <w:r>
        <w:rPr>
          <w:rFonts w:ascii="Arial" w:cs="Arial" w:eastAsia="Arial" w:hAnsi="Arial"/>
          <w:sz w:val="18"/>
          <w:szCs w:val="18"/>
          <w:color w:val="auto"/>
        </w:rPr>
        <w:t>.</w:t>
      </w:r>
    </w:p>
    <w:p>
      <w:pPr>
        <w:spacing w:after="0" w:line="121" w:lineRule="exact"/>
        <w:rPr>
          <w:sz w:val="20"/>
          <w:szCs w:val="20"/>
          <w:color w:val="auto"/>
        </w:rPr>
      </w:pPr>
    </w:p>
    <w:p>
      <w:pPr>
        <w:ind w:left="4" w:right="100" w:hanging="4"/>
        <w:spacing w:after="0" w:line="254" w:lineRule="auto"/>
        <w:tabs>
          <w:tab w:leader="none" w:pos="249" w:val="left"/>
        </w:tabs>
        <w:numPr>
          <w:ilvl w:val="0"/>
          <w:numId w:val="459"/>
        </w:numPr>
        <w:rPr>
          <w:rFonts w:ascii="Arial" w:cs="Arial" w:eastAsia="Arial" w:hAnsi="Arial"/>
          <w:sz w:val="18"/>
          <w:szCs w:val="18"/>
          <w:color w:val="auto"/>
        </w:rPr>
      </w:pPr>
      <w:r>
        <w:rPr>
          <w:rFonts w:ascii="Arial" w:cs="Arial" w:eastAsia="Arial" w:hAnsi="Arial"/>
          <w:sz w:val="18"/>
          <w:szCs w:val="18"/>
          <w:color w:val="auto"/>
        </w:rPr>
        <w:t>During the Term and for three (3) years thereafter, Tallac shall maintain clear, accurate and complete records in respect of all Services, including, without limitation, detailed laboratory notebooks setting out experimental procedures and the resulting data, experimental reports, quality control records, analytical test results, progress reports, memoranda and correspondence (“</w:t>
      </w:r>
      <w:r>
        <w:rPr>
          <w:rFonts w:ascii="Arial" w:cs="Arial" w:eastAsia="Arial" w:hAnsi="Arial"/>
          <w:sz w:val="18"/>
          <w:szCs w:val="18"/>
          <w:b w:val="1"/>
          <w:bCs w:val="1"/>
          <w:i w:val="1"/>
          <w:iCs w:val="1"/>
          <w:color w:val="auto"/>
        </w:rPr>
        <w:t>Records</w:t>
      </w:r>
      <w:r>
        <w:rPr>
          <w:rFonts w:ascii="Arial" w:cs="Arial" w:eastAsia="Arial" w:hAnsi="Arial"/>
          <w:sz w:val="18"/>
          <w:szCs w:val="18"/>
          <w:color w:val="auto"/>
        </w:rPr>
        <w:t>”). Upon the written request of ALX, Tallac shall provide full, unredacted, electronic copies (or if electronic copies are not available, hard copies) of the Records (or any portion thereof requested by ALX) and ALX shall reimburse Tallac for the reasonable costs and expenses of the provision thereof. Without limiting the foregoing, Tallac shall provide written notice to ALX at least sixty (60) days prior to any destruction of the Records and upon ALX’s request, shall instead provide such Records to ALX at ALX’s cost and expense.</w:t>
      </w:r>
    </w:p>
    <w:p>
      <w:pPr>
        <w:spacing w:after="0" w:line="194" w:lineRule="exact"/>
        <w:rPr>
          <w:rFonts w:ascii="Arial" w:cs="Arial" w:eastAsia="Arial" w:hAnsi="Arial"/>
          <w:sz w:val="18"/>
          <w:szCs w:val="18"/>
          <w:color w:val="auto"/>
        </w:rPr>
      </w:pPr>
    </w:p>
    <w:p>
      <w:pPr>
        <w:ind w:left="4" w:right="200" w:hanging="4"/>
        <w:spacing w:after="0" w:line="277" w:lineRule="auto"/>
        <w:tabs>
          <w:tab w:leader="none" w:pos="259" w:val="left"/>
        </w:tabs>
        <w:numPr>
          <w:ilvl w:val="0"/>
          <w:numId w:val="459"/>
        </w:numPr>
        <w:rPr>
          <w:rFonts w:ascii="Arial" w:cs="Arial" w:eastAsia="Arial" w:hAnsi="Arial"/>
          <w:sz w:val="18"/>
          <w:szCs w:val="18"/>
          <w:color w:val="auto"/>
        </w:rPr>
      </w:pPr>
      <w:r>
        <w:rPr>
          <w:rFonts w:ascii="Arial" w:cs="Arial" w:eastAsia="Arial" w:hAnsi="Arial"/>
          <w:sz w:val="18"/>
          <w:szCs w:val="18"/>
          <w:color w:val="auto"/>
        </w:rPr>
        <w:t>Upon the written request of ALX during the Term, Tallac shall provide status reports in a form to be agreed upon between the Parties. Such status reports shall specify the progress that has been made with respect to any and all Services then ongoing.</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4"/>
          </w:cols>
          <w:pgMar w:left="436" w:top="269" w:right="519" w:bottom="1440" w:gutter="0" w:footer="0" w:header="0"/>
        </w:sectPr>
      </w:pPr>
    </w:p>
    <w:bookmarkStart w:id="516" w:name="page517"/>
    <w:bookmarkEnd w:id="5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 PRICING; PAYMENT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 Pricing</w:t>
      </w:r>
      <w:r>
        <w:rPr>
          <w:rFonts w:ascii="Arial" w:cs="Arial" w:eastAsia="Arial" w:hAnsi="Arial"/>
          <w:sz w:val="18"/>
          <w:szCs w:val="18"/>
          <w:color w:val="auto"/>
        </w:rPr>
        <w:t>. ALX shall pay Tallac a fee for providing the Services (the “</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calculated in accordance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Attachment 2</w:t>
      </w:r>
      <w:r>
        <w:rPr>
          <w:rFonts w:ascii="Arial" w:cs="Arial" w:eastAsia="Arial" w:hAnsi="Arial"/>
          <w:sz w:val="18"/>
          <w:szCs w:val="18"/>
          <w:color w:val="auto"/>
        </w:rPr>
        <w:t>.</w:t>
      </w:r>
    </w:p>
    <w:p>
      <w:pPr>
        <w:spacing w:after="0" w:line="225" w:lineRule="exact"/>
        <w:rPr>
          <w:sz w:val="20"/>
          <w:szCs w:val="20"/>
          <w:color w:val="auto"/>
        </w:rPr>
      </w:pPr>
    </w:p>
    <w:p>
      <w:pPr>
        <w:ind w:left="4" w:right="20"/>
        <w:spacing w:after="0" w:line="258" w:lineRule="auto"/>
        <w:rPr>
          <w:sz w:val="20"/>
          <w:szCs w:val="20"/>
          <w:color w:val="auto"/>
        </w:rPr>
      </w:pPr>
      <w:r>
        <w:rPr>
          <w:rFonts w:ascii="Arial" w:cs="Arial" w:eastAsia="Arial" w:hAnsi="Arial"/>
          <w:sz w:val="18"/>
          <w:szCs w:val="18"/>
          <w:b w:val="1"/>
          <w:bCs w:val="1"/>
          <w:color w:val="auto"/>
        </w:rPr>
        <w:t>3.2 Taxes and Withholding</w:t>
      </w:r>
      <w:r>
        <w:rPr>
          <w:rFonts w:ascii="Arial" w:cs="Arial" w:eastAsia="Arial" w:hAnsi="Arial"/>
          <w:sz w:val="18"/>
          <w:szCs w:val="18"/>
          <w:color w:val="auto"/>
        </w:rPr>
        <w:t>. If ALX is required by applicable law to make a payment to Tallac subject to a deduction of tax or withholding tax, the sum</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by ALX (in respect of which such deduction or withholding is required to be made) shall be made to Tallac after deduction of the amount required to be so deducted or withheld by the applicable tax authorities, which deducted or withheld amount shall be remitted to the applicable tax authorities in accordance with applicable law. Any such withholding taxes required to be paid or withheld shall be an expense of, and borne solely by, ALX.</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3.3 Payment</w:t>
      </w:r>
      <w:r>
        <w:rPr>
          <w:rFonts w:ascii="Arial" w:cs="Arial" w:eastAsia="Arial" w:hAnsi="Arial"/>
          <w:sz w:val="18"/>
          <w:szCs w:val="18"/>
          <w:color w:val="auto"/>
        </w:rPr>
        <w:t>.</w:t>
      </w:r>
    </w:p>
    <w:p>
      <w:pPr>
        <w:spacing w:after="0" w:line="121" w:lineRule="exact"/>
        <w:rPr>
          <w:sz w:val="20"/>
          <w:szCs w:val="20"/>
          <w:color w:val="auto"/>
        </w:rPr>
      </w:pPr>
    </w:p>
    <w:p>
      <w:pPr>
        <w:ind w:left="4" w:right="300" w:hanging="4"/>
        <w:spacing w:after="0" w:line="286" w:lineRule="auto"/>
        <w:tabs>
          <w:tab w:leader="none" w:pos="249" w:val="left"/>
        </w:tabs>
        <w:numPr>
          <w:ilvl w:val="0"/>
          <w:numId w:val="460"/>
        </w:numPr>
        <w:rPr>
          <w:rFonts w:ascii="Arial" w:cs="Arial" w:eastAsia="Arial" w:hAnsi="Arial"/>
          <w:sz w:val="17"/>
          <w:szCs w:val="17"/>
          <w:color w:val="auto"/>
        </w:rPr>
      </w:pPr>
      <w:r>
        <w:rPr>
          <w:rFonts w:ascii="Arial" w:cs="Arial" w:eastAsia="Arial" w:hAnsi="Arial"/>
          <w:sz w:val="17"/>
          <w:szCs w:val="17"/>
          <w:color w:val="auto"/>
        </w:rPr>
        <w:t>Tallac shall invoice ALX for the Compensation on a monthly basis or as otherwise mutually agreed by the Parties. Each invoice shall include, in reasonable detail, a description of the Services provided to ALX during the time period to which such invoice relates. Upon written request by ALX, Tallac shall provide ALX with copies of invoices from any subcontractors or Supplier(s) for such out-of-pocket expenses.</w:t>
      </w:r>
    </w:p>
    <w:p>
      <w:pPr>
        <w:spacing w:after="0" w:line="165" w:lineRule="exact"/>
        <w:rPr>
          <w:rFonts w:ascii="Arial" w:cs="Arial" w:eastAsia="Arial" w:hAnsi="Arial"/>
          <w:sz w:val="17"/>
          <w:szCs w:val="17"/>
          <w:color w:val="auto"/>
        </w:rPr>
      </w:pPr>
    </w:p>
    <w:p>
      <w:pPr>
        <w:ind w:left="264" w:hanging="264"/>
        <w:spacing w:after="0"/>
        <w:tabs>
          <w:tab w:leader="none" w:pos="26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ALX shall pay for Services within thirty (30) days following its receipt of Tallac’s invoice.</w:t>
      </w:r>
    </w:p>
    <w:p>
      <w:pPr>
        <w:spacing w:after="0" w:line="225" w:lineRule="exact"/>
        <w:rPr>
          <w:rFonts w:ascii="Arial" w:cs="Arial" w:eastAsia="Arial" w:hAnsi="Arial"/>
          <w:sz w:val="18"/>
          <w:szCs w:val="18"/>
          <w:color w:val="auto"/>
        </w:rPr>
      </w:pPr>
    </w:p>
    <w:p>
      <w:pPr>
        <w:ind w:left="4" w:right="300" w:hanging="4"/>
        <w:spacing w:after="0" w:line="277" w:lineRule="auto"/>
        <w:tabs>
          <w:tab w:leader="none" w:pos="249" w:val="left"/>
        </w:tabs>
        <w:numPr>
          <w:ilvl w:val="0"/>
          <w:numId w:val="460"/>
        </w:numPr>
        <w:rPr>
          <w:rFonts w:ascii="Arial" w:cs="Arial" w:eastAsia="Arial" w:hAnsi="Arial"/>
          <w:sz w:val="18"/>
          <w:szCs w:val="18"/>
          <w:color w:val="auto"/>
        </w:rPr>
      </w:pPr>
      <w:r>
        <w:rPr>
          <w:rFonts w:ascii="Arial" w:cs="Arial" w:eastAsia="Arial" w:hAnsi="Arial"/>
          <w:sz w:val="18"/>
          <w:szCs w:val="18"/>
          <w:color w:val="auto"/>
        </w:rPr>
        <w:t>Payment of the Compensation shall be made directly to Tallac or to a bank designated by Tallac by notice to ALX from time to time, and shall be made in United States Dollars.</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If ALX fails to make any undisputed payment when due, such payment shall bear interest at the Applicable Rate until paid in full.</w:t>
      </w:r>
    </w:p>
    <w:p>
      <w:pPr>
        <w:spacing w:after="0" w:line="221" w:lineRule="exact"/>
        <w:rPr>
          <w:sz w:val="20"/>
          <w:szCs w:val="20"/>
          <w:color w:val="auto"/>
        </w:rPr>
      </w:pPr>
    </w:p>
    <w:p>
      <w:pPr>
        <w:ind w:left="4"/>
        <w:spacing w:after="0" w:line="291" w:lineRule="auto"/>
        <w:rPr>
          <w:sz w:val="20"/>
          <w:szCs w:val="20"/>
          <w:color w:val="auto"/>
        </w:rPr>
      </w:pPr>
      <w:r>
        <w:rPr>
          <w:rFonts w:ascii="Arial" w:cs="Arial" w:eastAsia="Arial" w:hAnsi="Arial"/>
          <w:sz w:val="16"/>
          <w:szCs w:val="16"/>
          <w:b w:val="1"/>
          <w:bCs w:val="1"/>
          <w:color w:val="auto"/>
        </w:rPr>
        <w:t>3.4 Records</w:t>
      </w:r>
      <w:r>
        <w:rPr>
          <w:rFonts w:ascii="Arial" w:cs="Arial" w:eastAsia="Arial" w:hAnsi="Arial"/>
          <w:sz w:val="16"/>
          <w:szCs w:val="16"/>
          <w:color w:val="auto"/>
        </w:rPr>
        <w:t>. During the Term and for a period of two (2) years after any termination or expiration of the Term or for such longer period as required by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laws, rules or regulations, Tallac will maintain complete and accurate accounting books and records, prepared in accordance with U.S. GAAP, of all transactions relating to the subject matter of this Agreement in sufficient detail to permit ALX to confirm the accuracy of all costs and expenses incurred by Tallac in discharging its obligations under this Agreement and the compensation due to Tallac for each year. At the written request of ALX and at ALX’s expense, Tallac shall allow an independent accounting firm selected by ALX, to audit such accounting books and records maintained hereunder during Tallac’s regular business hours at Tallac’s place of business. In the event that such examination concludes that there has been an overpayment Tallac shall reimburse ALX for the cost of such audit, in addition to the repayment of such overpayment which shall be credited to ALX against future payments under this Agreement or a full repayment in the event the Agreement has been terminated.</w:t>
      </w:r>
    </w:p>
    <w:p>
      <w:pPr>
        <w:spacing w:after="0" w:line="267" w:lineRule="exact"/>
        <w:rPr>
          <w:sz w:val="20"/>
          <w:szCs w:val="20"/>
          <w:color w:val="auto"/>
        </w:rPr>
      </w:pPr>
    </w:p>
    <w:p>
      <w:pPr>
        <w:ind w:left="184" w:hanging="184"/>
        <w:spacing w:after="0"/>
        <w:tabs>
          <w:tab w:leader="none" w:pos="184"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RIGHTS; CONFIDENTIALITY</w:t>
      </w:r>
    </w:p>
    <w:p>
      <w:pPr>
        <w:spacing w:after="0" w:line="117"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 Proprietary Rights</w:t>
      </w:r>
      <w:r>
        <w:rPr>
          <w:rFonts w:ascii="Arial" w:cs="Arial" w:eastAsia="Arial" w:hAnsi="Arial"/>
          <w:sz w:val="18"/>
          <w:szCs w:val="18"/>
          <w:color w:val="auto"/>
        </w:rPr>
        <w:t>.</w:t>
      </w:r>
    </w:p>
    <w:p>
      <w:pPr>
        <w:spacing w:after="0" w:line="229" w:lineRule="exact"/>
        <w:rPr>
          <w:sz w:val="20"/>
          <w:szCs w:val="20"/>
          <w:color w:val="auto"/>
        </w:rPr>
      </w:pPr>
    </w:p>
    <w:p>
      <w:pPr>
        <w:ind w:left="4" w:right="180" w:hanging="4"/>
        <w:spacing w:after="0" w:line="286" w:lineRule="auto"/>
        <w:tabs>
          <w:tab w:leader="none" w:pos="249" w:val="left"/>
        </w:tabs>
        <w:numPr>
          <w:ilvl w:val="0"/>
          <w:numId w:val="462"/>
        </w:numPr>
        <w:rPr>
          <w:rFonts w:ascii="Arial" w:cs="Arial" w:eastAsia="Arial" w:hAnsi="Arial"/>
          <w:sz w:val="17"/>
          <w:szCs w:val="17"/>
          <w:color w:val="auto"/>
        </w:rPr>
      </w:pPr>
      <w:r>
        <w:rPr>
          <w:rFonts w:ascii="Arial" w:cs="Arial" w:eastAsia="Arial" w:hAnsi="Arial"/>
          <w:sz w:val="17"/>
          <w:szCs w:val="17"/>
          <w:color w:val="auto"/>
        </w:rPr>
        <w:t>Tallac acknowledges that it shall have no claim to any right, title, and interest in and to any technology, know-how, and inventions, and Intellectual Property relating thereto, owned or controlled by ALX prior to the Effective Date, except to the extent such technology, know-how, inventions or Intellectual Property relating thereto specifically relate to the Tallac Field (collectively, the “</w:t>
      </w:r>
      <w:r>
        <w:rPr>
          <w:rFonts w:ascii="Arial" w:cs="Arial" w:eastAsia="Arial" w:hAnsi="Arial"/>
          <w:sz w:val="17"/>
          <w:szCs w:val="17"/>
          <w:b w:val="1"/>
          <w:bCs w:val="1"/>
          <w:i w:val="1"/>
          <w:iCs w:val="1"/>
          <w:color w:val="auto"/>
        </w:rPr>
        <w:t>ALX Background Technology</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4" w:right="240" w:hanging="4"/>
        <w:spacing w:after="0" w:line="263" w:lineRule="auto"/>
        <w:tabs>
          <w:tab w:leader="none" w:pos="259"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Tallac further acknowledges that all right, title and interest in and to the ALX Technology shall be the property of ALX. Tallac hereby assigns and agrees to assign all right, title and interest in and to the ALX Technology to ALX. Tallac shall not have the right to use or otherwise exploit any ALX Technology except as required for the performance of the Services in accordance with this Agreement.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69" w:right="459" w:bottom="1440" w:gutter="0" w:footer="0" w:header="0"/>
        </w:sectPr>
      </w:pPr>
    </w:p>
    <w:bookmarkStart w:id="517" w:name="page518"/>
    <w:bookmarkEnd w:id="517"/>
    <w:p>
      <w:pPr>
        <w:ind w:left="4" w:hanging="4"/>
        <w:spacing w:after="0" w:line="291" w:lineRule="auto"/>
        <w:tabs>
          <w:tab w:leader="none" w:pos="249" w:val="left"/>
        </w:tabs>
        <w:numPr>
          <w:ilvl w:val="0"/>
          <w:numId w:val="4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Before retaining the services of any employee, consultant or Supplier, whether directly or indirectly, Tallac shall cause such employee, consultant or Supplier and all affiliated personnel performing any work in connection with the Services to enter into a written contract with Tallac pursuant to the terms of which every such person or entity agrees (i) to assign to Tallac ownership of all rights (or where not assignable, a waiver of all non-assignable rights) such person or entity may have with respect to all such ALX Technology (and any improvements or enhancements thereto), (ii) to take all actions necessary or useful to cause all such ALX Technology (and any improvements or enhancements thereto) to be assigned to Tallac for further assignment to ALX as provided in Section 4.1(b), and (iii) it is not been debarred under subsections 306(a) or (b) of the Federal Food, Drug, and Cosmetic Act and will not use in any capacity the services of any person debarred under such law with respect to the Services.</w:t>
      </w:r>
    </w:p>
    <w:p>
      <w:pPr>
        <w:spacing w:after="0" w:line="166" w:lineRule="exact"/>
        <w:rPr>
          <w:rFonts w:ascii="Arial" w:cs="Arial" w:eastAsia="Arial" w:hAnsi="Arial"/>
          <w:sz w:val="16"/>
          <w:szCs w:val="16"/>
          <w:color w:val="auto"/>
        </w:rPr>
      </w:pPr>
    </w:p>
    <w:p>
      <w:pPr>
        <w:ind w:left="4" w:right="220" w:hanging="4"/>
        <w:spacing w:after="0" w:line="277" w:lineRule="auto"/>
        <w:tabs>
          <w:tab w:leader="none" w:pos="259"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As between Tallac and ALX, Tallac shall retain ownership of the Tallac Technology. At the request of ALX, Tallac shall undertake to do all things and to execute all documents necessary to give effect to the provisions of this Section 4.1.</w:t>
      </w:r>
    </w:p>
    <w:p>
      <w:pPr>
        <w:spacing w:after="0" w:line="170" w:lineRule="exact"/>
        <w:rPr>
          <w:rFonts w:ascii="Arial" w:cs="Arial" w:eastAsia="Arial" w:hAnsi="Arial"/>
          <w:sz w:val="18"/>
          <w:szCs w:val="18"/>
          <w:color w:val="auto"/>
        </w:rPr>
      </w:pPr>
    </w:p>
    <w:p>
      <w:pPr>
        <w:ind w:left="4" w:right="260" w:hanging="4"/>
        <w:spacing w:after="0" w:line="277" w:lineRule="auto"/>
        <w:tabs>
          <w:tab w:leader="none" w:pos="249"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Tallac shall promptly disclose to ALX any ALX Technology that it becomes aware of that might, under applicable law, be patentable or otherwise protectable.</w:t>
      </w:r>
    </w:p>
    <w:p>
      <w:pPr>
        <w:spacing w:after="0" w:line="170" w:lineRule="exact"/>
        <w:rPr>
          <w:rFonts w:ascii="Arial" w:cs="Arial" w:eastAsia="Arial" w:hAnsi="Arial"/>
          <w:sz w:val="18"/>
          <w:szCs w:val="18"/>
          <w:color w:val="auto"/>
        </w:rPr>
      </w:pPr>
    </w:p>
    <w:p>
      <w:pPr>
        <w:ind w:left="4" w:right="440" w:hanging="4"/>
        <w:spacing w:after="0" w:line="277" w:lineRule="auto"/>
        <w:tabs>
          <w:tab w:leader="none" w:pos="229"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ALX shall have control over the filing, prosecution, maintenance, interference and every and all other aspects of the management of any and all patent, trademark and copyright applications for ALX Technology.</w:t>
      </w:r>
    </w:p>
    <w:p>
      <w:pPr>
        <w:spacing w:after="0" w:line="170" w:lineRule="exact"/>
        <w:rPr>
          <w:rFonts w:ascii="Arial" w:cs="Arial" w:eastAsia="Arial" w:hAnsi="Arial"/>
          <w:sz w:val="18"/>
          <w:szCs w:val="18"/>
          <w:color w:val="auto"/>
        </w:rPr>
      </w:pPr>
    </w:p>
    <w:p>
      <w:pPr>
        <w:ind w:left="4" w:right="60" w:hanging="4"/>
        <w:spacing w:after="0" w:line="259" w:lineRule="auto"/>
        <w:tabs>
          <w:tab w:leader="none" w:pos="259"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In the event that Tallac reasonably believes that a third party is or may be infringing, encroaching or violating any Intellectual Property Right owned or controlled by ALX, then Tallac shall promptly notify ALX in writing of such alleged infringement, encroachment or violation, and ALX shall have the sole right, in its sole discretion, to take or not take whatever action it believes is appropriate, without the obligation to do so, and shall have the sole right to control any resulting litigation.</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4.2 Confidentiality.</w:t>
      </w:r>
    </w:p>
    <w:p>
      <w:pPr>
        <w:spacing w:after="0" w:line="121" w:lineRule="exact"/>
        <w:rPr>
          <w:sz w:val="20"/>
          <w:szCs w:val="20"/>
          <w:color w:val="auto"/>
        </w:rPr>
      </w:pPr>
    </w:p>
    <w:p>
      <w:pPr>
        <w:ind w:left="4" w:right="500" w:hanging="4"/>
        <w:spacing w:after="0" w:line="287" w:lineRule="auto"/>
        <w:tabs>
          <w:tab w:leader="none" w:pos="249" w:val="left"/>
        </w:tabs>
        <w:numPr>
          <w:ilvl w:val="0"/>
          <w:numId w:val="4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means all information disclosed by one Party (the “</w:t>
      </w:r>
      <w:r>
        <w:rPr>
          <w:rFonts w:ascii="Arial" w:cs="Arial" w:eastAsia="Arial" w:hAnsi="Arial"/>
          <w:sz w:val="16"/>
          <w:szCs w:val="16"/>
          <w:b w:val="1"/>
          <w:bCs w:val="1"/>
          <w:i w:val="1"/>
          <w:iCs w:val="1"/>
          <w:color w:val="auto"/>
        </w:rPr>
        <w:t>Disclosing Party</w:t>
      </w:r>
      <w:r>
        <w:rPr>
          <w:rFonts w:ascii="Arial" w:cs="Arial" w:eastAsia="Arial" w:hAnsi="Arial"/>
          <w:sz w:val="16"/>
          <w:szCs w:val="16"/>
          <w:color w:val="auto"/>
        </w:rPr>
        <w:t>”) to the other Party (the “</w:t>
      </w:r>
      <w:r>
        <w:rPr>
          <w:rFonts w:ascii="Arial" w:cs="Arial" w:eastAsia="Arial" w:hAnsi="Arial"/>
          <w:sz w:val="16"/>
          <w:szCs w:val="16"/>
          <w:b w:val="1"/>
          <w:bCs w:val="1"/>
          <w:i w:val="1"/>
          <w:iCs w:val="1"/>
          <w:color w:val="auto"/>
        </w:rPr>
        <w:t>Receiving Party</w:t>
      </w:r>
      <w:r>
        <w:rPr>
          <w:rFonts w:ascii="Arial" w:cs="Arial" w:eastAsia="Arial" w:hAnsi="Arial"/>
          <w:sz w:val="16"/>
          <w:szCs w:val="16"/>
          <w:color w:val="auto"/>
        </w:rPr>
        <w:t>”) hereunder and relating to this Agreement, whether or not in writing or verbally, and whether or not marked or otherwise identified as confidential; including, without limitation, all technical and non-technical information conveyed from Disclosing Party to the Receiving Party in any form.</w:t>
      </w:r>
    </w:p>
    <w:p>
      <w:pPr>
        <w:spacing w:after="0" w:line="2" w:lineRule="exact"/>
        <w:rPr>
          <w:rFonts w:ascii="Arial" w:cs="Arial" w:eastAsia="Arial" w:hAnsi="Arial"/>
          <w:sz w:val="16"/>
          <w:szCs w:val="16"/>
          <w:color w:val="auto"/>
        </w:rPr>
      </w:pPr>
    </w:p>
    <w:p>
      <w:pPr>
        <w:ind w:left="4" w:right="100"/>
        <w:spacing w:after="0" w:line="255" w:lineRule="auto"/>
        <w:rPr>
          <w:rFonts w:ascii="Arial" w:cs="Arial" w:eastAsia="Arial" w:hAnsi="Arial"/>
          <w:sz w:val="16"/>
          <w:szCs w:val="16"/>
          <w:color w:val="auto"/>
        </w:rPr>
      </w:pPr>
      <w:r>
        <w:rPr>
          <w:rFonts w:ascii="Arial" w:cs="Arial" w:eastAsia="Arial" w:hAnsi="Arial"/>
          <w:sz w:val="18"/>
          <w:szCs w:val="18"/>
          <w:color w:val="auto"/>
        </w:rPr>
        <w:t>Notwithstanding the foregoing, the ALX Technology shall be the Confidential Information of ALX and the Tallac Technology shall be the Confidential Information of Tallac. Notwithstanding any other provisions herein, Confidential Information does not include information which, to the extent the Receiving Party can prove by competent evidence,</w:t>
      </w:r>
    </w:p>
    <w:p>
      <w:pPr>
        <w:spacing w:after="0" w:line="81" w:lineRule="exact"/>
        <w:rPr>
          <w:rFonts w:ascii="Arial" w:cs="Arial" w:eastAsia="Arial" w:hAnsi="Arial"/>
          <w:sz w:val="16"/>
          <w:szCs w:val="16"/>
          <w:color w:val="auto"/>
        </w:rPr>
      </w:pPr>
    </w:p>
    <w:p>
      <w:pPr>
        <w:ind w:left="784" w:hanging="344"/>
        <w:spacing w:after="0"/>
        <w:tabs>
          <w:tab w:leader="none" w:pos="784" w:val="left"/>
        </w:tabs>
        <w:numPr>
          <w:ilvl w:val="1"/>
          <w:numId w:val="464"/>
        </w:numPr>
        <w:rPr>
          <w:rFonts w:ascii="Arial" w:cs="Arial" w:eastAsia="Arial" w:hAnsi="Arial"/>
          <w:sz w:val="18"/>
          <w:szCs w:val="18"/>
          <w:color w:val="auto"/>
        </w:rPr>
      </w:pPr>
      <w:r>
        <w:rPr>
          <w:rFonts w:ascii="Arial" w:cs="Arial" w:eastAsia="Arial" w:hAnsi="Arial"/>
          <w:sz w:val="18"/>
          <w:szCs w:val="18"/>
          <w:color w:val="auto"/>
        </w:rPr>
        <w:t>at the time of its disclosure is publicly known;</w:t>
      </w:r>
    </w:p>
    <w:p>
      <w:pPr>
        <w:spacing w:after="0" w:line="117" w:lineRule="exact"/>
        <w:rPr>
          <w:rFonts w:ascii="Arial" w:cs="Arial" w:eastAsia="Arial" w:hAnsi="Arial"/>
          <w:sz w:val="18"/>
          <w:szCs w:val="18"/>
          <w:color w:val="auto"/>
        </w:rPr>
      </w:pPr>
    </w:p>
    <w:p>
      <w:pPr>
        <w:ind w:left="844" w:hanging="404"/>
        <w:spacing w:after="0"/>
        <w:tabs>
          <w:tab w:leader="none" w:pos="844" w:val="left"/>
        </w:tabs>
        <w:numPr>
          <w:ilvl w:val="1"/>
          <w:numId w:val="464"/>
        </w:numPr>
        <w:rPr>
          <w:rFonts w:ascii="Arial" w:cs="Arial" w:eastAsia="Arial" w:hAnsi="Arial"/>
          <w:sz w:val="18"/>
          <w:szCs w:val="18"/>
          <w:color w:val="auto"/>
        </w:rPr>
      </w:pPr>
      <w:r>
        <w:rPr>
          <w:rFonts w:ascii="Arial" w:cs="Arial" w:eastAsia="Arial" w:hAnsi="Arial"/>
          <w:sz w:val="18"/>
          <w:szCs w:val="18"/>
          <w:color w:val="auto"/>
        </w:rPr>
        <w:t>after its disclosure hereunder, becomes publicly known by publication or otherwise, except in breach of this agreement;</w:t>
      </w:r>
    </w:p>
    <w:p>
      <w:pPr>
        <w:spacing w:after="0" w:line="117" w:lineRule="exact"/>
        <w:rPr>
          <w:rFonts w:ascii="Arial" w:cs="Arial" w:eastAsia="Arial" w:hAnsi="Arial"/>
          <w:sz w:val="18"/>
          <w:szCs w:val="18"/>
          <w:color w:val="auto"/>
        </w:rPr>
      </w:pPr>
    </w:p>
    <w:p>
      <w:pPr>
        <w:ind w:left="444" w:right="20" w:hanging="4"/>
        <w:spacing w:after="0" w:line="263" w:lineRule="auto"/>
        <w:tabs>
          <w:tab w:leader="none" w:pos="894" w:val="left"/>
        </w:tabs>
        <w:numPr>
          <w:ilvl w:val="1"/>
          <w:numId w:val="464"/>
        </w:numPr>
        <w:rPr>
          <w:rFonts w:ascii="Arial" w:cs="Arial" w:eastAsia="Arial" w:hAnsi="Arial"/>
          <w:sz w:val="18"/>
          <w:szCs w:val="18"/>
          <w:color w:val="auto"/>
        </w:rPr>
      </w:pPr>
      <w:r>
        <w:rPr>
          <w:rFonts w:ascii="Arial" w:cs="Arial" w:eastAsia="Arial" w:hAnsi="Arial"/>
          <w:sz w:val="18"/>
          <w:szCs w:val="18"/>
          <w:color w:val="auto"/>
        </w:rPr>
        <w:t>the Receiving Party can conclusively establish with contemporaneous records was in its or its Affiliates’ possession at the time of disclosure hereunder or was subsequently and independently developed by its or its Affiliates’ employees who had no knowledge of Confidential Information disclosed hereunder; or</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3" w:right="459" w:bottom="1440" w:gutter="0" w:footer="0" w:header="0"/>
        </w:sectPr>
      </w:pPr>
    </w:p>
    <w:bookmarkStart w:id="518" w:name="page519"/>
    <w:bookmarkEnd w:id="518"/>
    <w:p>
      <w:pPr>
        <w:ind w:left="444" w:right="200" w:hanging="4"/>
        <w:spacing w:after="0" w:line="277" w:lineRule="auto"/>
        <w:tabs>
          <w:tab w:leader="none" w:pos="884" w:val="left"/>
        </w:tabs>
        <w:numPr>
          <w:ilvl w:val="1"/>
          <w:numId w:val="4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Receiving Party or its Affiliates receives from a third party not under obligation or duty of confidentiality, directly or indirectly, to the other Party hereto.</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466"/>
        </w:numPr>
        <w:rPr>
          <w:rFonts w:ascii="Arial" w:cs="Arial" w:eastAsia="Arial" w:hAnsi="Arial"/>
          <w:sz w:val="17"/>
          <w:szCs w:val="17"/>
          <w:color w:val="auto"/>
        </w:rPr>
      </w:pPr>
      <w:r>
        <w:rPr>
          <w:rFonts w:ascii="Arial" w:cs="Arial" w:eastAsia="Arial" w:hAnsi="Arial"/>
          <w:sz w:val="17"/>
          <w:szCs w:val="17"/>
          <w:color w:val="auto"/>
        </w:rPr>
        <w:t>Confidential Information disclosed by a Disclosing Party to a Receiving Party hereunder remains the sole property of the Disclosing Party.</w:t>
      </w:r>
    </w:p>
    <w:p>
      <w:pPr>
        <w:spacing w:after="0" w:line="236" w:lineRule="exact"/>
        <w:rPr>
          <w:rFonts w:ascii="Arial" w:cs="Arial" w:eastAsia="Arial" w:hAnsi="Arial"/>
          <w:sz w:val="17"/>
          <w:szCs w:val="17"/>
          <w:color w:val="auto"/>
        </w:rPr>
      </w:pPr>
    </w:p>
    <w:p>
      <w:pPr>
        <w:ind w:left="244" w:hanging="244"/>
        <w:spacing w:after="0"/>
        <w:tabs>
          <w:tab w:leader="none" w:pos="24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During the Term and for a period of ten (10) years thereafter, the Receiving Party shall:</w:t>
      </w:r>
    </w:p>
    <w:p>
      <w:pPr>
        <w:spacing w:after="0" w:line="117" w:lineRule="exact"/>
        <w:rPr>
          <w:rFonts w:ascii="Arial" w:cs="Arial" w:eastAsia="Arial" w:hAnsi="Arial"/>
          <w:sz w:val="18"/>
          <w:szCs w:val="18"/>
          <w:color w:val="auto"/>
        </w:rPr>
      </w:pPr>
    </w:p>
    <w:p>
      <w:pPr>
        <w:ind w:left="444" w:right="480" w:hanging="4"/>
        <w:spacing w:after="0" w:line="277" w:lineRule="auto"/>
        <w:tabs>
          <w:tab w:leader="none" w:pos="794" w:val="left"/>
        </w:tabs>
        <w:numPr>
          <w:ilvl w:val="1"/>
          <w:numId w:val="466"/>
        </w:numPr>
        <w:rPr>
          <w:rFonts w:ascii="Arial" w:cs="Arial" w:eastAsia="Arial" w:hAnsi="Arial"/>
          <w:sz w:val="18"/>
          <w:szCs w:val="18"/>
          <w:color w:val="auto"/>
        </w:rPr>
      </w:pPr>
      <w:r>
        <w:rPr>
          <w:rFonts w:ascii="Arial" w:cs="Arial" w:eastAsia="Arial" w:hAnsi="Arial"/>
          <w:sz w:val="18"/>
          <w:szCs w:val="18"/>
          <w:color w:val="auto"/>
        </w:rPr>
        <w:t>take all reasonable steps to hold in trust and confidence Confidential Information of the Disclosing Party and not use such Confidential Information except for the limited purposes set forth in this Agreement;</w:t>
      </w:r>
    </w:p>
    <w:p>
      <w:pPr>
        <w:spacing w:after="0" w:line="62" w:lineRule="exact"/>
        <w:rPr>
          <w:rFonts w:ascii="Arial" w:cs="Arial" w:eastAsia="Arial" w:hAnsi="Arial"/>
          <w:sz w:val="18"/>
          <w:szCs w:val="18"/>
          <w:color w:val="auto"/>
        </w:rPr>
      </w:pPr>
    </w:p>
    <w:p>
      <w:pPr>
        <w:ind w:left="444" w:right="80" w:hanging="4"/>
        <w:spacing w:after="0" w:line="291" w:lineRule="auto"/>
        <w:tabs>
          <w:tab w:leader="none" w:pos="844" w:val="left"/>
        </w:tabs>
        <w:numPr>
          <w:ilvl w:val="1"/>
          <w:numId w:val="466"/>
        </w:numPr>
        <w:rPr>
          <w:rFonts w:ascii="Arial" w:cs="Arial" w:eastAsia="Arial" w:hAnsi="Arial"/>
          <w:sz w:val="16"/>
          <w:szCs w:val="16"/>
          <w:color w:val="auto"/>
        </w:rPr>
      </w:pPr>
      <w:r>
        <w:rPr>
          <w:rFonts w:ascii="Arial" w:cs="Arial" w:eastAsia="Arial" w:hAnsi="Arial"/>
          <w:sz w:val="16"/>
          <w:szCs w:val="16"/>
          <w:color w:val="auto"/>
        </w:rPr>
        <w:t>not disclose the Confidential Information of the Disclosing Party, except to those of its employees, consultants, contractors, subcontractors and agents who (A) require access to such Confidential Information for purposes of the Receiving Party performing its obligations hereunder and</w:t>
      </w:r>
    </w:p>
    <w:p>
      <w:pPr>
        <w:ind w:left="444"/>
        <w:spacing w:after="0"/>
        <w:rPr>
          <w:rFonts w:ascii="Arial" w:cs="Arial" w:eastAsia="Arial" w:hAnsi="Arial"/>
          <w:sz w:val="16"/>
          <w:szCs w:val="16"/>
          <w:color w:val="auto"/>
        </w:rPr>
      </w:pPr>
      <w:r>
        <w:rPr>
          <w:rFonts w:ascii="Arial" w:cs="Arial" w:eastAsia="Arial" w:hAnsi="Arial"/>
          <w:sz w:val="18"/>
          <w:szCs w:val="18"/>
          <w:color w:val="auto"/>
        </w:rPr>
        <w:t>(B) have been informed of the limitations on use and disclosure of such Confidential Information created by this Agreement; and</w:t>
      </w:r>
    </w:p>
    <w:p>
      <w:pPr>
        <w:spacing w:after="0" w:line="102" w:lineRule="exact"/>
        <w:rPr>
          <w:rFonts w:ascii="Arial" w:cs="Arial" w:eastAsia="Arial" w:hAnsi="Arial"/>
          <w:sz w:val="16"/>
          <w:szCs w:val="16"/>
          <w:color w:val="auto"/>
        </w:rPr>
      </w:pPr>
    </w:p>
    <w:p>
      <w:pPr>
        <w:ind w:left="884" w:hanging="444"/>
        <w:spacing w:after="0"/>
        <w:tabs>
          <w:tab w:leader="none" w:pos="884" w:val="left"/>
        </w:tabs>
        <w:numPr>
          <w:ilvl w:val="1"/>
          <w:numId w:val="466"/>
        </w:numPr>
        <w:rPr>
          <w:rFonts w:ascii="Arial" w:cs="Arial" w:eastAsia="Arial" w:hAnsi="Arial"/>
          <w:sz w:val="18"/>
          <w:szCs w:val="18"/>
          <w:color w:val="auto"/>
        </w:rPr>
      </w:pPr>
      <w:r>
        <w:rPr>
          <w:rFonts w:ascii="Arial" w:cs="Arial" w:eastAsia="Arial" w:hAnsi="Arial"/>
          <w:sz w:val="18"/>
          <w:szCs w:val="18"/>
          <w:color w:val="auto"/>
        </w:rPr>
        <w:t>take all reasonable steps to prevent unauthorized disclosure or use of Confidential Information of the Disclosing Party;</w:t>
      </w:r>
    </w:p>
    <w:p>
      <w:pPr>
        <w:spacing w:after="0" w:line="225"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provided, however, that, with respect to any of Confidential Information that is a trade secret, such obligations shall survive and continue for so long as such information qualifies as a trade secret under applicable law.</w:t>
      </w:r>
    </w:p>
    <w:p>
      <w:pPr>
        <w:spacing w:after="0" w:line="170" w:lineRule="exact"/>
        <w:rPr>
          <w:sz w:val="20"/>
          <w:szCs w:val="20"/>
          <w:color w:val="auto"/>
        </w:rPr>
      </w:pPr>
    </w:p>
    <w:p>
      <w:pPr>
        <w:ind w:left="4" w:right="60" w:hanging="4"/>
        <w:spacing w:after="0" w:line="301" w:lineRule="auto"/>
        <w:tabs>
          <w:tab w:leader="none" w:pos="259" w:val="left"/>
        </w:tabs>
        <w:numPr>
          <w:ilvl w:val="0"/>
          <w:numId w:val="467"/>
        </w:numPr>
        <w:rPr>
          <w:rFonts w:ascii="Arial" w:cs="Arial" w:eastAsia="Arial" w:hAnsi="Arial"/>
          <w:sz w:val="16"/>
          <w:szCs w:val="16"/>
          <w:color w:val="auto"/>
        </w:rPr>
      </w:pPr>
      <w:r>
        <w:rPr>
          <w:rFonts w:ascii="Arial" w:cs="Arial" w:eastAsia="Arial" w:hAnsi="Arial"/>
          <w:sz w:val="16"/>
          <w:szCs w:val="16"/>
          <w:color w:val="auto"/>
        </w:rPr>
        <w:t>No provision of this Agreement shall be construed to preclude such disclosure of Confidential Information if the Receiving Party (or its Affiliates, employees, consultants, contractors, subcontractors and agents) is required to disclose Confidential Information by order or requirement of a court, administrative agency, or other governmental body, provided the Receiving Party (or its employees, consultants, contractors, subcontractors and agents) shall provide the Disclosing Party prompt notice thereof to enable the Disclosing Party to seek a protective order or otherwise prevent such disclosure</w:t>
      </w:r>
    </w:p>
    <w:p>
      <w:pPr>
        <w:spacing w:after="0" w:line="157" w:lineRule="exact"/>
        <w:rPr>
          <w:rFonts w:ascii="Arial" w:cs="Arial" w:eastAsia="Arial" w:hAnsi="Arial"/>
          <w:sz w:val="16"/>
          <w:szCs w:val="16"/>
          <w:color w:val="auto"/>
        </w:rPr>
      </w:pPr>
    </w:p>
    <w:p>
      <w:pPr>
        <w:ind w:left="4" w:hanging="4"/>
        <w:spacing w:after="0" w:line="257" w:lineRule="auto"/>
        <w:tabs>
          <w:tab w:leader="none" w:pos="249" w:val="left"/>
        </w:tabs>
        <w:numPr>
          <w:ilvl w:val="0"/>
          <w:numId w:val="467"/>
        </w:numPr>
        <w:rPr>
          <w:rFonts w:ascii="Arial" w:cs="Arial" w:eastAsia="Arial" w:hAnsi="Arial"/>
          <w:sz w:val="18"/>
          <w:szCs w:val="18"/>
          <w:color w:val="auto"/>
        </w:rPr>
      </w:pPr>
      <w:r>
        <w:rPr>
          <w:rFonts w:ascii="Arial" w:cs="Arial" w:eastAsia="Arial" w:hAnsi="Arial"/>
          <w:sz w:val="18"/>
          <w:szCs w:val="18"/>
          <w:color w:val="auto"/>
        </w:rPr>
        <w:t>Each Party acknowledges and agrees that, disclosure of Confidential Information contrary to the terms of this Agreement may cause significant harm and injury to Disclosing Party and agrees that the Disclosing Party shall have the right, in addition to any other rights available under applicable law, to seek from any tribunal of competent jurisdiction (i) injunctive relief to enjoin any breach or violation or (ii) specific performance of the provisions of this Agreement to specifically enforce, any covenant or obligation of such Party under such provisions, without the necessity of posting any bond or security.</w:t>
      </w:r>
    </w:p>
    <w:p>
      <w:pPr>
        <w:spacing w:after="0" w:line="187" w:lineRule="exact"/>
        <w:rPr>
          <w:rFonts w:ascii="Arial" w:cs="Arial" w:eastAsia="Arial" w:hAnsi="Arial"/>
          <w:sz w:val="18"/>
          <w:szCs w:val="18"/>
          <w:color w:val="auto"/>
        </w:rPr>
      </w:pPr>
    </w:p>
    <w:p>
      <w:pPr>
        <w:ind w:left="4" w:right="60" w:hanging="4"/>
        <w:spacing w:after="0" w:line="311" w:lineRule="auto"/>
        <w:tabs>
          <w:tab w:leader="none" w:pos="229" w:val="left"/>
        </w:tabs>
        <w:numPr>
          <w:ilvl w:val="0"/>
          <w:numId w:val="467"/>
        </w:numPr>
        <w:rPr>
          <w:rFonts w:ascii="Arial" w:cs="Arial" w:eastAsia="Arial" w:hAnsi="Arial"/>
          <w:sz w:val="16"/>
          <w:szCs w:val="16"/>
          <w:color w:val="auto"/>
        </w:rPr>
      </w:pPr>
      <w:r>
        <w:rPr>
          <w:rFonts w:ascii="Arial" w:cs="Arial" w:eastAsia="Arial" w:hAnsi="Arial"/>
          <w:sz w:val="16"/>
          <w:szCs w:val="16"/>
          <w:color w:val="auto"/>
        </w:rPr>
        <w:t>It is understood and agreed by the Parties that Confidential Information shall not include any portion of such information or data that: (i) is disclosed to the Receiving Party by a third person who is under no obligation of confidentiality to the Disclosing Party with respect to such information and who otherwise has a right to make such disclosure; or (ii) is or becomes generally known in the trade through no fault of the Receiving Party.</w:t>
      </w:r>
    </w:p>
    <w:p>
      <w:pPr>
        <w:spacing w:after="0" w:line="145" w:lineRule="exact"/>
        <w:rPr>
          <w:sz w:val="20"/>
          <w:szCs w:val="20"/>
          <w:color w:val="auto"/>
        </w:rPr>
      </w:pPr>
    </w:p>
    <w:p>
      <w:pPr>
        <w:ind w:left="4" w:right="120"/>
        <w:spacing w:after="0" w:line="258" w:lineRule="auto"/>
        <w:rPr>
          <w:sz w:val="20"/>
          <w:szCs w:val="20"/>
          <w:color w:val="auto"/>
        </w:rPr>
      </w:pPr>
      <w:r>
        <w:rPr>
          <w:rFonts w:ascii="Arial" w:cs="Arial" w:eastAsia="Arial" w:hAnsi="Arial"/>
          <w:sz w:val="18"/>
          <w:szCs w:val="18"/>
          <w:b w:val="1"/>
          <w:bCs w:val="1"/>
          <w:color w:val="auto"/>
        </w:rPr>
        <w:t>4.3 Return of Confidential Information</w:t>
      </w:r>
      <w:r>
        <w:rPr>
          <w:rFonts w:ascii="Arial" w:cs="Arial" w:eastAsia="Arial" w:hAnsi="Arial"/>
          <w:sz w:val="18"/>
          <w:szCs w:val="18"/>
          <w:color w:val="auto"/>
        </w:rPr>
        <w:t>. On the termination of this Agreement, or upon the Disclosing Party’s earlier request, the Receiving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return or destroy any Confidential Information of the Disclosing Party in its possession; provided that the Receiving Party: (i) may retain one complete set to ensure compliance with its obligations under this Agreement, for its corporate governance and secretarial purposes, and for compliance by it with the applicable rules of professional bodies; (ii) shall not be required to destroy back-up computer files created in the ordinary course of business; and (iii) may, in its discretion,</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3" w:right="479" w:bottom="1440" w:gutter="0" w:footer="0" w:header="0"/>
        </w:sectPr>
      </w:pPr>
    </w:p>
    <w:bookmarkStart w:id="519" w:name="page520"/>
    <w:bookmarkEnd w:id="519"/>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destroy any of its own work product containing Confidential Information of the Disclosing Party that it is not entitled to retain under (i) or (ii) above.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Receiving Party shall confirm in writing that it has complied with the obligations set forth in this Section 4.3.</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 REPRESENTATIONS AND WARRANTIES</w:t>
      </w:r>
    </w:p>
    <w:p>
      <w:pPr>
        <w:spacing w:after="0" w:line="117" w:lineRule="exact"/>
        <w:rPr>
          <w:sz w:val="20"/>
          <w:szCs w:val="20"/>
          <w:color w:val="auto"/>
        </w:rPr>
      </w:pPr>
    </w:p>
    <w:p>
      <w:pPr>
        <w:ind w:left="4" w:right="120"/>
        <w:spacing w:after="0" w:line="261" w:lineRule="auto"/>
        <w:rPr>
          <w:sz w:val="20"/>
          <w:szCs w:val="20"/>
          <w:color w:val="auto"/>
        </w:rPr>
      </w:pPr>
      <w:r>
        <w:rPr>
          <w:rFonts w:ascii="Arial" w:cs="Arial" w:eastAsia="Arial" w:hAnsi="Arial"/>
          <w:sz w:val="18"/>
          <w:szCs w:val="18"/>
          <w:b w:val="1"/>
          <w:bCs w:val="1"/>
          <w:color w:val="auto"/>
        </w:rPr>
        <w:t>5.1 Authorization</w:t>
      </w:r>
      <w:r>
        <w:rPr>
          <w:rFonts w:ascii="Arial" w:cs="Arial" w:eastAsia="Arial" w:hAnsi="Arial"/>
          <w:sz w:val="18"/>
          <w:szCs w:val="18"/>
          <w:color w:val="auto"/>
        </w:rPr>
        <w:t>. Each of ALX and Tallac represents and warrants to the other that: (a) it is duly organized, validly existing and in good 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laws of its organizing jurisdiction; (b) it has all requisite power and authority, corporate and otherwise, to execute and deliver this Agreement and to perform its obligations hereunder; (c) it is (by all necessary corporate action) duly authorized to execute and deliver this Agreement and to perform its obligations hereunder and consummate the transactions contemplated hereby.</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5.2 Binding Obligation</w:t>
      </w:r>
      <w:r>
        <w:rPr>
          <w:rFonts w:ascii="Arial" w:cs="Arial" w:eastAsia="Arial" w:hAnsi="Arial"/>
          <w:sz w:val="18"/>
          <w:szCs w:val="18"/>
          <w:color w:val="auto"/>
        </w:rPr>
        <w:t>.</w:t>
      </w:r>
    </w:p>
    <w:p>
      <w:pPr>
        <w:spacing w:after="0" w:line="121" w:lineRule="exact"/>
        <w:rPr>
          <w:sz w:val="20"/>
          <w:szCs w:val="20"/>
          <w:color w:val="auto"/>
        </w:rPr>
      </w:pPr>
    </w:p>
    <w:p>
      <w:pPr>
        <w:ind w:left="4" w:right="160" w:hanging="4"/>
        <w:spacing w:after="0" w:line="308" w:lineRule="auto"/>
        <w:tabs>
          <w:tab w:leader="none" w:pos="249" w:val="left"/>
        </w:tabs>
        <w:numPr>
          <w:ilvl w:val="0"/>
          <w:numId w:val="468"/>
        </w:numPr>
        <w:rPr>
          <w:rFonts w:ascii="Arial" w:cs="Arial" w:eastAsia="Arial" w:hAnsi="Arial"/>
          <w:sz w:val="17"/>
          <w:szCs w:val="17"/>
          <w:color w:val="auto"/>
        </w:rPr>
      </w:pPr>
      <w:r>
        <w:rPr>
          <w:rFonts w:ascii="Arial" w:cs="Arial" w:eastAsia="Arial" w:hAnsi="Arial"/>
          <w:sz w:val="17"/>
          <w:szCs w:val="17"/>
          <w:color w:val="auto"/>
        </w:rPr>
        <w:t>This Agreement is the valid and legally binding obligation of Tallac in accordance with its terms, subject to bankruptcy, reorganization, insolvency, moratorium and similar laws and to general principles of equity which are within the discretion of courts of applicable jurisdiction.</w:t>
      </w:r>
    </w:p>
    <w:p>
      <w:pPr>
        <w:spacing w:after="0" w:line="146" w:lineRule="exact"/>
        <w:rPr>
          <w:rFonts w:ascii="Arial" w:cs="Arial" w:eastAsia="Arial" w:hAnsi="Arial"/>
          <w:sz w:val="17"/>
          <w:szCs w:val="17"/>
          <w:color w:val="auto"/>
        </w:rPr>
      </w:pPr>
    </w:p>
    <w:p>
      <w:pPr>
        <w:ind w:left="4" w:right="220" w:hanging="4"/>
        <w:spacing w:after="0" w:line="308" w:lineRule="auto"/>
        <w:tabs>
          <w:tab w:leader="none" w:pos="259" w:val="left"/>
        </w:tabs>
        <w:numPr>
          <w:ilvl w:val="0"/>
          <w:numId w:val="468"/>
        </w:numPr>
        <w:rPr>
          <w:rFonts w:ascii="Arial" w:cs="Arial" w:eastAsia="Arial" w:hAnsi="Arial"/>
          <w:sz w:val="17"/>
          <w:szCs w:val="17"/>
          <w:color w:val="auto"/>
        </w:rPr>
      </w:pPr>
      <w:r>
        <w:rPr>
          <w:rFonts w:ascii="Arial" w:cs="Arial" w:eastAsia="Arial" w:hAnsi="Arial"/>
          <w:sz w:val="17"/>
          <w:szCs w:val="17"/>
          <w:color w:val="auto"/>
        </w:rPr>
        <w:t>This Agreement is the valid and legally binding obligation of ALX in accordance with its terms, subject to bankruptcy, reorganization, insolvency, moratorium and similar laws and to general principles of equity which are within the discretion of courts of applicable jurisdiction.</w:t>
      </w:r>
    </w:p>
    <w:p>
      <w:pPr>
        <w:spacing w:after="0" w:line="142" w:lineRule="exact"/>
        <w:rPr>
          <w:sz w:val="20"/>
          <w:szCs w:val="20"/>
          <w:color w:val="auto"/>
        </w:rPr>
      </w:pPr>
    </w:p>
    <w:p>
      <w:pPr>
        <w:ind w:left="4"/>
        <w:spacing w:after="0" w:line="274" w:lineRule="auto"/>
        <w:rPr>
          <w:sz w:val="20"/>
          <w:szCs w:val="20"/>
          <w:color w:val="auto"/>
        </w:rPr>
      </w:pPr>
      <w:r>
        <w:rPr>
          <w:rFonts w:ascii="Arial" w:cs="Arial" w:eastAsia="Arial" w:hAnsi="Arial"/>
          <w:sz w:val="17"/>
          <w:szCs w:val="17"/>
          <w:b w:val="1"/>
          <w:bCs w:val="1"/>
          <w:color w:val="auto"/>
        </w:rPr>
        <w:t>5.3 Independent Contractor</w:t>
      </w:r>
      <w:r>
        <w:rPr>
          <w:rFonts w:ascii="Arial" w:cs="Arial" w:eastAsia="Arial" w:hAnsi="Arial"/>
          <w:sz w:val="17"/>
          <w:szCs w:val="17"/>
          <w:color w:val="auto"/>
        </w:rPr>
        <w:t>. Tallac shall perform its obligations under this Agreement as an independent contractor and shall be solely responsible for</w:t>
      </w:r>
      <w:r>
        <w:rPr>
          <w:rFonts w:ascii="Arial" w:cs="Arial" w:eastAsia="Arial" w:hAnsi="Arial"/>
          <w:sz w:val="17"/>
          <w:szCs w:val="17"/>
          <w:b w:val="1"/>
          <w:bCs w:val="1"/>
          <w:color w:val="auto"/>
        </w:rPr>
        <w:t xml:space="preserve"> </w:t>
      </w:r>
      <w:r>
        <w:rPr>
          <w:rFonts w:ascii="Arial" w:cs="Arial" w:eastAsia="Arial" w:hAnsi="Arial"/>
          <w:sz w:val="17"/>
          <w:szCs w:val="17"/>
          <w:color w:val="auto"/>
        </w:rPr>
        <w:t>its own financial obligations. Tallac shall be solely responsible for, and shall indemnify and hold ALX free and harmless from, any and all claims, damages or lawsuits arising out of the acts of any Designated Service Provider, or any of Tallac’s employees or agents, except to the extent arising out of the acts of ALX or any of its employees or agents. Nothing in this Agreement shall be construed to imply a joint venture or principal and agent relationship between the Parties, and neither Party shall, by virtue of this Agreement, have any right, power or authority to direct and control the day-to-day activities of the other or create any obligation, express or implied, on behalf of the other.</w:t>
      </w:r>
    </w:p>
    <w:p>
      <w:pPr>
        <w:spacing w:after="0" w:line="173" w:lineRule="exact"/>
        <w:rPr>
          <w:sz w:val="20"/>
          <w:szCs w:val="20"/>
          <w:color w:val="auto"/>
        </w:rPr>
      </w:pPr>
    </w:p>
    <w:p>
      <w:pPr>
        <w:jc w:val="both"/>
        <w:ind w:left="4" w:right="160"/>
        <w:spacing w:after="0" w:line="266" w:lineRule="auto"/>
        <w:rPr>
          <w:sz w:val="20"/>
          <w:szCs w:val="20"/>
          <w:color w:val="auto"/>
        </w:rPr>
      </w:pPr>
      <w:r>
        <w:rPr>
          <w:rFonts w:ascii="Arial" w:cs="Arial" w:eastAsia="Arial" w:hAnsi="Arial"/>
          <w:sz w:val="18"/>
          <w:szCs w:val="18"/>
          <w:b w:val="1"/>
          <w:bCs w:val="1"/>
          <w:color w:val="auto"/>
        </w:rPr>
        <w:t>5.4 Tallac Authorization with Respect to Third Parties</w:t>
      </w:r>
      <w:r>
        <w:rPr>
          <w:rFonts w:ascii="Arial" w:cs="Arial" w:eastAsia="Arial" w:hAnsi="Arial"/>
          <w:sz w:val="18"/>
          <w:szCs w:val="18"/>
          <w:color w:val="auto"/>
        </w:rPr>
        <w:t>. Tallac shall at all times hold itself out to third parties as an independent contractor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make any representations to any third party that it has the right under this Agreement to assume or create any obligation of any kind, either express or implied, on behalf of ALX. Tallac shall not take any action that would legally bind ALX.</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5.5 Limitation of Liability</w:t>
      </w:r>
      <w:r>
        <w:rPr>
          <w:rFonts w:ascii="Arial" w:cs="Arial" w:eastAsia="Arial" w:hAnsi="Arial"/>
          <w:sz w:val="18"/>
          <w:szCs w:val="18"/>
          <w:color w:val="auto"/>
        </w:rPr>
        <w:t>.</w:t>
      </w:r>
    </w:p>
    <w:p>
      <w:pPr>
        <w:spacing w:after="0" w:line="121" w:lineRule="exact"/>
        <w:rPr>
          <w:sz w:val="20"/>
          <w:szCs w:val="20"/>
          <w:color w:val="auto"/>
        </w:rPr>
      </w:pPr>
    </w:p>
    <w:p>
      <w:pPr>
        <w:ind w:left="4" w:right="20" w:hanging="4"/>
        <w:spacing w:after="0" w:line="253" w:lineRule="auto"/>
        <w:tabs>
          <w:tab w:leader="none" w:pos="249" w:val="left"/>
        </w:tabs>
        <w:numPr>
          <w:ilvl w:val="0"/>
          <w:numId w:val="469"/>
        </w:numPr>
        <w:rPr>
          <w:rFonts w:ascii="Arial" w:cs="Arial" w:eastAsia="Arial" w:hAnsi="Arial"/>
          <w:sz w:val="18"/>
          <w:szCs w:val="18"/>
          <w:color w:val="auto"/>
        </w:rPr>
      </w:pPr>
      <w:r>
        <w:rPr>
          <w:rFonts w:ascii="Arial" w:cs="Arial" w:eastAsia="Arial" w:hAnsi="Arial"/>
          <w:sz w:val="18"/>
          <w:szCs w:val="18"/>
          <w:color w:val="auto"/>
        </w:rPr>
        <w:t>NEITHER PARTY SHALL BE LIABLE FOR ANY INDIRECT, CONSEQUENTIAL, SPECIAL OR PUNITIVE DAMAGES, INCLUDING WITHOUT LIMITATION LOSS OF BUSINESS OR LOSS OF USE, ARISING OUT OF THE BREACH BY A PARTY OF ITS OBLIGATIONS SET FORTH IN THIS AGREEMENT, WHETHER OR NOT FORESEEABLE AND WHETHER OR NOT A PARTY IS ADVISED OF THE POSSIBILITY OF SUCH DAMAGES; PROVIDED, HOWEVER, THAT THE FOREGOING LIMITATION OF LIABILITY SHALL NOT APPLY WITH RESPECT TO ANY BREACH OF SECTION 4.2 (CONFIDENTIALITY) OR DAMAGES ARISING FROM FRAUD, GROSS NEGLIGENCE OR WILLFUL MISCONDUCT. IN NO EVENT SHALL TALLAC BE LIABLE TO ALX FOR ANY LOSS ARISING UNDER OR IN CONNECTION WITH THIS AGREEMENT IN RESPECT OF ANY LOSS OF PROFIT, OPPORTUNITY, BUSINESS, SAVING OR GOODWILL (IN EACH CASE WHETHER DIRECT OR INDIRECT), AND EACH TYPE OF LOSS ARISING UNDER THIS SECTION 5.5(a) SHALL BE SEVERABLE IN ACCORDANCE WITH SECTION 7.7.</w:t>
      </w:r>
    </w:p>
    <w:p>
      <w:pPr>
        <w:spacing w:after="0" w:line="1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3" w:right="459" w:bottom="1440" w:gutter="0" w:footer="0" w:header="0"/>
        </w:sectPr>
      </w:pPr>
    </w:p>
    <w:bookmarkStart w:id="520" w:name="page521"/>
    <w:bookmarkEnd w:id="520"/>
    <w:p>
      <w:pPr>
        <w:ind w:left="4" w:right="180" w:hanging="4"/>
        <w:spacing w:after="0" w:line="291" w:lineRule="auto"/>
        <w:tabs>
          <w:tab w:leader="none" w:pos="259" w:val="left"/>
        </w:tabs>
        <w:numPr>
          <w:ilvl w:val="0"/>
          <w:numId w:val="4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of a material error by Tallac that prevents the proper performance of the Services or which renders the Services unacceptable to a regulatory authority to which ALX intends to submit the Results, Tallac’s sole obligation to ALX shall be for Tallac, in agreement with ALX to either:</w:t>
      </w:r>
    </w:p>
    <w:p>
      <w:pPr>
        <w:ind w:left="244" w:hanging="244"/>
        <w:spacing w:after="0"/>
        <w:tabs>
          <w:tab w:leader="none" w:pos="244" w:val="left"/>
        </w:tabs>
        <w:numPr>
          <w:ilvl w:val="0"/>
          <w:numId w:val="471"/>
        </w:numPr>
        <w:rPr>
          <w:rFonts w:ascii="Arial" w:cs="Arial" w:eastAsia="Arial" w:hAnsi="Arial"/>
          <w:sz w:val="17"/>
          <w:szCs w:val="17"/>
          <w:color w:val="auto"/>
        </w:rPr>
      </w:pPr>
      <w:r>
        <w:rPr>
          <w:rFonts w:ascii="Arial" w:cs="Arial" w:eastAsia="Arial" w:hAnsi="Arial"/>
          <w:sz w:val="17"/>
          <w:szCs w:val="17"/>
          <w:color w:val="auto"/>
        </w:rPr>
        <w:t>repeat the defective part of the Services at Tallac’s own cost, or (b) refund to ALX the amounts paid for the defective part of the Services.</w:t>
      </w:r>
    </w:p>
    <w:p>
      <w:pPr>
        <w:spacing w:after="0" w:line="222" w:lineRule="exact"/>
        <w:rPr>
          <w:rFonts w:ascii="Arial" w:cs="Arial" w:eastAsia="Arial" w:hAnsi="Arial"/>
          <w:sz w:val="17"/>
          <w:szCs w:val="17"/>
          <w:color w:val="auto"/>
        </w:rPr>
      </w:pPr>
    </w:p>
    <w:p>
      <w:pPr>
        <w:ind w:left="4" w:right="780" w:hanging="4"/>
        <w:spacing w:after="0" w:line="277" w:lineRule="auto"/>
        <w:tabs>
          <w:tab w:leader="none" w:pos="249" w:val="left"/>
        </w:tabs>
        <w:numPr>
          <w:ilvl w:val="0"/>
          <w:numId w:val="472"/>
        </w:numPr>
        <w:rPr>
          <w:rFonts w:ascii="Arial" w:cs="Arial" w:eastAsia="Arial" w:hAnsi="Arial"/>
          <w:sz w:val="18"/>
          <w:szCs w:val="18"/>
          <w:color w:val="auto"/>
        </w:rPr>
      </w:pPr>
      <w:r>
        <w:rPr>
          <w:rFonts w:ascii="Arial" w:cs="Arial" w:eastAsia="Arial" w:hAnsi="Arial"/>
          <w:sz w:val="18"/>
          <w:szCs w:val="18"/>
          <w:color w:val="auto"/>
        </w:rPr>
        <w:t>Each Party’s total liability to the other Party, whether in contract, tort (including negligence) or otherwise under this Agreement shall in no circumstances exceed two (2) times the total amount of fees paid by ALX for the applicable Services.</w:t>
      </w:r>
    </w:p>
    <w:p>
      <w:pPr>
        <w:spacing w:after="0" w:line="170" w:lineRule="exact"/>
        <w:rPr>
          <w:rFonts w:ascii="Arial" w:cs="Arial" w:eastAsia="Arial" w:hAnsi="Arial"/>
          <w:sz w:val="18"/>
          <w:szCs w:val="18"/>
          <w:color w:val="auto"/>
        </w:rPr>
      </w:pPr>
    </w:p>
    <w:p>
      <w:pPr>
        <w:ind w:left="4" w:right="100" w:hanging="4"/>
        <w:spacing w:after="0" w:line="277" w:lineRule="auto"/>
        <w:tabs>
          <w:tab w:leader="none" w:pos="259"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Tallac shall not be liable for any failure, error or delay in performing the Services if such failure, error or delay is caused by ALX or is a result of an express instruction from ALX or a change in ALX information.</w:t>
      </w:r>
    </w:p>
    <w:p>
      <w:pPr>
        <w:spacing w:after="0" w:line="170" w:lineRule="exact"/>
        <w:rPr>
          <w:rFonts w:ascii="Arial" w:cs="Arial" w:eastAsia="Arial" w:hAnsi="Arial"/>
          <w:sz w:val="18"/>
          <w:szCs w:val="18"/>
          <w:color w:val="auto"/>
        </w:rPr>
      </w:pPr>
    </w:p>
    <w:p>
      <w:pPr>
        <w:ind w:left="4" w:hanging="4"/>
        <w:spacing w:after="0" w:line="287" w:lineRule="auto"/>
        <w:tabs>
          <w:tab w:leader="none" w:pos="249" w:val="left"/>
        </w:tabs>
        <w:numPr>
          <w:ilvl w:val="0"/>
          <w:numId w:val="472"/>
        </w:numPr>
        <w:rPr>
          <w:rFonts w:ascii="Arial" w:cs="Arial" w:eastAsia="Arial" w:hAnsi="Arial"/>
          <w:sz w:val="16"/>
          <w:szCs w:val="16"/>
          <w:color w:val="auto"/>
        </w:rPr>
      </w:pPr>
      <w:r>
        <w:rPr>
          <w:rFonts w:ascii="Arial" w:cs="Arial" w:eastAsia="Arial" w:hAnsi="Arial"/>
          <w:sz w:val="16"/>
          <w:szCs w:val="16"/>
          <w:color w:val="auto"/>
        </w:rPr>
        <w:t>Except with respect to any stock options granted to any Designated Service Providers under ALX’s 2020 Equity Incentive Plan prior to the Effective Date (the “</w:t>
      </w:r>
      <w:r>
        <w:rPr>
          <w:rFonts w:ascii="Arial" w:cs="Arial" w:eastAsia="Arial" w:hAnsi="Arial"/>
          <w:sz w:val="16"/>
          <w:szCs w:val="16"/>
          <w:b w:val="1"/>
          <w:bCs w:val="1"/>
          <w:i w:val="1"/>
          <w:iCs w:val="1"/>
          <w:color w:val="auto"/>
        </w:rPr>
        <w:t>Options</w:t>
      </w:r>
      <w:r>
        <w:rPr>
          <w:rFonts w:ascii="Arial" w:cs="Arial" w:eastAsia="Arial" w:hAnsi="Arial"/>
          <w:sz w:val="16"/>
          <w:szCs w:val="16"/>
          <w:color w:val="auto"/>
        </w:rPr>
        <w:t>”) with respect to which, for the avoidance of doubt, the provisions of such plan and applicable option agreements thereunder govern, ALX will not withhold any tax (income, employment or otherwise) or Social Security payments due with respect to any Designated Service Providers or any other employees of Tallac, to any governmental taxing authority. Tallac hereby accepts full and exclusive liability for the payment of any and all contributions and taxes imposed by the provisions of the Internal Revenue Code of 1986, as amended, the Federal Social Security Act, the California Revenue and Taxation Code and the California Unemployment Insurance law, and any and all contributions, taxes or penalties for disability insurance, unemployment insurance or old age retirement benefits, pensions or annuities, now or hereafter imposed by the government of the United States or the government of any state which are measured by the wages, salaries, or other remuneration paid to any Designated Service Providers or any other employees of Tallac, other than any Options. Tallac agrees to indemnify, defend, and hold ALX harmless from any liability for, or assessment of, any claims, demands, deficiencies, interest, assessment, executions, judgments, recoveries or penalties by any government agency against Tallac for any amounts claimed due on account of failure to pay or delayed payment of local, state or federal taxes in connection with payments and any other consideration provided to or on behalf of Tallac under this Agreement, other than any Options.</w:t>
      </w:r>
    </w:p>
    <w:p>
      <w:pPr>
        <w:spacing w:after="0" w:line="167" w:lineRule="exact"/>
        <w:rPr>
          <w:rFonts w:ascii="Arial" w:cs="Arial" w:eastAsia="Arial" w:hAnsi="Arial"/>
          <w:sz w:val="16"/>
          <w:szCs w:val="16"/>
          <w:color w:val="auto"/>
        </w:rPr>
      </w:pPr>
    </w:p>
    <w:p>
      <w:pPr>
        <w:ind w:left="4" w:right="160" w:hanging="4"/>
        <w:spacing w:after="0" w:line="275" w:lineRule="auto"/>
        <w:tabs>
          <w:tab w:leader="none" w:pos="229" w:val="left"/>
        </w:tabs>
        <w:numPr>
          <w:ilvl w:val="0"/>
          <w:numId w:val="472"/>
        </w:numPr>
        <w:rPr>
          <w:rFonts w:ascii="Arial" w:cs="Arial" w:eastAsia="Arial" w:hAnsi="Arial"/>
          <w:sz w:val="17"/>
          <w:szCs w:val="17"/>
          <w:color w:val="auto"/>
        </w:rPr>
      </w:pPr>
      <w:r>
        <w:rPr>
          <w:rFonts w:ascii="Arial" w:cs="Arial" w:eastAsia="Arial" w:hAnsi="Arial"/>
          <w:sz w:val="17"/>
          <w:szCs w:val="17"/>
          <w:color w:val="auto"/>
        </w:rPr>
        <w:t>Except with respect to any Options, Tallac acknowledges and agrees that, in connection with any services provided under this Agreement, the Designated Service Providers, and any other Tallac employees who provide services under this Agreement, will not be eligible for any ALX employee benefits and, to the extent any Designated Service Providers and any other Tallac employees otherwise would be eligible for any ALX employee benefits but for the express terms of this Agreement, Tallac (on behalf of any Designated Service Providers and any other Tallac employees) hereby expressly declines participation by such individuals in such ALX employee benefits.</w:t>
      </w:r>
    </w:p>
    <w:p>
      <w:pPr>
        <w:spacing w:after="0" w:line="172" w:lineRule="exact"/>
        <w:rPr>
          <w:sz w:val="20"/>
          <w:szCs w:val="20"/>
          <w:color w:val="auto"/>
        </w:rPr>
      </w:pPr>
    </w:p>
    <w:p>
      <w:pPr>
        <w:ind w:left="4" w:right="160"/>
        <w:spacing w:after="0" w:line="281" w:lineRule="auto"/>
        <w:rPr>
          <w:sz w:val="20"/>
          <w:szCs w:val="20"/>
          <w:color w:val="auto"/>
        </w:rPr>
      </w:pPr>
      <w:r>
        <w:rPr>
          <w:rFonts w:ascii="Arial" w:cs="Arial" w:eastAsia="Arial" w:hAnsi="Arial"/>
          <w:sz w:val="17"/>
          <w:szCs w:val="17"/>
          <w:b w:val="1"/>
          <w:bCs w:val="1"/>
          <w:color w:val="auto"/>
        </w:rPr>
        <w:t>5.6 Disclaimer</w:t>
      </w:r>
      <w:r>
        <w:rPr>
          <w:rFonts w:ascii="Arial" w:cs="Arial" w:eastAsia="Arial" w:hAnsi="Arial"/>
          <w:sz w:val="17"/>
          <w:szCs w:val="17"/>
          <w:color w:val="auto"/>
        </w:rPr>
        <w:t>. EXCEPT FOR THE WARRANTIES PROVIDED IN THIS ARTICLE 5 AND SUBJECT TO ANY RULES OF 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THAT MAY NOT BE WAIVED, ANY AND ALL WARRANTIES AS TO THE SERVICES, THE NEW TECHNOLOGY AND THE EXISTING TECHNOLOGY, INCLUDING IMPLIED WARRANTIES OF MERCHANTABILITY AND FITNESS FOR A PARTICULAR PURPOSE OR USE, AND NON-INFRINGEMENT ARE SPECIFICALLY DISCLAIMED, EXCLUDED, WAIVED AND NEGATED.</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3" w:right="459" w:bottom="1440" w:gutter="0" w:footer="0" w:header="0"/>
        </w:sectPr>
      </w:pPr>
    </w:p>
    <w:bookmarkStart w:id="521" w:name="page522"/>
    <w:bookmarkEnd w:id="52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 TERM AND TERMINATION</w:t>
      </w:r>
    </w:p>
    <w:p>
      <w:pPr>
        <w:spacing w:after="0" w:line="117" w:lineRule="exact"/>
        <w:rPr>
          <w:sz w:val="20"/>
          <w:szCs w:val="20"/>
          <w:color w:val="auto"/>
        </w:rPr>
      </w:pPr>
    </w:p>
    <w:p>
      <w:pPr>
        <w:ind w:left="4" w:right="500"/>
        <w:spacing w:after="0" w:line="293" w:lineRule="auto"/>
        <w:rPr>
          <w:sz w:val="20"/>
          <w:szCs w:val="20"/>
          <w:color w:val="auto"/>
        </w:rPr>
      </w:pPr>
      <w:r>
        <w:rPr>
          <w:rFonts w:ascii="Arial" w:cs="Arial" w:eastAsia="Arial" w:hAnsi="Arial"/>
          <w:sz w:val="16"/>
          <w:szCs w:val="16"/>
          <w:b w:val="1"/>
          <w:bCs w:val="1"/>
          <w:color w:val="auto"/>
        </w:rPr>
        <w:t>6.1 Term</w:t>
      </w:r>
      <w:r>
        <w:rPr>
          <w:rFonts w:ascii="Arial" w:cs="Arial" w:eastAsia="Arial" w:hAnsi="Arial"/>
          <w:sz w:val="16"/>
          <w:szCs w:val="16"/>
          <w:color w:val="auto"/>
        </w:rPr>
        <w:t>. This Agreement shall take effect as the Effective Date and shall remain in effect for an initial period of four (4) years, unless sooner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in accordance with Section 6.2 (the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 At the end of the fixed term, this Agreement shall renew automatically for additional one</w:t>
      </w:r>
    </w:p>
    <w:p>
      <w:pPr>
        <w:spacing w:after="0" w:line="1" w:lineRule="exact"/>
        <w:rPr>
          <w:sz w:val="20"/>
          <w:szCs w:val="20"/>
          <w:color w:val="auto"/>
        </w:rPr>
      </w:pPr>
    </w:p>
    <w:p>
      <w:pPr>
        <w:ind w:left="4" w:right="640" w:hanging="4"/>
        <w:spacing w:after="0" w:line="260" w:lineRule="auto"/>
        <w:tabs>
          <w:tab w:leader="none" w:pos="259" w:val="left"/>
        </w:tabs>
        <w:numPr>
          <w:ilvl w:val="0"/>
          <w:numId w:val="473"/>
        </w:numPr>
        <w:rPr>
          <w:rFonts w:ascii="Arial" w:cs="Arial" w:eastAsia="Arial" w:hAnsi="Arial"/>
          <w:sz w:val="18"/>
          <w:szCs w:val="18"/>
          <w:color w:val="auto"/>
        </w:rPr>
      </w:pPr>
      <w:r>
        <w:rPr>
          <w:rFonts w:ascii="Arial" w:cs="Arial" w:eastAsia="Arial" w:hAnsi="Arial"/>
          <w:sz w:val="18"/>
          <w:szCs w:val="18"/>
          <w:color w:val="auto"/>
        </w:rPr>
        <w:t>year terms (subject to earlier termination under the provisions of this Article 6), unless, prior to the date of any automatic renewal, one Party provides at least thirty (30) days’ advance written notice of non-renewal to the other Party.</w:t>
      </w:r>
    </w:p>
    <w:p>
      <w:pPr>
        <w:spacing w:after="0" w:line="181" w:lineRule="exact"/>
        <w:rPr>
          <w:sz w:val="20"/>
          <w:szCs w:val="20"/>
          <w:color w:val="auto"/>
        </w:rPr>
      </w:pPr>
    </w:p>
    <w:p>
      <w:pPr>
        <w:ind w:left="4" w:right="20"/>
        <w:spacing w:after="0" w:line="258" w:lineRule="auto"/>
        <w:rPr>
          <w:sz w:val="20"/>
          <w:szCs w:val="20"/>
          <w:color w:val="auto"/>
        </w:rPr>
      </w:pPr>
      <w:r>
        <w:rPr>
          <w:rFonts w:ascii="Arial" w:cs="Arial" w:eastAsia="Arial" w:hAnsi="Arial"/>
          <w:sz w:val="18"/>
          <w:szCs w:val="18"/>
          <w:b w:val="1"/>
          <w:bCs w:val="1"/>
          <w:color w:val="auto"/>
        </w:rPr>
        <w:t>6.2 Termination of Agreement for Cause</w:t>
      </w:r>
      <w:r>
        <w:rPr>
          <w:rFonts w:ascii="Arial" w:cs="Arial" w:eastAsia="Arial" w:hAnsi="Arial"/>
          <w:sz w:val="18"/>
          <w:szCs w:val="18"/>
          <w:color w:val="auto"/>
        </w:rPr>
        <w:t>. Either Party may terminate this Agreement at any time upon sixty (60) days’ notice to the other Party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that the other Party shall have breached any of its material obligations under this Agreement and shall not have cured such default prior to the expiration of the 60-day period. Termination of this Agreement shall not result in termination any Services then being delivered on an active basis, which shall remain in force until completed or terminated as provided in Section 6.3. If either Party desires to terminate this Agreement and all Services, it shall so state in its notice of termination.</w:t>
      </w:r>
    </w:p>
    <w:p>
      <w:pPr>
        <w:spacing w:after="0" w:line="183" w:lineRule="exact"/>
        <w:rPr>
          <w:sz w:val="20"/>
          <w:szCs w:val="20"/>
          <w:color w:val="auto"/>
        </w:rPr>
      </w:pPr>
    </w:p>
    <w:p>
      <w:pPr>
        <w:ind w:left="4" w:right="240"/>
        <w:spacing w:after="0" w:line="255" w:lineRule="auto"/>
        <w:rPr>
          <w:sz w:val="20"/>
          <w:szCs w:val="20"/>
          <w:color w:val="auto"/>
        </w:rPr>
      </w:pPr>
      <w:r>
        <w:rPr>
          <w:rFonts w:ascii="Arial" w:cs="Arial" w:eastAsia="Arial" w:hAnsi="Arial"/>
          <w:sz w:val="18"/>
          <w:szCs w:val="18"/>
          <w:b w:val="1"/>
          <w:bCs w:val="1"/>
          <w:color w:val="auto"/>
        </w:rPr>
        <w:t>6.3 Termination of Service(s) for Cause</w:t>
      </w:r>
      <w:r>
        <w:rPr>
          <w:rFonts w:ascii="Arial" w:cs="Arial" w:eastAsia="Arial" w:hAnsi="Arial"/>
          <w:sz w:val="18"/>
          <w:szCs w:val="18"/>
          <w:color w:val="auto"/>
        </w:rPr>
        <w:t>. Either Party may terminate any Service(s) at any time upon sixty (60) days’ notice to the other Party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that the other Party shall have breached any of its material obligations under this Agreement and shall not have cured such default prior to the expiration of the 60-day period. Termination of any Service(s) shall not result in termination of this Agreement or any other Service(s) then being delivered on an active basis, which shall remain in force until completed or terminated as provided in Sections 6.2 and 6.3. If either Party desires to terminate this Agreement and all Services, it shall so state in its notice of termination. If termination of multiple Services is elected pursuant to this Section 6.3, the opportunity to cure shall be available for each Service and termination shall only apply to those Service(s) with respect to which the default is not cured.</w:t>
      </w:r>
    </w:p>
    <w:p>
      <w:pPr>
        <w:spacing w:after="0" w:line="29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6.4 Termination for Convenience</w:t>
      </w:r>
      <w:r>
        <w:rPr>
          <w:rFonts w:ascii="Arial" w:cs="Arial" w:eastAsia="Arial" w:hAnsi="Arial"/>
          <w:sz w:val="18"/>
          <w:szCs w:val="18"/>
          <w:color w:val="auto"/>
        </w:rPr>
        <w:t>.</w:t>
      </w:r>
    </w:p>
    <w:p>
      <w:pPr>
        <w:spacing w:after="0" w:line="121" w:lineRule="exact"/>
        <w:rPr>
          <w:sz w:val="20"/>
          <w:szCs w:val="20"/>
          <w:color w:val="auto"/>
        </w:rPr>
      </w:pPr>
    </w:p>
    <w:p>
      <w:pPr>
        <w:ind w:left="244" w:hanging="244"/>
        <w:spacing w:after="0"/>
        <w:tabs>
          <w:tab w:leader="none" w:pos="24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Parties may terminate this Agreement at any time upon mutual written agreement of the Parties.</w:t>
      </w:r>
    </w:p>
    <w:p>
      <w:pPr>
        <w:spacing w:after="0" w:line="225" w:lineRule="exact"/>
        <w:rPr>
          <w:rFonts w:ascii="Arial" w:cs="Arial" w:eastAsia="Arial" w:hAnsi="Arial"/>
          <w:sz w:val="18"/>
          <w:szCs w:val="18"/>
          <w:color w:val="auto"/>
        </w:rPr>
      </w:pPr>
    </w:p>
    <w:p>
      <w:pPr>
        <w:ind w:left="4" w:right="460" w:hanging="4"/>
        <w:spacing w:after="0" w:line="277" w:lineRule="auto"/>
        <w:tabs>
          <w:tab w:leader="none" w:pos="259"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This Agreement may be terminated by ALX, for convenience, at any time, by giving Tallac written notice of the termination thirty (30) days in advance.</w:t>
      </w:r>
    </w:p>
    <w:p>
      <w:pPr>
        <w:spacing w:after="0" w:line="170" w:lineRule="exact"/>
        <w:rPr>
          <w:rFonts w:ascii="Arial" w:cs="Arial" w:eastAsia="Arial" w:hAnsi="Arial"/>
          <w:sz w:val="18"/>
          <w:szCs w:val="18"/>
          <w:color w:val="auto"/>
        </w:rPr>
      </w:pPr>
    </w:p>
    <w:p>
      <w:pPr>
        <w:ind w:left="4" w:hanging="4"/>
        <w:spacing w:after="0" w:line="308" w:lineRule="auto"/>
        <w:tabs>
          <w:tab w:leader="none" w:pos="249" w:val="left"/>
        </w:tabs>
        <w:numPr>
          <w:ilvl w:val="0"/>
          <w:numId w:val="474"/>
        </w:numPr>
        <w:rPr>
          <w:rFonts w:ascii="Arial" w:cs="Arial" w:eastAsia="Arial" w:hAnsi="Arial"/>
          <w:sz w:val="17"/>
          <w:szCs w:val="17"/>
          <w:color w:val="auto"/>
        </w:rPr>
      </w:pPr>
      <w:r>
        <w:rPr>
          <w:rFonts w:ascii="Arial" w:cs="Arial" w:eastAsia="Arial" w:hAnsi="Arial"/>
          <w:sz w:val="17"/>
          <w:szCs w:val="17"/>
          <w:color w:val="auto"/>
        </w:rPr>
        <w:t>If a Force Majeure condition has prevented performance by one Party for more than forty-five (45) consecutive days or an aggregate ninety (90) days in any 12-month period, the Disadvantaged Party shall have the right to terminate this Agreement upon fifteen (15) days’ notice.</w:t>
      </w:r>
    </w:p>
    <w:p>
      <w:pPr>
        <w:spacing w:after="0" w:line="142" w:lineRule="exact"/>
        <w:rPr>
          <w:sz w:val="20"/>
          <w:szCs w:val="20"/>
          <w:color w:val="auto"/>
        </w:rPr>
      </w:pPr>
    </w:p>
    <w:p>
      <w:pPr>
        <w:ind w:left="4" w:right="160"/>
        <w:spacing w:after="0" w:line="261" w:lineRule="auto"/>
        <w:rPr>
          <w:sz w:val="20"/>
          <w:szCs w:val="20"/>
          <w:color w:val="auto"/>
        </w:rPr>
      </w:pPr>
      <w:r>
        <w:rPr>
          <w:rFonts w:ascii="Arial" w:cs="Arial" w:eastAsia="Arial" w:hAnsi="Arial"/>
          <w:sz w:val="18"/>
          <w:szCs w:val="18"/>
          <w:b w:val="1"/>
          <w:bCs w:val="1"/>
          <w:color w:val="auto"/>
        </w:rPr>
        <w:t>6.5 Termination for Insolvency</w:t>
      </w:r>
      <w:r>
        <w:rPr>
          <w:rFonts w:ascii="Arial" w:cs="Arial" w:eastAsia="Arial" w:hAnsi="Arial"/>
          <w:sz w:val="18"/>
          <w:szCs w:val="18"/>
          <w:color w:val="auto"/>
        </w:rPr>
        <w:t>. This Agreement shall terminate immediately without notice: (i) upon the institution by or against Tallac or ALX of</w:t>
      </w:r>
      <w:r>
        <w:rPr>
          <w:rFonts w:ascii="Arial" w:cs="Arial" w:eastAsia="Arial" w:hAnsi="Arial"/>
          <w:sz w:val="18"/>
          <w:szCs w:val="18"/>
          <w:b w:val="1"/>
          <w:bCs w:val="1"/>
          <w:color w:val="auto"/>
        </w:rPr>
        <w:t xml:space="preserve"> </w:t>
      </w:r>
      <w:r>
        <w:rPr>
          <w:rFonts w:ascii="Arial" w:cs="Arial" w:eastAsia="Arial" w:hAnsi="Arial"/>
          <w:sz w:val="18"/>
          <w:szCs w:val="18"/>
          <w:color w:val="auto"/>
        </w:rPr>
        <w:t>insolvency, receivership or bankruptcy proceedings or any other proceedings for the settlement of Tallac’s or ALX’s debts; (ii) upon Tallac’s or ALX’s making an assignment for the benefit of creditors; or (iii) upon Tallac’s or ALX’s dissolution or liquidation other than in connection with a solvent restructuring, merger, or acquisition.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6.6 Effect of Termination</w:t>
      </w:r>
      <w:r>
        <w:rPr>
          <w:rFonts w:ascii="Arial" w:cs="Arial" w:eastAsia="Arial" w:hAnsi="Arial"/>
          <w:sz w:val="18"/>
          <w:szCs w:val="18"/>
          <w:color w:val="auto"/>
        </w:rPr>
        <w:t>.</w:t>
      </w:r>
    </w:p>
    <w:p>
      <w:pPr>
        <w:spacing w:after="0" w:line="121" w:lineRule="exact"/>
        <w:rPr>
          <w:sz w:val="20"/>
          <w:szCs w:val="20"/>
          <w:color w:val="auto"/>
        </w:rPr>
      </w:pPr>
    </w:p>
    <w:p>
      <w:pPr>
        <w:ind w:left="4" w:right="140" w:hanging="4"/>
        <w:spacing w:after="0" w:line="286" w:lineRule="auto"/>
        <w:tabs>
          <w:tab w:leader="none" w:pos="249" w:val="left"/>
        </w:tabs>
        <w:numPr>
          <w:ilvl w:val="0"/>
          <w:numId w:val="475"/>
        </w:numPr>
        <w:rPr>
          <w:rFonts w:ascii="Arial" w:cs="Arial" w:eastAsia="Arial" w:hAnsi="Arial"/>
          <w:sz w:val="17"/>
          <w:szCs w:val="17"/>
          <w:color w:val="auto"/>
        </w:rPr>
      </w:pPr>
      <w:r>
        <w:rPr>
          <w:rFonts w:ascii="Arial" w:cs="Arial" w:eastAsia="Arial" w:hAnsi="Arial"/>
          <w:sz w:val="17"/>
          <w:szCs w:val="17"/>
          <w:color w:val="auto"/>
        </w:rPr>
        <w:t>Upon termination (including expiration) of this Agreement for any reason: (i) ALX and Tallac will terminate all tasks (if any) in an orderly manner, as soon as practical and in accordance with a schedule agreed to by the Parties; and (ii) Tallac will discontinue any and all use of any Existing Technology or New Technology, except as necessary to fulfill its obligations to ALX in accordance with this Section 6.6.</w:t>
      </w:r>
    </w:p>
    <w:p>
      <w:pPr>
        <w:spacing w:after="0" w:line="165" w:lineRule="exact"/>
        <w:rPr>
          <w:rFonts w:ascii="Arial" w:cs="Arial" w:eastAsia="Arial" w:hAnsi="Arial"/>
          <w:sz w:val="17"/>
          <w:szCs w:val="17"/>
          <w:color w:val="auto"/>
        </w:rPr>
      </w:pPr>
    </w:p>
    <w:p>
      <w:pPr>
        <w:ind w:left="4" w:right="240" w:hanging="4"/>
        <w:spacing w:after="0" w:line="259" w:lineRule="auto"/>
        <w:tabs>
          <w:tab w:leader="none" w:pos="259" w:val="left"/>
        </w:tabs>
        <w:numPr>
          <w:ilvl w:val="0"/>
          <w:numId w:val="475"/>
        </w:numPr>
        <w:rPr>
          <w:rFonts w:ascii="Arial" w:cs="Arial" w:eastAsia="Arial" w:hAnsi="Arial"/>
          <w:sz w:val="18"/>
          <w:szCs w:val="18"/>
          <w:color w:val="auto"/>
        </w:rPr>
      </w:pPr>
      <w:r>
        <w:rPr>
          <w:rFonts w:ascii="Arial" w:cs="Arial" w:eastAsia="Arial" w:hAnsi="Arial"/>
          <w:sz w:val="18"/>
          <w:szCs w:val="18"/>
          <w:color w:val="auto"/>
        </w:rPr>
        <w:t>Upon any termination (including expiration) the Receiving Party shall promptly: (i) cease the use of all Disclosing Party Confidential Information (except as otherwise provided under Section 6.6(a)) and return to the Disclosing Party any and all papers, material and property in its possession or control that contain or embody any Confidential Information of the Disclosing Party, without making or retaining copies thereof, in accordance with Section 4.3.</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69" w:right="459" w:bottom="1440" w:gutter="0" w:footer="0" w:header="0"/>
        </w:sectPr>
      </w:pPr>
    </w:p>
    <w:bookmarkStart w:id="522" w:name="page523"/>
    <w:bookmarkEnd w:id="522"/>
    <w:p>
      <w:pPr>
        <w:jc w:val="both"/>
        <w:ind w:left="4" w:right="500" w:hanging="4"/>
        <w:spacing w:after="0" w:line="279" w:lineRule="auto"/>
        <w:tabs>
          <w:tab w:leader="none" w:pos="249" w:val="left"/>
        </w:tabs>
        <w:numPr>
          <w:ilvl w:val="0"/>
          <w:numId w:val="4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ALX shall pay all reasonable costs incurred by Tallac that are necessary or reasonably required in connection with the orderly cessation of the Services in accordance with the plan described in Section 6.6(a), provided that Tallac shall use commercially reasonable efforts to minimize costs associated with the cessation of the Services and ALX shall not be responsible for such mitigated costs. Tallac shall promptly issue to ALX a final invoice or credit note, as the case may be, with respect to all outstanding amounts due under this Agreement.</w:t>
      </w:r>
    </w:p>
    <w:p>
      <w:pPr>
        <w:spacing w:after="0" w:line="171" w:lineRule="exact"/>
        <w:rPr>
          <w:rFonts w:ascii="Arial" w:cs="Arial" w:eastAsia="Arial" w:hAnsi="Arial"/>
          <w:sz w:val="17"/>
          <w:szCs w:val="17"/>
          <w:color w:val="auto"/>
        </w:rPr>
      </w:pPr>
    </w:p>
    <w:p>
      <w:pPr>
        <w:ind w:left="4" w:right="180" w:hanging="4"/>
        <w:spacing w:after="0" w:line="263" w:lineRule="auto"/>
        <w:tabs>
          <w:tab w:leader="none" w:pos="259"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Termination of this Agreement shall not affect rights and obligations of either Party that may have accrued prior to the effective date of termination or any obligation specifically stated to survive termination. The provisions of Article 1, Section 2.6, Sections 3.2-3.4, Article 4, Article 5, Section 6.6, and Article 7 shall survive any expiration or termination of this Agreement.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 GENERAL PROVISIONS.</w:t>
      </w:r>
    </w:p>
    <w:p>
      <w:pPr>
        <w:spacing w:after="0" w:line="117" w:lineRule="exact"/>
        <w:rPr>
          <w:sz w:val="20"/>
          <w:szCs w:val="20"/>
          <w:color w:val="auto"/>
        </w:rPr>
      </w:pPr>
    </w:p>
    <w:p>
      <w:pPr>
        <w:ind w:left="4" w:right="120"/>
        <w:spacing w:after="0" w:line="281" w:lineRule="auto"/>
        <w:rPr>
          <w:sz w:val="20"/>
          <w:szCs w:val="20"/>
          <w:color w:val="auto"/>
        </w:rPr>
      </w:pPr>
      <w:r>
        <w:rPr>
          <w:rFonts w:ascii="Arial" w:cs="Arial" w:eastAsia="Arial" w:hAnsi="Arial"/>
          <w:sz w:val="17"/>
          <w:szCs w:val="17"/>
          <w:b w:val="1"/>
          <w:bCs w:val="1"/>
          <w:color w:val="auto"/>
        </w:rPr>
        <w:t>7.1 Assignment</w:t>
      </w:r>
      <w:r>
        <w:rPr>
          <w:rFonts w:ascii="Arial" w:cs="Arial" w:eastAsia="Arial" w:hAnsi="Arial"/>
          <w:sz w:val="17"/>
          <w:szCs w:val="17"/>
          <w:color w:val="auto"/>
        </w:rPr>
        <w:t>. Neither Party may assign this Agreement, without the other Party’s prior written consent, except to an Affiliate of such Party or to a</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 or acquirer of such Party, as the case may be, in connection with a merger or acquisition, or the sale of all or substantially all of the assigning Party’s assets or the sale of that portion of the assigning Party’s business to which this Agreement relates. Any purported assignment in violation of this Section 7.1 will be null and void without the prior written approval of the assignment by the non-assigning Party.</w:t>
      </w:r>
    </w:p>
    <w:p>
      <w:pPr>
        <w:spacing w:after="0" w:line="165" w:lineRule="exact"/>
        <w:rPr>
          <w:sz w:val="20"/>
          <w:szCs w:val="20"/>
          <w:color w:val="auto"/>
        </w:rPr>
      </w:pPr>
    </w:p>
    <w:p>
      <w:pPr>
        <w:ind w:left="4" w:right="220"/>
        <w:spacing w:after="0" w:line="261" w:lineRule="auto"/>
        <w:rPr>
          <w:sz w:val="20"/>
          <w:szCs w:val="20"/>
          <w:color w:val="auto"/>
        </w:rPr>
      </w:pPr>
      <w:r>
        <w:rPr>
          <w:rFonts w:ascii="Arial" w:cs="Arial" w:eastAsia="Arial" w:hAnsi="Arial"/>
          <w:sz w:val="18"/>
          <w:szCs w:val="18"/>
          <w:b w:val="1"/>
          <w:bCs w:val="1"/>
          <w:color w:val="auto"/>
        </w:rPr>
        <w:t>7.2 Governing Law</w:t>
      </w:r>
      <w:r>
        <w:rPr>
          <w:rFonts w:ascii="Arial" w:cs="Arial" w:eastAsia="Arial" w:hAnsi="Arial"/>
          <w:sz w:val="18"/>
          <w:szCs w:val="18"/>
          <w:color w:val="auto"/>
        </w:rPr>
        <w:t>. This Agreement shall be governed and construed in accordance with the internal, substantive laws of Delaware,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to the exclusion of any choice or conflict of laws rule or provision that would result in the application of the substantive law of any other jurisdiction. The United Nations Convention on Contracts for the International Sale of Goods shall not apply to the transactions contemplated by this Agreement.</w:t>
      </w:r>
    </w:p>
    <w:p>
      <w:pPr>
        <w:spacing w:after="0" w:line="180" w:lineRule="exact"/>
        <w:rPr>
          <w:sz w:val="20"/>
          <w:szCs w:val="20"/>
          <w:color w:val="auto"/>
        </w:rPr>
      </w:pPr>
    </w:p>
    <w:p>
      <w:pPr>
        <w:ind w:left="4"/>
        <w:spacing w:after="0" w:line="261" w:lineRule="auto"/>
        <w:rPr>
          <w:sz w:val="20"/>
          <w:szCs w:val="20"/>
          <w:color w:val="auto"/>
        </w:rPr>
      </w:pPr>
      <w:r>
        <w:rPr>
          <w:rFonts w:ascii="Arial" w:cs="Arial" w:eastAsia="Arial" w:hAnsi="Arial"/>
          <w:sz w:val="18"/>
          <w:szCs w:val="18"/>
          <w:b w:val="1"/>
          <w:bCs w:val="1"/>
          <w:color w:val="auto"/>
        </w:rPr>
        <w:t>7.3 Amendment and Waiver</w:t>
      </w:r>
      <w:r>
        <w:rPr>
          <w:rFonts w:ascii="Arial" w:cs="Arial" w:eastAsia="Arial" w:hAnsi="Arial"/>
          <w:sz w:val="18"/>
          <w:szCs w:val="18"/>
          <w:color w:val="auto"/>
        </w:rPr>
        <w:t>. No provision of or right under this Agreement shall be deemed to have been waived by any act or acquiescence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either Party, its agents or employees, but only by an instrument in writing signed by an authorized officer of each Party. No waiver by either Party of any breach of this Agreement by the other Party shall be effective as to any other breach, whether of the same or any other term or condition and whether occurring before or after the date of such waiver.</w:t>
      </w:r>
    </w:p>
    <w:p>
      <w:pPr>
        <w:spacing w:after="0" w:line="180" w:lineRule="exact"/>
        <w:rPr>
          <w:sz w:val="20"/>
          <w:szCs w:val="20"/>
          <w:color w:val="auto"/>
        </w:rPr>
      </w:pPr>
    </w:p>
    <w:p>
      <w:pPr>
        <w:ind w:left="4" w:right="120"/>
        <w:spacing w:after="0" w:line="282" w:lineRule="auto"/>
        <w:rPr>
          <w:sz w:val="20"/>
          <w:szCs w:val="20"/>
          <w:color w:val="auto"/>
        </w:rPr>
      </w:pPr>
      <w:r>
        <w:rPr>
          <w:rFonts w:ascii="Arial" w:cs="Arial" w:eastAsia="Arial" w:hAnsi="Arial"/>
          <w:sz w:val="18"/>
          <w:szCs w:val="18"/>
          <w:b w:val="1"/>
          <w:bCs w:val="1"/>
          <w:color w:val="auto"/>
        </w:rPr>
        <w:t>7.4 Successors and Assigns</w:t>
      </w:r>
      <w:r>
        <w:rPr>
          <w:rFonts w:ascii="Arial" w:cs="Arial" w:eastAsia="Arial" w:hAnsi="Arial"/>
          <w:sz w:val="18"/>
          <w:szCs w:val="18"/>
          <w:color w:val="auto"/>
        </w:rPr>
        <w:t>. This Agreement shall be binding upon and inure to the benefit of the Parties and their respective successors and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w:t>
      </w:r>
    </w:p>
    <w:p>
      <w:pPr>
        <w:spacing w:after="0" w:line="162" w:lineRule="exact"/>
        <w:rPr>
          <w:sz w:val="20"/>
          <w:szCs w:val="20"/>
          <w:color w:val="auto"/>
        </w:rPr>
      </w:pPr>
    </w:p>
    <w:p>
      <w:pPr>
        <w:ind w:left="4" w:right="400"/>
        <w:spacing w:after="0" w:line="347" w:lineRule="auto"/>
        <w:rPr>
          <w:sz w:val="20"/>
          <w:szCs w:val="20"/>
          <w:color w:val="auto"/>
        </w:rPr>
      </w:pPr>
      <w:r>
        <w:rPr>
          <w:rFonts w:ascii="Arial" w:cs="Arial" w:eastAsia="Arial" w:hAnsi="Arial"/>
          <w:sz w:val="16"/>
          <w:szCs w:val="16"/>
          <w:b w:val="1"/>
          <w:bCs w:val="1"/>
          <w:color w:val="auto"/>
        </w:rPr>
        <w:t>7.5 Insurance</w:t>
      </w:r>
      <w:r>
        <w:rPr>
          <w:rFonts w:ascii="Arial" w:cs="Arial" w:eastAsia="Arial" w:hAnsi="Arial"/>
          <w:sz w:val="16"/>
          <w:szCs w:val="16"/>
          <w:color w:val="auto"/>
        </w:rPr>
        <w:t>. Tallac shall ensure that any Designated Service Provider shall procure and maintain in good force and effect general comprehensive</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insurance, workers compensation insurance, and unemployment insurance in such amounts as may be required by law.</w:t>
      </w:r>
    </w:p>
    <w:p>
      <w:pPr>
        <w:spacing w:after="0" w:line="116" w:lineRule="exact"/>
        <w:rPr>
          <w:sz w:val="20"/>
          <w:szCs w:val="20"/>
          <w:color w:val="auto"/>
        </w:rPr>
      </w:pPr>
    </w:p>
    <w:p>
      <w:pPr>
        <w:ind w:left="4" w:right="40"/>
        <w:spacing w:after="0" w:line="274" w:lineRule="auto"/>
        <w:rPr>
          <w:sz w:val="20"/>
          <w:szCs w:val="20"/>
          <w:color w:val="auto"/>
        </w:rPr>
      </w:pPr>
      <w:r>
        <w:rPr>
          <w:rFonts w:ascii="Arial" w:cs="Arial" w:eastAsia="Arial" w:hAnsi="Arial"/>
          <w:sz w:val="17"/>
          <w:szCs w:val="17"/>
          <w:b w:val="1"/>
          <w:bCs w:val="1"/>
          <w:color w:val="auto"/>
        </w:rPr>
        <w:t>7.6 Notices</w:t>
      </w:r>
      <w:r>
        <w:rPr>
          <w:rFonts w:ascii="Arial" w:cs="Arial" w:eastAsia="Arial" w:hAnsi="Arial"/>
          <w:sz w:val="17"/>
          <w:szCs w:val="17"/>
          <w:color w:val="auto"/>
        </w:rPr>
        <w:t>. Unless otherwise provided herein, any notice, report, payment or document to be given by one Party to the other shall be in writing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given when delivered personally or mailed by certified or registered mail, postage prepaid (such mailed notice to be effective on the date which is three (3) Business Days after the date of mailing), or sent by internationally recognized overnight courier (such notice sent by courier to be effective one Business Day after it is deposited with such courier), or sent by telefax (such notice sent by telefax to be effective when sent, if confirmed by certified or registered mail or overnight courier as aforesaid) to the address set forth on the signature page to this Agreement or to such other place as either Party may designate as to itself by written notice to the other Party.</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273" w:right="439" w:bottom="1440" w:gutter="0" w:footer="0" w:header="0"/>
        </w:sectPr>
      </w:pPr>
    </w:p>
    <w:bookmarkStart w:id="523" w:name="page524"/>
    <w:bookmarkEnd w:id="523"/>
    <w:p>
      <w:pPr>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7.7 Entire Agreement</w:t>
      </w:r>
      <w:r>
        <w:rPr>
          <w:rFonts w:ascii="Arial" w:cs="Arial" w:eastAsia="Arial" w:hAnsi="Arial"/>
          <w:sz w:val="16"/>
          <w:szCs w:val="16"/>
          <w:color w:val="auto"/>
        </w:rPr>
        <w:t>. The terms and provisions contained in this Agreement (including the Attachments) constitute the entire understanding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with respect to the transactions and matters contemplated hereby and supersede all previous communications, representations, agreements and understandings relating to the subject matter hereof. No representations, inducements, promises or agreements, whether oral or otherwise, between the Parties not contained in this Agreement shall be of any force or effect. No agreement or understanding extending this Agreement or varying its terms (including any inconsistent terms in any purchase order, acknowledgment or similar form) shall be binding upon either Party unless it is in a writing specifically referring to this Agreement and signed by a duly authorized representative of the applicable Party. This Agreement is made in the English language and the English version of this Agreement shall control; in the event that any translation of this Agreement is made such translation shall be for informational purposes only and such translation shall not form part of this Agreement and only the English text shall be valid and legal.</w:t>
      </w:r>
    </w:p>
    <w:p>
      <w:pPr>
        <w:spacing w:after="0" w:line="15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7.8 Severability</w:t>
      </w:r>
      <w:r>
        <w:rPr>
          <w:rFonts w:ascii="Arial" w:cs="Arial" w:eastAsia="Arial" w:hAnsi="Arial"/>
          <w:sz w:val="18"/>
          <w:szCs w:val="18"/>
          <w:color w:val="auto"/>
        </w:rPr>
        <w:t>. In the event any provision of this Agreement shall for any reason be held to be invalid, illegal or unenforceable in any respect, such</w:t>
      </w:r>
      <w:r>
        <w:rPr>
          <w:rFonts w:ascii="Arial" w:cs="Arial" w:eastAsia="Arial" w:hAnsi="Arial"/>
          <w:sz w:val="18"/>
          <w:szCs w:val="18"/>
          <w:b w:val="1"/>
          <w:bCs w:val="1"/>
          <w:color w:val="auto"/>
        </w:rPr>
        <w:t xml:space="preserve"> </w:t>
      </w:r>
      <w:r>
        <w:rPr>
          <w:rFonts w:ascii="Arial" w:cs="Arial" w:eastAsia="Arial" w:hAnsi="Arial"/>
          <w:sz w:val="18"/>
          <w:szCs w:val="18"/>
          <w:color w:val="auto"/>
        </w:rPr>
        <w:t>invalidity, illegality or unenforceability shall not affect any other term or provision hereof. The Parties agree that they will negotiate in good faith or will permit a court to replace any provision hereof so held invalid, illegal or unenforceable with a valid provision that is as similar as possible in substance to the invalid, illegal or unenforceable provision.</w:t>
      </w:r>
    </w:p>
    <w:p>
      <w:pPr>
        <w:spacing w:after="0" w:line="180" w:lineRule="exact"/>
        <w:rPr>
          <w:sz w:val="20"/>
          <w:szCs w:val="20"/>
          <w:color w:val="auto"/>
        </w:rPr>
      </w:pPr>
    </w:p>
    <w:p>
      <w:pPr>
        <w:ind w:right="180"/>
        <w:spacing w:after="0" w:line="312" w:lineRule="auto"/>
        <w:rPr>
          <w:sz w:val="20"/>
          <w:szCs w:val="20"/>
          <w:color w:val="auto"/>
        </w:rPr>
      </w:pPr>
      <w:r>
        <w:rPr>
          <w:rFonts w:ascii="Arial" w:cs="Arial" w:eastAsia="Arial" w:hAnsi="Arial"/>
          <w:sz w:val="17"/>
          <w:szCs w:val="17"/>
          <w:b w:val="1"/>
          <w:bCs w:val="1"/>
          <w:color w:val="auto"/>
        </w:rPr>
        <w:t>7.9 Captions</w:t>
      </w:r>
      <w:r>
        <w:rPr>
          <w:rFonts w:ascii="Arial" w:cs="Arial" w:eastAsia="Arial" w:hAnsi="Arial"/>
          <w:sz w:val="17"/>
          <w:szCs w:val="17"/>
          <w:color w:val="auto"/>
        </w:rPr>
        <w:t>. Captions of the sections and subsections of this Agreement are for reference and convenience purposes only and do not constitute terms</w:t>
      </w:r>
      <w:r>
        <w:rPr>
          <w:rFonts w:ascii="Arial" w:cs="Arial" w:eastAsia="Arial" w:hAnsi="Arial"/>
          <w:sz w:val="17"/>
          <w:szCs w:val="17"/>
          <w:b w:val="1"/>
          <w:bCs w:val="1"/>
          <w:color w:val="auto"/>
        </w:rPr>
        <w:t xml:space="preserve"> </w:t>
      </w:r>
      <w:r>
        <w:rPr>
          <w:rFonts w:ascii="Arial" w:cs="Arial" w:eastAsia="Arial" w:hAnsi="Arial"/>
          <w:sz w:val="17"/>
          <w:szCs w:val="17"/>
          <w:color w:val="auto"/>
        </w:rPr>
        <w:t>or conditions of this Agreement and shall not limit or affect the meaning or construction of the terms and conditions hereof.</w:t>
      </w:r>
    </w:p>
    <w:p>
      <w:pPr>
        <w:spacing w:after="0" w:line="140"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7.10 Word Meanings</w:t>
      </w:r>
      <w:r>
        <w:rPr>
          <w:rFonts w:ascii="Arial" w:cs="Arial" w:eastAsia="Arial" w:hAnsi="Arial"/>
          <w:sz w:val="18"/>
          <w:szCs w:val="18"/>
          <w:color w:val="auto"/>
        </w:rPr>
        <w:t>. Words such as herein,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hereinafter,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and hereunder refer to this Agreement as a whole and not merely to a section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in which such words appear, unless the context otherwise requires. The singular shall include the plural, and each masculine, feminine and neuter reference shall include and refer also to the others, unless the context otherwise requires.</w:t>
      </w:r>
    </w:p>
    <w:p>
      <w:pPr>
        <w:spacing w:after="0" w:line="176"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7.11 Conflict or Inconsistency</w:t>
      </w:r>
      <w:r>
        <w:rPr>
          <w:rFonts w:ascii="Arial" w:cs="Arial" w:eastAsia="Arial" w:hAnsi="Arial"/>
          <w:sz w:val="18"/>
          <w:szCs w:val="18"/>
          <w:color w:val="auto"/>
        </w:rPr>
        <w:t>. In the event of any conflict or inconsistency between the terms and conditions of this Agreement and any terms or</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any purchase order or other document relating to the transactions contemplated by this Agreement, the terms and conditions set forth in this Agreement shall prevail.</w:t>
      </w:r>
    </w:p>
    <w:p>
      <w:pPr>
        <w:spacing w:after="0" w:line="17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7.12 Counterparts</w:t>
      </w:r>
      <w:r>
        <w:rPr>
          <w:rFonts w:ascii="Arial" w:cs="Arial" w:eastAsia="Arial" w:hAnsi="Arial"/>
          <w:sz w:val="18"/>
          <w:szCs w:val="18"/>
          <w:color w:val="auto"/>
        </w:rPr>
        <w:t>. This Agreement may be executed in multiple counterparts, each of which shall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instrument.</w:t>
      </w:r>
    </w:p>
    <w:p>
      <w:pPr>
        <w:spacing w:after="0" w:line="16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7.13 Force Majeure</w:t>
      </w:r>
      <w:r>
        <w:rPr>
          <w:rFonts w:ascii="Arial" w:cs="Arial" w:eastAsia="Arial" w:hAnsi="Arial"/>
          <w:sz w:val="16"/>
          <w:szCs w:val="16"/>
          <w:color w:val="auto"/>
        </w:rPr>
        <w:t>. “</w:t>
      </w:r>
      <w:r>
        <w:rPr>
          <w:rFonts w:ascii="Arial" w:cs="Arial" w:eastAsia="Arial" w:hAnsi="Arial"/>
          <w:sz w:val="16"/>
          <w:szCs w:val="16"/>
          <w:b w:val="1"/>
          <w:bCs w:val="1"/>
          <w:i w:val="1"/>
          <w:iCs w:val="1"/>
          <w:color w:val="auto"/>
        </w:rPr>
        <w:t>Force Majeure</w:t>
      </w:r>
      <w:r>
        <w:rPr>
          <w:rFonts w:ascii="Arial" w:cs="Arial" w:eastAsia="Arial" w:hAnsi="Arial"/>
          <w:sz w:val="16"/>
          <w:szCs w:val="16"/>
          <w:color w:val="auto"/>
        </w:rPr>
        <w:t>” means acts of God, wars (declared or undeclared and including the continuance, expansion or new outbreak of</w:t>
      </w:r>
      <w:r>
        <w:rPr>
          <w:rFonts w:ascii="Arial" w:cs="Arial" w:eastAsia="Arial" w:hAnsi="Arial"/>
          <w:sz w:val="16"/>
          <w:szCs w:val="16"/>
          <w:b w:val="1"/>
          <w:bCs w:val="1"/>
          <w:color w:val="auto"/>
        </w:rPr>
        <w:t xml:space="preserve"> </w:t>
      </w:r>
      <w:r>
        <w:rPr>
          <w:rFonts w:ascii="Arial" w:cs="Arial" w:eastAsia="Arial" w:hAnsi="Arial"/>
          <w:sz w:val="16"/>
          <w:szCs w:val="16"/>
          <w:color w:val="auto"/>
        </w:rPr>
        <w:t>any war or conflict now in existence), revolution, civil commotion, acts of public enemy, labor strikes (other than employees of the Affected Party, as defined herein), terrorism, widespread disease, epidemics, pandemics, embargo or acts of government in its sovereign capacity. Except as otherwise provided in this Agreement, in the event that a delay or failure of a Party (the “</w:t>
      </w:r>
      <w:r>
        <w:rPr>
          <w:rFonts w:ascii="Arial" w:cs="Arial" w:eastAsia="Arial" w:hAnsi="Arial"/>
          <w:sz w:val="16"/>
          <w:szCs w:val="16"/>
          <w:b w:val="1"/>
          <w:bCs w:val="1"/>
          <w:i w:val="1"/>
          <w:iCs w:val="1"/>
          <w:color w:val="auto"/>
        </w:rPr>
        <w:t>Affected Party</w:t>
      </w:r>
      <w:r>
        <w:rPr>
          <w:rFonts w:ascii="Arial" w:cs="Arial" w:eastAsia="Arial" w:hAnsi="Arial"/>
          <w:sz w:val="16"/>
          <w:szCs w:val="16"/>
          <w:color w:val="auto"/>
        </w:rPr>
        <w:t>”) to comply with any obligation created by this Agreement is caused by Force Majeure, the Affected Party will, after giving prompt notice to the other Party ( the “</w:t>
      </w:r>
      <w:r>
        <w:rPr>
          <w:rFonts w:ascii="Arial" w:cs="Arial" w:eastAsia="Arial" w:hAnsi="Arial"/>
          <w:sz w:val="16"/>
          <w:szCs w:val="16"/>
          <w:b w:val="1"/>
          <w:bCs w:val="1"/>
          <w:i w:val="1"/>
          <w:iCs w:val="1"/>
          <w:color w:val="auto"/>
        </w:rPr>
        <w:t>Disadvantaged Party</w:t>
      </w:r>
      <w:r>
        <w:rPr>
          <w:rFonts w:ascii="Arial" w:cs="Arial" w:eastAsia="Arial" w:hAnsi="Arial"/>
          <w:sz w:val="16"/>
          <w:szCs w:val="16"/>
          <w:color w:val="auto"/>
        </w:rPr>
        <w:t>”), be excused from such performance on a day-to-day basis during the continuance of such prevention, restriction, or interference (and the Disadvantaged Party will likewise be excused from performance of its obligations on a day-to-day basis during the same period), provided, however, that the Affected Party will use its best efforts to avoid or remove the causes of nonperformance and both Parties will proceed immediately with the performance of their obligations under this Agreement whenever the causes are removed or cease. If Force Majeure conditions continue for more than 45 consecutive days or an aggregate 90 days in any 12-month period, then the Disadvantaged Party may terminate this Agreement in accordance with Section 6.4(c).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69" w:right="459" w:bottom="1440" w:gutter="0" w:footer="0" w:header="0"/>
        </w:sectPr>
      </w:pPr>
    </w:p>
    <w:bookmarkStart w:id="524" w:name="page525"/>
    <w:bookmarkEnd w:id="524"/>
    <w:p>
      <w:pPr>
        <w:ind w:left="4"/>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7.14 Further Assurances</w:t>
      </w:r>
      <w:r>
        <w:rPr>
          <w:rFonts w:ascii="Arial" w:cs="Arial" w:eastAsia="Arial" w:hAnsi="Arial"/>
          <w:sz w:val="18"/>
          <w:szCs w:val="18"/>
          <w:color w:val="auto"/>
        </w:rPr>
        <w:t>. Each Party covenants and agrees that, subsequent to the execution and delivery of this Agreement and without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it will execute and deliver any further legal instruments and perform any acts that are or may become reasonably necessary to effectuate the purposes of this Agreement.</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7.15 Dispute Resolution.</w:t>
      </w:r>
    </w:p>
    <w:p>
      <w:pPr>
        <w:spacing w:after="0" w:line="121" w:lineRule="exact"/>
        <w:rPr>
          <w:sz w:val="20"/>
          <w:szCs w:val="20"/>
          <w:color w:val="auto"/>
        </w:rPr>
      </w:pPr>
    </w:p>
    <w:p>
      <w:pPr>
        <w:ind w:left="4" w:right="60" w:hanging="4"/>
        <w:spacing w:after="0" w:line="285" w:lineRule="auto"/>
        <w:tabs>
          <w:tab w:leader="none" w:pos="249" w:val="left"/>
        </w:tabs>
        <w:numPr>
          <w:ilvl w:val="0"/>
          <w:numId w:val="477"/>
        </w:numPr>
        <w:rPr>
          <w:rFonts w:ascii="Arial" w:cs="Arial" w:eastAsia="Arial" w:hAnsi="Arial"/>
          <w:sz w:val="16"/>
          <w:szCs w:val="16"/>
          <w:color w:val="auto"/>
        </w:rPr>
      </w:pPr>
      <w:r>
        <w:rPr>
          <w:rFonts w:ascii="Arial" w:cs="Arial" w:eastAsia="Arial" w:hAnsi="Arial"/>
          <w:sz w:val="16"/>
          <w:szCs w:val="16"/>
          <w:color w:val="auto"/>
        </w:rPr>
        <w:t>Any disputes arising under this Agreement or connected herewith that the Parties are unable to resolve amicably within thirty (30) days after written notice thereof from one Party to the other shall be settled, solely and exclusively, by an arbitration to be conducted by one arbitrator in accordance with the Rules of Conciliation and Arbitration of the International Chamber of Commerce then in effect, excepting those disputes requiring injunctive relief, which shall be governed by Section 7.15(b). If the Parties are unable to agree on a single arbitrator, then such binding arbitration shall be conducted before a panel of three (3) arbitrators that shall be comprised of one (1) arbitrator designated by each Party and a third arbitrator designated by the two</w:t>
      </w:r>
    </w:p>
    <w:p>
      <w:pPr>
        <w:spacing w:after="0" w:line="1" w:lineRule="exact"/>
        <w:rPr>
          <w:rFonts w:ascii="Arial" w:cs="Arial" w:eastAsia="Arial" w:hAnsi="Arial"/>
          <w:sz w:val="16"/>
          <w:szCs w:val="16"/>
          <w:color w:val="auto"/>
        </w:rPr>
      </w:pPr>
    </w:p>
    <w:p>
      <w:pPr>
        <w:ind w:left="4" w:right="60"/>
        <w:spacing w:after="0" w:line="292" w:lineRule="auto"/>
        <w:rPr>
          <w:rFonts w:ascii="Arial" w:cs="Arial" w:eastAsia="Arial" w:hAnsi="Arial"/>
          <w:sz w:val="16"/>
          <w:szCs w:val="16"/>
          <w:color w:val="auto"/>
        </w:rPr>
      </w:pPr>
      <w:r>
        <w:rPr>
          <w:rFonts w:ascii="Arial" w:cs="Arial" w:eastAsia="Arial" w:hAnsi="Arial"/>
          <w:sz w:val="16"/>
          <w:szCs w:val="16"/>
          <w:color w:val="auto"/>
        </w:rPr>
        <w:t>(2) arbitrators separately designated by the Parties. Unless the Parties agree otherwise, the arbitration proceedings shall take place in San Francisco, CA and, the arbitrator(s) shall apply the laws of the State of Delaware and the United States without reference to conflicts of law rules that would result in the application of the laws of another jurisdiction, to all issues in dispute. All arbitration proceedings shall be conducted in English. The findings of the arbitrator(s) shall be final and binding on the Parties. Judgment may be entered in any court of appropriate jurisdiction, or application may be made to that court for a judicial acceptance of the award and an order of enforcement, as the Party seeking to enforce that award may elect.</w:t>
      </w:r>
    </w:p>
    <w:p>
      <w:pPr>
        <w:spacing w:after="0" w:line="162" w:lineRule="exact"/>
        <w:rPr>
          <w:rFonts w:ascii="Arial" w:cs="Arial" w:eastAsia="Arial" w:hAnsi="Arial"/>
          <w:sz w:val="16"/>
          <w:szCs w:val="16"/>
          <w:color w:val="auto"/>
        </w:rPr>
      </w:pPr>
    </w:p>
    <w:p>
      <w:pPr>
        <w:ind w:left="4" w:right="120" w:hanging="4"/>
        <w:spacing w:after="0" w:line="263" w:lineRule="auto"/>
        <w:tabs>
          <w:tab w:leader="none" w:pos="259" w:val="left"/>
        </w:tabs>
        <w:numPr>
          <w:ilvl w:val="0"/>
          <w:numId w:val="477"/>
        </w:numPr>
        <w:rPr>
          <w:rFonts w:ascii="Arial" w:cs="Arial" w:eastAsia="Arial" w:hAnsi="Arial"/>
          <w:sz w:val="18"/>
          <w:szCs w:val="18"/>
          <w:color w:val="auto"/>
        </w:rPr>
      </w:pPr>
      <w:r>
        <w:rPr>
          <w:rFonts w:ascii="Arial" w:cs="Arial" w:eastAsia="Arial" w:hAnsi="Arial"/>
          <w:sz w:val="18"/>
          <w:szCs w:val="18"/>
          <w:color w:val="auto"/>
        </w:rPr>
        <w:t>In the event of any breach by either Party of any of the provisions of this Agreement that would cause immediate and irreparable injury to the other Party, the non-breaching Party shall be entitled to seek injunctive relief and any or all other remedies applicable at law or in equity in any court of applicable jurisdiction.</w:t>
      </w:r>
    </w:p>
    <w:p>
      <w:pPr>
        <w:spacing w:after="0" w:line="180" w:lineRule="exact"/>
        <w:rPr>
          <w:sz w:val="20"/>
          <w:szCs w:val="20"/>
          <w:color w:val="auto"/>
        </w:rPr>
      </w:pPr>
    </w:p>
    <w:p>
      <w:pPr>
        <w:ind w:left="4" w:right="300"/>
        <w:spacing w:after="0" w:line="312" w:lineRule="auto"/>
        <w:rPr>
          <w:sz w:val="20"/>
          <w:szCs w:val="20"/>
          <w:color w:val="auto"/>
        </w:rPr>
      </w:pPr>
      <w:r>
        <w:rPr>
          <w:rFonts w:ascii="Arial" w:cs="Arial" w:eastAsia="Arial" w:hAnsi="Arial"/>
          <w:sz w:val="17"/>
          <w:szCs w:val="17"/>
          <w:b w:val="1"/>
          <w:bCs w:val="1"/>
          <w:color w:val="auto"/>
        </w:rPr>
        <w:t>7.16 Attorneys’ Fees</w:t>
      </w:r>
      <w:r>
        <w:rPr>
          <w:rFonts w:ascii="Arial" w:cs="Arial" w:eastAsia="Arial" w:hAnsi="Arial"/>
          <w:sz w:val="17"/>
          <w:szCs w:val="17"/>
          <w:color w:val="auto"/>
        </w:rPr>
        <w:t>. If any arbitral or other proceeding is initiated by either of the Parties, the prevailing Party shall be entitled to recover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Party reasonable attorneys’ fees and arbitration or proceedings costs in addition to any other relief that may be awarded.</w:t>
      </w:r>
    </w:p>
    <w:p>
      <w:pPr>
        <w:spacing w:after="0" w:line="140" w:lineRule="exact"/>
        <w:rPr>
          <w:sz w:val="20"/>
          <w:szCs w:val="20"/>
          <w:color w:val="auto"/>
        </w:rPr>
      </w:pPr>
    </w:p>
    <w:p>
      <w:pPr>
        <w:ind w:left="4" w:right="40"/>
        <w:spacing w:after="0" w:line="258" w:lineRule="auto"/>
        <w:rPr>
          <w:sz w:val="20"/>
          <w:szCs w:val="20"/>
          <w:color w:val="auto"/>
        </w:rPr>
      </w:pPr>
      <w:r>
        <w:rPr>
          <w:rFonts w:ascii="Arial" w:cs="Arial" w:eastAsia="Arial" w:hAnsi="Arial"/>
          <w:sz w:val="18"/>
          <w:szCs w:val="18"/>
          <w:b w:val="1"/>
          <w:bCs w:val="1"/>
          <w:color w:val="auto"/>
        </w:rPr>
        <w:t>7.17 Remedies</w:t>
      </w:r>
      <w:r>
        <w:rPr>
          <w:rFonts w:ascii="Arial" w:cs="Arial" w:eastAsia="Arial" w:hAnsi="Arial"/>
          <w:sz w:val="18"/>
          <w:szCs w:val="18"/>
          <w:color w:val="auto"/>
        </w:rPr>
        <w:t>. All remedies set forth in this Agreement are cumulative and are in addition to any and all other remedies provided to either Party at law</w:t>
      </w:r>
      <w:r>
        <w:rPr>
          <w:rFonts w:ascii="Arial" w:cs="Arial" w:eastAsia="Arial" w:hAnsi="Arial"/>
          <w:sz w:val="18"/>
          <w:szCs w:val="18"/>
          <w:b w:val="1"/>
          <w:bCs w:val="1"/>
          <w:color w:val="auto"/>
        </w:rPr>
        <w:t xml:space="preserve"> </w:t>
      </w:r>
      <w:r>
        <w:rPr>
          <w:rFonts w:ascii="Arial" w:cs="Arial" w:eastAsia="Arial" w:hAnsi="Arial"/>
          <w:sz w:val="18"/>
          <w:szCs w:val="18"/>
          <w:color w:val="auto"/>
        </w:rPr>
        <w:t>or in equity. The failure of a Party to enforce, at any time, or for any period of time, any of the provisions of this Agreement, or of any breach hereof, shall not be construed as a waiver of such provision or subsequent breach of the same or any other provision or of the rights of such Party thereafter to enforce such provision, nor shall either Party’s continued dealing with the other Party following a breach of any provision hereof be deemed to be a waiver of such or any other breach.</w:t>
      </w:r>
    </w:p>
    <w:p>
      <w:pPr>
        <w:spacing w:after="0" w:line="39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[The rest of this page is intentionally left blank]</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69" w:right="479" w:bottom="1440" w:gutter="0" w:footer="0" w:header="0"/>
        </w:sectPr>
      </w:pPr>
    </w:p>
    <w:bookmarkStart w:id="525" w:name="page526"/>
    <w:bookmarkEnd w:id="525"/>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Agreement to be executed on their behalf by their duly authorized representatives as of the dates indicated below, but which shall become effective on the Effective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TALLAC THERAPEUTICS, INC.</w:t>
            </w:r>
          </w:p>
        </w:tc>
        <w:tc>
          <w:tcPr>
            <w:tcW w:w="6040" w:type="dxa"/>
            <w:vAlign w:val="bottom"/>
            <w:gridSpan w:val="4"/>
          </w:tcPr>
          <w:p>
            <w:pPr>
              <w:ind w:left="1200"/>
              <w:spacing w:after="0"/>
              <w:rPr>
                <w:sz w:val="20"/>
                <w:szCs w:val="20"/>
                <w:color w:val="auto"/>
              </w:rPr>
            </w:pPr>
            <w:r>
              <w:rPr>
                <w:rFonts w:ascii="Arial" w:cs="Arial" w:eastAsia="Arial" w:hAnsi="Arial"/>
                <w:sz w:val="18"/>
                <w:szCs w:val="18"/>
                <w:b w:val="1"/>
                <w:bCs w:val="1"/>
                <w:color w:val="auto"/>
              </w:rPr>
              <w:t>ALX ONCOLOGY HOLDINGS INC.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Hong Wan</w:t>
            </w:r>
          </w:p>
        </w:tc>
        <w:tc>
          <w:tcPr>
            <w:tcW w:w="1840" w:type="dxa"/>
            <w:vAlign w:val="bottom"/>
            <w:gridSpan w:val="2"/>
          </w:tcPr>
          <w:p>
            <w:pPr>
              <w:ind w:left="1200"/>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Jaume Pons</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300" w:type="dxa"/>
            <w:vAlign w:val="bottom"/>
          </w:tcPr>
          <w:p>
            <w:pPr>
              <w:spacing w:after="0"/>
              <w:rPr>
                <w:sz w:val="20"/>
                <w:szCs w:val="20"/>
                <w:color w:val="auto"/>
              </w:rPr>
            </w:pPr>
            <w:r>
              <w:rPr>
                <w:rFonts w:ascii="Arial" w:cs="Arial" w:eastAsia="Arial" w:hAnsi="Arial"/>
                <w:sz w:val="18"/>
                <w:szCs w:val="18"/>
                <w:color w:val="auto"/>
              </w:rPr>
              <w:t>Hong Wan, Ph.D.</w:t>
            </w:r>
          </w:p>
        </w:tc>
        <w:tc>
          <w:tcPr>
            <w:tcW w:w="1840" w:type="dxa"/>
            <w:vAlign w:val="bottom"/>
            <w:gridSpan w:val="2"/>
          </w:tcPr>
          <w:p>
            <w:pPr>
              <w:ind w:left="1200"/>
              <w:spacing w:after="0"/>
              <w:rPr>
                <w:sz w:val="20"/>
                <w:szCs w:val="20"/>
                <w:color w:val="auto"/>
              </w:rPr>
            </w:pPr>
            <w:r>
              <w:rPr>
                <w:rFonts w:ascii="Arial" w:cs="Arial" w:eastAsia="Arial" w:hAnsi="Arial"/>
                <w:sz w:val="18"/>
                <w:szCs w:val="18"/>
                <w:color w:val="auto"/>
              </w:rPr>
              <w:t>Name:</w:t>
            </w:r>
          </w:p>
        </w:tc>
        <w:tc>
          <w:tcPr>
            <w:tcW w:w="4200" w:type="dxa"/>
            <w:vAlign w:val="bottom"/>
            <w:gridSpan w:val="2"/>
          </w:tcPr>
          <w:p>
            <w:pPr>
              <w:spacing w:after="0"/>
              <w:rPr>
                <w:sz w:val="20"/>
                <w:szCs w:val="20"/>
                <w:color w:val="auto"/>
              </w:rPr>
            </w:pPr>
            <w:r>
              <w:rPr>
                <w:rFonts w:ascii="Arial" w:cs="Arial" w:eastAsia="Arial" w:hAnsi="Arial"/>
                <w:sz w:val="18"/>
                <w:szCs w:val="18"/>
                <w:color w:val="auto"/>
              </w:rPr>
              <w:t>Jaume Pons</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840" w:type="dxa"/>
            <w:vAlign w:val="bottom"/>
            <w:gridSpan w:val="2"/>
          </w:tcPr>
          <w:p>
            <w:pPr>
              <w:ind w:left="1200"/>
              <w:spacing w:after="0"/>
              <w:rPr>
                <w:sz w:val="20"/>
                <w:szCs w:val="20"/>
                <w:color w:val="auto"/>
              </w:rPr>
            </w:pPr>
            <w:r>
              <w:rPr>
                <w:rFonts w:ascii="Arial" w:cs="Arial" w:eastAsia="Arial" w:hAnsi="Arial"/>
                <w:sz w:val="18"/>
                <w:szCs w:val="18"/>
                <w:color w:val="auto"/>
              </w:rPr>
              <w:t>Title:</w:t>
            </w:r>
          </w:p>
        </w:tc>
        <w:tc>
          <w:tcPr>
            <w:tcW w:w="42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300" w:type="dxa"/>
            <w:vAlign w:val="bottom"/>
          </w:tcPr>
          <w:p>
            <w:pPr>
              <w:spacing w:after="0"/>
              <w:rPr>
                <w:sz w:val="20"/>
                <w:szCs w:val="20"/>
                <w:color w:val="auto"/>
              </w:rPr>
            </w:pPr>
            <w:r>
              <w:rPr>
                <w:rFonts w:ascii="Arial" w:cs="Arial" w:eastAsia="Arial" w:hAnsi="Arial"/>
                <w:sz w:val="18"/>
                <w:szCs w:val="18"/>
                <w:color w:val="auto"/>
              </w:rPr>
              <w:t>June 25, 2020</w:t>
            </w:r>
          </w:p>
        </w:tc>
        <w:tc>
          <w:tcPr>
            <w:tcW w:w="1840" w:type="dxa"/>
            <w:vAlign w:val="bottom"/>
            <w:gridSpan w:val="2"/>
          </w:tcPr>
          <w:p>
            <w:pPr>
              <w:ind w:left="1200"/>
              <w:spacing w:after="0"/>
              <w:rPr>
                <w:sz w:val="20"/>
                <w:szCs w:val="20"/>
                <w:color w:val="auto"/>
              </w:rPr>
            </w:pPr>
            <w:r>
              <w:rPr>
                <w:rFonts w:ascii="Arial" w:cs="Arial" w:eastAsia="Arial" w:hAnsi="Arial"/>
                <w:sz w:val="18"/>
                <w:szCs w:val="18"/>
                <w:color w:val="auto"/>
              </w:rPr>
              <w:t>Date:</w:t>
            </w:r>
          </w:p>
        </w:tc>
        <w:tc>
          <w:tcPr>
            <w:tcW w:w="4200" w:type="dxa"/>
            <w:vAlign w:val="bottom"/>
            <w:gridSpan w:val="2"/>
          </w:tcPr>
          <w:p>
            <w:pPr>
              <w:spacing w:after="0"/>
              <w:rPr>
                <w:sz w:val="20"/>
                <w:szCs w:val="20"/>
                <w:color w:val="auto"/>
              </w:rPr>
            </w:pPr>
            <w:r>
              <w:rPr>
                <w:rFonts w:ascii="Arial" w:cs="Arial" w:eastAsia="Arial" w:hAnsi="Arial"/>
                <w:sz w:val="18"/>
                <w:szCs w:val="18"/>
                <w:color w:val="auto"/>
              </w:rPr>
              <w:t>June 25, 2020</w:t>
            </w:r>
          </w:p>
        </w:tc>
      </w:tr>
      <w:tr>
        <w:trPr>
          <w:trHeight w:val="432"/>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Notice Address:</w:t>
            </w:r>
          </w:p>
        </w:tc>
        <w:tc>
          <w:tcPr>
            <w:tcW w:w="6040" w:type="dxa"/>
            <w:vAlign w:val="bottom"/>
            <w:gridSpan w:val="4"/>
          </w:tcPr>
          <w:p>
            <w:pPr>
              <w:ind w:left="1200"/>
              <w:spacing w:after="0"/>
              <w:rPr>
                <w:sz w:val="20"/>
                <w:szCs w:val="20"/>
                <w:color w:val="auto"/>
              </w:rPr>
            </w:pPr>
            <w:r>
              <w:rPr>
                <w:rFonts w:ascii="Arial" w:cs="Arial" w:eastAsia="Arial" w:hAnsi="Arial"/>
                <w:sz w:val="18"/>
                <w:szCs w:val="18"/>
                <w:b w:val="1"/>
                <w:bCs w:val="1"/>
                <w:color w:val="auto"/>
              </w:rPr>
              <w:t>Notice Address:</w:t>
            </w:r>
          </w:p>
        </w:tc>
      </w:tr>
      <w:tr>
        <w:trPr>
          <w:trHeight w:val="418"/>
        </w:trPr>
        <w:tc>
          <w:tcPr>
            <w:tcW w:w="4980" w:type="dxa"/>
            <w:vAlign w:val="bottom"/>
            <w:gridSpan w:val="2"/>
          </w:tcPr>
          <w:p>
            <w:pPr>
              <w:spacing w:after="0"/>
              <w:rPr>
                <w:sz w:val="20"/>
                <w:szCs w:val="20"/>
                <w:color w:val="auto"/>
              </w:rPr>
            </w:pPr>
            <w:r>
              <w:rPr>
                <w:rFonts w:ascii="Arial" w:cs="Arial" w:eastAsia="Arial" w:hAnsi="Arial"/>
                <w:sz w:val="18"/>
                <w:szCs w:val="18"/>
                <w:color w:val="auto"/>
              </w:rPr>
              <w:t>1700 Owens Street, Suite 595</w:t>
            </w:r>
          </w:p>
        </w:tc>
        <w:tc>
          <w:tcPr>
            <w:tcW w:w="6040" w:type="dxa"/>
            <w:vAlign w:val="bottom"/>
            <w:gridSpan w:val="4"/>
          </w:tcPr>
          <w:p>
            <w:pPr>
              <w:ind w:left="1200"/>
              <w:spacing w:after="0"/>
              <w:rPr>
                <w:sz w:val="20"/>
                <w:szCs w:val="20"/>
                <w:color w:val="auto"/>
              </w:rPr>
            </w:pPr>
            <w:r>
              <w:rPr>
                <w:rFonts w:ascii="Arial" w:cs="Arial" w:eastAsia="Arial" w:hAnsi="Arial"/>
                <w:sz w:val="18"/>
                <w:szCs w:val="18"/>
                <w:color w:val="auto"/>
              </w:rPr>
              <w:t>866 Malcolm Road, Suite 100</w:t>
            </w:r>
          </w:p>
        </w:tc>
      </w:tr>
      <w:tr>
        <w:trPr>
          <w:trHeight w:val="212"/>
        </w:trPr>
        <w:tc>
          <w:tcPr>
            <w:tcW w:w="4980" w:type="dxa"/>
            <w:vAlign w:val="bottom"/>
            <w:gridSpan w:val="2"/>
          </w:tcPr>
          <w:p>
            <w:pPr>
              <w:spacing w:after="0"/>
              <w:rPr>
                <w:sz w:val="20"/>
                <w:szCs w:val="20"/>
                <w:color w:val="auto"/>
              </w:rPr>
            </w:pPr>
            <w:r>
              <w:rPr>
                <w:rFonts w:ascii="Arial" w:cs="Arial" w:eastAsia="Arial" w:hAnsi="Arial"/>
                <w:sz w:val="18"/>
                <w:szCs w:val="18"/>
                <w:color w:val="auto"/>
              </w:rPr>
              <w:t>San Francisco, CA 94158</w:t>
            </w:r>
          </w:p>
        </w:tc>
        <w:tc>
          <w:tcPr>
            <w:tcW w:w="6040" w:type="dxa"/>
            <w:vAlign w:val="bottom"/>
            <w:gridSpan w:val="4"/>
          </w:tcPr>
          <w:p>
            <w:pPr>
              <w:ind w:left="1200"/>
              <w:spacing w:after="0"/>
              <w:rPr>
                <w:sz w:val="20"/>
                <w:szCs w:val="20"/>
                <w:color w:val="auto"/>
              </w:rPr>
            </w:pPr>
            <w:r>
              <w:rPr>
                <w:rFonts w:ascii="Arial" w:cs="Arial" w:eastAsia="Arial" w:hAnsi="Arial"/>
                <w:sz w:val="18"/>
                <w:szCs w:val="18"/>
                <w:color w:val="auto"/>
              </w:rPr>
              <w:t>Burlingame, CA 94010</w:t>
            </w:r>
          </w:p>
        </w:tc>
      </w:tr>
      <w:tr>
        <w:trPr>
          <w:trHeight w:val="194"/>
        </w:trPr>
        <w:tc>
          <w:tcPr>
            <w:tcW w:w="4980" w:type="dxa"/>
            <w:vAlign w:val="bottom"/>
            <w:gridSpan w:val="2"/>
          </w:tcPr>
          <w:p>
            <w:pPr>
              <w:spacing w:after="0" w:line="194" w:lineRule="exact"/>
              <w:rPr>
                <w:sz w:val="20"/>
                <w:szCs w:val="20"/>
                <w:color w:val="auto"/>
              </w:rPr>
            </w:pPr>
            <w:r>
              <w:rPr>
                <w:rFonts w:ascii="Arial" w:cs="Arial" w:eastAsia="Arial" w:hAnsi="Arial"/>
                <w:sz w:val="18"/>
                <w:szCs w:val="18"/>
                <w:color w:val="auto"/>
              </w:rPr>
              <w:t>Attn: Chief Executive Officer</w:t>
            </w:r>
          </w:p>
        </w:tc>
        <w:tc>
          <w:tcPr>
            <w:tcW w:w="1680" w:type="dxa"/>
            <w:vAlign w:val="bottom"/>
          </w:tcPr>
          <w:p>
            <w:pPr>
              <w:ind w:left="1200"/>
              <w:spacing w:after="0" w:line="194" w:lineRule="exact"/>
              <w:rPr>
                <w:sz w:val="20"/>
                <w:szCs w:val="20"/>
                <w:color w:val="auto"/>
              </w:rPr>
            </w:pPr>
            <w:r>
              <w:rPr>
                <w:rFonts w:ascii="Arial" w:cs="Arial" w:eastAsia="Arial" w:hAnsi="Arial"/>
                <w:sz w:val="18"/>
                <w:szCs w:val="18"/>
                <w:color w:val="auto"/>
                <w:w w:val="95"/>
              </w:rPr>
              <w:t xml:space="preserve">Attn: </w:t>
            </w:r>
            <w:r>
              <w:rPr>
                <w:rFonts w:ascii="Arial" w:cs="Arial" w:eastAsia="Arial" w:hAnsi="Arial"/>
                <w:sz w:val="18"/>
                <w:szCs w:val="18"/>
                <w:b w:val="1"/>
                <w:bCs w:val="1"/>
                <w:color w:val="auto"/>
                <w:w w:val="95"/>
              </w:rPr>
              <w:t>[</w:t>
            </w:r>
          </w:p>
        </w:tc>
        <w:tc>
          <w:tcPr>
            <w:tcW w:w="160" w:type="dxa"/>
            <w:vAlign w:val="bottom"/>
          </w:tcPr>
          <w:p>
            <w:pPr>
              <w:spacing w:after="0"/>
              <w:rPr>
                <w:sz w:val="16"/>
                <w:szCs w:val="16"/>
                <w:color w:val="auto"/>
              </w:rPr>
            </w:pPr>
          </w:p>
        </w:tc>
        <w:tc>
          <w:tcPr>
            <w:tcW w:w="4200" w:type="dxa"/>
            <w:vAlign w:val="bottom"/>
            <w:gridSpan w:val="2"/>
          </w:tcPr>
          <w:p>
            <w:pPr>
              <w:ind w:left="740"/>
              <w:spacing w:after="0" w:line="194" w:lineRule="exact"/>
              <w:rPr>
                <w:sz w:val="20"/>
                <w:szCs w:val="20"/>
                <w:color w:val="auto"/>
              </w:rPr>
            </w:pPr>
            <w:r>
              <w:rPr>
                <w:rFonts w:ascii="Arial" w:cs="Arial" w:eastAsia="Arial" w:hAnsi="Arial"/>
                <w:sz w:val="18"/>
                <w:szCs w:val="18"/>
                <w:b w:val="1"/>
                <w:bCs w:val="1"/>
                <w:color w:val="auto"/>
              </w:rPr>
              <w:t>]</w:t>
            </w:r>
          </w:p>
        </w:tc>
      </w:tr>
      <w:tr>
        <w:trPr>
          <w:trHeight w:val="20"/>
        </w:trPr>
        <w:tc>
          <w:tcPr>
            <w:tcW w:w="6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Attachments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Attachment 1</w:t>
      </w:r>
      <w:r>
        <w:rPr>
          <w:rFonts w:ascii="Arial" w:cs="Arial" w:eastAsia="Arial" w:hAnsi="Arial"/>
          <w:sz w:val="18"/>
          <w:szCs w:val="18"/>
          <w:color w:val="auto"/>
        </w:rPr>
        <w:t>: Description of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Attachment 2</w:t>
      </w:r>
      <w:r>
        <w:rPr>
          <w:rFonts w:ascii="Arial" w:cs="Arial" w:eastAsia="Arial" w:hAnsi="Arial"/>
          <w:sz w:val="18"/>
          <w:szCs w:val="18"/>
          <w:color w:val="auto"/>
        </w:rPr>
        <w:t>: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Attachment 3</w:t>
      </w:r>
      <w:r>
        <w:rPr>
          <w:rFonts w:ascii="Arial" w:cs="Arial" w:eastAsia="Arial" w:hAnsi="Arial"/>
          <w:sz w:val="18"/>
          <w:szCs w:val="18"/>
          <w:color w:val="auto"/>
        </w:rPr>
        <w:t>: Designated Service Providers [Omitted]</w:t>
      </w:r>
    </w:p>
    <w:p>
      <w:pPr>
        <w:sectPr>
          <w:pgSz w:w="11900" w:h="16838" w:orient="portrait"/>
          <w:cols w:equalWidth="0" w:num="1">
            <w:col w:w="11020"/>
          </w:cols>
          <w:pgMar w:left="440" w:top="273" w:right="439" w:bottom="1440" w:gutter="0" w:footer="0" w:header="0"/>
        </w:sectPr>
      </w:pPr>
    </w:p>
    <w:bookmarkStart w:id="526" w:name="page527"/>
    <w:bookmarkEnd w:id="526"/>
    <w:p>
      <w:pPr>
        <w:jc w:val="center"/>
        <w:ind w:right="-4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1</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Services to be provided to ALX by Tallac</w:t>
      </w:r>
    </w:p>
    <w:p>
      <w:pPr>
        <w:spacing w:after="0" w:line="229" w:lineRule="exact"/>
        <w:rPr>
          <w:sz w:val="20"/>
          <w:szCs w:val="20"/>
          <w:color w:val="auto"/>
        </w:rPr>
      </w:pPr>
    </w:p>
    <w:p>
      <w:pPr>
        <w:jc w:val="both"/>
        <w:ind w:left="4" w:right="60"/>
        <w:spacing w:after="0" w:line="263" w:lineRule="auto"/>
        <w:rPr>
          <w:sz w:val="20"/>
          <w:szCs w:val="20"/>
          <w:color w:val="auto"/>
        </w:rPr>
      </w:pPr>
      <w:r>
        <w:rPr>
          <w:rFonts w:ascii="Arial" w:cs="Arial" w:eastAsia="Arial" w:hAnsi="Arial"/>
          <w:sz w:val="18"/>
          <w:szCs w:val="18"/>
          <w:color w:val="auto"/>
        </w:rPr>
        <w:t>Pursuant to Section 2.1, Tallac shall perform the activities relating to research and development support services, including financial and administrative services related to such services, as may be specified in a statement of work as agreed between the Parties from time to time, including the following as specified from time to time:</w:t>
      </w:r>
    </w:p>
    <w:p>
      <w:pPr>
        <w:spacing w:after="0" w:line="89" w:lineRule="exact"/>
        <w:rPr>
          <w:sz w:val="20"/>
          <w:szCs w:val="20"/>
          <w:color w:val="auto"/>
        </w:rPr>
      </w:pPr>
    </w:p>
    <w:p>
      <w:pPr>
        <w:ind w:left="424" w:right="800" w:hanging="424"/>
        <w:spacing w:after="0" w:line="277" w:lineRule="auto"/>
        <w:tabs>
          <w:tab w:leader="none" w:pos="42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Propose research and nonclinical development programs related to ALX clinical trials and related budgets and submit same to ALX for consideration and approval.</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78"/>
        </w:numPr>
        <w:rPr>
          <w:rFonts w:ascii="Arial" w:cs="Arial" w:eastAsia="Arial" w:hAnsi="Arial"/>
          <w:sz w:val="17"/>
          <w:szCs w:val="17"/>
          <w:color w:val="auto"/>
        </w:rPr>
      </w:pPr>
      <w:r>
        <w:rPr>
          <w:rFonts w:ascii="Arial" w:cs="Arial" w:eastAsia="Arial" w:hAnsi="Arial"/>
          <w:sz w:val="17"/>
          <w:szCs w:val="17"/>
          <w:color w:val="auto"/>
        </w:rPr>
        <w:t>Carry out agreed basic research and preclinical work in accordance with the agreed upon Services and the agreed upon budgeted amount.</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Hire, train and supervise appropriately skilled and qualified research staff.</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Prepare related progress reports on research for ALX.</w:t>
      </w:r>
    </w:p>
    <w:p>
      <w:pPr>
        <w:spacing w:after="0" w:line="130"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Carry out the design of preclinical study protocols and oversee preclinical development, including assistance with preparation of regulatory filings and interactions with regulatory authorities.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Negotiate agreements with other Suppliers as instructed by ALX.</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Supervise and interface with Suppliers as instructed by ALX.</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Assist ALX with intellectual property protection matters and prosecute patent applications within the New Patents.</w:t>
      </w:r>
    </w:p>
    <w:p>
      <w:pPr>
        <w:spacing w:after="0" w:line="130" w:lineRule="exact"/>
        <w:rPr>
          <w:rFonts w:ascii="Arial" w:cs="Arial" w:eastAsia="Arial" w:hAnsi="Arial"/>
          <w:sz w:val="18"/>
          <w:szCs w:val="18"/>
          <w:color w:val="auto"/>
        </w:rPr>
      </w:pPr>
    </w:p>
    <w:p>
      <w:pPr>
        <w:ind w:left="424" w:right="100" w:hanging="424"/>
        <w:spacing w:after="0" w:line="277" w:lineRule="auto"/>
        <w:tabs>
          <w:tab w:leader="none" w:pos="42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Assist ALX, on an as agreed basis, with other matters related to its development program, such as selection of, negotiations with and supervision of GMP manufacturing sources.</w:t>
      </w:r>
    </w:p>
    <w:p>
      <w:pPr>
        <w:sectPr>
          <w:pgSz w:w="11900" w:h="16838" w:orient="portrait"/>
          <w:cols w:equalWidth="0" w:num="1">
            <w:col w:w="10964"/>
          </w:cols>
          <w:pgMar w:left="436" w:top="269" w:right="499" w:bottom="1440" w:gutter="0" w:footer="0" w:header="0"/>
        </w:sectPr>
      </w:pPr>
    </w:p>
    <w:bookmarkStart w:id="527" w:name="page528"/>
    <w:bookmarkEnd w:id="527"/>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Compensation</w:t>
      </w:r>
    </w:p>
    <w:p>
      <w:pPr>
        <w:spacing w:after="0" w:line="229"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As full consideration for the provision of Services by Tallac hereunder, ALX shall pay to Tallac a fee (the “</w:t>
      </w:r>
      <w:r>
        <w:rPr>
          <w:rFonts w:ascii="Arial" w:cs="Arial" w:eastAsia="Arial" w:hAnsi="Arial"/>
          <w:sz w:val="18"/>
          <w:szCs w:val="18"/>
          <w:b w:val="1"/>
          <w:bCs w:val="1"/>
          <w:i w:val="1"/>
          <w:iCs w:val="1"/>
          <w:color w:val="auto"/>
        </w:rPr>
        <w:t>Service Fee</w:t>
      </w:r>
      <w:r>
        <w:rPr>
          <w:rFonts w:ascii="Arial" w:cs="Arial" w:eastAsia="Arial" w:hAnsi="Arial"/>
          <w:sz w:val="18"/>
          <w:szCs w:val="18"/>
          <w:color w:val="auto"/>
        </w:rPr>
        <w:t>”) equal to the sum of the amounts described in paragraphs (a) and (c) for such period. Notwithstanding anything herein to the contrary, the Service Fee will include the Service Provider Costs (as defined below) for the services performed by Hong Wan pursuant to that certain Consulting Agreement between ALX and Hong Wan effective as of July 1, 2020.</w:t>
      </w:r>
    </w:p>
    <w:p>
      <w:pPr>
        <w:spacing w:after="0" w:line="187" w:lineRule="exact"/>
        <w:rPr>
          <w:sz w:val="20"/>
          <w:szCs w:val="20"/>
          <w:color w:val="auto"/>
        </w:rPr>
      </w:pPr>
    </w:p>
    <w:p>
      <w:pPr>
        <w:ind w:left="4" w:right="360" w:hanging="4"/>
        <w:spacing w:after="0" w:line="277" w:lineRule="auto"/>
        <w:tabs>
          <w:tab w:leader="none" w:pos="249"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An amount equal to the costs incurred by Tallac with respect to the provision of the Services, plus a mark-up equal to 10% of such costs. For the avoidance of doubt, the Service Fee will be based upon Services actually performed.</w:t>
      </w:r>
    </w:p>
    <w:p>
      <w:pPr>
        <w:spacing w:after="0" w:line="170" w:lineRule="exact"/>
        <w:rPr>
          <w:rFonts w:ascii="Arial" w:cs="Arial" w:eastAsia="Arial" w:hAnsi="Arial"/>
          <w:sz w:val="18"/>
          <w:szCs w:val="18"/>
          <w:color w:val="auto"/>
        </w:rPr>
      </w:pPr>
    </w:p>
    <w:p>
      <w:pPr>
        <w:ind w:left="4" w:hanging="4"/>
        <w:spacing w:after="0" w:line="286" w:lineRule="auto"/>
        <w:tabs>
          <w:tab w:leader="none" w:pos="259" w:val="left"/>
        </w:tabs>
        <w:numPr>
          <w:ilvl w:val="0"/>
          <w:numId w:val="479"/>
        </w:numPr>
        <w:rPr>
          <w:rFonts w:ascii="Arial" w:cs="Arial" w:eastAsia="Arial" w:hAnsi="Arial"/>
          <w:sz w:val="16"/>
          <w:szCs w:val="16"/>
          <w:color w:val="auto"/>
        </w:rPr>
      </w:pPr>
      <w:r>
        <w:rPr>
          <w:rFonts w:ascii="Arial" w:cs="Arial" w:eastAsia="Arial" w:hAnsi="Arial"/>
          <w:sz w:val="16"/>
          <w:szCs w:val="16"/>
          <w:color w:val="auto"/>
        </w:rPr>
        <w:t>For greater clarity, the costs reasonably attributable to the provision of the Services shall include, but are not limited to, (i) the Service Provider Costs for each Designated Service Provider, prorated to reflect the fraction of the Designated Service Provider’s working time (based on a 40-hour work week) spent on the performance of the Services, (ii) other reasonable costs or expenses incurred in the ordinary course of business in rendering the Services, and (iii) allocation of facilities costs based upon labor hours/percentage charged. “</w:t>
      </w:r>
      <w:r>
        <w:rPr>
          <w:rFonts w:ascii="Arial" w:cs="Arial" w:eastAsia="Arial" w:hAnsi="Arial"/>
          <w:sz w:val="16"/>
          <w:szCs w:val="16"/>
          <w:b w:val="1"/>
          <w:bCs w:val="1"/>
          <w:i w:val="1"/>
          <w:iCs w:val="1"/>
          <w:color w:val="auto"/>
        </w:rPr>
        <w:t>Service Provider Costs</w:t>
      </w:r>
      <w:r>
        <w:rPr>
          <w:rFonts w:ascii="Arial" w:cs="Arial" w:eastAsia="Arial" w:hAnsi="Arial"/>
          <w:sz w:val="16"/>
          <w:szCs w:val="16"/>
          <w:color w:val="auto"/>
        </w:rPr>
        <w:t>” shall mean, as applicable, (i) salary, wages, consulting fees and cash bonuses; (ii) reasonable administration costs and any employer matching contributions for any 401(k) plan maintained by Tallac or any of its affiliates in which any Designated Service Providers participate (including any employer contributions required by applicable law), with any administration costs further prorated based on the number of participants in such plan; (iii) the employer portion of premiums paid with respect to, or reasonable employer expenses incurred in the ordinary course of business relating to the administration of, medical, dental, prescription drug and vision coverage, life, disability and accidental death and dismemberment insurance, flexible benefits plan, short-term disability benefits, vacation and other paid-time off, and worker’s compensation benefits, provided under Tallac’s benefit plans or programs or such benefits as may be required by applicable law, for the Designated Service Providers participating therein (with any employer administration expenses further prorated based on the number of participants in such applicable plan or program); and (iv) the employer portion of any payroll and employment taxes, provided in each case, for the avoidance of doubt, that Service Provider Costs will not include any expenses incurred by Tallac or any of its affiliates (including without limitation any taxes, penalties, interest, attorneys fees, accountant services fees, and other costs or losses) resulting from any violation of or failure to comply with any applicable laws relating to any of the foregoing payments, benefits, plans, programs and arrangements.</w:t>
      </w:r>
    </w:p>
    <w:p>
      <w:pPr>
        <w:spacing w:after="0" w:line="167" w:lineRule="exact"/>
        <w:rPr>
          <w:rFonts w:ascii="Arial" w:cs="Arial" w:eastAsia="Arial" w:hAnsi="Arial"/>
          <w:sz w:val="16"/>
          <w:szCs w:val="16"/>
          <w:color w:val="auto"/>
        </w:rPr>
      </w:pPr>
    </w:p>
    <w:p>
      <w:pPr>
        <w:ind w:left="4" w:right="20" w:hanging="4"/>
        <w:spacing w:after="0" w:line="263" w:lineRule="auto"/>
        <w:tabs>
          <w:tab w:leader="none" w:pos="249"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To the extent not included in (a), an amount equal to the costs incurred by Tallac with respect to the services of subcontractors or Suppliers in connection with the provision of the Services, plus, as periodically agreed between the Parties, a mark-up equal to 10% of such costs. Tallac will invoice ALX for such costs in United States Dollars.</w:t>
      </w:r>
    </w:p>
    <w:p>
      <w:pPr>
        <w:sectPr>
          <w:pgSz w:w="11900" w:h="16838" w:orient="portrait"/>
          <w:cols w:equalWidth="0" w:num="1">
            <w:col w:w="11004"/>
          </w:cols>
          <w:pgMar w:left="436" w:top="269" w:right="459" w:bottom="1440" w:gutter="0" w:footer="0" w:header="0"/>
        </w:sectPr>
      </w:pPr>
    </w:p>
    <w:bookmarkStart w:id="528" w:name="page529"/>
    <w:bookmarkEnd w:id="52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b w:val="1"/>
                <w:bCs w:val="1"/>
                <w:color w:val="auto"/>
              </w:rPr>
              <w:t>SUBSIDIARIES OF ALX ONCOLOGY HOLDINGS INC.</w:t>
            </w:r>
          </w:p>
        </w:tc>
      </w:tr>
      <w:tr>
        <w:trPr>
          <w:trHeight w:val="392"/>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5760" w:type="dxa"/>
            <w:vAlign w:val="bottom"/>
            <w:gridSpan w:val="2"/>
          </w:tcPr>
          <w:p>
            <w:pPr>
              <w:ind w:left="2940"/>
              <w:spacing w:after="0"/>
              <w:rPr>
                <w:sz w:val="20"/>
                <w:szCs w:val="20"/>
                <w:color w:val="auto"/>
              </w:rPr>
            </w:pPr>
            <w:r>
              <w:rPr>
                <w:rFonts w:ascii="Arial" w:cs="Arial" w:eastAsia="Arial" w:hAnsi="Arial"/>
                <w:sz w:val="14"/>
                <w:szCs w:val="14"/>
                <w:b w:val="1"/>
                <w:bCs w:val="1"/>
                <w:color w:val="auto"/>
                <w:w w:val="93"/>
              </w:rPr>
              <w:t>Jurisdiction of Incorporation or Organization</w:t>
            </w:r>
          </w:p>
        </w:tc>
      </w:tr>
      <w:tr>
        <w:trPr>
          <w:trHeight w:val="195"/>
        </w:trPr>
        <w:tc>
          <w:tcPr>
            <w:tcW w:w="1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ALX Oncology</w:t>
            </w:r>
          </w:p>
        </w:tc>
        <w:tc>
          <w:tcPr>
            <w:tcW w:w="1580" w:type="dxa"/>
            <w:vAlign w:val="bottom"/>
          </w:tcPr>
          <w:p>
            <w:pPr>
              <w:spacing w:after="0" w:line="195" w:lineRule="exact"/>
              <w:rPr>
                <w:sz w:val="20"/>
                <w:szCs w:val="20"/>
                <w:color w:val="auto"/>
              </w:rPr>
            </w:pPr>
            <w:r>
              <w:rPr>
                <w:rFonts w:ascii="Arial" w:cs="Arial" w:eastAsia="Arial" w:hAnsi="Arial"/>
                <w:sz w:val="18"/>
                <w:szCs w:val="18"/>
                <w:color w:val="auto"/>
              </w:rPr>
              <w:t>Limited</w:t>
            </w:r>
          </w:p>
        </w:tc>
        <w:tc>
          <w:tcPr>
            <w:tcW w:w="2940" w:type="dxa"/>
            <w:vAlign w:val="bottom"/>
          </w:tcPr>
          <w:p>
            <w:pPr>
              <w:spacing w:after="0"/>
              <w:rPr>
                <w:sz w:val="16"/>
                <w:szCs w:val="16"/>
                <w:color w:val="auto"/>
              </w:rPr>
            </w:pPr>
          </w:p>
        </w:tc>
        <w:tc>
          <w:tcPr>
            <w:tcW w:w="2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Ireland</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ALX Oncology Incorporated</w:t>
            </w:r>
          </w:p>
        </w:tc>
        <w:tc>
          <w:tcPr>
            <w:tcW w:w="5760" w:type="dxa"/>
            <w:vAlign w:val="bottom"/>
            <w:gridSpan w:val="2"/>
          </w:tcPr>
          <w:p>
            <w:pPr>
              <w:ind w:left="2940"/>
              <w:spacing w:after="0"/>
              <w:rPr>
                <w:sz w:val="20"/>
                <w:szCs w:val="20"/>
                <w:color w:val="auto"/>
              </w:rPr>
            </w:pPr>
            <w:r>
              <w:rPr>
                <w:rFonts w:ascii="Arial" w:cs="Arial" w:eastAsia="Arial" w:hAnsi="Arial"/>
                <w:sz w:val="18"/>
                <w:szCs w:val="18"/>
                <w:color w:val="auto"/>
              </w:rPr>
              <w:t>Delaware</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Alexo Holding Limited</w:t>
            </w:r>
          </w:p>
        </w:tc>
        <w:tc>
          <w:tcPr>
            <w:tcW w:w="5760" w:type="dxa"/>
            <w:vAlign w:val="bottom"/>
            <w:gridSpan w:val="2"/>
          </w:tcPr>
          <w:p>
            <w:pPr>
              <w:ind w:left="2940"/>
              <w:spacing w:after="0"/>
              <w:rPr>
                <w:sz w:val="20"/>
                <w:szCs w:val="20"/>
                <w:color w:val="auto"/>
              </w:rPr>
            </w:pPr>
            <w:r>
              <w:rPr>
                <w:rFonts w:ascii="Arial" w:cs="Arial" w:eastAsia="Arial" w:hAnsi="Arial"/>
                <w:sz w:val="18"/>
                <w:szCs w:val="18"/>
                <w:color w:val="auto"/>
              </w:rPr>
              <w:t>Malta</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Alexo Therapeutics International</w:t>
            </w:r>
          </w:p>
        </w:tc>
        <w:tc>
          <w:tcPr>
            <w:tcW w:w="5760" w:type="dxa"/>
            <w:vAlign w:val="bottom"/>
            <w:gridSpan w:val="2"/>
          </w:tcPr>
          <w:p>
            <w:pPr>
              <w:ind w:left="2940"/>
              <w:spacing w:after="0"/>
              <w:rPr>
                <w:sz w:val="20"/>
                <w:szCs w:val="20"/>
                <w:color w:val="auto"/>
              </w:rPr>
            </w:pPr>
            <w:r>
              <w:rPr>
                <w:rFonts w:ascii="Arial" w:cs="Arial" w:eastAsia="Arial" w:hAnsi="Arial"/>
                <w:sz w:val="18"/>
                <w:szCs w:val="18"/>
                <w:color w:val="auto"/>
              </w:rPr>
              <w:t>Cayman Islands</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Sirpant Therapeutics</w:t>
            </w:r>
          </w:p>
        </w:tc>
        <w:tc>
          <w:tcPr>
            <w:tcW w:w="5760" w:type="dxa"/>
            <w:vAlign w:val="bottom"/>
            <w:gridSpan w:val="2"/>
          </w:tcPr>
          <w:p>
            <w:pPr>
              <w:ind w:left="2940"/>
              <w:spacing w:after="0"/>
              <w:rPr>
                <w:sz w:val="20"/>
                <w:szCs w:val="20"/>
                <w:color w:val="auto"/>
              </w:rPr>
            </w:pPr>
            <w:r>
              <w:rPr>
                <w:rFonts w:ascii="Arial" w:cs="Arial" w:eastAsia="Arial" w:hAnsi="Arial"/>
                <w:sz w:val="18"/>
                <w:szCs w:val="18"/>
                <w:color w:val="auto"/>
              </w:rPr>
              <w:t>Cayman Islands</w:t>
            </w:r>
          </w:p>
        </w:tc>
      </w:tr>
    </w:tbl>
    <w:p>
      <w:pPr>
        <w:sectPr>
          <w:pgSz w:w="11900" w:h="16838" w:orient="portrait"/>
          <w:cols w:equalWidth="0" w:num="1">
            <w:col w:w="11020"/>
          </w:cols>
          <w:pgMar w:left="440" w:top="121" w:right="439" w:bottom="1440" w:gutter="0" w:footer="0" w:header="0"/>
        </w:sectPr>
      </w:pPr>
    </w:p>
    <w:bookmarkStart w:id="529" w:name="page530"/>
    <w:bookmarkEnd w:id="52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21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consent to the use of our report dated June 12, 2020, included herein, with respect to the balance sheet of ALX Oncology Holdings Inc. as of April 1, 2020 (inception), and the related notes, included herein and to the reference to our firm under the heading “Experts” in the prospectus.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26, 2020</w:t>
      </w:r>
    </w:p>
    <w:p>
      <w:pPr>
        <w:sectPr>
          <w:pgSz w:w="11900" w:h="16838" w:orient="portrait"/>
          <w:cols w:equalWidth="0" w:num="1">
            <w:col w:w="11020"/>
          </w:cols>
          <w:pgMar w:left="440" w:top="121" w:right="439" w:bottom="1440" w:gutter="0" w:footer="0" w:header="0"/>
        </w:sectPr>
      </w:pPr>
    </w:p>
    <w:bookmarkStart w:id="530" w:name="page531"/>
    <w:bookmarkEnd w:id="530"/>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ALX Oncology Limited:</w:t>
      </w:r>
    </w:p>
    <w:p>
      <w:pPr>
        <w:spacing w:after="0" w:line="21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consent to the use of our report dated May 5, 2020, included herein, with respect to the consolidated balance sheets of ALX Oncology Limited as of December 31, 2018 and 2019, the related consolidated statements of operations and comprehensive loss, convertible preferred shares and shareholders’ deficit, and cash flows for each of the years in the two-year period ended December 31, 2019, and the related notes, included herein and to the reference to our firm under the heading “Experts” in the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26,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C5BB4F"/>
    <w:multiLevelType w:val="hybridMultilevel"/>
    <w:lvl w:ilvl="0">
      <w:lvlJc w:val="left"/>
      <w:lvlText w:val="(%1)"/>
      <w:numFmt w:val="decimal"/>
      <w:start w:val="1"/>
    </w:lvl>
  </w:abstractNum>
  <w:abstractNum w:abstractNumId="1">
    <w:nsid w:val="1803D089"/>
    <w:multiLevelType w:val="hybridMultilevel"/>
    <w:lvl w:ilvl="0">
      <w:lvlJc w:val="left"/>
      <w:lvlText w:val="(%1)"/>
      <w:numFmt w:val="decimal"/>
      <w:start w:val="1"/>
    </w:lvl>
  </w:abstractNum>
  <w:abstractNum w:abstractNumId="2">
    <w:nsid w:val="4F3A06D4"/>
    <w:multiLevelType w:val="hybridMultilevel"/>
    <w:lvl w:ilvl="0">
      <w:lvlJc w:val="left"/>
      <w:lvlText w:val="∎"/>
      <w:numFmt w:val="bullet"/>
      <w:start w:val="1"/>
    </w:lvl>
  </w:abstractNum>
  <w:abstractNum w:abstractNumId="3">
    <w:nsid w:val="59A377B6"/>
    <w:multiLevelType w:val="hybridMultilevel"/>
    <w:lvl w:ilvl="0">
      <w:lvlJc w:val="left"/>
      <w:lvlText w:val="∎"/>
      <w:numFmt w:val="bullet"/>
      <w:start w:val="1"/>
    </w:lvl>
  </w:abstractNum>
  <w:abstractNum w:abstractNumId="4">
    <w:nsid w:val="48AEB063"/>
    <w:multiLevelType w:val="hybridMultilevel"/>
    <w:lvl w:ilvl="0">
      <w:lvlJc w:val="left"/>
      <w:lvlText w:val="∎"/>
      <w:numFmt w:val="bullet"/>
      <w:start w:val="1"/>
    </w:lvl>
  </w:abstractNum>
  <w:abstractNum w:abstractNumId="5">
    <w:nsid w:val="24E135"/>
    <w:multiLevelType w:val="hybridMultilevel"/>
    <w:lvl w:ilvl="0">
      <w:lvlJc w:val="left"/>
      <w:lvlText w:val="(%1)"/>
      <w:numFmt w:val="lowerRoman"/>
      <w:start w:val="2"/>
    </w:lvl>
  </w:abstractNum>
  <w:abstractNum w:abstractNumId="6">
    <w:nsid w:val="BB13C1"/>
    <w:multiLevelType w:val="hybridMultilevel"/>
    <w:lvl w:ilvl="0">
      <w:lvlJc w:val="left"/>
      <w:lvlText w:val="∎"/>
      <w:numFmt w:val="bullet"/>
      <w:start w:val="1"/>
    </w:lvl>
  </w:abstractNum>
  <w:abstractNum w:abstractNumId="7">
    <w:nsid w:val="271210C7"/>
    <w:multiLevelType w:val="hybridMultilevel"/>
    <w:lvl w:ilvl="0">
      <w:lvlJc w:val="left"/>
      <w:lvlText w:val="∎"/>
      <w:numFmt w:val="bullet"/>
      <w:start w:val="1"/>
    </w:lvl>
  </w:abstractNum>
  <w:abstractNum w:abstractNumId="8">
    <w:nsid w:val="217B22E4"/>
    <w:multiLevelType w:val="hybridMultilevel"/>
    <w:lvl w:ilvl="0">
      <w:lvlJc w:val="left"/>
      <w:lvlText w:val="∎"/>
      <w:numFmt w:val="bullet"/>
      <w:start w:val="1"/>
    </w:lvl>
  </w:abstractNum>
  <w:abstractNum w:abstractNumId="9">
    <w:nsid w:val="53E31A24"/>
    <w:multiLevelType w:val="hybridMultilevel"/>
    <w:lvl w:ilvl="0">
      <w:lvlJc w:val="left"/>
      <w:lvlText w:val="∎"/>
      <w:numFmt w:val="bullet"/>
      <w:start w:val="1"/>
    </w:lvl>
  </w:abstractNum>
  <w:abstractNum w:abstractNumId="10">
    <w:nsid w:val="6DC45E83"/>
    <w:multiLevelType w:val="hybridMultilevel"/>
    <w:lvl w:ilvl="0">
      <w:lvlJc w:val="left"/>
      <w:lvlText w:val="∎"/>
      <w:numFmt w:val="bullet"/>
      <w:start w:val="1"/>
    </w:lvl>
  </w:abstractNum>
  <w:abstractNum w:abstractNumId="11">
    <w:nsid w:val="17304A67"/>
    <w:multiLevelType w:val="hybridMultilevel"/>
    <w:lvl w:ilvl="0">
      <w:lvlJc w:val="left"/>
      <w:lvlText w:val="(%1)"/>
      <w:numFmt w:val="decimal"/>
      <w:start w:val="1"/>
    </w:lvl>
  </w:abstractNum>
  <w:abstractNum w:abstractNumId="12">
    <w:nsid w:val="2BB180D8"/>
    <w:multiLevelType w:val="hybridMultilevel"/>
    <w:lvl w:ilvl="0">
      <w:lvlJc w:val="left"/>
      <w:lvlText w:val="(%1)"/>
      <w:numFmt w:val="decimal"/>
      <w:start w:val="1"/>
    </w:lvl>
  </w:abstractNum>
  <w:abstractNum w:abstractNumId="13">
    <w:nsid w:val="556B69ED"/>
    <w:multiLevelType w:val="hybridMultilevel"/>
    <w:lvl w:ilvl="0">
      <w:lvlJc w:val="left"/>
      <w:lvlText w:val="(%1)"/>
      <w:numFmt w:val="decimal"/>
      <w:start w:val="3"/>
    </w:lvl>
  </w:abstractNum>
  <w:abstractNum w:abstractNumId="14">
    <w:nsid w:val="70836196"/>
    <w:multiLevelType w:val="hybridMultilevel"/>
    <w:lvl w:ilvl="0">
      <w:lvlJc w:val="left"/>
      <w:lvlText w:val="∎"/>
      <w:numFmt w:val="bullet"/>
      <w:start w:val="1"/>
    </w:lvl>
  </w:abstractNum>
  <w:abstractNum w:abstractNumId="15">
    <w:nsid w:val="539F7F12"/>
    <w:multiLevelType w:val="hybridMultilevel"/>
    <w:lvl w:ilvl="0">
      <w:lvlJc w:val="left"/>
      <w:lvlText w:val="∎"/>
      <w:numFmt w:val="bullet"/>
      <w:start w:val="1"/>
    </w:lvl>
  </w:abstractNum>
  <w:abstractNum w:abstractNumId="16">
    <w:nsid w:val="2817E7EC"/>
    <w:multiLevelType w:val="hybridMultilevel"/>
    <w:lvl w:ilvl="0">
      <w:lvlJc w:val="left"/>
      <w:lvlText w:val="∎"/>
      <w:numFmt w:val="bullet"/>
      <w:start w:val="1"/>
    </w:lvl>
  </w:abstractNum>
  <w:abstractNum w:abstractNumId="17">
    <w:nsid w:val="71482545"/>
    <w:multiLevelType w:val="hybridMultilevel"/>
    <w:lvl w:ilvl="0">
      <w:lvlJc w:val="left"/>
      <w:lvlText w:val="∎"/>
      <w:numFmt w:val="bullet"/>
      <w:start w:val="1"/>
    </w:lvl>
  </w:abstractNum>
  <w:abstractNum w:abstractNumId="18">
    <w:nsid w:val="17D78639"/>
    <w:multiLevelType w:val="hybridMultilevel"/>
    <w:lvl w:ilvl="0">
      <w:lvlJc w:val="left"/>
      <w:lvlText w:val="∎"/>
      <w:numFmt w:val="bullet"/>
      <w:start w:val="1"/>
    </w:lvl>
  </w:abstractNum>
  <w:abstractNum w:abstractNumId="19">
    <w:nsid w:val="141D2302"/>
    <w:multiLevelType w:val="hybridMultilevel"/>
    <w:lvl w:ilvl="0">
      <w:lvlJc w:val="left"/>
      <w:lvlText w:val="∎"/>
      <w:numFmt w:val="bullet"/>
      <w:start w:val="1"/>
    </w:lvl>
  </w:abstractNum>
  <w:abstractNum w:abstractNumId="20">
    <w:nsid w:val="407168D8"/>
    <w:multiLevelType w:val="hybridMultilevel"/>
    <w:lvl w:ilvl="0">
      <w:lvlJc w:val="left"/>
      <w:lvlText w:val="∎"/>
      <w:numFmt w:val="bullet"/>
      <w:start w:val="1"/>
    </w:lvl>
  </w:abstractNum>
  <w:abstractNum w:abstractNumId="21">
    <w:nsid w:val="6A1B45E5"/>
    <w:multiLevelType w:val="hybridMultilevel"/>
    <w:lvl w:ilvl="0">
      <w:lvlJc w:val="left"/>
      <w:lvlText w:val="∎"/>
      <w:numFmt w:val="bullet"/>
      <w:start w:val="1"/>
    </w:lvl>
  </w:abstractNum>
  <w:abstractNum w:abstractNumId="22">
    <w:nsid w:val="567BD50A"/>
    <w:multiLevelType w:val="hybridMultilevel"/>
    <w:lvl w:ilvl="0">
      <w:lvlJc w:val="left"/>
      <w:lvlText w:val="∎"/>
      <w:numFmt w:val="bullet"/>
      <w:start w:val="1"/>
    </w:lvl>
  </w:abstractNum>
  <w:abstractNum w:abstractNumId="23">
    <w:nsid w:val="73BBD7F8"/>
    <w:multiLevelType w:val="hybridMultilevel"/>
    <w:lvl w:ilvl="0">
      <w:lvlJc w:val="left"/>
      <w:lvlText w:val="∎"/>
      <w:numFmt w:val="bullet"/>
      <w:start w:val="1"/>
    </w:lvl>
  </w:abstractNum>
  <w:abstractNum w:abstractNumId="24">
    <w:nsid w:val="1876589D"/>
    <w:multiLevelType w:val="hybridMultilevel"/>
    <w:lvl w:ilvl="0">
      <w:lvlJc w:val="left"/>
      <w:lvlText w:val="∎"/>
      <w:numFmt w:val="bullet"/>
      <w:start w:val="1"/>
    </w:lvl>
  </w:abstractNum>
  <w:abstractNum w:abstractNumId="25">
    <w:nsid w:val="327FAC77"/>
    <w:multiLevelType w:val="hybridMultilevel"/>
    <w:lvl w:ilvl="0">
      <w:lvlJc w:val="left"/>
      <w:lvlText w:val="∎"/>
      <w:numFmt w:val="bullet"/>
      <w:start w:val="1"/>
    </w:lvl>
  </w:abstractNum>
  <w:abstractNum w:abstractNumId="26">
    <w:nsid w:val="5A606509"/>
    <w:multiLevelType w:val="hybridMultilevel"/>
    <w:lvl w:ilvl="0">
      <w:lvlJc w:val="left"/>
      <w:lvlText w:val="∎"/>
      <w:numFmt w:val="bullet"/>
      <w:start w:val="1"/>
    </w:lvl>
  </w:abstractNum>
  <w:abstractNum w:abstractNumId="27">
    <w:nsid w:val="6F38E6D1"/>
    <w:multiLevelType w:val="hybridMultilevel"/>
    <w:lvl w:ilvl="0">
      <w:lvlJc w:val="left"/>
      <w:lvlText w:val="∎"/>
      <w:numFmt w:val="bullet"/>
      <w:start w:val="1"/>
    </w:lvl>
  </w:abstractNum>
  <w:abstractNum w:abstractNumId="28">
    <w:nsid w:val="46111BA5"/>
    <w:multiLevelType w:val="hybridMultilevel"/>
    <w:lvl w:ilvl="0">
      <w:lvlJc w:val="left"/>
      <w:lvlText w:val="∎"/>
      <w:numFmt w:val="bullet"/>
      <w:start w:val="1"/>
    </w:lvl>
  </w:abstractNum>
  <w:abstractNum w:abstractNumId="29">
    <w:nsid w:val="5E963896"/>
    <w:multiLevelType w:val="hybridMultilevel"/>
    <w:lvl w:ilvl="0">
      <w:lvlJc w:val="left"/>
      <w:lvlText w:val="∎"/>
      <w:numFmt w:val="bullet"/>
      <w:start w:val="1"/>
    </w:lvl>
  </w:abstractNum>
  <w:abstractNum w:abstractNumId="30">
    <w:nsid w:val="775BA7C1"/>
    <w:multiLevelType w:val="hybridMultilevel"/>
    <w:lvl w:ilvl="0">
      <w:lvlJc w:val="left"/>
      <w:lvlText w:val="∎"/>
      <w:numFmt w:val="bullet"/>
      <w:start w:val="1"/>
    </w:lvl>
  </w:abstractNum>
  <w:abstractNum w:abstractNumId="31">
    <w:nsid w:val="1DD6D6F4"/>
    <w:multiLevelType w:val="hybridMultilevel"/>
    <w:lvl w:ilvl="0">
      <w:lvlJc w:val="left"/>
      <w:lvlText w:val="∎"/>
      <w:numFmt w:val="bullet"/>
      <w:start w:val="1"/>
    </w:lvl>
  </w:abstractNum>
  <w:abstractNum w:abstractNumId="32">
    <w:nsid w:val="769A091F"/>
    <w:multiLevelType w:val="hybridMultilevel"/>
    <w:lvl w:ilvl="0">
      <w:lvlJc w:val="left"/>
      <w:lvlText w:val="∎"/>
      <w:numFmt w:val="bullet"/>
      <w:start w:val="1"/>
    </w:lvl>
  </w:abstractNum>
  <w:abstractNum w:abstractNumId="33">
    <w:nsid w:val="4695AE95"/>
    <w:multiLevelType w:val="hybridMultilevel"/>
    <w:lvl w:ilvl="0">
      <w:lvlJc w:val="left"/>
      <w:lvlText w:val="∎"/>
      <w:numFmt w:val="bullet"/>
      <w:start w:val="1"/>
    </w:lvl>
  </w:abstractNum>
  <w:abstractNum w:abstractNumId="34">
    <w:nsid w:val="777A4EAA"/>
    <w:multiLevelType w:val="hybridMultilevel"/>
    <w:lvl w:ilvl="0">
      <w:lvlJc w:val="left"/>
      <w:lvlText w:val="∎"/>
      <w:numFmt w:val="bullet"/>
      <w:start w:val="1"/>
    </w:lvl>
  </w:abstractNum>
  <w:abstractNum w:abstractNumId="35">
    <w:nsid w:val="3F48B982"/>
    <w:multiLevelType w:val="hybridMultilevel"/>
    <w:lvl w:ilvl="0">
      <w:lvlJc w:val="left"/>
      <w:lvlText w:val="∎"/>
      <w:numFmt w:val="bullet"/>
      <w:start w:val="1"/>
    </w:lvl>
  </w:abstractNum>
  <w:abstractNum w:abstractNumId="36">
    <w:nsid w:val="46BA8FCA"/>
    <w:multiLevelType w:val="hybridMultilevel"/>
    <w:lvl w:ilvl="0">
      <w:lvlJc w:val="left"/>
      <w:lvlText w:val="∎"/>
      <w:numFmt w:val="bullet"/>
      <w:start w:val="1"/>
    </w:lvl>
  </w:abstractNum>
  <w:abstractNum w:abstractNumId="37">
    <w:nsid w:val="7835626C"/>
    <w:multiLevelType w:val="hybridMultilevel"/>
    <w:lvl w:ilvl="0">
      <w:lvlJc w:val="left"/>
      <w:lvlText w:val="∎"/>
      <w:numFmt w:val="bullet"/>
      <w:start w:val="1"/>
    </w:lvl>
  </w:abstractNum>
  <w:abstractNum w:abstractNumId="38">
    <w:nsid w:val="665ACA49"/>
    <w:multiLevelType w:val="hybridMultilevel"/>
    <w:lvl w:ilvl="0">
      <w:lvlJc w:val="left"/>
      <w:lvlText w:val="∎"/>
      <w:numFmt w:val="bullet"/>
      <w:start w:val="1"/>
    </w:lvl>
  </w:abstractNum>
  <w:abstractNum w:abstractNumId="39">
    <w:nsid w:val="6835B2AE"/>
    <w:multiLevelType w:val="hybridMultilevel"/>
    <w:lvl w:ilvl="0">
      <w:lvlJc w:val="left"/>
      <w:lvlText w:val="∎"/>
      <w:numFmt w:val="bullet"/>
      <w:start w:val="1"/>
    </w:lvl>
  </w:abstractNum>
  <w:abstractNum w:abstractNumId="40">
    <w:nsid w:val="4C187C90"/>
    <w:multiLevelType w:val="hybridMultilevel"/>
    <w:lvl w:ilvl="0">
      <w:lvlJc w:val="left"/>
      <w:lvlText w:val="∎"/>
      <w:numFmt w:val="bullet"/>
      <w:start w:val="1"/>
    </w:lvl>
  </w:abstractNum>
  <w:abstractNum w:abstractNumId="41">
    <w:nsid w:val="541F28CD"/>
    <w:multiLevelType w:val="hybridMultilevel"/>
    <w:lvl w:ilvl="0">
      <w:lvlJc w:val="left"/>
      <w:lvlText w:val="∎"/>
      <w:numFmt w:val="bullet"/>
      <w:start w:val="1"/>
    </w:lvl>
  </w:abstractNum>
  <w:abstractNum w:abstractNumId="42">
    <w:nsid w:val="7F65FD16"/>
    <w:multiLevelType w:val="hybridMultilevel"/>
    <w:lvl w:ilvl="0">
      <w:lvlJc w:val="left"/>
      <w:lvlText w:val="∎"/>
      <w:numFmt w:val="bullet"/>
      <w:start w:val="1"/>
    </w:lvl>
  </w:abstractNum>
  <w:abstractNum w:abstractNumId="43">
    <w:nsid w:val="77C9FD68"/>
    <w:multiLevelType w:val="hybridMultilevel"/>
    <w:lvl w:ilvl="0">
      <w:lvlJc w:val="left"/>
      <w:lvlText w:val="∎"/>
      <w:numFmt w:val="bullet"/>
      <w:start w:val="1"/>
    </w:lvl>
  </w:abstractNum>
  <w:abstractNum w:abstractNumId="44">
    <w:nsid w:val="298A92BA"/>
    <w:multiLevelType w:val="hybridMultilevel"/>
    <w:lvl w:ilvl="0">
      <w:lvlJc w:val="left"/>
      <w:lvlText w:val="∎"/>
      <w:numFmt w:val="bullet"/>
      <w:start w:val="1"/>
    </w:lvl>
  </w:abstractNum>
  <w:abstractNum w:abstractNumId="45">
    <w:nsid w:val="6FE95EAC"/>
    <w:multiLevelType w:val="hybridMultilevel"/>
    <w:lvl w:ilvl="0">
      <w:lvlJc w:val="left"/>
      <w:lvlText w:val="∎"/>
      <w:numFmt w:val="bullet"/>
      <w:start w:val="1"/>
    </w:lvl>
  </w:abstractNum>
  <w:abstractNum w:abstractNumId="46">
    <w:nsid w:val="4B697C7A"/>
    <w:multiLevelType w:val="hybridMultilevel"/>
    <w:lvl w:ilvl="0">
      <w:lvlJc w:val="left"/>
      <w:lvlText w:val="∎"/>
      <w:numFmt w:val="bullet"/>
      <w:start w:val="1"/>
    </w:lvl>
    <w:lvl w:ilvl="1">
      <w:lvlJc w:val="left"/>
      <w:lvlText w:val="∎"/>
      <w:numFmt w:val="bullet"/>
      <w:start w:val="1"/>
    </w:lvl>
  </w:abstractNum>
  <w:abstractNum w:abstractNumId="47">
    <w:nsid w:val="51A27AA6"/>
    <w:multiLevelType w:val="hybridMultilevel"/>
    <w:lvl w:ilvl="0">
      <w:lvlJc w:val="left"/>
      <w:lvlText w:val="(%1)"/>
      <w:numFmt w:val="decimal"/>
      <w:start w:val="2"/>
    </w:lvl>
  </w:abstractNum>
  <w:abstractNum w:abstractNumId="48">
    <w:nsid w:val="613183F2"/>
    <w:multiLevelType w:val="hybridMultilevel"/>
    <w:lvl w:ilvl="0">
      <w:lvlJc w:val="left"/>
      <w:lvlText w:val="∎"/>
      <w:numFmt w:val="bullet"/>
      <w:start w:val="1"/>
    </w:lvl>
  </w:abstractNum>
  <w:abstractNum w:abstractNumId="49">
    <w:nsid w:val="634102B4"/>
    <w:multiLevelType w:val="hybridMultilevel"/>
    <w:lvl w:ilvl="0">
      <w:lvlJc w:val="left"/>
      <w:lvlText w:val="$"/>
      <w:numFmt w:val="bullet"/>
      <w:start w:val="1"/>
    </w:lvl>
  </w:abstractNum>
  <w:abstractNum w:abstractNumId="50">
    <w:nsid w:val="65BF9DA8"/>
    <w:multiLevelType w:val="hybridMultilevel"/>
    <w:lvl w:ilvl="0">
      <w:lvlJc w:val="left"/>
      <w:lvlText w:val="$"/>
      <w:numFmt w:val="bullet"/>
      <w:start w:val="1"/>
    </w:lvl>
  </w:abstractNum>
  <w:abstractNum w:abstractNumId="51">
    <w:nsid w:val="21A2ECCA"/>
    <w:multiLevelType w:val="hybridMultilevel"/>
    <w:lvl w:ilvl="0">
      <w:lvlJc w:val="left"/>
      <w:lvlText w:val="∎"/>
      <w:numFmt w:val="bullet"/>
      <w:start w:val="1"/>
    </w:lvl>
  </w:abstractNum>
  <w:abstractNum w:abstractNumId="52">
    <w:nsid w:val="4D5C4899"/>
    <w:multiLevelType w:val="hybridMultilevel"/>
    <w:lvl w:ilvl="0">
      <w:lvlJc w:val="left"/>
      <w:lvlText w:val="∎"/>
      <w:numFmt w:val="bullet"/>
      <w:start w:val="1"/>
    </w:lvl>
  </w:abstractNum>
  <w:abstractNum w:abstractNumId="53">
    <w:nsid w:val="3C3B72B2"/>
    <w:multiLevelType w:val="hybridMultilevel"/>
    <w:lvl w:ilvl="0">
      <w:lvlJc w:val="left"/>
      <w:lvlText w:val="(%1)"/>
      <w:numFmt w:val="decimal"/>
      <w:start w:val="1"/>
    </w:lvl>
  </w:abstractNum>
  <w:abstractNum w:abstractNumId="54">
    <w:nsid w:val="155EC4C2"/>
    <w:multiLevelType w:val="hybridMultilevel"/>
    <w:lvl w:ilvl="0">
      <w:lvlJc w:val="left"/>
      <w:lvlText w:val="(%1)"/>
      <w:numFmt w:val="decimal"/>
      <w:start w:val="1"/>
    </w:lvl>
  </w:abstractNum>
  <w:abstractNum w:abstractNumId="55">
    <w:nsid w:val="65D2A137"/>
    <w:multiLevelType w:val="hybridMultilevel"/>
    <w:lvl w:ilvl="0">
      <w:lvlJc w:val="left"/>
      <w:lvlText w:val="∎"/>
      <w:numFmt w:val="bullet"/>
      <w:start w:val="1"/>
    </w:lvl>
  </w:abstractNum>
  <w:abstractNum w:abstractNumId="56">
    <w:nsid w:val="6EBB1F2A"/>
    <w:multiLevelType w:val="hybridMultilevel"/>
    <w:lvl w:ilvl="0">
      <w:lvlJc w:val="left"/>
      <w:lvlText w:val="∎"/>
      <w:numFmt w:val="bullet"/>
      <w:start w:val="1"/>
    </w:lvl>
  </w:abstractNum>
  <w:abstractNum w:abstractNumId="57">
    <w:nsid w:val="6FBF29CB"/>
    <w:multiLevelType w:val="hybridMultilevel"/>
    <w:lvl w:ilvl="0">
      <w:lvlJc w:val="left"/>
      <w:lvlText w:val="∎"/>
      <w:numFmt w:val="bullet"/>
      <w:start w:val="1"/>
    </w:lvl>
  </w:abstractNum>
  <w:abstractNum w:abstractNumId="58">
    <w:nsid w:val="550B8808"/>
    <w:multiLevelType w:val="hybridMultilevel"/>
    <w:lvl w:ilvl="0">
      <w:lvlJc w:val="left"/>
      <w:lvlText w:val="∎"/>
      <w:numFmt w:val="bullet"/>
      <w:start w:val="1"/>
    </w:lvl>
  </w:abstractNum>
  <w:abstractNum w:abstractNumId="59">
    <w:nsid w:val="34CC3ACF"/>
    <w:multiLevelType w:val="hybridMultilevel"/>
    <w:lvl w:ilvl="0">
      <w:lvlJc w:val="left"/>
      <w:lvlText w:val="$"/>
      <w:numFmt w:val="bullet"/>
      <w:start w:val="1"/>
    </w:lvl>
  </w:abstractNum>
  <w:abstractNum w:abstractNumId="60">
    <w:nsid w:val="4E556261"/>
    <w:multiLevelType w:val="hybridMultilevel"/>
    <w:lvl w:ilvl="0">
      <w:lvlJc w:val="left"/>
      <w:lvlText w:val="(%1)"/>
      <w:numFmt w:val="decimal"/>
      <w:start w:val="1"/>
    </w:lvl>
  </w:abstractNum>
  <w:abstractNum w:abstractNumId="61">
    <w:nsid w:val="4C672FC9"/>
    <w:multiLevelType w:val="hybridMultilevel"/>
    <w:lvl w:ilvl="0">
      <w:lvlJc w:val="left"/>
      <w:lvlText w:val="∎"/>
      <w:numFmt w:val="bullet"/>
      <w:start w:val="1"/>
    </w:lvl>
  </w:abstractNum>
  <w:abstractNum w:abstractNumId="62">
    <w:nsid w:val="52A311C3"/>
    <w:multiLevelType w:val="hybridMultilevel"/>
    <w:lvl w:ilvl="0">
      <w:lvlJc w:val="left"/>
      <w:lvlText w:val="∎"/>
      <w:numFmt w:val="bullet"/>
      <w:start w:val="1"/>
    </w:lvl>
  </w:abstractNum>
  <w:abstractNum w:abstractNumId="63">
    <w:nsid w:val="44EF6B80"/>
    <w:multiLevelType w:val="hybridMultilevel"/>
    <w:lvl w:ilvl="0">
      <w:lvlJc w:val="left"/>
      <w:lvlText w:val="∎"/>
      <w:numFmt w:val="bullet"/>
      <w:start w:val="1"/>
    </w:lvl>
  </w:abstractNum>
  <w:abstractNum w:abstractNumId="64">
    <w:nsid w:val="12FCDE5E"/>
    <w:multiLevelType w:val="hybridMultilevel"/>
    <w:lvl w:ilvl="0">
      <w:lvlJc w:val="left"/>
      <w:lvlText w:val="∎"/>
      <w:numFmt w:val="bullet"/>
      <w:start w:val="1"/>
    </w:lvl>
  </w:abstractNum>
  <w:abstractNum w:abstractNumId="65">
    <w:nsid w:val="4A1D606E"/>
    <w:multiLevelType w:val="hybridMultilevel"/>
    <w:lvl w:ilvl="0">
      <w:lvlJc w:val="left"/>
      <w:lvlText w:val="∎"/>
      <w:numFmt w:val="bullet"/>
      <w:start w:val="1"/>
    </w:lvl>
  </w:abstractNum>
  <w:abstractNum w:abstractNumId="66">
    <w:nsid w:val="4382503"/>
    <w:multiLevelType w:val="hybridMultilevel"/>
    <w:lvl w:ilvl="0">
      <w:lvlJc w:val="left"/>
      <w:lvlText w:val="∎"/>
      <w:numFmt w:val="bullet"/>
      <w:start w:val="1"/>
    </w:lvl>
    <w:lvl w:ilvl="1">
      <w:lvlJc w:val="left"/>
      <w:lvlText w:val="∎"/>
      <w:numFmt w:val="bullet"/>
      <w:start w:val="1"/>
    </w:lvl>
  </w:abstractNum>
  <w:abstractNum w:abstractNumId="67">
    <w:nsid w:val="59B76E28"/>
    <w:multiLevelType w:val="hybridMultilevel"/>
    <w:lvl w:ilvl="0">
      <w:lvlJc w:val="left"/>
      <w:lvlText w:val="∎"/>
      <w:numFmt w:val="bullet"/>
      <w:start w:val="1"/>
    </w:lvl>
  </w:abstractNum>
  <w:abstractNum w:abstractNumId="68">
    <w:nsid w:val="4252C2DA"/>
    <w:multiLevelType w:val="hybridMultilevel"/>
    <w:lvl w:ilvl="0">
      <w:lvlJc w:val="left"/>
      <w:lvlText w:val="***"/>
      <w:numFmt w:val="bullet"/>
      <w:start w:val="1"/>
    </w:lvl>
  </w:abstractNum>
  <w:abstractNum w:abstractNumId="69">
    <w:nsid w:val="6A92EF4C"/>
    <w:multiLevelType w:val="hybridMultilevel"/>
    <w:lvl w:ilvl="0">
      <w:lvlJc w:val="left"/>
      <w:lvlText w:val="****"/>
      <w:numFmt w:val="bullet"/>
      <w:start w:val="1"/>
    </w:lvl>
  </w:abstractNum>
  <w:abstractNum w:abstractNumId="70">
    <w:nsid w:val="41ED20D7"/>
    <w:multiLevelType w:val="hybridMultilevel"/>
    <w:lvl w:ilvl="0">
      <w:lvlJc w:val="left"/>
      <w:lvlText w:val="∎"/>
      <w:numFmt w:val="bullet"/>
      <w:start w:val="1"/>
    </w:lvl>
  </w:abstractNum>
  <w:abstractNum w:abstractNumId="71">
    <w:nsid w:val="E6B3F6A"/>
    <w:multiLevelType w:val="hybridMultilevel"/>
    <w:lvl w:ilvl="0">
      <w:lvlJc w:val="left"/>
      <w:lvlText w:val="∎"/>
      <w:numFmt w:val="bullet"/>
      <w:start w:val="1"/>
    </w:lvl>
  </w:abstractNum>
  <w:abstractNum w:abstractNumId="72">
    <w:nsid w:val="3EB21819"/>
    <w:multiLevelType w:val="hybridMultilevel"/>
    <w:lvl w:ilvl="0">
      <w:lvlJc w:val="left"/>
      <w:lvlText w:val="∎"/>
      <w:numFmt w:val="bullet"/>
      <w:start w:val="1"/>
    </w:lvl>
  </w:abstractNum>
  <w:abstractNum w:abstractNumId="73">
    <w:nsid w:val="41531DED"/>
    <w:multiLevelType w:val="hybridMultilevel"/>
    <w:lvl w:ilvl="0">
      <w:lvlJc w:val="left"/>
      <w:lvlText w:val="∎"/>
      <w:numFmt w:val="bullet"/>
      <w:start w:val="1"/>
    </w:lvl>
  </w:abstractNum>
  <w:abstractNum w:abstractNumId="74">
    <w:nsid w:val="6353CD2"/>
    <w:multiLevelType w:val="hybridMultilevel"/>
    <w:lvl w:ilvl="0">
      <w:lvlJc w:val="left"/>
      <w:lvlText w:val="∎"/>
      <w:numFmt w:val="bullet"/>
      <w:start w:val="1"/>
    </w:lvl>
  </w:abstractNum>
  <w:abstractNum w:abstractNumId="75">
    <w:nsid w:val="683CAAD3"/>
    <w:multiLevelType w:val="hybridMultilevel"/>
    <w:lvl w:ilvl="0">
      <w:lvlJc w:val="left"/>
      <w:lvlText w:val="∎"/>
      <w:numFmt w:val="bullet"/>
      <w:start w:val="1"/>
    </w:lvl>
  </w:abstractNum>
  <w:abstractNum w:abstractNumId="76">
    <w:nsid w:val="313C7C99"/>
    <w:multiLevelType w:val="hybridMultilevel"/>
    <w:lvl w:ilvl="0">
      <w:lvlJc w:val="left"/>
      <w:lvlText w:val="(%1)"/>
      <w:numFmt w:val="decimal"/>
      <w:start w:val="1"/>
    </w:lvl>
  </w:abstractNum>
  <w:abstractNum w:abstractNumId="77">
    <w:nsid w:val="519EB94C"/>
    <w:multiLevelType w:val="hybridMultilevel"/>
    <w:lvl w:ilvl="0">
      <w:lvlJc w:val="left"/>
      <w:lvlText w:val="∎"/>
      <w:numFmt w:val="bullet"/>
      <w:start w:val="1"/>
    </w:lvl>
  </w:abstractNum>
  <w:abstractNum w:abstractNumId="78">
    <w:nsid w:val="39DF2579"/>
    <w:multiLevelType w:val="hybridMultilevel"/>
    <w:lvl w:ilvl="0">
      <w:lvlJc w:val="left"/>
      <w:lvlText w:val="∎"/>
      <w:numFmt w:val="bullet"/>
      <w:start w:val="1"/>
    </w:lvl>
  </w:abstractNum>
  <w:abstractNum w:abstractNumId="79">
    <w:nsid w:val="126E008B"/>
    <w:multiLevelType w:val="hybridMultilevel"/>
    <w:lvl w:ilvl="0">
      <w:lvlJc w:val="left"/>
      <w:lvlText w:val="(%1)"/>
      <w:numFmt w:val="decimal"/>
      <w:start w:val="1"/>
    </w:lvl>
  </w:abstractNum>
  <w:abstractNum w:abstractNumId="80">
    <w:nsid w:val="34DFBC00"/>
    <w:multiLevelType w:val="hybridMultilevel"/>
    <w:lvl w:ilvl="0">
      <w:lvlJc w:val="left"/>
      <w:lvlText w:val="∎"/>
      <w:numFmt w:val="bullet"/>
      <w:start w:val="1"/>
    </w:lvl>
  </w:abstractNum>
  <w:abstractNum w:abstractNumId="81">
    <w:nsid w:val="1F9EC322"/>
    <w:multiLevelType w:val="hybridMultilevel"/>
    <w:lvl w:ilvl="0">
      <w:lvlJc w:val="left"/>
      <w:lvlText w:val="∎"/>
      <w:numFmt w:val="bullet"/>
      <w:start w:val="1"/>
    </w:lvl>
  </w:abstractNum>
  <w:abstractNum w:abstractNumId="82">
    <w:nsid w:val="3410ED56"/>
    <w:multiLevelType w:val="hybridMultilevel"/>
    <w:lvl w:ilvl="0">
      <w:lvlJc w:val="left"/>
      <w:lvlText w:val="∎"/>
      <w:numFmt w:val="bullet"/>
      <w:start w:val="1"/>
    </w:lvl>
  </w:abstractNum>
  <w:abstractNum w:abstractNumId="83">
    <w:nsid w:val="23C049A"/>
    <w:multiLevelType w:val="hybridMultilevel"/>
    <w:lvl w:ilvl="0">
      <w:lvlJc w:val="left"/>
      <w:lvlText w:val="∎"/>
      <w:numFmt w:val="bullet"/>
      <w:start w:val="1"/>
    </w:lvl>
  </w:abstractNum>
  <w:abstractNum w:abstractNumId="84">
    <w:nsid w:val="5BDA35D4"/>
    <w:multiLevelType w:val="hybridMultilevel"/>
    <w:lvl w:ilvl="0">
      <w:lvlJc w:val="left"/>
      <w:lvlText w:val="∎"/>
      <w:numFmt w:val="bullet"/>
      <w:start w:val="1"/>
    </w:lvl>
  </w:abstractNum>
  <w:abstractNum w:abstractNumId="85">
    <w:nsid w:val="496FB218"/>
    <w:multiLevelType w:val="hybridMultilevel"/>
    <w:lvl w:ilvl="0">
      <w:lvlJc w:val="left"/>
      <w:lvlText w:val="(%1)"/>
      <w:numFmt w:val="decimal"/>
      <w:start w:val="1"/>
    </w:lvl>
  </w:abstractNum>
  <w:abstractNum w:abstractNumId="86">
    <w:nsid w:val="680EA5D1"/>
    <w:multiLevelType w:val="hybridMultilevel"/>
    <w:lvl w:ilvl="0">
      <w:lvlJc w:val="left"/>
      <w:lvlText w:val="(%1)"/>
      <w:numFmt w:val="decimal"/>
      <w:start w:val="1"/>
    </w:lvl>
  </w:abstractNum>
  <w:abstractNum w:abstractNumId="87">
    <w:nsid w:val="4A9554FE"/>
    <w:multiLevelType w:val="hybridMultilevel"/>
    <w:lvl w:ilvl="0">
      <w:lvlJc w:val="left"/>
      <w:lvlText w:val="∎"/>
      <w:numFmt w:val="bullet"/>
      <w:start w:val="1"/>
    </w:lvl>
  </w:abstractNum>
  <w:abstractNum w:abstractNumId="88">
    <w:nsid w:val="392EDBE4"/>
    <w:multiLevelType w:val="hybridMultilevel"/>
    <w:lvl w:ilvl="0">
      <w:lvlJc w:val="left"/>
      <w:lvlText w:val="∎"/>
      <w:numFmt w:val="bullet"/>
      <w:start w:val="1"/>
    </w:lvl>
  </w:abstractNum>
  <w:abstractNum w:abstractNumId="89">
    <w:nsid w:val="3D1A2DD9"/>
    <w:multiLevelType w:val="hybridMultilevel"/>
    <w:lvl w:ilvl="0">
      <w:lvlJc w:val="left"/>
      <w:lvlText w:val="∎"/>
      <w:numFmt w:val="bullet"/>
      <w:start w:val="1"/>
    </w:lvl>
  </w:abstractNum>
  <w:abstractNum w:abstractNumId="90">
    <w:nsid w:val="7F618FCD"/>
    <w:multiLevelType w:val="hybridMultilevel"/>
    <w:lvl w:ilvl="0">
      <w:lvlJc w:val="left"/>
      <w:lvlText w:val="∎"/>
      <w:numFmt w:val="bullet"/>
      <w:start w:val="1"/>
    </w:lvl>
  </w:abstractNum>
  <w:abstractNum w:abstractNumId="91">
    <w:nsid w:val="7843E45"/>
    <w:multiLevelType w:val="hybridMultilevel"/>
    <w:lvl w:ilvl="0">
      <w:lvlJc w:val="left"/>
      <w:lvlText w:val="∎"/>
      <w:numFmt w:val="bullet"/>
      <w:start w:val="1"/>
    </w:lvl>
  </w:abstractNum>
  <w:abstractNum w:abstractNumId="92">
    <w:nsid w:val="9815DA3"/>
    <w:multiLevelType w:val="hybridMultilevel"/>
    <w:lvl w:ilvl="0">
      <w:lvlJc w:val="left"/>
      <w:lvlText w:val="(%1)"/>
      <w:numFmt w:val="lowerLetter"/>
      <w:start w:val="2"/>
    </w:lvl>
  </w:abstractNum>
  <w:abstractNum w:abstractNumId="93">
    <w:nsid w:val="5204A191"/>
    <w:multiLevelType w:val="hybridMultilevel"/>
    <w:lvl w:ilvl="0">
      <w:lvlJc w:val="left"/>
      <w:lvlText w:val="(%1)"/>
      <w:numFmt w:val="decimal"/>
      <w:start w:val="1"/>
    </w:lvl>
  </w:abstractNum>
  <w:abstractNum w:abstractNumId="94">
    <w:nsid w:val="4C73A9C6"/>
    <w:multiLevelType w:val="hybridMultilevel"/>
    <w:lvl w:ilvl="0">
      <w:lvlJc w:val="left"/>
      <w:lvlText w:val="(%1)"/>
      <w:numFmt w:val="decimal"/>
      <w:start w:val="3"/>
    </w:lvl>
  </w:abstractNum>
  <w:abstractNum w:abstractNumId="95">
    <w:nsid w:val="1C7E3C01"/>
    <w:multiLevelType w:val="hybridMultilevel"/>
    <w:lvl w:ilvl="0">
      <w:lvlJc w:val="left"/>
      <w:lvlText w:val="(%1)"/>
      <w:numFmt w:val="decimal"/>
      <w:start w:val="1"/>
    </w:lvl>
  </w:abstractNum>
  <w:abstractNum w:abstractNumId="96">
    <w:nsid w:val="1C2201FF"/>
    <w:multiLevelType w:val="hybridMultilevel"/>
    <w:lvl w:ilvl="0">
      <w:lvlJc w:val="left"/>
      <w:lvlText w:val="(%1)"/>
      <w:numFmt w:val="decimal"/>
      <w:start w:val="1"/>
    </w:lvl>
  </w:abstractNum>
  <w:abstractNum w:abstractNumId="97">
    <w:nsid w:val="50ABCEC9"/>
    <w:multiLevelType w:val="hybridMultilevel"/>
    <w:lvl w:ilvl="0">
      <w:lvlJc w:val="left"/>
      <w:lvlText w:val="(%1)"/>
      <w:numFmt w:val="decimal"/>
      <w:start w:val="1"/>
    </w:lvl>
  </w:abstractNum>
  <w:abstractNum w:abstractNumId="98">
    <w:nsid w:val="7635AA2A"/>
    <w:multiLevelType w:val="hybridMultilevel"/>
    <w:lvl w:ilvl="0">
      <w:lvlJc w:val="left"/>
      <w:lvlText w:val="(%1)"/>
      <w:numFmt w:val="decimal"/>
      <w:start w:val="1"/>
    </w:lvl>
  </w:abstractNum>
  <w:abstractNum w:abstractNumId="99">
    <w:nsid w:val="5E74C4D9"/>
    <w:multiLevelType w:val="hybridMultilevel"/>
    <w:lvl w:ilvl="0">
      <w:lvlJc w:val="left"/>
      <w:lvlText w:val="(%1)"/>
      <w:numFmt w:val="decimal"/>
      <w:start w:val="1"/>
    </w:lvl>
  </w:abstractNum>
  <w:abstractNum w:abstractNumId="100">
    <w:nsid w:val="3B3EBE15"/>
    <w:multiLevelType w:val="hybridMultilevel"/>
    <w:lvl w:ilvl="0">
      <w:lvlJc w:val="left"/>
      <w:lvlText w:val="∎"/>
      <w:numFmt w:val="bullet"/>
      <w:start w:val="1"/>
    </w:lvl>
  </w:abstractNum>
  <w:abstractNum w:abstractNumId="101">
    <w:nsid w:val="3822CB01"/>
    <w:multiLevelType w:val="hybridMultilevel"/>
    <w:lvl w:ilvl="0">
      <w:lvlJc w:val="left"/>
      <w:lvlText w:val="∎"/>
      <w:numFmt w:val="bullet"/>
      <w:start w:val="1"/>
    </w:lvl>
  </w:abstractNum>
  <w:abstractNum w:abstractNumId="102">
    <w:nsid w:val="6CE00443"/>
    <w:multiLevelType w:val="hybridMultilevel"/>
    <w:lvl w:ilvl="0">
      <w:lvlJc w:val="left"/>
      <w:lvlText w:val="(%1)"/>
      <w:numFmt w:val="decimal"/>
      <w:start w:val="1"/>
    </w:lvl>
  </w:abstractNum>
  <w:abstractNum w:abstractNumId="103">
    <w:nsid w:val="79F0D62F"/>
    <w:multiLevelType w:val="hybridMultilevel"/>
    <w:lvl w:ilvl="0">
      <w:lvlJc w:val="left"/>
      <w:lvlText w:val="(%1)"/>
      <w:numFmt w:val="lowerRoman"/>
      <w:start w:val="2"/>
    </w:lvl>
  </w:abstractNum>
  <w:abstractNum w:abstractNumId="104">
    <w:nsid w:val="7975E8EE"/>
    <w:multiLevelType w:val="hybridMultilevel"/>
    <w:lvl w:ilvl="0">
      <w:lvlJc w:val="left"/>
      <w:lvlText w:val="∎"/>
      <w:numFmt w:val="bullet"/>
      <w:start w:val="1"/>
    </w:lvl>
  </w:abstractNum>
  <w:abstractNum w:abstractNumId="105">
    <w:nsid w:val="73154115"/>
    <w:multiLevelType w:val="hybridMultilevel"/>
    <w:lvl w:ilvl="0">
      <w:lvlJc w:val="left"/>
      <w:lvlText w:val="∎"/>
      <w:numFmt w:val="bullet"/>
      <w:start w:val="1"/>
    </w:lvl>
  </w:abstractNum>
  <w:abstractNum w:abstractNumId="106">
    <w:nsid w:val="622D8102"/>
    <w:multiLevelType w:val="hybridMultilevel"/>
    <w:lvl w:ilvl="0">
      <w:lvlJc w:val="left"/>
      <w:lvlText w:val="∎"/>
      <w:numFmt w:val="bullet"/>
      <w:start w:val="1"/>
    </w:lvl>
  </w:abstractNum>
  <w:abstractNum w:abstractNumId="107">
    <w:nsid w:val="2AB26587"/>
    <w:multiLevelType w:val="hybridMultilevel"/>
    <w:lvl w:ilvl="0">
      <w:lvlJc w:val="left"/>
      <w:lvlText w:val="∎"/>
      <w:numFmt w:val="bullet"/>
      <w:start w:val="1"/>
    </w:lvl>
  </w:abstractNum>
  <w:abstractNum w:abstractNumId="108">
    <w:nsid w:val="44B3FA61"/>
    <w:multiLevelType w:val="hybridMultilevel"/>
    <w:lvl w:ilvl="0">
      <w:lvlJc w:val="left"/>
      <w:lvlText w:val="∎"/>
      <w:numFmt w:val="bullet"/>
      <w:start w:val="1"/>
    </w:lvl>
  </w:abstractNum>
  <w:abstractNum w:abstractNumId="109">
    <w:nsid w:val="1C0CA67C"/>
    <w:multiLevelType w:val="hybridMultilevel"/>
    <w:lvl w:ilvl="0">
      <w:lvlJc w:val="left"/>
      <w:lvlText w:val="∎"/>
      <w:numFmt w:val="bullet"/>
      <w:start w:val="1"/>
    </w:lvl>
  </w:abstractNum>
  <w:abstractNum w:abstractNumId="110">
    <w:nsid w:val="3D206613"/>
    <w:multiLevelType w:val="hybridMultilevel"/>
    <w:lvl w:ilvl="0">
      <w:lvlJc w:val="left"/>
      <w:lvlText w:val="$"/>
      <w:numFmt w:val="bullet"/>
      <w:start w:val="1"/>
    </w:lvl>
  </w:abstractNum>
  <w:abstractNum w:abstractNumId="111">
    <w:nsid w:val="7993B662"/>
    <w:multiLevelType w:val="hybridMultilevel"/>
    <w:lvl w:ilvl="0">
      <w:lvlJc w:val="left"/>
      <w:lvlText w:val="∎"/>
      <w:numFmt w:val="bullet"/>
      <w:start w:val="1"/>
    </w:lvl>
  </w:abstractNum>
  <w:abstractNum w:abstractNumId="112">
    <w:nsid w:val="3BAB699E"/>
    <w:multiLevelType w:val="hybridMultilevel"/>
    <w:lvl w:ilvl="0">
      <w:lvlJc w:val="left"/>
      <w:lvlText w:val="∎"/>
      <w:numFmt w:val="bullet"/>
      <w:start w:val="1"/>
    </w:lvl>
  </w:abstractNum>
  <w:abstractNum w:abstractNumId="113">
    <w:nsid w:val="71315369"/>
    <w:multiLevelType w:val="hybridMultilevel"/>
    <w:lvl w:ilvl="0">
      <w:lvlJc w:val="left"/>
      <w:lvlText w:val="∎"/>
      <w:numFmt w:val="bullet"/>
      <w:start w:val="1"/>
    </w:lvl>
  </w:abstractNum>
  <w:abstractNum w:abstractNumId="114">
    <w:nsid w:val="7BCFBAFC"/>
    <w:multiLevelType w:val="hybridMultilevel"/>
    <w:lvl w:ilvl="0">
      <w:lvlJc w:val="left"/>
      <w:lvlText w:val="(%1)"/>
      <w:numFmt w:val="upperLetter"/>
      <w:start w:val="1"/>
    </w:lvl>
  </w:abstractNum>
  <w:abstractNum w:abstractNumId="115">
    <w:nsid w:val="17859F72"/>
    <w:multiLevelType w:val="hybridMultilevel"/>
    <w:lvl w:ilvl="0">
      <w:lvlJc w:val="left"/>
      <w:lvlText w:val="(%1)"/>
      <w:numFmt w:val="upperLetter"/>
      <w:start w:val="2"/>
    </w:lvl>
  </w:abstractNum>
  <w:abstractNum w:abstractNumId="116">
    <w:nsid w:val="3AA10581"/>
    <w:multiLevelType w:val="hybridMultilevel"/>
    <w:lvl w:ilvl="0">
      <w:lvlJc w:val="left"/>
      <w:lvlText w:val="(%1)"/>
      <w:numFmt w:val="upperLetter"/>
      <w:start w:val="2"/>
    </w:lvl>
    <w:lvl w:ilvl="1">
      <w:lvlJc w:val="left"/>
      <w:lvlText w:val="∎"/>
      <w:numFmt w:val="bullet"/>
      <w:start w:val="1"/>
    </w:lvl>
  </w:abstractNum>
  <w:abstractNum w:abstractNumId="117">
    <w:nsid w:val="63DE60CD"/>
    <w:multiLevelType w:val="hybridMultilevel"/>
    <w:lvl w:ilvl="0">
      <w:lvlJc w:val="left"/>
      <w:lvlText w:val="(%1)"/>
      <w:numFmt w:val="upperLetter"/>
      <w:start w:val="4"/>
    </w:lvl>
  </w:abstractNum>
  <w:abstractNum w:abstractNumId="118">
    <w:nsid w:val="621AF471"/>
    <w:multiLevelType w:val="hybridMultilevel"/>
    <w:lvl w:ilvl="0">
      <w:lvlJc w:val="left"/>
      <w:lvlText w:val="(%1)"/>
      <w:numFmt w:val="upperLetter"/>
      <w:start w:val="5"/>
    </w:lvl>
  </w:abstractNum>
  <w:abstractNum w:abstractNumId="119">
    <w:nsid w:val="73CFE165"/>
    <w:multiLevelType w:val="hybridMultilevel"/>
    <w:lvl w:ilvl="0">
      <w:lvlJc w:val="left"/>
      <w:lvlText w:val="(%1)"/>
      <w:numFmt w:val="upperLetter"/>
      <w:start w:val="6"/>
    </w:lvl>
  </w:abstractNum>
  <w:abstractNum w:abstractNumId="120">
    <w:nsid w:val="20F88EA6"/>
    <w:multiLevelType w:val="hybridMultilevel"/>
    <w:lvl w:ilvl="0">
      <w:lvlJc w:val="left"/>
      <w:lvlText w:val="∎"/>
      <w:numFmt w:val="bullet"/>
      <w:start w:val="1"/>
    </w:lvl>
  </w:abstractNum>
  <w:abstractNum w:abstractNumId="121">
    <w:nsid w:val="617C843E"/>
    <w:multiLevelType w:val="hybridMultilevel"/>
    <w:lvl w:ilvl="0">
      <w:lvlJc w:val="left"/>
      <w:lvlText w:val="∎"/>
      <w:numFmt w:val="bullet"/>
      <w:start w:val="1"/>
    </w:lvl>
  </w:abstractNum>
  <w:abstractNum w:abstractNumId="122">
    <w:nsid w:val="7B541FAB"/>
    <w:multiLevelType w:val="hybridMultilevel"/>
    <w:lvl w:ilvl="0">
      <w:lvlJc w:val="left"/>
      <w:lvlText w:val="∎"/>
      <w:numFmt w:val="bullet"/>
      <w:start w:val="1"/>
    </w:lvl>
  </w:abstractNum>
  <w:abstractNum w:abstractNumId="123">
    <w:nsid w:val="2A79EC49"/>
    <w:multiLevelType w:val="hybridMultilevel"/>
    <w:lvl w:ilvl="0">
      <w:lvlJc w:val="left"/>
      <w:lvlText w:val="%1."/>
      <w:numFmt w:val="decimal"/>
      <w:start w:val="2"/>
    </w:lvl>
  </w:abstractNum>
  <w:abstractNum w:abstractNumId="124">
    <w:nsid w:val="338125CF"/>
    <w:multiLevelType w:val="hybridMultilevel"/>
    <w:lvl w:ilvl="0">
      <w:lvlJc w:val="left"/>
      <w:lvlText w:val="(%1)"/>
      <w:numFmt w:val="decimal"/>
      <w:start w:val="1"/>
    </w:lvl>
  </w:abstractNum>
  <w:abstractNum w:abstractNumId="125">
    <w:nsid w:val="47C7C971"/>
    <w:multiLevelType w:val="hybridMultilevel"/>
    <w:lvl w:ilvl="0">
      <w:lvlJc w:val="left"/>
      <w:lvlText w:val="(%1)"/>
      <w:numFmt w:val="decimal"/>
      <w:start w:val="2"/>
    </w:lvl>
  </w:abstractNum>
  <w:abstractNum w:abstractNumId="126">
    <w:nsid w:val="46F8284B"/>
    <w:multiLevelType w:val="hybridMultilevel"/>
    <w:lvl w:ilvl="0">
      <w:lvlJc w:val="left"/>
      <w:lvlText w:val="(%1)"/>
      <w:numFmt w:val="decimal"/>
      <w:start w:val="3"/>
    </w:lvl>
  </w:abstractNum>
  <w:abstractNum w:abstractNumId="127">
    <w:nsid w:val="4FA327CE"/>
    <w:multiLevelType w:val="hybridMultilevel"/>
    <w:lvl w:ilvl="0">
      <w:lvlJc w:val="left"/>
      <w:lvlText w:val="(%1)"/>
      <w:numFmt w:val="decimal"/>
      <w:start w:val="4"/>
    </w:lvl>
  </w:abstractNum>
  <w:abstractNum w:abstractNumId="128">
    <w:nsid w:val="1873983A"/>
    <w:multiLevelType w:val="hybridMultilevel"/>
    <w:lvl w:ilvl="0">
      <w:lvlJc w:val="left"/>
      <w:lvlText w:val="(%1)"/>
      <w:numFmt w:val="decimal"/>
      <w:start w:val="5"/>
    </w:lvl>
  </w:abstractNum>
  <w:abstractNum w:abstractNumId="129">
    <w:nsid w:val="3D2DD275"/>
    <w:multiLevelType w:val="hybridMultilevel"/>
    <w:lvl w:ilvl="0">
      <w:lvlJc w:val="left"/>
      <w:lvlText w:val="(%1)"/>
      <w:numFmt w:val="decimal"/>
      <w:start w:val="1"/>
    </w:lvl>
  </w:abstractNum>
  <w:abstractNum w:abstractNumId="130">
    <w:nsid w:val="2E17ECA7"/>
    <w:multiLevelType w:val="hybridMultilevel"/>
    <w:lvl w:ilvl="0">
      <w:lvlJc w:val="left"/>
      <w:lvlText w:val="(%1)"/>
      <w:numFmt w:val="decimal"/>
      <w:start w:val="6"/>
    </w:lvl>
  </w:abstractNum>
  <w:abstractNum w:abstractNumId="131">
    <w:nsid w:val="53B2564F"/>
    <w:multiLevelType w:val="hybridMultilevel"/>
    <w:lvl w:ilvl="0">
      <w:lvlJc w:val="left"/>
      <w:lvlText w:val="(%1)"/>
      <w:numFmt w:val="decimal"/>
      <w:start w:val="7"/>
    </w:lvl>
  </w:abstractNum>
  <w:abstractNum w:abstractNumId="132">
    <w:nsid w:val="75509D76"/>
    <w:multiLevelType w:val="hybridMultilevel"/>
    <w:lvl w:ilvl="0">
      <w:lvlJc w:val="left"/>
      <w:lvlText w:val="(%1)"/>
      <w:numFmt w:val="decimal"/>
      <w:start w:val="8"/>
    </w:lvl>
  </w:abstractNum>
  <w:abstractNum w:abstractNumId="133">
    <w:nsid w:val="1AF7F0EA"/>
    <w:multiLevelType w:val="hybridMultilevel"/>
    <w:lvl w:ilvl="0">
      <w:lvlJc w:val="left"/>
      <w:lvlText w:val="(%1)"/>
      <w:numFmt w:val="decimal"/>
      <w:start w:val="1"/>
    </w:lvl>
  </w:abstractNum>
  <w:abstractNum w:abstractNumId="134">
    <w:nsid w:val="4DA32C7E"/>
    <w:multiLevelType w:val="hybridMultilevel"/>
    <w:lvl w:ilvl="0">
      <w:lvlJc w:val="left"/>
      <w:lvlText w:val="(%1)"/>
      <w:numFmt w:val="decimal"/>
      <w:start w:val="9"/>
    </w:lvl>
  </w:abstractNum>
  <w:abstractNum w:abstractNumId="135">
    <w:nsid w:val="6EC68664"/>
    <w:multiLevelType w:val="hybridMultilevel"/>
    <w:lvl w:ilvl="0">
      <w:lvlJc w:val="left"/>
      <w:lvlText w:val="(%1)"/>
      <w:numFmt w:val="decimal"/>
      <w:start w:val="10"/>
    </w:lvl>
  </w:abstractNum>
  <w:abstractNum w:abstractNumId="136">
    <w:nsid w:val="E0D31FF"/>
    <w:multiLevelType w:val="hybridMultilevel"/>
    <w:lvl w:ilvl="0">
      <w:lvlJc w:val="left"/>
      <w:lvlText w:val="(%1)"/>
      <w:numFmt w:val="decimal"/>
      <w:start w:val="12"/>
    </w:lvl>
  </w:abstractNum>
  <w:abstractNum w:abstractNumId="137">
    <w:nsid w:val="2FD0AD81"/>
    <w:multiLevelType w:val="hybridMultilevel"/>
    <w:lvl w:ilvl="0">
      <w:lvlJc w:val="left"/>
      <w:lvlText w:val="$"/>
      <w:numFmt w:val="bullet"/>
      <w:start w:val="1"/>
    </w:lvl>
  </w:abstractNum>
  <w:abstractNum w:abstractNumId="138">
    <w:nsid w:val="1978EBEB"/>
    <w:multiLevelType w:val="hybridMultilevel"/>
    <w:lvl w:ilvl="0">
      <w:lvlJc w:val="left"/>
      <w:lvlText w:val="$"/>
      <w:numFmt w:val="bullet"/>
      <w:start w:val="1"/>
    </w:lvl>
  </w:abstractNum>
  <w:abstractNum w:abstractNumId="139">
    <w:nsid w:val="52C12C61"/>
    <w:multiLevelType w:val="hybridMultilevel"/>
    <w:lvl w:ilvl="0">
      <w:lvlJc w:val="left"/>
      <w:lvlText w:val="(%1)"/>
      <w:numFmt w:val="decimal"/>
      <w:start w:val="13"/>
    </w:lvl>
  </w:abstractNum>
  <w:abstractNum w:abstractNumId="140">
    <w:nsid w:val="4BDD53FD"/>
    <w:multiLevelType w:val="hybridMultilevel"/>
    <w:lvl w:ilvl="0">
      <w:lvlJc w:val="left"/>
      <w:lvlText w:val="(%1)"/>
      <w:numFmt w:val="decimal"/>
      <w:start w:val="3"/>
    </w:lvl>
  </w:abstractNum>
  <w:abstractNum w:abstractNumId="141">
    <w:nsid w:val="569951FE"/>
    <w:multiLevelType w:val="hybridMultilevel"/>
    <w:lvl w:ilvl="0">
      <w:lvlJc w:val="left"/>
      <w:lvlText w:val="(%1)"/>
      <w:numFmt w:val="decimal"/>
      <w:start w:val="5"/>
    </w:lvl>
  </w:abstractNum>
  <w:abstractNum w:abstractNumId="142">
    <w:nsid w:val="4C54E2C3"/>
    <w:multiLevelType w:val="hybridMultilevel"/>
    <w:lvl w:ilvl="0">
      <w:lvlJc w:val="left"/>
      <w:lvlText w:val="$"/>
      <w:numFmt w:val="bullet"/>
      <w:start w:val="1"/>
    </w:lvl>
  </w:abstractNum>
  <w:abstractNum w:abstractNumId="143">
    <w:nsid w:val="788BD9B"/>
    <w:multiLevelType w:val="hybridMultilevel"/>
    <w:lvl w:ilvl="0">
      <w:lvlJc w:val="left"/>
      <w:lvlText w:val="$"/>
      <w:numFmt w:val="bullet"/>
      <w:start w:val="1"/>
    </w:lvl>
  </w:abstractNum>
  <w:abstractNum w:abstractNumId="144">
    <w:nsid w:val="47CAA567"/>
    <w:multiLevelType w:val="hybridMultilevel"/>
    <w:lvl w:ilvl="0">
      <w:lvlJc w:val="left"/>
      <w:lvlText w:val="$"/>
      <w:numFmt w:val="bullet"/>
      <w:start w:val="1"/>
    </w:lvl>
  </w:abstractNum>
  <w:abstractNum w:abstractNumId="145">
    <w:nsid w:val="48249DBF"/>
    <w:multiLevelType w:val="hybridMultilevel"/>
    <w:lvl w:ilvl="0">
      <w:lvlJc w:val="left"/>
      <w:lvlText w:val="•"/>
      <w:numFmt w:val="bullet"/>
      <w:start w:val="1"/>
    </w:lvl>
  </w:abstractNum>
  <w:abstractNum w:abstractNumId="146">
    <w:nsid w:val="1F0E5D0D"/>
    <w:multiLevelType w:val="hybridMultilevel"/>
    <w:lvl w:ilvl="0">
      <w:lvlJc w:val="left"/>
      <w:lvlText w:val="•"/>
      <w:numFmt w:val="bullet"/>
      <w:start w:val="1"/>
    </w:lvl>
  </w:abstractNum>
  <w:abstractNum w:abstractNumId="147">
    <w:nsid w:val="26BAAE9"/>
    <w:multiLevelType w:val="hybridMultilevel"/>
    <w:lvl w:ilvl="0">
      <w:lvlJc w:val="left"/>
      <w:lvlText w:val="(%1)"/>
      <w:numFmt w:val="decimal"/>
      <w:start w:val="1"/>
    </w:lvl>
  </w:abstractNum>
  <w:abstractNum w:abstractNumId="148">
    <w:nsid w:val="2C02FE8C"/>
    <w:multiLevelType w:val="hybridMultilevel"/>
    <w:lvl w:ilvl="0">
      <w:lvlJc w:val="left"/>
      <w:lvlText w:val="(%1)"/>
      <w:numFmt w:val="decimal"/>
      <w:start w:val="6"/>
    </w:lvl>
  </w:abstractNum>
  <w:abstractNum w:abstractNumId="149">
    <w:nsid w:val="129517E"/>
    <w:multiLevelType w:val="hybridMultilevel"/>
    <w:lvl w:ilvl="0">
      <w:lvlJc w:val="left"/>
      <w:lvlText w:val="(%1)"/>
      <w:numFmt w:val="decimal"/>
      <w:start w:val="1"/>
    </w:lvl>
  </w:abstractNum>
  <w:abstractNum w:abstractNumId="150">
    <w:nsid w:val="763B8C4E"/>
    <w:multiLevelType w:val="hybridMultilevel"/>
    <w:lvl w:ilvl="0">
      <w:lvlJc w:val="left"/>
      <w:lvlText w:val="(%1)"/>
      <w:numFmt w:val="decimal"/>
      <w:start w:val="1"/>
    </w:lvl>
  </w:abstractNum>
  <w:abstractNum w:abstractNumId="151">
    <w:nsid w:val="4CFB8D32"/>
    <w:multiLevelType w:val="hybridMultilevel"/>
    <w:lvl w:ilvl="0">
      <w:lvlJc w:val="left"/>
      <w:lvlText w:val="#"/>
      <w:numFmt w:val="bullet"/>
      <w:start w:val="1"/>
    </w:lvl>
  </w:abstractNum>
  <w:abstractNum w:abstractNumId="152">
    <w:nsid w:val="62A5D5BD"/>
    <w:multiLevelType w:val="hybridMultilevel"/>
    <w:lvl w:ilvl="0">
      <w:lvlJc w:val="left"/>
      <w:lvlText w:val="%1."/>
      <w:numFmt w:val="decimal"/>
      <w:start w:val="1"/>
    </w:lvl>
  </w:abstractNum>
  <w:abstractNum w:abstractNumId="153">
    <w:nsid w:val="718FABF9"/>
    <w:multiLevelType w:val="hybridMultilevel"/>
    <w:lvl w:ilvl="0">
      <w:lvlJc w:val="left"/>
      <w:lvlText w:val="%1"/>
      <w:numFmt w:val="upperLetter"/>
      <w:start w:val="1"/>
    </w:lvl>
    <w:lvl w:ilvl="1">
      <w:lvlJc w:val="left"/>
      <w:lvlText w:val="%2."/>
      <w:numFmt w:val="decimal"/>
      <w:start w:val="1"/>
    </w:lvl>
  </w:abstractNum>
  <w:abstractNum w:abstractNumId="154">
    <w:nsid w:val="7775797C"/>
    <w:multiLevelType w:val="hybridMultilevel"/>
    <w:lvl w:ilvl="0">
      <w:lvlJc w:val="left"/>
      <w:lvlText w:val="%1."/>
      <w:numFmt w:val="upperLetter"/>
      <w:start w:val="2"/>
    </w:lvl>
    <w:lvl w:ilvl="1">
      <w:lvlJc w:val="left"/>
      <w:lvlText w:val="%2"/>
      <w:numFmt w:val="decimal"/>
      <w:start w:val="1"/>
    </w:lvl>
  </w:abstractNum>
  <w:abstractNum w:abstractNumId="155">
    <w:nsid w:val="1626FB8C"/>
    <w:multiLevelType w:val="hybridMultilevel"/>
    <w:lvl w:ilvl="0">
      <w:lvlJc w:val="left"/>
      <w:lvlText w:val="%1."/>
      <w:numFmt w:val="decimal"/>
      <w:start w:val="1"/>
    </w:lvl>
  </w:abstractNum>
  <w:abstractNum w:abstractNumId="156">
    <w:nsid w:val="3957756A"/>
    <w:multiLevelType w:val="hybridMultilevel"/>
    <w:lvl w:ilvl="0">
      <w:lvlJc w:val="left"/>
      <w:lvlText w:val="%1."/>
      <w:numFmt w:val="decimal"/>
      <w:start w:val="2"/>
    </w:lvl>
  </w:abstractNum>
  <w:abstractNum w:abstractNumId="157">
    <w:nsid w:val="3E6DA1C7"/>
    <w:multiLevelType w:val="hybridMultilevel"/>
    <w:lvl w:ilvl="0">
      <w:lvlJc w:val="left"/>
      <w:lvlText w:val="(%1)"/>
      <w:numFmt w:val="lowerLetter"/>
      <w:start w:val="1"/>
    </w:lvl>
    <w:lvl w:ilvl="1">
      <w:lvlJc w:val="left"/>
      <w:lvlText w:val="(%2)"/>
      <w:numFmt w:val="lowerRoman"/>
      <w:start w:val="1"/>
    </w:lvl>
  </w:abstractNum>
  <w:abstractNum w:abstractNumId="158">
    <w:nsid w:val="65CA235B"/>
    <w:multiLevelType w:val="hybridMultilevel"/>
    <w:lvl w:ilvl="0">
      <w:lvlJc w:val="left"/>
      <w:lvlText w:val="(%1)"/>
      <w:numFmt w:val="lowerLetter"/>
      <w:start w:val="2"/>
    </w:lvl>
  </w:abstractNum>
  <w:abstractNum w:abstractNumId="159">
    <w:nsid w:val="51CB0DA4"/>
    <w:multiLevelType w:val="hybridMultilevel"/>
    <w:lvl w:ilvl="0">
      <w:lvlJc w:val="left"/>
      <w:lvlText w:val="%1"/>
      <w:numFmt w:val="lowerLetter"/>
      <w:start w:val="1"/>
    </w:lvl>
    <w:lvl w:ilvl="1">
      <w:lvlJc w:val="left"/>
      <w:lvlText w:val="(%2)"/>
      <w:numFmt w:val="lowerLetter"/>
      <w:start w:val="1"/>
    </w:lvl>
  </w:abstractNum>
  <w:abstractNum w:abstractNumId="160">
    <w:nsid w:val="7B9B743C"/>
    <w:multiLevelType w:val="hybridMultilevel"/>
    <w:lvl w:ilvl="0">
      <w:lvlJc w:val="left"/>
      <w:lvlText w:val="(%1)"/>
      <w:numFmt w:val="lowerLetter"/>
      <w:start w:val="9"/>
    </w:lvl>
    <w:lvl w:ilvl="1">
      <w:lvlJc w:val="left"/>
      <w:lvlText w:val="%2"/>
      <w:numFmt w:val="lowerLetter"/>
      <w:start w:val="1"/>
    </w:lvl>
  </w:abstractNum>
  <w:abstractNum w:abstractNumId="161">
    <w:nsid w:val="13E21002"/>
    <w:multiLevelType w:val="hybridMultilevel"/>
    <w:lvl w:ilvl="0">
      <w:lvlJc w:val="left"/>
      <w:lvlText w:val="(%1)"/>
      <w:numFmt w:val="lowerRoman"/>
      <w:start w:val="1"/>
    </w:lvl>
  </w:abstractNum>
  <w:abstractNum w:abstractNumId="162">
    <w:nsid w:val="257D63F4"/>
    <w:multiLevelType w:val="hybridMultilevel"/>
    <w:lvl w:ilvl="0">
      <w:lvlJc w:val="left"/>
      <w:lvlText w:val="(%1)"/>
      <w:numFmt w:val="lowerLetter"/>
      <w:start w:val="2"/>
    </w:lvl>
  </w:abstractNum>
  <w:abstractNum w:abstractNumId="163">
    <w:nsid w:val="70EC11B2"/>
    <w:multiLevelType w:val="hybridMultilevel"/>
    <w:lvl w:ilvl="0">
      <w:lvlJc w:val="left"/>
      <w:lvlText w:val="(%1)"/>
      <w:numFmt w:val="lowerLetter"/>
      <w:start w:val="2"/>
    </w:lvl>
    <w:lvl w:ilvl="1">
      <w:lvlJc w:val="left"/>
      <w:lvlText w:val="%2."/>
      <w:numFmt w:val="decimal"/>
      <w:start w:val="3"/>
    </w:lvl>
  </w:abstractNum>
  <w:abstractNum w:abstractNumId="164">
    <w:nsid w:val="2EDA00ED"/>
    <w:multiLevelType w:val="hybridMultilevel"/>
    <w:lvl w:ilvl="0">
      <w:lvlJc w:val="left"/>
      <w:lvlText w:val="%1."/>
      <w:numFmt w:val="decimal"/>
      <w:start w:val="4"/>
    </w:lvl>
  </w:abstractNum>
  <w:abstractNum w:abstractNumId="165">
    <w:nsid w:val="73209072"/>
    <w:multiLevelType w:val="hybridMultilevel"/>
    <w:lvl w:ilvl="0">
      <w:lvlJc w:val="left"/>
      <w:lvlText w:val="(%1)"/>
      <w:numFmt w:val="lowerLetter"/>
      <w:start w:val="2"/>
    </w:lvl>
  </w:abstractNum>
  <w:abstractNum w:abstractNumId="166">
    <w:nsid w:val="5FB29816"/>
    <w:multiLevelType w:val="hybridMultilevel"/>
    <w:lvl w:ilvl="0">
      <w:lvlJc w:val="left"/>
      <w:lvlText w:val="(%1)"/>
      <w:numFmt w:val="lowerLetter"/>
      <w:start w:val="4"/>
    </w:lvl>
    <w:lvl w:ilvl="1">
      <w:lvlJc w:val="left"/>
      <w:lvlText w:val="(%2)"/>
      <w:numFmt w:val="lowerRoman"/>
      <w:start w:val="1"/>
    </w:lvl>
  </w:abstractNum>
  <w:abstractNum w:abstractNumId="167">
    <w:nsid w:val="3CE732EC"/>
    <w:multiLevelType w:val="hybridMultilevel"/>
    <w:lvl w:ilvl="0">
      <w:lvlJc w:val="left"/>
      <w:lvlText w:val="(%1)"/>
      <w:numFmt w:val="lowerLetter"/>
      <w:start w:val="1"/>
    </w:lvl>
  </w:abstractNum>
  <w:abstractNum w:abstractNumId="168">
    <w:nsid w:val="22F13DF3"/>
    <w:multiLevelType w:val="hybridMultilevel"/>
    <w:lvl w:ilvl="0">
      <w:lvlJc w:val="left"/>
      <w:lvlText w:val="(%1)"/>
      <w:numFmt w:val="lowerLetter"/>
      <w:start w:val="3"/>
    </w:lvl>
  </w:abstractNum>
  <w:abstractNum w:abstractNumId="169">
    <w:nsid w:val="792B8401"/>
    <w:multiLevelType w:val="hybridMultilevel"/>
    <w:lvl w:ilvl="0">
      <w:lvlJc w:val="left"/>
      <w:lvlText w:val="(%1)"/>
      <w:numFmt w:val="lowerLetter"/>
      <w:start w:val="1"/>
    </w:lvl>
  </w:abstractNum>
  <w:abstractNum w:abstractNumId="170">
    <w:nsid w:val="FA85F4D"/>
    <w:multiLevelType w:val="hybridMultilevel"/>
    <w:lvl w:ilvl="0">
      <w:lvlJc w:val="left"/>
      <w:lvlText w:val="(%1)"/>
      <w:numFmt w:val="lowerLetter"/>
      <w:start w:val="1"/>
    </w:lvl>
    <w:lvl w:ilvl="1">
      <w:lvlJc w:val="left"/>
      <w:lvlText w:val="(%2)"/>
      <w:numFmt w:val="lowerRoman"/>
      <w:start w:val="1"/>
    </w:lvl>
  </w:abstractNum>
  <w:abstractNum w:abstractNumId="171">
    <w:nsid w:val="6ECE91F0"/>
    <w:multiLevelType w:val="hybridMultilevel"/>
    <w:lvl w:ilvl="0">
      <w:lvlJc w:val="left"/>
      <w:lvlText w:val="%1"/>
      <w:numFmt w:val="lowerLetter"/>
      <w:start w:val="1"/>
    </w:lvl>
    <w:lvl w:ilvl="1">
      <w:lvlJc w:val="left"/>
      <w:lvlText w:val="(%2)"/>
      <w:numFmt w:val="lowerRoman"/>
      <w:start w:val="2"/>
    </w:lvl>
  </w:abstractNum>
  <w:abstractNum w:abstractNumId="172">
    <w:nsid w:val="4FC4D600"/>
    <w:multiLevelType w:val="hybridMultilevel"/>
    <w:lvl w:ilvl="0">
      <w:lvlJc w:val="left"/>
      <w:lvlText w:val="(%1)"/>
      <w:numFmt w:val="lowerLetter"/>
      <w:start w:val="2"/>
    </w:lvl>
    <w:lvl w:ilvl="1">
      <w:lvlJc w:val="left"/>
      <w:lvlText w:val="(%2)"/>
      <w:numFmt w:val="lowerRoman"/>
      <w:start w:val="1"/>
    </w:lvl>
  </w:abstractNum>
  <w:abstractNum w:abstractNumId="173">
    <w:nsid w:val="5BFD4210"/>
    <w:multiLevelType w:val="hybridMultilevel"/>
    <w:lvl w:ilvl="0">
      <w:lvlJc w:val="left"/>
      <w:lvlText w:val="(%1)"/>
      <w:numFmt w:val="decimal"/>
      <w:start w:val="1"/>
    </w:lvl>
  </w:abstractNum>
  <w:abstractNum w:abstractNumId="174">
    <w:nsid w:val="76574F8B"/>
    <w:multiLevelType w:val="hybridMultilevel"/>
    <w:lvl w:ilvl="0">
      <w:lvlJc w:val="left"/>
      <w:lvlText w:val="(%1)"/>
      <w:numFmt w:val="lowerLetter"/>
      <w:start w:val="1"/>
    </w:lvl>
  </w:abstractNum>
  <w:abstractNum w:abstractNumId="175">
    <w:nsid w:val="178F7B67"/>
    <w:multiLevelType w:val="hybridMultilevel"/>
    <w:lvl w:ilvl="0">
      <w:lvlJc w:val="left"/>
      <w:lvlText w:val="(%1)"/>
      <w:numFmt w:val="lowerRoman"/>
      <w:start w:val="1"/>
    </w:lvl>
    <w:lvl w:ilvl="1">
      <w:lvlJc w:val="left"/>
      <w:lvlText w:val="%2."/>
      <w:numFmt w:val="decimal"/>
      <w:start w:val="5"/>
    </w:lvl>
  </w:abstractNum>
  <w:abstractNum w:abstractNumId="176">
    <w:nsid w:val="2421DFCF"/>
    <w:multiLevelType w:val="hybridMultilevel"/>
    <w:lvl w:ilvl="0">
      <w:lvlJc w:val="left"/>
      <w:lvlText w:val="%1."/>
      <w:numFmt w:val="decimal"/>
      <w:start w:val="6"/>
    </w:lvl>
  </w:abstractNum>
  <w:abstractNum w:abstractNumId="177">
    <w:nsid w:val="1565AC99"/>
    <w:multiLevelType w:val="hybridMultilevel"/>
    <w:lvl w:ilvl="0">
      <w:lvlJc w:val="left"/>
      <w:lvlText w:val="%1."/>
      <w:numFmt w:val="decimal"/>
      <w:start w:val="8"/>
    </w:lvl>
  </w:abstractNum>
  <w:abstractNum w:abstractNumId="178">
    <w:nsid w:val="19FB2650"/>
    <w:multiLevelType w:val="hybridMultilevel"/>
    <w:lvl w:ilvl="0">
      <w:lvlJc w:val="left"/>
      <w:lvlText w:val="(%1)"/>
      <w:numFmt w:val="lowerRoman"/>
      <w:start w:val="4"/>
    </w:lvl>
  </w:abstractNum>
  <w:abstractNum w:abstractNumId="179">
    <w:nsid w:val="5024DE5B"/>
    <w:multiLevelType w:val="hybridMultilevel"/>
    <w:lvl w:ilvl="0">
      <w:lvlJc w:val="left"/>
      <w:lvlText w:val="%1."/>
      <w:numFmt w:val="decimal"/>
      <w:start w:val="3"/>
    </w:lvl>
  </w:abstractNum>
  <w:abstractNum w:abstractNumId="180">
    <w:nsid w:val="168EFE17"/>
    <w:multiLevelType w:val="hybridMultilevel"/>
    <w:lvl w:ilvl="0">
      <w:lvlJc w:val="left"/>
      <w:lvlText w:val="(%1)"/>
      <w:numFmt w:val="lowerRoman"/>
      <w:start w:val="1"/>
    </w:lvl>
  </w:abstractNum>
  <w:abstractNum w:abstractNumId="181">
    <w:nsid w:val="1036B29F"/>
    <w:multiLevelType w:val="hybridMultilevel"/>
    <w:lvl w:ilvl="0">
      <w:lvlJc w:val="left"/>
      <w:lvlText w:val="(%1)"/>
      <w:numFmt w:val="lowerRoman"/>
      <w:start w:val="1"/>
    </w:lvl>
  </w:abstractNum>
  <w:abstractNum w:abstractNumId="182">
    <w:nsid w:val="1D206B8E"/>
    <w:multiLevelType w:val="hybridMultilevel"/>
    <w:lvl w:ilvl="0">
      <w:lvlJc w:val="left"/>
      <w:lvlText w:val="(%1)"/>
      <w:numFmt w:val="lowerRoman"/>
      <w:start w:val="1"/>
    </w:lvl>
  </w:abstractNum>
  <w:abstractNum w:abstractNumId="183">
    <w:nsid w:val="7934D3D4"/>
    <w:multiLevelType w:val="hybridMultilevel"/>
    <w:lvl w:ilvl="0">
      <w:lvlJc w:val="left"/>
      <w:lvlText w:val="(%1)"/>
      <w:numFmt w:val="lowerRoman"/>
      <w:start w:val="2"/>
    </w:lvl>
  </w:abstractNum>
  <w:abstractNum w:abstractNumId="184">
    <w:nsid w:val="1C65E98"/>
    <w:multiLevelType w:val="hybridMultilevel"/>
    <w:lvl w:ilvl="0">
      <w:lvlJc w:val="left"/>
      <w:lvlText w:val="(%1)"/>
      <w:numFmt w:val="lowerRoman"/>
      <w:start w:val="1"/>
    </w:lvl>
  </w:abstractNum>
  <w:abstractNum w:abstractNumId="185">
    <w:nsid w:val="1495E50A"/>
    <w:multiLevelType w:val="hybridMultilevel"/>
    <w:lvl w:ilvl="0">
      <w:lvlJc w:val="left"/>
      <w:lvlText w:val="%1"/>
      <w:numFmt w:val="lowerLetter"/>
      <w:start w:val="1"/>
    </w:lvl>
    <w:lvl w:ilvl="1">
      <w:lvlJc w:val="left"/>
      <w:lvlText w:val="(%2)"/>
      <w:numFmt w:val="lowerRoman"/>
      <w:start w:val="1"/>
    </w:lvl>
  </w:abstractNum>
  <w:abstractNum w:abstractNumId="186">
    <w:nsid w:val="F5BCF61"/>
    <w:multiLevelType w:val="hybridMultilevel"/>
    <w:lvl w:ilvl="0">
      <w:lvlJc w:val="left"/>
      <w:lvlText w:val="(%1)"/>
      <w:numFmt w:val="lowerLetter"/>
      <w:start w:val="3"/>
    </w:lvl>
    <w:lvl w:ilvl="1">
      <w:lvlJc w:val="left"/>
      <w:lvlText w:val="(%2)"/>
      <w:numFmt w:val="lowerRoman"/>
      <w:start w:val="5"/>
    </w:lvl>
  </w:abstractNum>
  <w:abstractNum w:abstractNumId="187">
    <w:nsid w:val="3B1DD403"/>
    <w:multiLevelType w:val="hybridMultilevel"/>
    <w:lvl w:ilvl="0">
      <w:lvlJc w:val="left"/>
      <w:lvlText w:val="(%1)"/>
      <w:numFmt w:val="lowerRoman"/>
      <w:start w:val="1"/>
    </w:lvl>
  </w:abstractNum>
  <w:abstractNum w:abstractNumId="188">
    <w:nsid w:val="530386D1"/>
    <w:multiLevelType w:val="hybridMultilevel"/>
    <w:lvl w:ilvl="0">
      <w:lvlJc w:val="left"/>
      <w:lvlText w:val="(%1)"/>
      <w:numFmt w:val="lowerLetter"/>
      <w:start w:val="35"/>
    </w:lvl>
    <w:lvl w:ilvl="1">
      <w:lvlJc w:val="left"/>
      <w:lvlText w:val="(%2)"/>
      <w:numFmt w:val="lowerLetter"/>
      <w:start w:val="2"/>
    </w:lvl>
  </w:abstractNum>
  <w:abstractNum w:abstractNumId="189">
    <w:nsid w:val="7525F2BC"/>
    <w:multiLevelType w:val="hybridMultilevel"/>
    <w:lvl w:ilvl="0">
      <w:lvlJc w:val="left"/>
      <w:lvlText w:val="(%1)"/>
      <w:numFmt w:val="lowerLetter"/>
      <w:start w:val="3"/>
    </w:lvl>
    <w:lvl w:ilvl="1">
      <w:lvlJc w:val="left"/>
      <w:lvlText w:val="(%2)"/>
      <w:numFmt w:val="lowerRoman"/>
      <w:start w:val="1"/>
    </w:lvl>
  </w:abstractNum>
  <w:abstractNum w:abstractNumId="190">
    <w:nsid w:val="CE8E1A7"/>
    <w:multiLevelType w:val="hybridMultilevel"/>
    <w:lvl w:ilvl="0">
      <w:lvlJc w:val="left"/>
      <w:lvlText w:val="%1"/>
      <w:numFmt w:val="upperLetter"/>
      <w:start w:val="1"/>
    </w:lvl>
    <w:lvl w:ilvl="1">
      <w:lvlJc w:val="left"/>
      <w:lvlText w:val="(%2)"/>
      <w:numFmt w:val="lowerRoman"/>
      <w:start w:val="1"/>
    </w:lvl>
  </w:abstractNum>
  <w:abstractNum w:abstractNumId="191">
    <w:nsid w:val="4E9EFB0D"/>
    <w:multiLevelType w:val="hybridMultilevel"/>
    <w:lvl w:ilvl="0">
      <w:lvlJc w:val="left"/>
      <w:lvlText w:val="(%1)"/>
      <w:numFmt w:val="upperLetter"/>
      <w:start w:val="2"/>
    </w:lvl>
    <w:lvl w:ilvl="1">
      <w:lvlJc w:val="left"/>
      <w:lvlText w:val="%2"/>
      <w:numFmt w:val="lowerRoman"/>
      <w:start w:val="1"/>
    </w:lvl>
  </w:abstractNum>
  <w:abstractNum w:abstractNumId="192">
    <w:nsid w:val="90802BE"/>
    <w:multiLevelType w:val="hybridMultilevel"/>
    <w:lvl w:ilvl="0">
      <w:lvlJc w:val="left"/>
      <w:lvlText w:val="(%1)"/>
      <w:numFmt w:val="lowerRoman"/>
      <w:start w:val="2"/>
    </w:lvl>
  </w:abstractNum>
  <w:abstractNum w:abstractNumId="193">
    <w:nsid w:val="3266459B"/>
    <w:multiLevelType w:val="hybridMultilevel"/>
    <w:lvl w:ilvl="0">
      <w:lvlJc w:val="left"/>
      <w:lvlText w:val="(%1)"/>
      <w:numFmt w:val="lowerLetter"/>
      <w:start w:val="9"/>
    </w:lvl>
    <w:lvl w:ilvl="1">
      <w:lvlJc w:val="left"/>
      <w:lvlText w:val="(%2)"/>
      <w:numFmt w:val="lowerLetter"/>
      <w:start w:val="1"/>
    </w:lvl>
  </w:abstractNum>
  <w:abstractNum w:abstractNumId="194">
    <w:nsid w:val="3F8B0CBF"/>
    <w:multiLevelType w:val="hybridMultilevel"/>
    <w:lvl w:ilvl="0">
      <w:lvlJc w:val="left"/>
      <w:lvlText w:val="%1"/>
      <w:numFmt w:val="lowerLetter"/>
      <w:start w:val="1"/>
    </w:lvl>
    <w:lvl w:ilvl="1">
      <w:lvlJc w:val="left"/>
      <w:lvlText w:val="(%2)"/>
      <w:numFmt w:val="lowerLetter"/>
      <w:start w:val="2"/>
    </w:lvl>
  </w:abstractNum>
  <w:abstractNum w:abstractNumId="195">
    <w:nsid w:val="37E203AB"/>
    <w:multiLevelType w:val="hybridMultilevel"/>
    <w:lvl w:ilvl="0">
      <w:lvlJc w:val="left"/>
      <w:lvlText w:val="(%1)"/>
      <w:numFmt w:val="lowerLetter"/>
      <w:start w:val="35"/>
    </w:lvl>
    <w:lvl w:ilvl="1">
      <w:lvlJc w:val="left"/>
      <w:lvlText w:val="%2"/>
      <w:numFmt w:val="lowerLetter"/>
      <w:start w:val="1"/>
    </w:lvl>
  </w:abstractNum>
  <w:abstractNum w:abstractNumId="196">
    <w:nsid w:val="2586D60E"/>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197">
    <w:nsid w:val="1F3DA4D5"/>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98">
    <w:nsid w:val="74C9369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
    </w:lvl>
  </w:abstractNum>
  <w:abstractNum w:abstractNumId="199">
    <w:nsid w:val="48781401"/>
    <w:multiLevelType w:val="hybridMultilevel"/>
    <w:lvl w:ilvl="0">
      <w:lvlJc w:val="left"/>
      <w:lvlText w:val="%1"/>
      <w:numFmt w:val="upperLetter"/>
      <w:start w:val="1"/>
    </w:lvl>
    <w:lvl w:ilvl="1">
      <w:lvlJc w:val="left"/>
      <w:lvlText w:val="(%2)"/>
      <w:numFmt w:val="lowerLetter"/>
      <w:start w:val="61"/>
    </w:lvl>
    <w:lvl w:ilvl="2">
      <w:lvlJc w:val="left"/>
      <w:lvlText w:val="(%3)"/>
      <w:numFmt w:val="lowerLetter"/>
      <w:start w:val="1"/>
    </w:lvl>
  </w:abstractNum>
  <w:abstractNum w:abstractNumId="200">
    <w:nsid w:val="186928D6"/>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201">
    <w:nsid w:val="47195E5"/>
    <w:multiLevelType w:val="hybridMultilevel"/>
    <w:lvl w:ilvl="0">
      <w:lvlJc w:val="left"/>
      <w:lvlText w:val="%1"/>
      <w:numFmt w:val="lowerRoman"/>
      <w:start w:val="1"/>
    </w:lvl>
    <w:lvl w:ilvl="1">
      <w:lvlJc w:val="left"/>
      <w:lvlText w:val="(%2)"/>
      <w:numFmt w:val="lowerLetter"/>
      <w:start w:val="2"/>
    </w:lvl>
  </w:abstractNum>
  <w:abstractNum w:abstractNumId="202">
    <w:nsid w:val="3746A5F2"/>
    <w:multiLevelType w:val="hybridMultilevel"/>
    <w:lvl w:ilvl="0">
      <w:lvlJc w:val="left"/>
      <w:lvlText w:val="(%1)"/>
      <w:numFmt w:val="lowerRoman"/>
      <w:start w:val="4"/>
    </w:lvl>
    <w:lvl w:ilvl="1">
      <w:lvlJc w:val="left"/>
      <w:lvlText w:val="%2"/>
      <w:numFmt w:val="lowerLetter"/>
      <w:start w:val="1"/>
    </w:lvl>
  </w:abstractNum>
  <w:abstractNum w:abstractNumId="203">
    <w:nsid w:val="682DFED6"/>
    <w:multiLevelType w:val="hybridMultilevel"/>
    <w:lvl w:ilvl="0">
      <w:lvlJc w:val="left"/>
      <w:lvlText w:val="(%1)"/>
      <w:numFmt w:val="lowerRoman"/>
      <w:start w:val="1"/>
    </w:lvl>
  </w:abstractNum>
  <w:abstractNum w:abstractNumId="204">
    <w:nsid w:val="606ED7F6"/>
    <w:multiLevelType w:val="hybridMultilevel"/>
    <w:lvl w:ilvl="0">
      <w:lvlJc w:val="left"/>
      <w:lvlText w:val="(%1)"/>
      <w:numFmt w:val="lowerRoman"/>
      <w:start w:val="1"/>
    </w:lvl>
  </w:abstractNum>
  <w:abstractNum w:abstractNumId="205">
    <w:nsid w:val="2D9DF57D"/>
    <w:multiLevelType w:val="hybridMultilevel"/>
    <w:lvl w:ilvl="0">
      <w:lvlJc w:val="left"/>
      <w:lvlText w:val="(%1)"/>
      <w:numFmt w:val="lowerRoman"/>
      <w:start w:val="1"/>
    </w:lvl>
  </w:abstractNum>
  <w:abstractNum w:abstractNumId="206">
    <w:nsid w:val="7FBD7A3E"/>
    <w:multiLevelType w:val="hybridMultilevel"/>
    <w:lvl w:ilvl="0">
      <w:lvlJc w:val="left"/>
      <w:lvlText w:val="(%1)"/>
      <w:numFmt w:val="lowerRoman"/>
      <w:start w:val="1"/>
    </w:lvl>
  </w:abstractNum>
  <w:abstractNum w:abstractNumId="207">
    <w:nsid w:val="490B7C5"/>
    <w:multiLevelType w:val="hybridMultilevel"/>
    <w:lvl w:ilvl="0">
      <w:lvlJc w:val="left"/>
      <w:lvlText w:val="(%1)"/>
      <w:numFmt w:val="lowerRoman"/>
      <w:start w:val="1"/>
    </w:lvl>
  </w:abstractNum>
  <w:abstractNum w:abstractNumId="208">
    <w:nsid w:val="4303A216"/>
    <w:multiLevelType w:val="hybridMultilevel"/>
    <w:lvl w:ilvl="0">
      <w:lvlJc w:val="left"/>
      <w:lvlText w:val="(%1)"/>
      <w:numFmt w:val="lowerRoman"/>
      <w:start w:val="2"/>
    </w:lvl>
  </w:abstractNum>
  <w:abstractNum w:abstractNumId="209">
    <w:nsid w:val="19B8A08E"/>
    <w:multiLevelType w:val="hybridMultilevel"/>
    <w:lvl w:ilvl="0">
      <w:lvlJc w:val="left"/>
      <w:lvlText w:val="%1"/>
      <w:numFmt w:val="upperLetter"/>
      <w:start w:val="1"/>
    </w:lvl>
    <w:lvl w:ilvl="1">
      <w:lvlJc w:val="left"/>
      <w:lvlText w:val="(%2)"/>
      <w:numFmt w:val="lowerRoman"/>
      <w:start w:val="1"/>
    </w:lvl>
  </w:abstractNum>
  <w:abstractNum w:abstractNumId="210">
    <w:nsid w:val="54B59621"/>
    <w:multiLevelType w:val="hybridMultilevel"/>
    <w:lvl w:ilvl="0">
      <w:lvlJc w:val="left"/>
      <w:lvlText w:val="(%1)"/>
      <w:numFmt w:val="upperLetter"/>
      <w:start w:val="1"/>
    </w:lvl>
    <w:lvl w:ilvl="1">
      <w:lvlJc w:val="left"/>
      <w:lvlText w:val="(%2)"/>
      <w:numFmt w:val="lowerRoman"/>
      <w:start w:val="4"/>
    </w:lvl>
  </w:abstractNum>
  <w:abstractNum w:abstractNumId="211">
    <w:nsid w:val="5992A02E"/>
    <w:multiLevelType w:val="hybridMultilevel"/>
    <w:lvl w:ilvl="0">
      <w:lvlJc w:val="left"/>
      <w:lvlText w:val="(%1)"/>
      <w:numFmt w:val="lowerRoman"/>
      <w:start w:val="1"/>
    </w:lvl>
  </w:abstractNum>
  <w:abstractNum w:abstractNumId="212">
    <w:nsid w:val="29EF532D"/>
    <w:multiLevelType w:val="hybridMultilevel"/>
    <w:lvl w:ilvl="0">
      <w:lvlJc w:val="left"/>
      <w:lvlText w:val="(%1)"/>
      <w:numFmt w:val="lowerRoman"/>
      <w:start w:val="4"/>
    </w:lvl>
  </w:abstractNum>
  <w:abstractNum w:abstractNumId="213">
    <w:nsid w:val="71D601AF"/>
    <w:multiLevelType w:val="hybridMultilevel"/>
    <w:lvl w:ilvl="0">
      <w:lvlJc w:val="left"/>
      <w:lvlText w:val="%1."/>
      <w:numFmt w:val="decimal"/>
      <w:start w:val="2"/>
    </w:lvl>
  </w:abstractNum>
  <w:abstractNum w:abstractNumId="214">
    <w:nsid w:val="52C77402"/>
    <w:multiLevelType w:val="hybridMultilevel"/>
    <w:lvl w:ilvl="0">
      <w:lvlJc w:val="left"/>
      <w:lvlText w:val="%1"/>
      <w:numFmt w:val="decimal"/>
      <w:start w:val="1"/>
    </w:lvl>
    <w:lvl w:ilvl="1">
      <w:lvlJc w:val="left"/>
      <w:lvlText w:val="(%2)"/>
      <w:numFmt w:val="lowerLetter"/>
      <w:start w:val="1"/>
    </w:lvl>
  </w:abstractNum>
  <w:abstractNum w:abstractNumId="215">
    <w:nsid w:val="2BB5B1C6"/>
    <w:multiLevelType w:val="hybridMultilevel"/>
    <w:lvl w:ilvl="0">
      <w:lvlJc w:val="left"/>
      <w:lvlText w:val="(%1)"/>
      <w:numFmt w:val="decimal"/>
      <w:start w:val="180"/>
    </w:lvl>
    <w:lvl w:ilvl="1">
      <w:lvlJc w:val="left"/>
      <w:lvlText w:val="(%2)"/>
      <w:numFmt w:val="lowerLetter"/>
      <w:start w:val="2"/>
    </w:lvl>
  </w:abstractNum>
  <w:abstractNum w:abstractNumId="216">
    <w:nsid w:val="66BE6B9"/>
    <w:multiLevelType w:val="hybridMultilevel"/>
    <w:lvl w:ilvl="0">
      <w:lvlJc w:val="left"/>
      <w:lvlText w:val="(%1)"/>
      <w:numFmt w:val="decimal"/>
      <w:start w:val="120"/>
    </w:lvl>
    <w:lvl w:ilvl="1">
      <w:lvlJc w:val="left"/>
      <w:lvlText w:val="%2"/>
      <w:numFmt w:val="lowerLetter"/>
      <w:start w:val="1"/>
    </w:lvl>
  </w:abstractNum>
  <w:abstractNum w:abstractNumId="217">
    <w:nsid w:val="62234363"/>
    <w:multiLevelType w:val="hybridMultilevel"/>
    <w:lvl w:ilvl="0">
      <w:lvlJc w:val="left"/>
      <w:lvlText w:val="%1"/>
      <w:numFmt w:val="decimal"/>
      <w:start w:val="1"/>
    </w:lvl>
    <w:lvl w:ilvl="1">
      <w:lvlJc w:val="left"/>
      <w:lvlText w:val="(%2)"/>
      <w:numFmt w:val="lowerLetter"/>
      <w:start w:val="4"/>
    </w:lvl>
  </w:abstractNum>
  <w:abstractNum w:abstractNumId="218">
    <w:nsid w:val="66D385C9"/>
    <w:multiLevelType w:val="hybridMultilevel"/>
    <w:lvl w:ilvl="0">
      <w:lvlJc w:val="left"/>
      <w:lvlText w:val="(%1)"/>
      <w:numFmt w:val="decimal"/>
      <w:start w:val="180"/>
    </w:lvl>
    <w:lvl w:ilvl="1">
      <w:lvlJc w:val="left"/>
      <w:lvlText w:val="%2"/>
      <w:numFmt w:val="lowerLetter"/>
      <w:start w:val="1"/>
    </w:lvl>
  </w:abstractNum>
  <w:abstractNum w:abstractNumId="219">
    <w:nsid w:val="596F6D8A"/>
    <w:multiLevelType w:val="hybridMultilevel"/>
    <w:lvl w:ilvl="0">
      <w:lvlJc w:val="left"/>
      <w:lvlText w:val="(%1)"/>
      <w:numFmt w:val="decimal"/>
      <w:start w:val="90"/>
    </w:lvl>
    <w:lvl w:ilvl="1">
      <w:lvlJc w:val="left"/>
      <w:lvlText w:val="%2"/>
      <w:numFmt w:val="lowerLetter"/>
      <w:start w:val="1"/>
    </w:lvl>
  </w:abstractNum>
  <w:abstractNum w:abstractNumId="220">
    <w:nsid w:val="5749361F"/>
    <w:multiLevelType w:val="hybridMultilevel"/>
    <w:lvl w:ilvl="0">
      <w:lvlJc w:val="left"/>
      <w:lvlText w:val="(%1)"/>
      <w:numFmt w:val="lowerLetter"/>
      <w:start w:val="1"/>
    </w:lvl>
  </w:abstractNum>
  <w:abstractNum w:abstractNumId="221">
    <w:nsid w:val="73BC6770"/>
    <w:multiLevelType w:val="hybridMultilevel"/>
    <w:lvl w:ilvl="0">
      <w:lvlJc w:val="left"/>
      <w:lvlText w:val="(%1)"/>
      <w:numFmt w:val="lowerLetter"/>
      <w:start w:val="3"/>
    </w:lvl>
  </w:abstractNum>
  <w:abstractNum w:abstractNumId="222">
    <w:nsid w:val="280E6897"/>
    <w:multiLevelType w:val="hybridMultilevel"/>
    <w:lvl w:ilvl="0">
      <w:lvlJc w:val="left"/>
      <w:lvlText w:val="(%1)"/>
      <w:numFmt w:val="lowerLetter"/>
      <w:start w:val="1"/>
    </w:lvl>
  </w:abstractNum>
  <w:abstractNum w:abstractNumId="223">
    <w:nsid w:val="605138DE"/>
    <w:multiLevelType w:val="hybridMultilevel"/>
    <w:lvl w:ilvl="0">
      <w:lvlJc w:val="left"/>
      <w:lvlText w:val="(%1)"/>
      <w:numFmt w:val="lowerLetter"/>
      <w:start w:val="4"/>
    </w:lvl>
  </w:abstractNum>
  <w:abstractNum w:abstractNumId="224">
    <w:nsid w:val="2622AD0C"/>
    <w:multiLevelType w:val="hybridMultilevel"/>
    <w:lvl w:ilvl="0">
      <w:lvlJc w:val="left"/>
      <w:lvlText w:val="(%1)"/>
      <w:numFmt w:val="lowerLetter"/>
      <w:start w:val="1"/>
    </w:lvl>
  </w:abstractNum>
  <w:abstractNum w:abstractNumId="225">
    <w:nsid w:val="67997556"/>
    <w:multiLevelType w:val="hybridMultilevel"/>
    <w:lvl w:ilvl="0">
      <w:lvlJc w:val="left"/>
      <w:lvlText w:val="%1"/>
      <w:numFmt w:val="lowerLetter"/>
      <w:start w:val="1"/>
    </w:lvl>
    <w:lvl w:ilvl="1">
      <w:lvlJc w:val="left"/>
      <w:lvlText w:val="(%2)"/>
      <w:numFmt w:val="lowerLetter"/>
      <w:start w:val="2"/>
    </w:lvl>
  </w:abstractNum>
  <w:abstractNum w:abstractNumId="226">
    <w:nsid w:val="18333C89"/>
    <w:multiLevelType w:val="hybridMultilevel"/>
    <w:lvl w:ilvl="0">
      <w:lvlJc w:val="left"/>
      <w:lvlText w:val="(%1)"/>
      <w:numFmt w:val="lowerLetter"/>
      <w:start w:val="35"/>
    </w:lvl>
    <w:lvl w:ilvl="1">
      <w:lvlJc w:val="left"/>
      <w:lvlText w:val="%2"/>
      <w:numFmt w:val="lowerLetter"/>
      <w:start w:val="1"/>
    </w:lvl>
  </w:abstractNum>
  <w:abstractNum w:abstractNumId="227">
    <w:nsid w:val="4BA9831A"/>
    <w:multiLevelType w:val="hybridMultilevel"/>
    <w:lvl w:ilvl="0">
      <w:lvlJc w:val="left"/>
      <w:lvlText w:val="(%1)"/>
      <w:numFmt w:val="lowerLetter"/>
      <w:start w:val="5"/>
    </w:lvl>
  </w:abstractNum>
  <w:abstractNum w:abstractNumId="228">
    <w:nsid w:val="6D71A2B"/>
    <w:multiLevelType w:val="hybridMultilevel"/>
    <w:lvl w:ilvl="0">
      <w:lvlJc w:val="left"/>
      <w:lvlText w:val="(%1)"/>
      <w:numFmt w:val="lowerLetter"/>
      <w:start w:val="1"/>
    </w:lvl>
  </w:abstractNum>
  <w:abstractNum w:abstractNumId="229">
    <w:nsid w:val="CFC7321"/>
    <w:multiLevelType w:val="hybridMultilevel"/>
    <w:lvl w:ilvl="0">
      <w:lvlJc w:val="left"/>
      <w:lvlText w:val="(%1)"/>
      <w:numFmt w:val="decimal"/>
      <w:start w:val="180"/>
    </w:lvl>
  </w:abstractNum>
  <w:abstractNum w:abstractNumId="230">
    <w:nsid w:val="1421971B"/>
    <w:multiLevelType w:val="hybridMultilevel"/>
    <w:lvl w:ilvl="0">
      <w:lvlJc w:val="left"/>
      <w:lvlText w:val="(%1)"/>
      <w:numFmt w:val="lowerLetter"/>
      <w:start w:val="1"/>
    </w:lvl>
  </w:abstractNum>
  <w:abstractNum w:abstractNumId="231">
    <w:nsid w:val="1F404301"/>
    <w:multiLevelType w:val="hybridMultilevel"/>
    <w:lvl w:ilvl="0">
      <w:lvlJc w:val="left"/>
      <w:lvlText w:val="(%1)"/>
      <w:numFmt w:val="lowerLetter"/>
      <w:start w:val="3"/>
    </w:lvl>
  </w:abstractNum>
  <w:abstractNum w:abstractNumId="232">
    <w:nsid w:val="116E0907"/>
    <w:multiLevelType w:val="hybridMultilevel"/>
    <w:lvl w:ilvl="0">
      <w:lvlJc w:val="left"/>
      <w:lvlText w:val="%1"/>
      <w:numFmt w:val="decimal"/>
      <w:start w:val="1"/>
    </w:lvl>
    <w:lvl w:ilvl="1">
      <w:lvlJc w:val="left"/>
      <w:lvlText w:val="(%2)"/>
      <w:numFmt w:val="lowerLetter"/>
      <w:start w:val="1"/>
    </w:lvl>
  </w:abstractNum>
  <w:abstractNum w:abstractNumId="233">
    <w:nsid w:val="4B683D0D"/>
    <w:multiLevelType w:val="hybridMultilevel"/>
    <w:lvl w:ilvl="0">
      <w:lvlJc w:val="left"/>
      <w:lvlText w:val="%1."/>
      <w:numFmt w:val="decimal"/>
      <w:start w:val="3"/>
    </w:lvl>
    <w:lvl w:ilvl="1">
      <w:lvlJc w:val="left"/>
      <w:lvlText w:val="%2"/>
      <w:numFmt w:val="lowerLetter"/>
      <w:start w:val="1"/>
    </w:lvl>
  </w:abstractNum>
  <w:abstractNum w:abstractNumId="234">
    <w:nsid w:val="76E41D8"/>
    <w:multiLevelType w:val="hybridMultilevel"/>
    <w:lvl w:ilvl="0">
      <w:lvlJc w:val="left"/>
      <w:lvlText w:val="%1"/>
      <w:numFmt w:val="lowerLetter"/>
      <w:start w:val="1"/>
    </w:lvl>
    <w:lvl w:ilvl="1">
      <w:lvlJc w:val="left"/>
      <w:lvlText w:val="(%2)"/>
      <w:numFmt w:val="lowerLetter"/>
      <w:start w:val="1"/>
    </w:lvl>
  </w:abstractNum>
  <w:abstractNum w:abstractNumId="235">
    <w:nsid w:val="71DCE0FD"/>
    <w:multiLevelType w:val="hybridMultilevel"/>
    <w:lvl w:ilvl="0">
      <w:lvlJc w:val="left"/>
      <w:lvlText w:val="(%1)"/>
      <w:numFmt w:val="lowerLetter"/>
      <w:start w:val="9"/>
    </w:lvl>
    <w:lvl w:ilvl="1">
      <w:lvlJc w:val="left"/>
      <w:lvlText w:val="%2"/>
      <w:numFmt w:val="lowerLetter"/>
      <w:start w:val="1"/>
    </w:lvl>
  </w:abstractNum>
  <w:abstractNum w:abstractNumId="236">
    <w:nsid w:val="7906328B"/>
    <w:multiLevelType w:val="hybridMultilevel"/>
    <w:lvl w:ilvl="0">
      <w:lvlJc w:val="left"/>
      <w:lvlText w:val="(%1)"/>
      <w:numFmt w:val="lowerLetter"/>
      <w:start w:val="2"/>
    </w:lvl>
  </w:abstractNum>
  <w:abstractNum w:abstractNumId="237">
    <w:nsid w:val="72BBC1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38">
    <w:nsid w:val="766D98C2"/>
    <w:multiLevelType w:val="hybridMultilevel"/>
    <w:lvl w:ilvl="0">
      <w:lvlJc w:val="left"/>
      <w:lvlText w:val="(%1)"/>
      <w:numFmt w:val="lowerLetter"/>
      <w:start w:val="4"/>
    </w:lvl>
  </w:abstractNum>
  <w:abstractNum w:abstractNumId="239">
    <w:nsid w:val="3C09D4A1"/>
    <w:multiLevelType w:val="hybridMultilevel"/>
    <w:lvl w:ilvl="0">
      <w:lvlJc w:val="left"/>
      <w:lvlText w:val="%1."/>
      <w:numFmt w:val="decimal"/>
      <w:start w:val="5"/>
    </w:lvl>
  </w:abstractNum>
  <w:abstractNum w:abstractNumId="240">
    <w:nsid w:val="20E45CA4"/>
    <w:multiLevelType w:val="hybridMultilevel"/>
    <w:lvl w:ilvl="0">
      <w:lvlJc w:val="left"/>
      <w:lvlText w:val="(%1)"/>
      <w:numFmt w:val="lowerLetter"/>
      <w:start w:val="1"/>
    </w:lvl>
  </w:abstractNum>
  <w:abstractNum w:abstractNumId="241">
    <w:nsid w:val="4B232EE3"/>
    <w:multiLevelType w:val="hybridMultilevel"/>
    <w:lvl w:ilvl="0">
      <w:lvlJc w:val="left"/>
      <w:lvlText w:val="(%1)"/>
      <w:numFmt w:val="lowerLetter"/>
      <w:start w:val="6"/>
    </w:lvl>
  </w:abstractNum>
  <w:abstractNum w:abstractNumId="242">
    <w:nsid w:val="159C74CF"/>
    <w:multiLevelType w:val="hybridMultilevel"/>
    <w:lvl w:ilvl="0">
      <w:lvlJc w:val="left"/>
      <w:lvlText w:val="(%1)"/>
      <w:numFmt w:val="lowerRoman"/>
      <w:start w:val="1"/>
    </w:lvl>
  </w:abstractNum>
  <w:abstractNum w:abstractNumId="243">
    <w:nsid w:val="4AD3AFD2"/>
    <w:multiLevelType w:val="hybridMultilevel"/>
    <w:lvl w:ilvl="0">
      <w:lvlJc w:val="left"/>
      <w:lvlText w:val="%1."/>
      <w:numFmt w:val="decimal"/>
      <w:start w:val="6"/>
    </w:lvl>
  </w:abstractNum>
  <w:abstractNum w:abstractNumId="244">
    <w:nsid w:val="3CF93092"/>
    <w:multiLevelType w:val="hybridMultilevel"/>
    <w:lvl w:ilvl="0">
      <w:lvlJc w:val="left"/>
      <w:lvlText w:val="(%1)"/>
      <w:numFmt w:val="decimal"/>
      <w:start w:val="5"/>
    </w:lvl>
  </w:abstractNum>
  <w:abstractNum w:abstractNumId="245">
    <w:nsid w:val="6863E8D2"/>
    <w:multiLevelType w:val="hybridMultilevel"/>
    <w:lvl w:ilvl="0">
      <w:lvlJc w:val="left"/>
      <w:lvlText w:val="%1."/>
      <w:numFmt w:val="upperLetter"/>
      <w:start w:val="1"/>
    </w:lvl>
    <w:lvl w:ilvl="1">
      <w:lvlJc w:val="left"/>
      <w:lvlText w:val="(%2)"/>
      <w:numFmt w:val="decimal"/>
      <w:start w:val="1"/>
    </w:lvl>
  </w:abstractNum>
  <w:abstractNum w:abstractNumId="246">
    <w:nsid w:val="76896198"/>
    <w:multiLevelType w:val="hybridMultilevel"/>
    <w:lvl w:ilvl="0">
      <w:lvlJc w:val="left"/>
      <w:lvlText w:val="(%1)"/>
      <w:numFmt w:val="lowerLetter"/>
      <w:start w:val="1"/>
    </w:lvl>
  </w:abstractNum>
  <w:abstractNum w:abstractNumId="247">
    <w:nsid w:val="4365174B"/>
    <w:multiLevelType w:val="hybridMultilevel"/>
    <w:lvl w:ilvl="0">
      <w:lvlJc w:val="left"/>
      <w:lvlText w:val="%1"/>
      <w:numFmt w:val="lowerLetter"/>
      <w:start w:val="1"/>
    </w:lvl>
    <w:lvl w:ilvl="1">
      <w:lvlJc w:val="left"/>
      <w:lvlText w:val="(%2)"/>
      <w:numFmt w:val="lowerLetter"/>
      <w:start w:val="1"/>
    </w:lvl>
  </w:abstractNum>
  <w:abstractNum w:abstractNumId="248">
    <w:nsid w:val="4A872C35"/>
    <w:multiLevelType w:val="hybridMultilevel"/>
    <w:lvl w:ilvl="0">
      <w:lvlJc w:val="left"/>
      <w:lvlText w:val="(%1)"/>
      <w:numFmt w:val="lowerLetter"/>
      <w:start w:val="9"/>
    </w:lvl>
    <w:lvl w:ilvl="1">
      <w:lvlJc w:val="left"/>
      <w:lvlText w:val="%2"/>
      <w:numFmt w:val="lowerLetter"/>
      <w:start w:val="1"/>
    </w:lvl>
  </w:abstractNum>
  <w:abstractNum w:abstractNumId="249">
    <w:nsid w:val="5D5CE761"/>
    <w:multiLevelType w:val="hybridMultilevel"/>
    <w:lvl w:ilvl="0">
      <w:lvlJc w:val="left"/>
      <w:lvlText w:val="(%1)"/>
      <w:numFmt w:val="lowerLetter"/>
      <w:start w:val="2"/>
    </w:lvl>
  </w:abstractNum>
  <w:abstractNum w:abstractNumId="250">
    <w:nsid w:val="1CD484D5"/>
    <w:multiLevelType w:val="hybridMultilevel"/>
    <w:lvl w:ilvl="0">
      <w:lvlJc w:val="left"/>
      <w:lvlText w:val="(%1)"/>
      <w:numFmt w:val="lowerLetter"/>
      <w:start w:val="1"/>
    </w:lvl>
  </w:abstractNum>
  <w:abstractNum w:abstractNumId="251">
    <w:nsid w:val="21D06255"/>
    <w:multiLevelType w:val="hybridMultilevel"/>
    <w:lvl w:ilvl="0">
      <w:lvlJc w:val="left"/>
      <w:lvlText w:val="(%1)"/>
      <w:numFmt w:val="lowerLetter"/>
      <w:start w:val="1"/>
    </w:lvl>
  </w:abstractNum>
  <w:abstractNum w:abstractNumId="252">
    <w:nsid w:val="51194ED1"/>
    <w:multiLevelType w:val="hybridMultilevel"/>
    <w:lvl w:ilvl="0">
      <w:lvlJc w:val="left"/>
      <w:lvlText w:val="(%1)"/>
      <w:numFmt w:val="decimal"/>
      <w:start w:val="1"/>
    </w:lvl>
  </w:abstractNum>
  <w:abstractNum w:abstractNumId="253">
    <w:nsid w:val="44E2ED6C"/>
    <w:multiLevelType w:val="hybridMultilevel"/>
    <w:lvl w:ilvl="0">
      <w:lvlJc w:val="left"/>
      <w:lvlText w:val="(%1)"/>
      <w:numFmt w:val="lowerLetter"/>
      <w:start w:val="1"/>
    </w:lvl>
  </w:abstractNum>
  <w:abstractNum w:abstractNumId="254">
    <w:nsid w:val="2219B33"/>
    <w:multiLevelType w:val="hybridMultilevel"/>
    <w:lvl w:ilvl="0">
      <w:lvlJc w:val="left"/>
      <w:lvlText w:val="(%1)"/>
      <w:numFmt w:val="lowerRoman"/>
      <w:start w:val="3"/>
    </w:lvl>
  </w:abstractNum>
  <w:abstractNum w:abstractNumId="255">
    <w:nsid w:val="773BFBDD"/>
    <w:multiLevelType w:val="hybridMultilevel"/>
    <w:lvl w:ilvl="0">
      <w:lvlJc w:val="left"/>
      <w:lvlText w:val="["/>
      <w:numFmt w:val="bullet"/>
      <w:start w:val="1"/>
    </w:lvl>
  </w:abstractNum>
  <w:abstractNum w:abstractNumId="256">
    <w:nsid w:val="2C7C62C2"/>
    <w:multiLevelType w:val="hybridMultilevel"/>
    <w:lvl w:ilvl="0">
      <w:lvlJc w:val="left"/>
      <w:lvlText w:val="["/>
      <w:numFmt w:val="bullet"/>
      <w:start w:val="1"/>
    </w:lvl>
  </w:abstractNum>
  <w:abstractNum w:abstractNumId="257">
    <w:nsid w:val="1A54D7BC"/>
    <w:multiLevelType w:val="hybridMultilevel"/>
    <w:lvl w:ilvl="0">
      <w:lvlJc w:val="left"/>
      <w:lvlText w:val="["/>
      <w:numFmt w:val="bullet"/>
      <w:start w:val="1"/>
    </w:lvl>
  </w:abstractNum>
  <w:abstractNum w:abstractNumId="258">
    <w:nsid w:val="42E57EF7"/>
    <w:multiLevelType w:val="hybridMultilevel"/>
    <w:lvl w:ilvl="0">
      <w:lvlJc w:val="left"/>
      <w:lvlText w:val="%1."/>
      <w:numFmt w:val="decimal"/>
      <w:start w:val="2"/>
    </w:lvl>
  </w:abstractNum>
  <w:abstractNum w:abstractNumId="259">
    <w:nsid w:val="33537CED"/>
    <w:multiLevelType w:val="hybridMultilevel"/>
    <w:lvl w:ilvl="0">
      <w:lvlJc w:val="left"/>
      <w:lvlText w:val="%1."/>
      <w:numFmt w:val="decimal"/>
      <w:start w:val="3"/>
    </w:lvl>
  </w:abstractNum>
  <w:abstractNum w:abstractNumId="260">
    <w:nsid w:val="27514ADE"/>
    <w:multiLevelType w:val="hybridMultilevel"/>
    <w:lvl w:ilvl="0">
      <w:lvlJc w:val="left"/>
      <w:lvlText w:val="%1."/>
      <w:numFmt w:val="decimal"/>
      <w:start w:val="1"/>
    </w:lvl>
    <w:lvl w:ilvl="1">
      <w:lvlJc w:val="left"/>
      <w:lvlText w:val="(%2)"/>
      <w:numFmt w:val="lowerLetter"/>
      <w:start w:val="1"/>
    </w:lvl>
  </w:abstractNum>
  <w:abstractNum w:abstractNumId="261">
    <w:nsid w:val="57071613"/>
    <w:multiLevelType w:val="hybridMultilevel"/>
    <w:lvl w:ilvl="0">
      <w:lvlJc w:val="left"/>
      <w:lvlText w:val="(%1)"/>
      <w:numFmt w:val="lowerRoman"/>
      <w:start w:val="1"/>
    </w:lvl>
  </w:abstractNum>
  <w:abstractNum w:abstractNumId="262">
    <w:nsid w:val="5293BFEF"/>
    <w:multiLevelType w:val="hybridMultilevel"/>
    <w:lvl w:ilvl="0">
      <w:lvlJc w:val="left"/>
      <w:lvlText w:val="(%1)"/>
      <w:numFmt w:val="decimal"/>
      <w:start w:val="1"/>
    </w:lvl>
  </w:abstractNum>
  <w:abstractNum w:abstractNumId="263">
    <w:nsid w:val="38BF53E5"/>
    <w:multiLevelType w:val="hybridMultilevel"/>
    <w:lvl w:ilvl="0">
      <w:lvlJc w:val="left"/>
      <w:lvlText w:val="(%1)"/>
      <w:numFmt w:val="lowerLetter"/>
      <w:start w:val="2"/>
    </w:lvl>
  </w:abstractNum>
  <w:abstractNum w:abstractNumId="264">
    <w:nsid w:val="226F5320"/>
    <w:multiLevelType w:val="hybridMultilevel"/>
    <w:lvl w:ilvl="0">
      <w:lvlJc w:val="left"/>
      <w:lvlText w:val="%1"/>
      <w:numFmt w:val="decimal"/>
      <w:start w:val="1"/>
    </w:lvl>
    <w:lvl w:ilvl="1">
      <w:lvlJc w:val="left"/>
      <w:lvlText w:val="(%2)"/>
      <w:numFmt w:val="lowerRoman"/>
      <w:start w:val="1"/>
    </w:lvl>
  </w:abstractNum>
  <w:abstractNum w:abstractNumId="265">
    <w:nsid w:val="5A0201C7"/>
    <w:multiLevelType w:val="hybridMultilevel"/>
    <w:lvl w:ilvl="0">
      <w:lvlJc w:val="left"/>
      <w:lvlText w:val="%1."/>
      <w:numFmt w:val="decimal"/>
      <w:start w:val="2"/>
    </w:lvl>
    <w:lvl w:ilvl="1">
      <w:lvlJc w:val="left"/>
      <w:lvlText w:val="%2"/>
      <w:numFmt w:val="lowerRoman"/>
      <w:start w:val="1"/>
    </w:lvl>
  </w:abstractNum>
  <w:abstractNum w:abstractNumId="266">
    <w:nsid w:val="2A9C34E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67">
    <w:nsid w:val="1B7585AB"/>
    <w:multiLevelType w:val="hybridMultilevel"/>
    <w:lvl w:ilvl="0">
      <w:lvlJc w:val="left"/>
      <w:lvlText w:val="%1."/>
      <w:numFmt w:val="decimal"/>
      <w:start w:val="8"/>
    </w:lvl>
    <w:lvl w:ilvl="1">
      <w:lvlJc w:val="left"/>
      <w:lvlText w:val="(%2)"/>
      <w:numFmt w:val="lowerLetter"/>
      <w:start w:val="1"/>
    </w:lvl>
  </w:abstractNum>
  <w:abstractNum w:abstractNumId="268">
    <w:nsid w:val="612DBDDD"/>
    <w:multiLevelType w:val="hybridMultilevel"/>
    <w:lvl w:ilvl="0">
      <w:lvlJc w:val="left"/>
      <w:lvlText w:val="%1"/>
      <w:numFmt w:val="lowerRoman"/>
      <w:start w:val="1"/>
    </w:lvl>
    <w:lvl w:ilvl="1">
      <w:lvlJc w:val="left"/>
      <w:lvlText w:val="%2."/>
      <w:numFmt w:val="decimal"/>
      <w:start w:val="10"/>
    </w:lvl>
    <w:lvl w:ilvl="2">
      <w:lvlJc w:val="left"/>
      <w:lvlText w:val="(%3)"/>
      <w:numFmt w:val="lowerLetter"/>
      <w:start w:val="1"/>
    </w:lvl>
  </w:abstractNum>
  <w:abstractNum w:abstractNumId="269">
    <w:nsid w:val="2109CDA4"/>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4"/>
    </w:lvl>
  </w:abstractNum>
  <w:abstractNum w:abstractNumId="270">
    <w:nsid w:val="577F5A4D"/>
    <w:multiLevelType w:val="hybridMultilevel"/>
    <w:lvl w:ilvl="0">
      <w:lvlJc w:val="left"/>
      <w:lvlText w:val="%1"/>
      <w:numFmt w:val="decimal"/>
      <w:start w:val="1"/>
    </w:lvl>
    <w:lvl w:ilvl="1">
      <w:lvlJc w:val="left"/>
      <w:lvlText w:val="(%2)"/>
      <w:numFmt w:val="lowerLetter"/>
      <w:start w:val="6"/>
    </w:lvl>
  </w:abstractNum>
  <w:abstractNum w:abstractNumId="271">
    <w:nsid w:val="2121A81"/>
    <w:multiLevelType w:val="hybridMultilevel"/>
    <w:lvl w:ilvl="0">
      <w:lvlJc w:val="left"/>
      <w:lvlText w:val="%1."/>
      <w:numFmt w:val="decimal"/>
      <w:start w:val="11"/>
    </w:lvl>
    <w:lvl w:ilvl="1">
      <w:lvlJc w:val="left"/>
      <w:lvlText w:val="(%2)"/>
      <w:numFmt w:val="lowerLetter"/>
      <w:start w:val="1"/>
    </w:lvl>
  </w:abstractNum>
  <w:abstractNum w:abstractNumId="272">
    <w:nsid w:val="6C2CFC88"/>
    <w:multiLevelType w:val="hybridMultilevel"/>
    <w:lvl w:ilvl="0">
      <w:lvlJc w:val="left"/>
      <w:lvlText w:val="(%1)"/>
      <w:numFmt w:val="lowerLetter"/>
      <w:start w:val="9"/>
    </w:lvl>
    <w:lvl w:ilvl="1">
      <w:lvlJc w:val="left"/>
      <w:lvlText w:val="%2."/>
      <w:numFmt w:val="decimal"/>
      <w:start w:val="12"/>
    </w:lvl>
    <w:lvl w:ilvl="2">
      <w:lvlJc w:val="left"/>
      <w:lvlText w:val="(%3)"/>
      <w:numFmt w:val="lowerLetter"/>
      <w:start w:val="1"/>
    </w:lvl>
  </w:abstractNum>
  <w:abstractNum w:abstractNumId="273">
    <w:nsid w:val="6D1BCF1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274">
    <w:nsid w:val="4CE5CA53"/>
    <w:multiLevelType w:val="hybridMultilevel"/>
    <w:lvl w:ilvl="0">
      <w:lvlJc w:val="left"/>
      <w:lvlText w:val="%1"/>
      <w:numFmt w:val="lowerLetter"/>
      <w:start w:val="1"/>
    </w:lvl>
    <w:lvl w:ilvl="1">
      <w:lvlJc w:val="left"/>
      <w:lvlText w:val="(%2)"/>
      <w:numFmt w:val="lowerLetter"/>
      <w:start w:val="2"/>
    </w:lvl>
  </w:abstractNum>
  <w:abstractNum w:abstractNumId="275">
    <w:nsid w:val="29262D1A"/>
    <w:multiLevelType w:val="hybridMultilevel"/>
    <w:lvl w:ilvl="0">
      <w:lvlJc w:val="left"/>
      <w:lvlText w:val="(%1)"/>
      <w:numFmt w:val="lowerLetter"/>
      <w:start w:val="35"/>
    </w:lvl>
    <w:lvl w:ilvl="1">
      <w:lvlJc w:val="left"/>
      <w:lvlText w:val="(%2)"/>
      <w:numFmt w:val="lowerLetter"/>
      <w:start w:val="4"/>
    </w:lvl>
  </w:abstractNum>
  <w:abstractNum w:abstractNumId="276">
    <w:nsid w:val="557FB7EE"/>
    <w:multiLevelType w:val="hybridMultilevel"/>
    <w:lvl w:ilvl="0">
      <w:lvlJc w:val="left"/>
      <w:lvlText w:val="%1"/>
      <w:numFmt w:val="decimal"/>
      <w:start w:val="1"/>
    </w:lvl>
    <w:lvl w:ilvl="1">
      <w:lvlJc w:val="left"/>
      <w:lvlText w:val="(%2)"/>
      <w:numFmt w:val="lowerLetter"/>
      <w:start w:val="5"/>
    </w:lvl>
  </w:abstractNum>
  <w:abstractNum w:abstractNumId="277">
    <w:nsid w:val="436F2BEB"/>
    <w:multiLevelType w:val="hybridMultilevel"/>
    <w:lvl w:ilvl="0">
      <w:lvlJc w:val="left"/>
      <w:lvlText w:val="%1."/>
      <w:numFmt w:val="decimal"/>
      <w:start w:val="14"/>
    </w:lvl>
    <w:lvl w:ilvl="1">
      <w:lvlJc w:val="left"/>
      <w:lvlText w:val="%2"/>
      <w:numFmt w:val="lowerLetter"/>
      <w:start w:val="1"/>
    </w:lvl>
  </w:abstractNum>
  <w:abstractNum w:abstractNumId="278">
    <w:nsid w:val="6C8B4466"/>
    <w:multiLevelType w:val="hybridMultilevel"/>
    <w:lvl w:ilvl="0">
      <w:lvlJc w:val="left"/>
      <w:lvlText w:val="%1."/>
      <w:numFmt w:val="decimal"/>
      <w:start w:val="17"/>
    </w:lvl>
  </w:abstractNum>
  <w:abstractNum w:abstractNumId="279">
    <w:nsid w:val="2006E424"/>
    <w:multiLevelType w:val="hybridMultilevel"/>
    <w:lvl w:ilvl="0">
      <w:lvlJc w:val="left"/>
      <w:lvlText w:val="%1."/>
      <w:numFmt w:val="decimal"/>
      <w:start w:val="21"/>
    </w:lvl>
  </w:abstractNum>
  <w:abstractNum w:abstractNumId="280">
    <w:nsid w:val="20CC134C"/>
    <w:multiLevelType w:val="hybridMultilevel"/>
    <w:lvl w:ilvl="0">
      <w:lvlJc w:val="left"/>
      <w:lvlText w:val="%1."/>
      <w:numFmt w:val="decimal"/>
      <w:start w:val="26"/>
    </w:lvl>
    <w:lvl w:ilvl="1">
      <w:lvlJc w:val="left"/>
      <w:lvlText w:val="(%2)"/>
      <w:numFmt w:val="lowerLetter"/>
      <w:start w:val="1"/>
    </w:lvl>
  </w:abstractNum>
  <w:abstractNum w:abstractNumId="281">
    <w:nsid w:val="95FC93B"/>
    <w:multiLevelType w:val="hybridMultilevel"/>
    <w:lvl w:ilvl="0">
      <w:lvlJc w:val="left"/>
      <w:lvlText w:val="%1"/>
      <w:numFmt w:val="lowerRoman"/>
      <w:start w:val="1"/>
    </w:lvl>
    <w:lvl w:ilvl="1">
      <w:lvlJc w:val="left"/>
      <w:lvlText w:val="%2."/>
      <w:numFmt w:val="decimal"/>
      <w:start w:val="28"/>
    </w:lvl>
  </w:abstractNum>
  <w:abstractNum w:abstractNumId="282">
    <w:nsid w:val="41D74679"/>
    <w:multiLevelType w:val="hybridMultilevel"/>
    <w:lvl w:ilvl="0">
      <w:lvlJc w:val="left"/>
      <w:lvlText w:val="(%1)"/>
      <w:numFmt w:val="lowerRoman"/>
      <w:start w:val="5"/>
    </w:lvl>
    <w:lvl w:ilvl="1">
      <w:lvlJc w:val="left"/>
      <w:lvlText w:val="%2"/>
      <w:numFmt w:val="decimal"/>
      <w:start w:val="1"/>
    </w:lvl>
  </w:abstractNum>
  <w:abstractNum w:abstractNumId="283">
    <w:nsid w:val="71E5621E"/>
    <w:multiLevelType w:val="hybridMultilevel"/>
    <w:lvl w:ilvl="0">
      <w:lvlJc w:val="left"/>
      <w:lvlText w:val="%1."/>
      <w:numFmt w:val="decimal"/>
      <w:start w:val="29"/>
    </w:lvl>
  </w:abstractNum>
  <w:abstractNum w:abstractNumId="284">
    <w:nsid w:val="4E42B6A8"/>
    <w:multiLevelType w:val="hybridMultilevel"/>
    <w:lvl w:ilvl="0">
      <w:lvlJc w:val="left"/>
      <w:lvlText w:val="%1."/>
      <w:numFmt w:val="decimal"/>
      <w:start w:val="1"/>
    </w:lvl>
  </w:abstractNum>
  <w:abstractNum w:abstractNumId="285">
    <w:nsid w:val="43F8E1AC"/>
    <w:multiLevelType w:val="hybridMultilevel"/>
    <w:lvl w:ilvl="0">
      <w:lvlJc w:val="left"/>
      <w:lvlText w:val="***"/>
      <w:numFmt w:val="bullet"/>
      <w:start w:val="1"/>
    </w:lvl>
  </w:abstractNum>
  <w:abstractNum w:abstractNumId="286">
    <w:nsid w:val="69215DFB"/>
    <w:multiLevelType w:val="hybridMultilevel"/>
    <w:lvl w:ilvl="0">
      <w:lvlJc w:val="left"/>
      <w:lvlText w:val="(%1)"/>
      <w:numFmt w:val="upperLetter"/>
      <w:start w:val="1"/>
    </w:lvl>
  </w:abstractNum>
  <w:abstractNum w:abstractNumId="287">
    <w:nsid w:val="7ABF196A"/>
    <w:multiLevelType w:val="hybridMultilevel"/>
    <w:lvl w:ilvl="0">
      <w:lvlJc w:val="left"/>
      <w:lvlText w:val="(%1)"/>
      <w:numFmt w:val="decimal"/>
      <w:start w:val="1"/>
    </w:lvl>
  </w:abstractNum>
  <w:abstractNum w:abstractNumId="288">
    <w:nsid w:val="5E4DB968"/>
    <w:multiLevelType w:val="hybridMultilevel"/>
    <w:lvl w:ilvl="0">
      <w:lvlJc w:val="left"/>
      <w:lvlText w:val="***"/>
      <w:numFmt w:val="bullet"/>
      <w:start w:val="1"/>
    </w:lvl>
    <w:lvl w:ilvl="1">
      <w:lvlJc w:val="left"/>
      <w:lvlText w:val="(%2)"/>
      <w:numFmt w:val="lowerRoman"/>
      <w:start w:val="2"/>
    </w:lvl>
  </w:abstractNum>
  <w:abstractNum w:abstractNumId="289">
    <w:nsid w:val="2C06DCF3"/>
    <w:multiLevelType w:val="hybridMultilevel"/>
    <w:lvl w:ilvl="0">
      <w:lvlJc w:val="left"/>
      <w:lvlText w:val="(%1)"/>
      <w:numFmt w:val="lowerRoman"/>
      <w:start w:val="2"/>
    </w:lvl>
  </w:abstractNum>
  <w:abstractNum w:abstractNumId="290">
    <w:nsid w:val="2E129658"/>
    <w:multiLevelType w:val="hybridMultilevel"/>
    <w:lvl w:ilvl="0">
      <w:lvlJc w:val="left"/>
      <w:lvlText w:val="(%1)"/>
      <w:numFmt w:val="decimal"/>
      <w:start w:val="4"/>
    </w:lvl>
  </w:abstractNum>
  <w:abstractNum w:abstractNumId="291">
    <w:nsid w:val="59F0446"/>
    <w:multiLevelType w:val="hybridMultilevel"/>
    <w:lvl w:ilvl="0">
      <w:lvlJc w:val="left"/>
      <w:lvlText w:val="***"/>
      <w:numFmt w:val="bullet"/>
      <w:start w:val="1"/>
    </w:lvl>
  </w:abstractNum>
  <w:abstractNum w:abstractNumId="292">
    <w:nsid w:val="30DF306"/>
    <w:multiLevelType w:val="hybridMultilevel"/>
    <w:lvl w:ilvl="0">
      <w:lvlJc w:val="left"/>
      <w:lvlText w:val="***"/>
      <w:numFmt w:val="bullet"/>
      <w:start w:val="1"/>
    </w:lvl>
  </w:abstractNum>
  <w:abstractNum w:abstractNumId="293">
    <w:nsid w:val="A65647"/>
    <w:multiLevelType w:val="hybridMultilevel"/>
    <w:lvl w:ilvl="0">
      <w:lvlJc w:val="left"/>
      <w:lvlText w:val="%1."/>
      <w:numFmt w:val="decimal"/>
      <w:start w:val="3"/>
    </w:lvl>
  </w:abstractNum>
  <w:abstractNum w:abstractNumId="294">
    <w:nsid w:val="3E5E582B"/>
    <w:multiLevelType w:val="hybridMultilevel"/>
    <w:lvl w:ilvl="0">
      <w:lvlJc w:val="left"/>
      <w:lvlText w:val="***"/>
      <w:numFmt w:val="bullet"/>
      <w:start w:val="1"/>
    </w:lvl>
  </w:abstractNum>
  <w:abstractNum w:abstractNumId="295">
    <w:nsid w:val="257D4626"/>
    <w:multiLevelType w:val="hybridMultilevel"/>
    <w:lvl w:ilvl="0">
      <w:lvlJc w:val="left"/>
      <w:lvlText w:val="(%1)"/>
      <w:numFmt w:val="upperLetter"/>
      <w:start w:val="2"/>
    </w:lvl>
  </w:abstractNum>
  <w:abstractNum w:abstractNumId="296">
    <w:nsid w:val="5AA8580E"/>
    <w:multiLevelType w:val="hybridMultilevel"/>
    <w:lvl w:ilvl="0">
      <w:lvlJc w:val="left"/>
      <w:lvlText w:val="%1)"/>
      <w:numFmt w:val="upperLetter"/>
      <w:start w:val="9"/>
    </w:lvl>
  </w:abstractNum>
  <w:abstractNum w:abstractNumId="297">
    <w:nsid w:val="68FA8D0D"/>
    <w:multiLevelType w:val="hybridMultilevel"/>
    <w:lvl w:ilvl="0">
      <w:lvlJc w:val="left"/>
      <w:lvlText w:val="%1)"/>
      <w:numFmt w:val="upperLetter"/>
      <w:start w:val="35"/>
    </w:lvl>
  </w:abstractNum>
  <w:abstractNum w:abstractNumId="298">
    <w:nsid w:val="40F2CBD2"/>
    <w:multiLevelType w:val="hybridMultilevel"/>
    <w:lvl w:ilvl="0">
      <w:lvlJc w:val="left"/>
      <w:lvlText w:val="%1"/>
      <w:numFmt w:val="decimal"/>
      <w:start w:val="1"/>
    </w:lvl>
    <w:lvl w:ilvl="1">
      <w:lvlJc w:val="left"/>
      <w:lvlText w:val="(%2)"/>
      <w:numFmt w:val="upperLetter"/>
      <w:start w:val="1"/>
    </w:lvl>
  </w:abstractNum>
  <w:abstractNum w:abstractNumId="299">
    <w:nsid w:val="3BD615EB"/>
    <w:multiLevelType w:val="hybridMultilevel"/>
    <w:lvl w:ilvl="0">
      <w:lvlJc w:val="left"/>
      <w:lvlText w:val="%1."/>
      <w:numFmt w:val="decimal"/>
      <w:start w:val="4"/>
    </w:lvl>
    <w:lvl w:ilvl="1">
      <w:lvlJc w:val="left"/>
      <w:lvlText w:val="%2"/>
      <w:numFmt w:val="upperLetter"/>
      <w:start w:val="1"/>
    </w:lvl>
  </w:abstractNum>
  <w:abstractNum w:abstractNumId="300">
    <w:nsid w:val="A045AB2"/>
    <w:multiLevelType w:val="hybridMultilevel"/>
    <w:lvl w:ilvl="0">
      <w:lvlJc w:val="left"/>
      <w:lvlText w:val="***"/>
      <w:numFmt w:val="bullet"/>
      <w:start w:val="1"/>
    </w:lvl>
  </w:abstractNum>
  <w:abstractNum w:abstractNumId="301">
    <w:nsid w:val="1872261F"/>
    <w:multiLevelType w:val="hybridMultilevel"/>
    <w:lvl w:ilvl="0">
      <w:lvlJc w:val="left"/>
      <w:lvlText w:val="(%1)"/>
      <w:numFmt w:val="upperLetter"/>
      <w:start w:val="1"/>
    </w:lvl>
  </w:abstractNum>
  <w:abstractNum w:abstractNumId="302">
    <w:nsid w:val="3DE8306C"/>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abstractNum>
  <w:abstractNum w:abstractNumId="303">
    <w:nsid w:val="7631573A"/>
    <w:multiLevelType w:val="hybridMultilevel"/>
    <w:lvl w:ilvl="0">
      <w:lvlJc w:val="left"/>
      <w:lvlText w:val="(%1)"/>
      <w:numFmt w:val="upperLetter"/>
      <w:start w:val="2"/>
    </w:lvl>
  </w:abstractNum>
  <w:abstractNum w:abstractNumId="304">
    <w:nsid w:val="58DF53B"/>
    <w:multiLevelType w:val="hybridMultilevel"/>
    <w:lvl w:ilvl="0">
      <w:lvlJc w:val="left"/>
      <w:lvlText w:val="(%1)"/>
      <w:numFmt w:val="upperLetter"/>
      <w:start w:val="1"/>
    </w:lvl>
  </w:abstractNum>
  <w:abstractNum w:abstractNumId="305">
    <w:nsid w:val="ACDFAC0"/>
    <w:multiLevelType w:val="hybridMultilevel"/>
    <w:lvl w:ilvl="0">
      <w:lvlJc w:val="left"/>
      <w:lvlText w:val="%1"/>
      <w:numFmt w:val="decimal"/>
      <w:start w:val="1"/>
    </w:lvl>
    <w:lvl w:ilvl="1">
      <w:lvlJc w:val="left"/>
      <w:lvlText w:val="(%2)"/>
      <w:numFmt w:val="upperLetter"/>
      <w:start w:val="1"/>
    </w:lvl>
  </w:abstractNum>
  <w:abstractNum w:abstractNumId="306">
    <w:nsid w:val="1F578454"/>
    <w:multiLevelType w:val="hybridMultilevel"/>
    <w:lvl w:ilvl="0">
      <w:lvlJc w:val="left"/>
      <w:lvlText w:val="%1."/>
      <w:numFmt w:val="decimal"/>
      <w:start w:val="5"/>
    </w:lvl>
    <w:lvl w:ilvl="1">
      <w:lvlJc w:val="left"/>
      <w:lvlText w:val="%2"/>
      <w:numFmt w:val="upperLetter"/>
      <w:start w:val="1"/>
    </w:lvl>
  </w:abstractNum>
  <w:abstractNum w:abstractNumId="307">
    <w:nsid w:val="5B0DAD2A"/>
    <w:multiLevelType w:val="hybridMultilevel"/>
    <w:lvl w:ilvl="0">
      <w:lvlJc w:val="left"/>
      <w:lvlText w:val="***"/>
      <w:numFmt w:val="bullet"/>
      <w:start w:val="1"/>
    </w:lvl>
  </w:abstractNum>
  <w:abstractNum w:abstractNumId="308">
    <w:nsid w:val="4E3D26AB"/>
    <w:multiLevelType w:val="hybridMultilevel"/>
    <w:lvl w:ilvl="0">
      <w:lvlJc w:val="left"/>
      <w:lvlText w:val="%1."/>
      <w:numFmt w:val="decimal"/>
      <w:start w:val="7"/>
    </w:lvl>
  </w:abstractNum>
  <w:abstractNum w:abstractNumId="309">
    <w:nsid w:val="BE2C8BA"/>
    <w:multiLevelType w:val="hybridMultilevel"/>
    <w:lvl w:ilvl="0">
      <w:lvlJc w:val="left"/>
      <w:lvlText w:val="[***]"/>
      <w:numFmt w:val="bullet"/>
      <w:start w:val="1"/>
    </w:lvl>
  </w:abstractNum>
  <w:abstractNum w:abstractNumId="310">
    <w:nsid w:val="7B14914E"/>
    <w:multiLevelType w:val="hybridMultilevel"/>
    <w:lvl w:ilvl="0">
      <w:lvlJc w:val="left"/>
      <w:lvlText w:val="***"/>
      <w:numFmt w:val="bullet"/>
      <w:start w:val="1"/>
    </w:lvl>
  </w:abstractNum>
  <w:abstractNum w:abstractNumId="311">
    <w:nsid w:val="6F0939F8"/>
    <w:multiLevelType w:val="hybridMultilevel"/>
    <w:lvl w:ilvl="0">
      <w:lvlJc w:val="left"/>
      <w:lvlText w:val="***"/>
      <w:numFmt w:val="bullet"/>
      <w:start w:val="1"/>
    </w:lvl>
  </w:abstractNum>
  <w:abstractNum w:abstractNumId="312">
    <w:nsid w:val="154291F6"/>
    <w:multiLevelType w:val="hybridMultilevel"/>
    <w:lvl w:ilvl="0">
      <w:lvlJc w:val="left"/>
      <w:lvlText w:val="(%1)"/>
      <w:numFmt w:val="lowerRoman"/>
      <w:start w:val="3"/>
    </w:lvl>
  </w:abstractNum>
  <w:abstractNum w:abstractNumId="313">
    <w:nsid w:val="3CEBD7C7"/>
    <w:multiLevelType w:val="hybridMultilevel"/>
    <w:lvl w:ilvl="0">
      <w:lvlJc w:val="left"/>
      <w:lvlText w:val="(%1)"/>
      <w:numFmt w:val="lowerLetter"/>
      <w:start w:val="2"/>
    </w:lvl>
  </w:abstractNum>
  <w:abstractNum w:abstractNumId="314">
    <w:nsid w:val="60EE9C16"/>
    <w:multiLevelType w:val="hybridMultilevel"/>
    <w:lvl w:ilvl="0">
      <w:lvlJc w:val="left"/>
      <w:lvlText w:val="***"/>
      <w:numFmt w:val="bullet"/>
      <w:start w:val="1"/>
    </w:lvl>
  </w:abstractNum>
  <w:abstractNum w:abstractNumId="315">
    <w:nsid w:val="6385489E"/>
    <w:multiLevelType w:val="hybridMultilevel"/>
    <w:lvl w:ilvl="0">
      <w:lvlJc w:val="left"/>
      <w:lvlText w:val="(%1)"/>
      <w:numFmt w:val="upperLetter"/>
      <w:start w:val="1"/>
    </w:lvl>
  </w:abstractNum>
  <w:abstractNum w:abstractNumId="316">
    <w:nsid w:val="E4B973"/>
    <w:multiLevelType w:val="hybridMultilevel"/>
    <w:lvl w:ilvl="0">
      <w:lvlJc w:val="left"/>
      <w:lvlText w:val="%1."/>
      <w:numFmt w:val="decimal"/>
      <w:start w:val="7"/>
    </w:lvl>
    <w:lvl w:ilvl="1">
      <w:lvlJc w:val="left"/>
      <w:lvlText w:val="[***]"/>
      <w:numFmt w:val="bullet"/>
      <w:start w:val="1"/>
    </w:lvl>
  </w:abstractNum>
  <w:abstractNum w:abstractNumId="317">
    <w:nsid w:val="4A0FFA11"/>
    <w:multiLevelType w:val="hybridMultilevel"/>
    <w:lvl w:ilvl="0">
      <w:lvlJc w:val="left"/>
      <w:lvlText w:val="***"/>
      <w:numFmt w:val="bullet"/>
      <w:start w:val="1"/>
    </w:lvl>
  </w:abstractNum>
  <w:abstractNum w:abstractNumId="318">
    <w:nsid w:val="5E446208"/>
    <w:multiLevelType w:val="hybridMultilevel"/>
    <w:lvl w:ilvl="0">
      <w:lvlJc w:val="left"/>
      <w:lvlText w:val="%1."/>
      <w:numFmt w:val="decimal"/>
      <w:start w:val="9"/>
    </w:lvl>
    <w:lvl w:ilvl="1">
      <w:lvlJc w:val="left"/>
      <w:lvlText w:val="(%2)"/>
      <w:numFmt w:val="upperLetter"/>
      <w:start w:val="1"/>
    </w:lvl>
  </w:abstractNum>
  <w:abstractNum w:abstractNumId="319">
    <w:nsid w:val="5F3272DB"/>
    <w:multiLevelType w:val="hybridMultilevel"/>
    <w:lvl w:ilvl="0">
      <w:lvlJc w:val="left"/>
      <w:lvlText w:val="***"/>
      <w:numFmt w:val="bullet"/>
      <w:start w:val="1"/>
    </w:lvl>
  </w:abstractNum>
  <w:abstractNum w:abstractNumId="320">
    <w:nsid w:val="7616D704"/>
    <w:multiLevelType w:val="hybridMultilevel"/>
    <w:lvl w:ilvl="0">
      <w:lvlJc w:val="left"/>
      <w:lvlText w:val="%1"/>
      <w:numFmt w:val="decimal"/>
      <w:start w:val="1"/>
    </w:lvl>
    <w:lvl w:ilvl="1">
      <w:lvlJc w:val="left"/>
      <w:lvlText w:val="(%2)"/>
      <w:numFmt w:val="upperLetter"/>
      <w:start w:val="1"/>
    </w:lvl>
  </w:abstractNum>
  <w:abstractNum w:abstractNumId="321">
    <w:nsid w:val="C56F860"/>
    <w:multiLevelType w:val="hybridMultilevel"/>
    <w:lvl w:ilvl="0">
      <w:lvlJc w:val="left"/>
      <w:lvlText w:val="%1."/>
      <w:numFmt w:val="decimal"/>
      <w:start w:val="10"/>
    </w:lvl>
    <w:lvl w:ilvl="1">
      <w:lvlJc w:val="left"/>
      <w:lvlText w:val="(%2)"/>
      <w:numFmt w:val="upperLetter"/>
      <w:start w:val="2"/>
    </w:lvl>
  </w:abstractNum>
  <w:abstractNum w:abstractNumId="322">
    <w:nsid w:val="64D17722"/>
    <w:multiLevelType w:val="hybridMultilevel"/>
    <w:lvl w:ilvl="0">
      <w:lvlJc w:val="left"/>
      <w:lvlText w:val="***"/>
      <w:numFmt w:val="bullet"/>
      <w:start w:val="1"/>
    </w:lvl>
  </w:abstractNum>
  <w:abstractNum w:abstractNumId="323">
    <w:nsid w:val="7924CA0A"/>
    <w:multiLevelType w:val="hybridMultilevel"/>
    <w:lvl w:ilvl="0">
      <w:lvlJc w:val="left"/>
      <w:lvlText w:val="(%1)"/>
      <w:numFmt w:val="decimal"/>
      <w:start w:val="3"/>
    </w:lvl>
  </w:abstractNum>
  <w:abstractNum w:abstractNumId="324">
    <w:nsid w:val="CFD4EA7"/>
    <w:multiLevelType w:val="hybridMultilevel"/>
    <w:lvl w:ilvl="0">
      <w:lvlJc w:val="left"/>
      <w:lvlText w:val="%1."/>
      <w:numFmt w:val="decimal"/>
      <w:start w:val="11"/>
    </w:lvl>
  </w:abstractNum>
  <w:abstractNum w:abstractNumId="325">
    <w:nsid w:val="232FCF4D"/>
    <w:multiLevelType w:val="hybridMultilevel"/>
    <w:lvl w:ilvl="0">
      <w:lvlJc w:val="left"/>
      <w:lvlText w:val="***"/>
      <w:numFmt w:val="bullet"/>
      <w:start w:val="1"/>
    </w:lvl>
  </w:abstractNum>
  <w:abstractNum w:abstractNumId="326">
    <w:nsid w:val="1EA21031"/>
    <w:multiLevelType w:val="hybridMultilevel"/>
    <w:lvl w:ilvl="0">
      <w:lvlJc w:val="left"/>
      <w:lvlText w:val="%1."/>
      <w:numFmt w:val="decimal"/>
      <w:start w:val="12"/>
    </w:lvl>
  </w:abstractNum>
  <w:abstractNum w:abstractNumId="327">
    <w:nsid w:val="67A5A6B5"/>
    <w:multiLevelType w:val="hybridMultilevel"/>
    <w:lvl w:ilvl="0">
      <w:lvlJc w:val="left"/>
      <w:lvlText w:val="***"/>
      <w:numFmt w:val="bullet"/>
      <w:start w:val="1"/>
    </w:lvl>
  </w:abstractNum>
  <w:abstractNum w:abstractNumId="328">
    <w:nsid w:val="C2A5C5B"/>
    <w:multiLevelType w:val="hybridMultilevel"/>
    <w:lvl w:ilvl="0">
      <w:lvlJc w:val="left"/>
      <w:lvlText w:val="(%1)"/>
      <w:numFmt w:val="upperLetter"/>
      <w:start w:val="1"/>
    </w:lvl>
  </w:abstractNum>
  <w:abstractNum w:abstractNumId="329">
    <w:nsid w:val="5F94DC03"/>
    <w:multiLevelType w:val="hybridMultilevel"/>
    <w:lvl w:ilvl="0">
      <w:lvlJc w:val="left"/>
      <w:lvlText w:val="(%1)"/>
      <w:numFmt w:val="upperLetter"/>
      <w:start w:val="1"/>
    </w:lvl>
  </w:abstractNum>
  <w:abstractNum w:abstractNumId="330">
    <w:nsid w:val="237BBCA0"/>
    <w:multiLevelType w:val="hybridMultilevel"/>
    <w:lvl w:ilvl="0">
      <w:lvlJc w:val="left"/>
      <w:lvlText w:val="***"/>
      <w:numFmt w:val="bullet"/>
      <w:start w:val="1"/>
    </w:lvl>
    <w:lvl w:ilvl="1">
      <w:lvlJc w:val="left"/>
      <w:lvlText w:val="(%2)"/>
      <w:numFmt w:val="upperLetter"/>
      <w:start w:val="1"/>
    </w:lvl>
  </w:abstractNum>
  <w:abstractNum w:abstractNumId="331">
    <w:nsid w:val="162EB70D"/>
    <w:multiLevelType w:val="hybridMultilevel"/>
    <w:lvl w:ilvl="0">
      <w:lvlJc w:val="left"/>
      <w:lvlText w:val="(%1)"/>
      <w:numFmt w:val="upperLetter"/>
      <w:start w:val="2"/>
    </w:lvl>
  </w:abstractNum>
  <w:abstractNum w:abstractNumId="332">
    <w:nsid w:val="78070222"/>
    <w:multiLevelType w:val="hybridMultilevel"/>
    <w:lvl w:ilvl="0">
      <w:lvlJc w:val="left"/>
      <w:lvlText w:val="%1."/>
      <w:numFmt w:val="decimal"/>
      <w:start w:val="15"/>
    </w:lvl>
    <w:lvl w:ilvl="1">
      <w:lvlJc w:val="left"/>
      <w:lvlText w:val="(%2)"/>
      <w:numFmt w:val="upperLetter"/>
      <w:start w:val="1"/>
    </w:lvl>
    <w:lvl w:ilvl="2">
      <w:lvlJc w:val="left"/>
      <w:lvlText w:val="(%3)"/>
      <w:numFmt w:val="decimal"/>
      <w:start w:val="1"/>
    </w:lvl>
  </w:abstractNum>
  <w:abstractNum w:abstractNumId="333">
    <w:nsid w:val="6163ED0D"/>
    <w:multiLevelType w:val="hybridMultilevel"/>
    <w:lvl w:ilvl="0">
      <w:lvlJc w:val="left"/>
      <w:lvlText w:val="***"/>
      <w:numFmt w:val="bullet"/>
      <w:start w:val="1"/>
    </w:lvl>
  </w:abstractNum>
  <w:abstractNum w:abstractNumId="334">
    <w:nsid w:val="C600E47"/>
    <w:multiLevelType w:val="hybridMultilevel"/>
    <w:lvl w:ilvl="0">
      <w:lvlJc w:val="left"/>
      <w:lvlText w:val="%1"/>
      <w:numFmt w:val="decimal"/>
      <w:start w:val="1"/>
    </w:lvl>
    <w:lvl w:ilvl="1">
      <w:lvlJc w:val="left"/>
      <w:lvlText w:val="(%2)"/>
      <w:numFmt w:val="upperLetter"/>
      <w:start w:val="1"/>
    </w:lvl>
  </w:abstractNum>
  <w:abstractNum w:abstractNumId="335">
    <w:nsid w:val="7D94F75D"/>
    <w:multiLevelType w:val="hybridMultilevel"/>
    <w:lvl w:ilvl="0">
      <w:lvlJc w:val="left"/>
      <w:lvlText w:val="%1."/>
      <w:numFmt w:val="decimal"/>
      <w:start w:val="16"/>
    </w:lvl>
    <w:lvl w:ilvl="1">
      <w:lvlJc w:val="left"/>
      <w:lvlText w:val="(%2)"/>
      <w:numFmt w:val="upperLetter"/>
      <w:start w:val="1"/>
    </w:lvl>
  </w:abstractNum>
  <w:abstractNum w:abstractNumId="336">
    <w:nsid w:val="6C31E7CD"/>
    <w:multiLevelType w:val="hybridMultilevel"/>
    <w:lvl w:ilvl="0">
      <w:lvlJc w:val="left"/>
      <w:lvlText w:val="***"/>
      <w:numFmt w:val="bullet"/>
      <w:start w:val="1"/>
    </w:lvl>
    <w:lvl w:ilvl="1">
      <w:lvlJc w:val="left"/>
      <w:lvlText w:val="(%2)"/>
      <w:numFmt w:val="upperLetter"/>
      <w:start w:val="1"/>
    </w:lvl>
  </w:abstractNum>
  <w:abstractNum w:abstractNumId="337">
    <w:nsid w:val="2BB7929B"/>
    <w:multiLevelType w:val="hybridMultilevel"/>
    <w:lvl w:ilvl="0">
      <w:lvlJc w:val="left"/>
      <w:lvlText w:val="%1."/>
      <w:numFmt w:val="decimal"/>
      <w:start w:val="17"/>
    </w:lvl>
  </w:abstractNum>
  <w:abstractNum w:abstractNumId="338">
    <w:nsid w:val="58A2A487"/>
    <w:multiLevelType w:val="hybridMultilevel"/>
    <w:lvl w:ilvl="0">
      <w:lvlJc w:val="left"/>
      <w:lvlText w:val="***"/>
      <w:numFmt w:val="bullet"/>
      <w:start w:val="1"/>
    </w:lvl>
  </w:abstractNum>
  <w:abstractNum w:abstractNumId="339">
    <w:nsid w:val="3A6F0E78"/>
    <w:multiLevelType w:val="hybridMultilevel"/>
    <w:lvl w:ilvl="0">
      <w:lvlJc w:val="left"/>
      <w:lvlText w:val="%1."/>
      <w:numFmt w:val="decimal"/>
      <w:start w:val="19"/>
    </w:lvl>
  </w:abstractNum>
  <w:abstractNum w:abstractNumId="340">
    <w:nsid w:val="379A5B56"/>
    <w:multiLevelType w:val="hybridMultilevel"/>
    <w:lvl w:ilvl="0">
      <w:lvlJc w:val="left"/>
      <w:lvlText w:val="***"/>
      <w:numFmt w:val="bullet"/>
      <w:start w:val="1"/>
    </w:lvl>
  </w:abstractNum>
  <w:abstractNum w:abstractNumId="341">
    <w:nsid w:val="53B735D5"/>
    <w:multiLevelType w:val="hybridMultilevel"/>
    <w:lvl w:ilvl="0">
      <w:lvlJc w:val="left"/>
      <w:lvlText w:val="***"/>
      <w:numFmt w:val="bullet"/>
      <w:start w:val="1"/>
    </w:lvl>
  </w:abstractNum>
  <w:abstractNum w:abstractNumId="342">
    <w:nsid w:val="29784870"/>
    <w:multiLevelType w:val="hybridMultilevel"/>
    <w:lvl w:ilvl="0">
      <w:lvlJc w:val="left"/>
      <w:lvlText w:val="***"/>
      <w:numFmt w:val="bullet"/>
      <w:start w:val="1"/>
    </w:lvl>
  </w:abstractNum>
  <w:abstractNum w:abstractNumId="343">
    <w:nsid w:val="4CDCED4C"/>
    <w:multiLevelType w:val="hybridMultilevel"/>
    <w:lvl w:ilvl="0">
      <w:lvlJc w:val="left"/>
      <w:lvlText w:val="***"/>
      <w:numFmt w:val="bullet"/>
      <w:start w:val="1"/>
    </w:lvl>
  </w:abstractNum>
  <w:abstractNum w:abstractNumId="344">
    <w:nsid w:val="10A30D9C"/>
    <w:multiLevelType w:val="hybridMultilevel"/>
    <w:lvl w:ilvl="0">
      <w:lvlJc w:val="left"/>
      <w:lvlText w:val="***"/>
      <w:numFmt w:val="bullet"/>
      <w:start w:val="1"/>
    </w:lvl>
  </w:abstractNum>
  <w:abstractNum w:abstractNumId="345">
    <w:nsid w:val="A66E486"/>
    <w:multiLevelType w:val="hybridMultilevel"/>
    <w:lvl w:ilvl="0">
      <w:lvlJc w:val="left"/>
      <w:lvlText w:val="%1."/>
      <w:numFmt w:val="decimal"/>
      <w:start w:val="1"/>
    </w:lvl>
  </w:abstractNum>
  <w:abstractNum w:abstractNumId="346">
    <w:nsid w:val="306235EA"/>
    <w:multiLevelType w:val="hybridMultilevel"/>
    <w:lvl w:ilvl="0">
      <w:lvlJc w:val="left"/>
      <w:lvlText w:val="***"/>
      <w:numFmt w:val="bullet"/>
      <w:start w:val="1"/>
    </w:lvl>
  </w:abstractNum>
  <w:abstractNum w:abstractNumId="347">
    <w:nsid w:val="1187C70F"/>
    <w:multiLevelType w:val="hybridMultilevel"/>
    <w:lvl w:ilvl="0">
      <w:lvlJc w:val="left"/>
      <w:lvlText w:val="%1."/>
      <w:numFmt w:val="decimal"/>
      <w:start w:val="4"/>
    </w:lvl>
  </w:abstractNum>
  <w:abstractNum w:abstractNumId="348">
    <w:nsid w:val="5476DE98"/>
    <w:multiLevelType w:val="hybridMultilevel"/>
    <w:lvl w:ilvl="0">
      <w:lvlJc w:val="left"/>
      <w:lvlText w:val="***"/>
      <w:numFmt w:val="bullet"/>
      <w:start w:val="1"/>
    </w:lvl>
  </w:abstractNum>
  <w:abstractNum w:abstractNumId="349">
    <w:nsid w:val="EA697F2"/>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abstractNum>
  <w:abstractNum w:abstractNumId="350">
    <w:nsid w:val="70BA39EB"/>
    <w:multiLevelType w:val="hybridMultilevel"/>
    <w:lvl w:ilvl="0">
      <w:lvlJc w:val="left"/>
      <w:lvlText w:val="***"/>
      <w:numFmt w:val="bullet"/>
      <w:start w:val="1"/>
    </w:lvl>
    <w:lvl w:ilvl="1">
      <w:lvlJc w:val="left"/>
      <w:lvlText w:val="%2"/>
      <w:numFmt w:val="upperLetter"/>
      <w:start w:val="1"/>
    </w:lvl>
    <w:lvl w:ilvl="2">
      <w:lvlJc w:val="left"/>
      <w:lvlText w:val="(%3)"/>
      <w:numFmt w:val="decimal"/>
      <w:start w:val="4"/>
    </w:lvl>
  </w:abstractNum>
  <w:abstractNum w:abstractNumId="351">
    <w:nsid w:val="4A8DB59C"/>
    <w:multiLevelType w:val="hybridMultilevel"/>
    <w:lvl w:ilvl="0">
      <w:lvlJc w:val="left"/>
      <w:lvlText w:val="***"/>
      <w:numFmt w:val="bullet"/>
      <w:start w:val="1"/>
    </w:lvl>
    <w:lvl w:ilvl="1">
      <w:lvlJc w:val="left"/>
      <w:lvlText w:val="(%2)"/>
      <w:numFmt w:val="upperLetter"/>
      <w:start w:val="2"/>
    </w:lvl>
    <w:lvl w:ilvl="2">
      <w:lvlJc w:val="left"/>
      <w:lvlText w:val="%3"/>
      <w:numFmt w:val="decimal"/>
      <w:start w:val="1"/>
    </w:lvl>
  </w:abstractNum>
  <w:abstractNum w:abstractNumId="352">
    <w:nsid w:val="1AFD9053"/>
    <w:multiLevelType w:val="hybridMultilevel"/>
    <w:lvl w:ilvl="0">
      <w:lvlJc w:val="left"/>
      <w:lvlText w:val="%1."/>
      <w:numFmt w:val="decimal"/>
      <w:start w:val="1"/>
    </w:lvl>
  </w:abstractNum>
  <w:abstractNum w:abstractNumId="353">
    <w:nsid w:val="558BB10D"/>
    <w:multiLevelType w:val="hybridMultilevel"/>
    <w:lvl w:ilvl="0">
      <w:lvlJc w:val="left"/>
      <w:lvlText w:val="***"/>
      <w:numFmt w:val="bullet"/>
      <w:start w:val="1"/>
    </w:lvl>
  </w:abstractNum>
  <w:abstractNum w:abstractNumId="354">
    <w:nsid w:val="43B27FA7"/>
    <w:multiLevelType w:val="hybridMultilevel"/>
    <w:lvl w:ilvl="0">
      <w:lvlJc w:val="left"/>
      <w:lvlText w:val="%1."/>
      <w:numFmt w:val="decimal"/>
      <w:start w:val="4"/>
    </w:lvl>
  </w:abstractNum>
  <w:abstractNum w:abstractNumId="355">
    <w:nsid w:val="27FADEFA"/>
    <w:multiLevelType w:val="hybridMultilevel"/>
    <w:lvl w:ilvl="0">
      <w:lvlJc w:val="left"/>
      <w:lvlText w:val="%1."/>
      <w:numFmt w:val="decimal"/>
      <w:start w:val="4"/>
    </w:lvl>
    <w:lvl w:ilvl="1">
      <w:lvlJc w:val="left"/>
      <w:lvlText w:val="[***]"/>
      <w:numFmt w:val="bullet"/>
      <w:start w:val="1"/>
    </w:lvl>
  </w:abstractNum>
  <w:abstractNum w:abstractNumId="356">
    <w:nsid w:val="78BB805A"/>
    <w:multiLevelType w:val="hybridMultilevel"/>
    <w:lvl w:ilvl="0">
      <w:lvlJc w:val="left"/>
      <w:lvlText w:val="%1."/>
      <w:numFmt w:val="decimal"/>
      <w:start w:val="6"/>
    </w:lvl>
  </w:abstractNum>
  <w:abstractNum w:abstractNumId="357">
    <w:nsid w:val="62548FD8"/>
    <w:multiLevelType w:val="hybridMultilevel"/>
    <w:lvl w:ilvl="0">
      <w:lvlJc w:val="left"/>
      <w:lvlText w:val="***"/>
      <w:numFmt w:val="bullet"/>
      <w:start w:val="1"/>
    </w:lvl>
  </w:abstractNum>
  <w:abstractNum w:abstractNumId="358">
    <w:nsid w:val="FA085B0"/>
    <w:multiLevelType w:val="hybridMultilevel"/>
    <w:lvl w:ilvl="0">
      <w:lvlJc w:val="left"/>
      <w:lvlText w:val="***"/>
      <w:numFmt w:val="bullet"/>
      <w:start w:val="1"/>
    </w:lvl>
  </w:abstractNum>
  <w:abstractNum w:abstractNumId="359">
    <w:nsid w:val="4E5DCB5"/>
    <w:multiLevelType w:val="hybridMultilevel"/>
    <w:lvl w:ilvl="0">
      <w:lvlJc w:val="left"/>
      <w:lvlText w:val="%1."/>
      <w:numFmt w:val="decimal"/>
      <w:start w:val="1"/>
    </w:lvl>
  </w:abstractNum>
  <w:abstractNum w:abstractNumId="360">
    <w:nsid w:val="41E96BDB"/>
    <w:multiLevelType w:val="hybridMultilevel"/>
    <w:lvl w:ilvl="0">
      <w:lvlJc w:val="left"/>
      <w:lvlText w:val="***"/>
      <w:numFmt w:val="bullet"/>
      <w:start w:val="1"/>
    </w:lvl>
    <w:lvl w:ilvl="1">
      <w:lvlJc w:val="left"/>
      <w:lvlText w:val="["/>
      <w:numFmt w:val="bullet"/>
      <w:start w:val="1"/>
    </w:lvl>
  </w:abstractNum>
  <w:abstractNum w:abstractNumId="361">
    <w:nsid w:val="331C4250"/>
    <w:multiLevelType w:val="hybridMultilevel"/>
    <w:lvl w:ilvl="0">
      <w:lvlJc w:val="left"/>
      <w:lvlText w:val="***"/>
      <w:numFmt w:val="bullet"/>
      <w:start w:val="1"/>
    </w:lvl>
  </w:abstractNum>
  <w:abstractNum w:abstractNumId="362">
    <w:nsid w:val="1B1493C2"/>
    <w:multiLevelType w:val="hybridMultilevel"/>
    <w:lvl w:ilvl="0">
      <w:lvlJc w:val="left"/>
      <w:lvlText w:val="(%1)"/>
      <w:numFmt w:val="lowerRoman"/>
      <w:start w:val="2"/>
    </w:lvl>
  </w:abstractNum>
  <w:abstractNum w:abstractNumId="363">
    <w:nsid w:val="39F06DFD"/>
    <w:multiLevelType w:val="hybridMultilevel"/>
    <w:lvl w:ilvl="0">
      <w:lvlJc w:val="left"/>
      <w:lvlText w:val="%1"/>
      <w:numFmt w:val="decimal"/>
      <w:start w:val="1"/>
    </w:lvl>
    <w:lvl w:ilvl="1">
      <w:lvlJc w:val="left"/>
      <w:lvlText w:val="(%2)"/>
      <w:numFmt w:val="lowerLetter"/>
      <w:start w:val="1"/>
    </w:lvl>
  </w:abstractNum>
  <w:abstractNum w:abstractNumId="364">
    <w:nsid w:val="14802F5D"/>
    <w:multiLevelType w:val="hybridMultilevel"/>
    <w:lvl w:ilvl="0">
      <w:lvlJc w:val="left"/>
      <w:lvlText w:val="(%1)"/>
      <w:numFmt w:val="decimal"/>
      <w:start w:val="21"/>
    </w:lvl>
    <w:lvl w:ilvl="1">
      <w:lvlJc w:val="left"/>
      <w:lvlText w:val="%2"/>
      <w:numFmt w:val="lowerLetter"/>
      <w:start w:val="1"/>
    </w:lvl>
  </w:abstractNum>
  <w:abstractNum w:abstractNumId="365">
    <w:nsid w:val="2774A209"/>
    <w:multiLevelType w:val="hybridMultilevel"/>
    <w:lvl w:ilvl="0">
      <w:lvlJc w:val="left"/>
      <w:lvlText w:val="%1"/>
      <w:numFmt w:val="decimal"/>
      <w:start w:val="1"/>
    </w:lvl>
    <w:lvl w:ilvl="1">
      <w:lvlJc w:val="left"/>
      <w:lvlText w:val="(%2)"/>
      <w:numFmt w:val="lowerLetter"/>
      <w:start w:val="4"/>
    </w:lvl>
  </w:abstractNum>
  <w:abstractNum w:abstractNumId="366">
    <w:nsid w:val="3785655A"/>
    <w:multiLevelType w:val="hybridMultilevel"/>
    <w:lvl w:ilvl="0">
      <w:lvlJc w:val="left"/>
      <w:lvlText w:val="(%1)"/>
      <w:numFmt w:val="decimal"/>
      <w:start w:val="10"/>
    </w:lvl>
    <w:lvl w:ilvl="1">
      <w:lvlJc w:val="left"/>
      <w:lvlText w:val="(%2)"/>
      <w:numFmt w:val="lowerLetter"/>
      <w:start w:val="5"/>
    </w:lvl>
  </w:abstractNum>
  <w:abstractNum w:abstractNumId="367">
    <w:nsid w:val="B2172A"/>
    <w:multiLevelType w:val="hybridMultilevel"/>
    <w:lvl w:ilvl="0">
      <w:lvlJc w:val="left"/>
      <w:lvlText w:val="(%1)"/>
      <w:numFmt w:val="lowerLetter"/>
      <w:start w:val="6"/>
    </w:lvl>
  </w:abstractNum>
  <w:abstractNum w:abstractNumId="368">
    <w:nsid w:val="532C34A5"/>
    <w:multiLevelType w:val="hybridMultilevel"/>
    <w:lvl w:ilvl="0">
      <w:lvlJc w:val="left"/>
      <w:lvlText w:val="(%1)"/>
      <w:numFmt w:val="lowerLetter"/>
      <w:start w:val="10"/>
    </w:lvl>
  </w:abstractNum>
  <w:abstractNum w:abstractNumId="369">
    <w:nsid w:val="102809E2"/>
    <w:multiLevelType w:val="hybridMultilevel"/>
    <w:lvl w:ilvl="0">
      <w:lvlJc w:val="left"/>
      <w:lvlText w:val="(%1)"/>
      <w:numFmt w:val="lowerLetter"/>
      <w:start w:val="13"/>
    </w:lvl>
  </w:abstractNum>
  <w:abstractNum w:abstractNumId="370">
    <w:nsid w:val="3B2125A3"/>
    <w:multiLevelType w:val="hybridMultilevel"/>
    <w:lvl w:ilvl="0">
      <w:lvlJc w:val="left"/>
      <w:lvlText w:val="(%1)"/>
      <w:numFmt w:val="lowerLetter"/>
      <w:start w:val="19"/>
    </w:lvl>
  </w:abstractNum>
  <w:abstractNum w:abstractNumId="371">
    <w:nsid w:val="AC68FFB"/>
    <w:multiLevelType w:val="hybridMultilevel"/>
    <w:lvl w:ilvl="0">
      <w:lvlJc w:val="left"/>
      <w:lvlText w:val="(%1)"/>
      <w:numFmt w:val="lowerLetter"/>
      <w:start w:val="27"/>
    </w:lvl>
  </w:abstractNum>
  <w:abstractNum w:abstractNumId="372">
    <w:nsid w:val="63DF3FB7"/>
    <w:multiLevelType w:val="hybridMultilevel"/>
    <w:lvl w:ilvl="0">
      <w:lvlJc w:val="left"/>
      <w:lvlText w:val="(%1)"/>
      <w:numFmt w:val="lowerLetter"/>
      <w:start w:val="31"/>
    </w:lvl>
  </w:abstractNum>
  <w:abstractNum w:abstractNumId="373">
    <w:nsid w:val="64996E13"/>
    <w:multiLevelType w:val="hybridMultilevel"/>
    <w:lvl w:ilvl="0">
      <w:lvlJc w:val="left"/>
      <w:lvlText w:val="(%1)"/>
      <w:numFmt w:val="lowerLetter"/>
      <w:start w:val="33"/>
    </w:lvl>
  </w:abstractNum>
  <w:abstractNum w:abstractNumId="374">
    <w:nsid w:val="57A37D47"/>
    <w:multiLevelType w:val="hybridMultilevel"/>
    <w:lvl w:ilvl="0">
      <w:lvlJc w:val="left"/>
      <w:lvlText w:val="(%1)"/>
      <w:numFmt w:val="lowerLetter"/>
      <w:start w:val="35"/>
    </w:lvl>
  </w:abstractNum>
  <w:abstractNum w:abstractNumId="375">
    <w:nsid w:val="74824D54"/>
    <w:multiLevelType w:val="hybridMultilevel"/>
    <w:lvl w:ilvl="0">
      <w:lvlJc w:val="left"/>
      <w:lvlText w:val="(%1)"/>
      <w:numFmt w:val="lowerLetter"/>
      <w:start w:val="38"/>
    </w:lvl>
  </w:abstractNum>
  <w:abstractNum w:abstractNumId="376">
    <w:nsid w:val="6F00529A"/>
    <w:multiLevelType w:val="hybridMultilevel"/>
    <w:lvl w:ilvl="0">
      <w:lvlJc w:val="left"/>
      <w:lvlText w:val="(%1)"/>
      <w:numFmt w:val="lowerLetter"/>
      <w:start w:val="40"/>
    </w:lvl>
  </w:abstractNum>
  <w:abstractNum w:abstractNumId="377">
    <w:nsid w:val="805B331"/>
    <w:multiLevelType w:val="hybridMultilevel"/>
    <w:lvl w:ilvl="0">
      <w:lvlJc w:val="left"/>
      <w:lvlText w:val="(%1)"/>
      <w:numFmt w:val="lowerLetter"/>
      <w:start w:val="42"/>
    </w:lvl>
  </w:abstractNum>
  <w:abstractNum w:abstractNumId="378">
    <w:nsid w:val="60A1463"/>
    <w:multiLevelType w:val="hybridMultilevel"/>
    <w:lvl w:ilvl="0">
      <w:lvlJc w:val="left"/>
      <w:lvlText w:val="%1"/>
      <w:numFmt w:val="decimal"/>
      <w:start w:val="1"/>
    </w:lvl>
    <w:lvl w:ilvl="1">
      <w:lvlJc w:val="left"/>
      <w:lvlText w:val="(%2)"/>
      <w:numFmt w:val="lowerLetter"/>
      <w:start w:val="44"/>
    </w:lvl>
  </w:abstractNum>
  <w:abstractNum w:abstractNumId="379">
    <w:nsid w:val="43773132"/>
    <w:multiLevelType w:val="hybridMultilevel"/>
    <w:lvl w:ilvl="0">
      <w:lvlJc w:val="left"/>
      <w:lvlText w:val="(%1)"/>
      <w:numFmt w:val="decimal"/>
      <w:start w:val="5"/>
    </w:lvl>
    <w:lvl w:ilvl="1">
      <w:lvlJc w:val="left"/>
      <w:lvlText w:val="(%2)"/>
      <w:numFmt w:val="lowerLetter"/>
      <w:start w:val="48"/>
    </w:lvl>
  </w:abstractNum>
  <w:abstractNum w:abstractNumId="380">
    <w:nsid w:val="16AC4B23"/>
    <w:multiLevelType w:val="hybridMultilevel"/>
    <w:lvl w:ilvl="0">
      <w:lvlJc w:val="left"/>
      <w:lvlText w:val="(%1)"/>
      <w:numFmt w:val="lowerLetter"/>
      <w:start w:val="51"/>
    </w:lvl>
  </w:abstractNum>
  <w:abstractNum w:abstractNumId="381">
    <w:nsid w:val="76C44E4E"/>
    <w:multiLevelType w:val="hybridMultilevel"/>
    <w:lvl w:ilvl="0">
      <w:lvlJc w:val="left"/>
      <w:lvlText w:val="(%1)"/>
      <w:numFmt w:val="lowerLetter"/>
      <w:start w:val="53"/>
    </w:lvl>
  </w:abstractNum>
  <w:abstractNum w:abstractNumId="382">
    <w:nsid w:val="E04E6CE"/>
    <w:multiLevelType w:val="hybridMultilevel"/>
    <w:lvl w:ilvl="0">
      <w:lvlJc w:val="left"/>
      <w:lvlText w:val="(%1)"/>
      <w:numFmt w:val="lowerLetter"/>
      <w:start w:val="54"/>
    </w:lvl>
  </w:abstractNum>
  <w:abstractNum w:abstractNumId="383">
    <w:nsid w:val="31A9DB76"/>
    <w:multiLevelType w:val="hybridMultilevel"/>
    <w:lvl w:ilvl="0">
      <w:lvlJc w:val="left"/>
      <w:lvlText w:val="%1"/>
      <w:numFmt w:val="lowerLetter"/>
      <w:start w:val="1"/>
    </w:lvl>
    <w:lvl w:ilvl="1">
      <w:lvlJc w:val="left"/>
      <w:lvlText w:val="(%2)"/>
      <w:numFmt w:val="lowerLetter"/>
      <w:start w:val="56"/>
    </w:lvl>
  </w:abstractNum>
  <w:abstractNum w:abstractNumId="384">
    <w:nsid w:val="4C4FFF5B"/>
    <w:multiLevelType w:val="hybridMultilevel"/>
    <w:lvl w:ilvl="0">
      <w:lvlJc w:val="left"/>
      <w:lvlText w:val="(%1)"/>
      <w:numFmt w:val="lowerLetter"/>
      <w:start w:val="35"/>
    </w:lvl>
    <w:lvl w:ilvl="1">
      <w:lvlJc w:val="left"/>
      <w:lvlText w:val="(%2)"/>
      <w:numFmt w:val="lowerLetter"/>
      <w:start w:val="57"/>
    </w:lvl>
  </w:abstractNum>
  <w:abstractNum w:abstractNumId="385">
    <w:nsid w:val="51B76675"/>
    <w:multiLevelType w:val="hybridMultilevel"/>
    <w:lvl w:ilvl="0">
      <w:lvlJc w:val="left"/>
      <w:lvlText w:val="(%1)"/>
      <w:numFmt w:val="decimal"/>
      <w:start w:val="2"/>
    </w:lvl>
  </w:abstractNum>
  <w:abstractNum w:abstractNumId="386">
    <w:nsid w:val="59A4BA71"/>
    <w:multiLevelType w:val="hybridMultilevel"/>
    <w:lvl w:ilvl="0">
      <w:lvlJc w:val="left"/>
      <w:lvlText w:val="(%1)"/>
      <w:numFmt w:val="lowerLetter"/>
      <w:start w:val="1"/>
    </w:lvl>
  </w:abstractNum>
  <w:abstractNum w:abstractNumId="387">
    <w:nsid w:val="450B7FB6"/>
    <w:multiLevelType w:val="hybridMultilevel"/>
    <w:lvl w:ilvl="0">
      <w:lvlJc w:val="left"/>
      <w:lvlText w:val="(%1)"/>
      <w:numFmt w:val="lowerLetter"/>
      <w:start w:val="2"/>
    </w:lvl>
  </w:abstractNum>
  <w:abstractNum w:abstractNumId="388">
    <w:nsid w:val="340BF64D"/>
    <w:multiLevelType w:val="hybridMultilevel"/>
    <w:lvl w:ilvl="0">
      <w:lvlJc w:val="left"/>
      <w:lvlText w:val="%1"/>
      <w:numFmt w:val="lowerLetter"/>
      <w:start w:val="1"/>
    </w:lvl>
    <w:lvl w:ilvl="1">
      <w:lvlJc w:val="left"/>
      <w:lvlText w:val="(%2)"/>
      <w:numFmt w:val="lowerLetter"/>
      <w:start w:val="1"/>
    </w:lvl>
  </w:abstractNum>
  <w:abstractNum w:abstractNumId="389">
    <w:nsid w:val="69454021"/>
    <w:multiLevelType w:val="hybridMultilevel"/>
    <w:lvl w:ilvl="0">
      <w:lvlJc w:val="left"/>
      <w:lvlText w:val="(%1)"/>
      <w:numFmt w:val="lowerLetter"/>
      <w:start w:val="35"/>
    </w:lvl>
    <w:lvl w:ilvl="1">
      <w:lvlJc w:val="left"/>
      <w:lvlText w:val="%2"/>
      <w:numFmt w:val="lowerLetter"/>
      <w:start w:val="1"/>
    </w:lvl>
  </w:abstractNum>
  <w:abstractNum w:abstractNumId="390">
    <w:nsid w:val="49F15C6B"/>
    <w:multiLevelType w:val="hybridMultilevel"/>
    <w:lvl w:ilvl="0">
      <w:lvlJc w:val="left"/>
      <w:lvlText w:val="(%1)"/>
      <w:numFmt w:val="lowerLetter"/>
      <w:start w:val="58"/>
    </w:lvl>
  </w:abstractNum>
  <w:abstractNum w:abstractNumId="391">
    <w:nsid w:val="75F56228"/>
    <w:multiLevelType w:val="hybridMultilevel"/>
    <w:lvl w:ilvl="0">
      <w:lvlJc w:val="left"/>
      <w:lvlText w:val="(%1)"/>
      <w:numFmt w:val="lowerLetter"/>
      <w:start w:val="68"/>
    </w:lvl>
  </w:abstractNum>
  <w:abstractNum w:abstractNumId="392">
    <w:nsid w:val="1C618271"/>
    <w:multiLevelType w:val="hybridMultilevel"/>
    <w:lvl w:ilvl="0">
      <w:lvlJc w:val="left"/>
      <w:lvlText w:val="(%1)"/>
      <w:numFmt w:val="lowerLetter"/>
      <w:start w:val="2"/>
    </w:lvl>
  </w:abstractNum>
  <w:abstractNum w:abstractNumId="393">
    <w:nsid w:val="6505F02E"/>
    <w:multiLevelType w:val="hybridMultilevel"/>
    <w:lvl w:ilvl="0">
      <w:lvlJc w:val="left"/>
      <w:lvlText w:val="(%1)"/>
      <w:numFmt w:val="lowerLetter"/>
      <w:start w:val="69"/>
    </w:lvl>
  </w:abstractNum>
  <w:abstractNum w:abstractNumId="394">
    <w:nsid w:val="2FE5D025"/>
    <w:multiLevelType w:val="hybridMultilevel"/>
    <w:lvl w:ilvl="0">
      <w:lvlJc w:val="left"/>
      <w:lvlText w:val="(%1)"/>
      <w:numFmt w:val="lowerLetter"/>
      <w:start w:val="72"/>
    </w:lvl>
  </w:abstractNum>
  <w:abstractNum w:abstractNumId="395">
    <w:nsid w:val="30E1B1CF"/>
    <w:multiLevelType w:val="hybridMultilevel"/>
    <w:lvl w:ilvl="0">
      <w:lvlJc w:val="left"/>
      <w:lvlText w:val="(%1)"/>
      <w:numFmt w:val="lowerLetter"/>
      <w:start w:val="74"/>
    </w:lvl>
    <w:lvl w:ilvl="1">
      <w:lvlJc w:val="left"/>
      <w:lvlText w:val="(%2)"/>
      <w:numFmt w:val="lowerRoman"/>
      <w:start w:val="1"/>
    </w:lvl>
  </w:abstractNum>
  <w:abstractNum w:abstractNumId="396">
    <w:nsid w:val="C7A9237"/>
    <w:multiLevelType w:val="hybridMultilevel"/>
    <w:lvl w:ilvl="0">
      <w:lvlJc w:val="left"/>
      <w:lvlText w:val="(%1)"/>
      <w:numFmt w:val="lowerLetter"/>
      <w:start w:val="76"/>
    </w:lvl>
  </w:abstractNum>
  <w:abstractNum w:abstractNumId="397">
    <w:nsid w:val="676B3580"/>
    <w:multiLevelType w:val="hybridMultilevel"/>
    <w:lvl w:ilvl="0">
      <w:lvlJc w:val="left"/>
      <w:lvlText w:val="(%1)"/>
      <w:numFmt w:val="lowerLetter"/>
      <w:start w:val="4"/>
    </w:lvl>
  </w:abstractNum>
  <w:abstractNum w:abstractNumId="398">
    <w:nsid w:val="3193C8F9"/>
    <w:multiLevelType w:val="hybridMultilevel"/>
    <w:lvl w:ilvl="0">
      <w:lvlJc w:val="left"/>
      <w:lvlText w:val="(%1)"/>
      <w:numFmt w:val="decimal"/>
      <w:start w:val="7"/>
    </w:lvl>
  </w:abstractNum>
  <w:abstractNum w:abstractNumId="399">
    <w:nsid w:val="5FA6C6DC"/>
    <w:multiLevelType w:val="hybridMultilevel"/>
    <w:lvl w:ilvl="0">
      <w:lvlJc w:val="left"/>
      <w:lvlText w:val="(%1)"/>
      <w:numFmt w:val="lowerLetter"/>
      <w:start w:val="4"/>
    </w:lvl>
  </w:abstractNum>
  <w:abstractNum w:abstractNumId="400">
    <w:nsid w:val="77933F62"/>
    <w:multiLevelType w:val="hybridMultilevel"/>
    <w:lvl w:ilvl="0">
      <w:lvlJc w:val="left"/>
      <w:lvlText w:val="(%1)"/>
      <w:numFmt w:val="lowerLetter"/>
      <w:start w:val="1"/>
    </w:lvl>
  </w:abstractNum>
  <w:abstractNum w:abstractNumId="401">
    <w:nsid w:val="6CB4EE9C"/>
    <w:multiLevelType w:val="hybridMultilevel"/>
    <w:lvl w:ilvl="0">
      <w:lvlJc w:val="left"/>
      <w:lvlText w:val="(%1)"/>
      <w:numFmt w:val="lowerLetter"/>
      <w:start w:val="1"/>
    </w:lvl>
  </w:abstractNum>
  <w:abstractNum w:abstractNumId="402">
    <w:nsid w:val="6A6D56D7"/>
    <w:multiLevelType w:val="hybridMultilevel"/>
    <w:lvl w:ilvl="0">
      <w:lvlJc w:val="left"/>
      <w:lvlText w:val="(%1)"/>
      <w:numFmt w:val="lowerLetter"/>
      <w:start w:val="1"/>
    </w:lvl>
  </w:abstractNum>
  <w:abstractNum w:abstractNumId="403">
    <w:nsid w:val="5B727F19"/>
    <w:multiLevelType w:val="hybridMultilevel"/>
    <w:lvl w:ilvl="0">
      <w:lvlJc w:val="left"/>
      <w:lvlText w:val="(%1)"/>
      <w:numFmt w:val="lowerLetter"/>
      <w:start w:val="2"/>
    </w:lvl>
  </w:abstractNum>
  <w:abstractNum w:abstractNumId="404">
    <w:nsid w:val="514E5CB0"/>
    <w:multiLevelType w:val="hybridMultilevel"/>
    <w:lvl w:ilvl="0">
      <w:lvlJc w:val="left"/>
      <w:lvlText w:val="(%1)"/>
      <w:numFmt w:val="lowerLetter"/>
      <w:start w:val="4"/>
    </w:lvl>
  </w:abstractNum>
  <w:abstractNum w:abstractNumId="405">
    <w:nsid w:val="4210D41E"/>
    <w:multiLevelType w:val="hybridMultilevel"/>
    <w:lvl w:ilvl="0">
      <w:lvlJc w:val="left"/>
      <w:lvlText w:val="(%1)"/>
      <w:numFmt w:val="lowerLetter"/>
      <w:start w:val="1"/>
    </w:lvl>
  </w:abstractNum>
  <w:abstractNum w:abstractNumId="406">
    <w:nsid w:val="4FF4CC6D"/>
    <w:multiLevelType w:val="hybridMultilevel"/>
    <w:lvl w:ilvl="0">
      <w:lvlJc w:val="left"/>
      <w:lvlText w:val="(%1)"/>
      <w:numFmt w:val="lowerLetter"/>
      <w:start w:val="8"/>
    </w:lvl>
  </w:abstractNum>
  <w:abstractNum w:abstractNumId="407">
    <w:nsid w:val="404EAF4A"/>
    <w:multiLevelType w:val="hybridMultilevel"/>
    <w:lvl w:ilvl="0">
      <w:lvlJc w:val="left"/>
      <w:lvlText w:val="(%1)"/>
      <w:numFmt w:val="lowerLetter"/>
      <w:start w:val="1"/>
    </w:lvl>
  </w:abstractNum>
  <w:abstractNum w:abstractNumId="408">
    <w:nsid w:val="4A16874F"/>
    <w:multiLevelType w:val="hybridMultilevel"/>
    <w:lvl w:ilvl="0">
      <w:lvlJc w:val="left"/>
      <w:lvlText w:val="["/>
      <w:numFmt w:val="bullet"/>
      <w:start w:val="1"/>
    </w:lvl>
    <w:lvl w:ilvl="1">
      <w:lvlJc w:val="left"/>
      <w:lvlText w:val="%2."/>
      <w:numFmt w:val="decimal"/>
      <w:start w:val="1"/>
    </w:lvl>
  </w:abstractNum>
  <w:abstractNum w:abstractNumId="409">
    <w:nsid w:val="55FEE0D1"/>
    <w:multiLevelType w:val="hybridMultilevel"/>
    <w:lvl w:ilvl="0">
      <w:lvlJc w:val="left"/>
      <w:lvlText w:val="*"/>
      <w:numFmt w:val="bullet"/>
      <w:start w:val="1"/>
    </w:lvl>
  </w:abstractNum>
  <w:abstractNum w:abstractNumId="410">
    <w:nsid w:val="3C5E07C"/>
    <w:multiLevelType w:val="hybridMultilevel"/>
    <w:lvl w:ilvl="0">
      <w:lvlJc w:val="left"/>
      <w:lvlText w:val="%1."/>
      <w:numFmt w:val="upperLetter"/>
      <w:start w:val="1"/>
    </w:lvl>
  </w:abstractNum>
  <w:abstractNum w:abstractNumId="411">
    <w:nsid w:val="60C2D273"/>
    <w:multiLevelType w:val="hybridMultilevel"/>
    <w:lvl w:ilvl="0">
      <w:lvlJc w:val="left"/>
      <w:lvlText w:val="%1."/>
      <w:numFmt w:val="decimal"/>
      <w:start w:val="1"/>
    </w:lvl>
  </w:abstractNum>
  <w:abstractNum w:abstractNumId="412">
    <w:nsid w:val="4CC32F1F"/>
    <w:multiLevelType w:val="hybridMultilevel"/>
    <w:lvl w:ilvl="0">
      <w:lvlJc w:val="left"/>
      <w:lvlText w:val="%1."/>
      <w:numFmt w:val="decimal"/>
      <w:start w:val="3"/>
    </w:lvl>
  </w:abstractNum>
  <w:abstractNum w:abstractNumId="413">
    <w:nsid w:val="11CAC74A"/>
    <w:multiLevelType w:val="hybridMultilevel"/>
    <w:lvl w:ilvl="0">
      <w:lvlJc w:val="left"/>
      <w:lvlText w:val="%1."/>
      <w:numFmt w:val="decimal"/>
      <w:start w:val="5"/>
    </w:lvl>
  </w:abstractNum>
  <w:abstractNum w:abstractNumId="414">
    <w:nsid w:val="126CADE9"/>
    <w:multiLevelType w:val="hybridMultilevel"/>
    <w:lvl w:ilvl="0">
      <w:lvlJc w:val="left"/>
      <w:lvlText w:val="%1."/>
      <w:numFmt w:val="upperLetter"/>
      <w:start w:val="1"/>
    </w:lvl>
  </w:abstractNum>
  <w:abstractNum w:abstractNumId="415">
    <w:nsid w:val="19132E7B"/>
    <w:multiLevelType w:val="hybridMultilevel"/>
    <w:lvl w:ilvl="0">
      <w:lvlJc w:val="left"/>
      <w:lvlText w:val="\ldblquote"/>
      <w:numFmt w:val="bullet"/>
      <w:start w:val="1"/>
    </w:lvl>
  </w:abstractNum>
  <w:abstractNum w:abstractNumId="416">
    <w:nsid w:val="63822DC0"/>
    <w:multiLevelType w:val="hybridMultilevel"/>
    <w:lvl w:ilvl="0">
      <w:lvlJc w:val="left"/>
      <w:lvlText w:val="\ldblquote"/>
      <w:numFmt w:val="bullet"/>
      <w:start w:val="1"/>
    </w:lvl>
    <w:lvl w:ilvl="1">
      <w:lvlJc w:val="left"/>
      <w:lvlText w:val="(%2)"/>
      <w:numFmt w:val="lowerLetter"/>
      <w:start w:val="1"/>
    </w:lvl>
  </w:abstractNum>
  <w:abstractNum w:abstractNumId="417">
    <w:nsid w:val="6C11685A"/>
    <w:multiLevelType w:val="hybridMultilevel"/>
    <w:lvl w:ilvl="0">
      <w:lvlJc w:val="left"/>
      <w:lvlText w:val="\ldblquote"/>
      <w:numFmt w:val="bullet"/>
      <w:start w:val="1"/>
    </w:lvl>
  </w:abstractNum>
  <w:abstractNum w:abstractNumId="418">
    <w:nsid w:val="5E1EAE31"/>
    <w:multiLevelType w:val="hybridMultilevel"/>
    <w:lvl w:ilvl="0">
      <w:lvlJc w:val="left"/>
      <w:lvlText w:val="\ldblquote"/>
      <w:numFmt w:val="bullet"/>
      <w:start w:val="1"/>
    </w:lvl>
  </w:abstractNum>
  <w:abstractNum w:abstractNumId="419">
    <w:nsid w:val="178E240D"/>
    <w:multiLevelType w:val="hybridMultilevel"/>
    <w:lvl w:ilvl="0">
      <w:lvlJc w:val="left"/>
      <w:lvlText w:val="\ldblquote"/>
      <w:numFmt w:val="bullet"/>
      <w:start w:val="1"/>
    </w:lvl>
  </w:abstractNum>
  <w:abstractNum w:abstractNumId="420">
    <w:nsid w:val="5556A87B"/>
    <w:multiLevelType w:val="hybridMultilevel"/>
    <w:lvl w:ilvl="0">
      <w:lvlJc w:val="left"/>
      <w:lvlText w:val="\ldblquote"/>
      <w:numFmt w:val="bullet"/>
      <w:start w:val="1"/>
    </w:lvl>
    <w:lvl w:ilvl="1">
      <w:lvlJc w:val="left"/>
      <w:lvlText w:val="(%2)"/>
      <w:numFmt w:val="lowerLetter"/>
      <w:start w:val="1"/>
    </w:lvl>
  </w:abstractNum>
  <w:abstractNum w:abstractNumId="421">
    <w:nsid w:val="28100A9C"/>
    <w:multiLevelType w:val="hybridMultilevel"/>
    <w:lvl w:ilvl="0">
      <w:lvlJc w:val="left"/>
      <w:lvlText w:val="(%1)"/>
      <w:numFmt w:val="lowerLetter"/>
      <w:start w:val="3"/>
    </w:lvl>
  </w:abstractNum>
  <w:abstractNum w:abstractNumId="422">
    <w:nsid w:val="D838636"/>
    <w:multiLevelType w:val="hybridMultilevel"/>
    <w:lvl w:ilvl="0">
      <w:lvlJc w:val="left"/>
      <w:lvlText w:val="\ldblquote"/>
      <w:numFmt w:val="bullet"/>
      <w:start w:val="1"/>
    </w:lvl>
  </w:abstractNum>
  <w:abstractNum w:abstractNumId="423">
    <w:nsid w:val="71B82AED"/>
    <w:multiLevelType w:val="hybridMultilevel"/>
    <w:lvl w:ilvl="0">
      <w:lvlJc w:val="left"/>
      <w:lvlText w:val="\ldblquote"/>
      <w:numFmt w:val="bullet"/>
      <w:start w:val="1"/>
    </w:lvl>
  </w:abstractNum>
  <w:abstractNum w:abstractNumId="424">
    <w:nsid w:val="D15FACA"/>
    <w:multiLevelType w:val="hybridMultilevel"/>
    <w:lvl w:ilvl="0">
      <w:lvlJc w:val="left"/>
      <w:lvlText w:val="\ldblquote"/>
      <w:numFmt w:val="bullet"/>
      <w:start w:val="1"/>
    </w:lvl>
  </w:abstractNum>
  <w:abstractNum w:abstractNumId="425">
    <w:nsid w:val="3D69565B"/>
    <w:multiLevelType w:val="hybridMultilevel"/>
    <w:lvl w:ilvl="0">
      <w:lvlJc w:val="left"/>
      <w:lvlText w:val="\ldblquote"/>
      <w:numFmt w:val="bullet"/>
      <w:start w:val="1"/>
    </w:lvl>
  </w:abstractNum>
  <w:abstractNum w:abstractNumId="426">
    <w:nsid w:val="2299DCBC"/>
    <w:multiLevelType w:val="hybridMultilevel"/>
    <w:lvl w:ilvl="0">
      <w:lvlJc w:val="left"/>
      <w:lvlText w:val="\ldblquote"/>
      <w:numFmt w:val="bullet"/>
      <w:start w:val="1"/>
    </w:lvl>
  </w:abstractNum>
  <w:abstractNum w:abstractNumId="427">
    <w:nsid w:val="19908D02"/>
    <w:multiLevelType w:val="hybridMultilevel"/>
    <w:lvl w:ilvl="0">
      <w:lvlJc w:val="left"/>
      <w:lvlText w:val="%1."/>
      <w:numFmt w:val="decimal"/>
      <w:start w:val="8"/>
    </w:lvl>
  </w:abstractNum>
  <w:abstractNum w:abstractNumId="428">
    <w:nsid w:val="24D48BDB"/>
    <w:multiLevelType w:val="hybridMultilevel"/>
    <w:lvl w:ilvl="0">
      <w:lvlJc w:val="left"/>
      <w:lvlText w:val="(%1)"/>
      <w:numFmt w:val="lowerLetter"/>
      <w:start w:val="2"/>
    </w:lvl>
  </w:abstractNum>
  <w:abstractNum w:abstractNumId="429">
    <w:nsid w:val="542DA5B5"/>
    <w:multiLevelType w:val="hybridMultilevel"/>
    <w:lvl w:ilvl="0">
      <w:lvlJc w:val="left"/>
      <w:lvlText w:val="%1."/>
      <w:numFmt w:val="decimal"/>
      <w:start w:val="9"/>
    </w:lvl>
  </w:abstractNum>
  <w:abstractNum w:abstractNumId="430">
    <w:nsid w:val="793753DE"/>
    <w:multiLevelType w:val="hybridMultilevel"/>
    <w:lvl w:ilvl="0">
      <w:lvlJc w:val="left"/>
      <w:lvlText w:val="%1."/>
      <w:numFmt w:val="decimal"/>
      <w:start w:val="10"/>
    </w:lvl>
  </w:abstractNum>
  <w:abstractNum w:abstractNumId="431">
    <w:nsid w:val="1C67CB3D"/>
    <w:multiLevelType w:val="hybridMultilevel"/>
    <w:lvl w:ilvl="0">
      <w:lvlJc w:val="left"/>
      <w:lvlText w:val="%1."/>
      <w:numFmt w:val="decimal"/>
      <w:start w:val="12"/>
    </w:lvl>
  </w:abstractNum>
  <w:abstractNum w:abstractNumId="432">
    <w:nsid w:val="40E29452"/>
    <w:multiLevelType w:val="hybridMultilevel"/>
    <w:lvl w:ilvl="0">
      <w:lvlJc w:val="left"/>
      <w:lvlText w:val="%1."/>
      <w:numFmt w:val="decimal"/>
      <w:start w:val="1"/>
    </w:lvl>
  </w:abstractNum>
  <w:abstractNum w:abstractNumId="433">
    <w:nsid w:val="63A4AAB6"/>
    <w:multiLevelType w:val="hybridMultilevel"/>
    <w:lvl w:ilvl="0">
      <w:lvlJc w:val="left"/>
      <w:lvlText w:val="*"/>
      <w:numFmt w:val="bullet"/>
      <w:start w:val="1"/>
    </w:lvl>
  </w:abstractNum>
  <w:abstractNum w:abstractNumId="434">
    <w:nsid w:val="77DA4A57"/>
    <w:multiLevelType w:val="hybridMultilevel"/>
    <w:lvl w:ilvl="0">
      <w:lvlJc w:val="left"/>
      <w:lvlText w:val="(%1)"/>
      <w:numFmt w:val="lowerLetter"/>
      <w:start w:val="1"/>
    </w:lvl>
  </w:abstractNum>
  <w:abstractNum w:abstractNumId="435">
    <w:nsid w:val="1230F102"/>
    <w:multiLevelType w:val="hybridMultilevel"/>
    <w:lvl w:ilvl="0">
      <w:lvlJc w:val="left"/>
      <w:lvlText w:val="(%1)"/>
      <w:numFmt w:val="lowerLetter"/>
      <w:start w:val="2"/>
    </w:lvl>
  </w:abstractNum>
  <w:abstractNum w:abstractNumId="436">
    <w:nsid w:val="25B57ED4"/>
    <w:multiLevelType w:val="hybridMultilevel"/>
    <w:lvl w:ilvl="0">
      <w:lvlJc w:val="left"/>
      <w:lvlText w:val="(%1)"/>
      <w:numFmt w:val="lowerLetter"/>
      <w:start w:val="2"/>
    </w:lvl>
  </w:abstractNum>
  <w:abstractNum w:abstractNumId="437">
    <w:nsid w:val="47CF16C4"/>
    <w:multiLevelType w:val="hybridMultilevel"/>
    <w:lvl w:ilvl="0">
      <w:lvlJc w:val="left"/>
      <w:lvlText w:val="(%1)"/>
      <w:numFmt w:val="lowerLetter"/>
      <w:start w:val="1"/>
    </w:lvl>
  </w:abstractNum>
  <w:abstractNum w:abstractNumId="438">
    <w:nsid w:val="527FA04C"/>
    <w:multiLevelType w:val="hybridMultilevel"/>
    <w:lvl w:ilvl="0">
      <w:lvlJc w:val="left"/>
      <w:lvlText w:val="(%1)"/>
      <w:numFmt w:val="lowerLetter"/>
      <w:start w:val="3"/>
    </w:lvl>
  </w:abstractNum>
  <w:abstractNum w:abstractNumId="439">
    <w:nsid w:val="6FCC0624"/>
    <w:multiLevelType w:val="hybridMultilevel"/>
    <w:lvl w:ilvl="0">
      <w:lvlJc w:val="left"/>
      <w:lvlText w:val="%1."/>
      <w:numFmt w:val="decimal"/>
      <w:start w:val="4"/>
    </w:lvl>
  </w:abstractNum>
  <w:abstractNum w:abstractNumId="440">
    <w:nsid w:val="1DCDF795"/>
    <w:multiLevelType w:val="hybridMultilevel"/>
    <w:lvl w:ilvl="0">
      <w:lvlJc w:val="left"/>
      <w:lvlText w:val="(%1)"/>
      <w:numFmt w:val="lowerLetter"/>
      <w:start w:val="1"/>
    </w:lvl>
  </w:abstractNum>
  <w:abstractNum w:abstractNumId="441">
    <w:nsid w:val="564580C8"/>
    <w:multiLevelType w:val="hybridMultilevel"/>
    <w:lvl w:ilvl="0">
      <w:lvlJc w:val="left"/>
      <w:lvlText w:val="(%1)"/>
      <w:numFmt w:val="lowerLetter"/>
      <w:start w:val="4"/>
    </w:lvl>
  </w:abstractNum>
  <w:abstractNum w:abstractNumId="442">
    <w:nsid w:val="508ED897"/>
    <w:multiLevelType w:val="hybridMultilevel"/>
    <w:lvl w:ilvl="0">
      <w:lvlJc w:val="left"/>
      <w:lvlText w:val="(%1)"/>
      <w:numFmt w:val="lowerLetter"/>
      <w:start w:val="1"/>
    </w:lvl>
    <w:lvl w:ilvl="1">
      <w:lvlJc w:val="left"/>
      <w:lvlText w:val="(%2)"/>
      <w:numFmt w:val="lowerRoman"/>
      <w:start w:val="1"/>
    </w:lvl>
  </w:abstractNum>
  <w:abstractNum w:abstractNumId="443">
    <w:nsid w:val="6A9126B5"/>
    <w:multiLevelType w:val="hybridMultilevel"/>
    <w:lvl w:ilvl="0">
      <w:lvlJc w:val="left"/>
      <w:lvlText w:val="(%1)"/>
      <w:numFmt w:val="lowerRoman"/>
      <w:start w:val="4"/>
    </w:lvl>
  </w:abstractNum>
  <w:abstractNum w:abstractNumId="444">
    <w:nsid w:val="68104812"/>
    <w:multiLevelType w:val="hybridMultilevel"/>
    <w:lvl w:ilvl="0">
      <w:lvlJc w:val="left"/>
      <w:lvlText w:val="(%1)"/>
      <w:numFmt w:val="lowerLetter"/>
      <w:start w:val="2"/>
    </w:lvl>
    <w:lvl w:ilvl="1">
      <w:lvlJc w:val="left"/>
      <w:lvlText w:val="(%2)"/>
      <w:numFmt w:val="lowerRoman"/>
      <w:start w:val="1"/>
    </w:lvl>
  </w:abstractNum>
  <w:abstractNum w:abstractNumId="445">
    <w:nsid w:val="62FB8680"/>
    <w:multiLevelType w:val="hybridMultilevel"/>
    <w:lvl w:ilvl="0">
      <w:lvlJc w:val="left"/>
      <w:lvlText w:val="(%1)"/>
      <w:numFmt w:val="lowerLetter"/>
      <w:start w:val="4"/>
    </w:lvl>
  </w:abstractNum>
  <w:abstractNum w:abstractNumId="446">
    <w:nsid w:val="3A45530"/>
    <w:multiLevelType w:val="hybridMultilevel"/>
    <w:lvl w:ilvl="0">
      <w:lvlJc w:val="left"/>
      <w:lvlText w:val="(%1)"/>
      <w:numFmt w:val="lowerLetter"/>
      <w:start w:val="6"/>
    </w:lvl>
  </w:abstractNum>
  <w:abstractNum w:abstractNumId="447">
    <w:nsid w:val="4B9275D2"/>
    <w:multiLevelType w:val="hybridMultilevel"/>
    <w:lvl w:ilvl="0">
      <w:lvlJc w:val="left"/>
      <w:lvlText w:val="(%1)"/>
      <w:numFmt w:val="lowerLetter"/>
      <w:start w:val="1"/>
    </w:lvl>
  </w:abstractNum>
  <w:abstractNum w:abstractNumId="448">
    <w:nsid w:val="4F0CEEDB"/>
    <w:multiLevelType w:val="hybridMultilevel"/>
    <w:lvl w:ilvl="0">
      <w:lvlJc w:val="left"/>
      <w:lvlText w:val="(%1)"/>
      <w:numFmt w:val="lowerLetter"/>
      <w:start w:val="1"/>
    </w:lvl>
  </w:abstractNum>
  <w:abstractNum w:abstractNumId="449">
    <w:nsid w:val="61C30361"/>
    <w:multiLevelType w:val="hybridMultilevel"/>
    <w:lvl w:ilvl="0">
      <w:lvlJc w:val="left"/>
      <w:lvlText w:val="(%1)"/>
      <w:numFmt w:val="lowerLetter"/>
      <w:start w:val="1"/>
    </w:lvl>
  </w:abstractNum>
  <w:abstractNum w:abstractNumId="450">
    <w:nsid w:val="632099E0"/>
    <w:multiLevelType w:val="hybridMultilevel"/>
    <w:lvl w:ilvl="0">
      <w:lvlJc w:val="left"/>
      <w:lvlText w:val="(%1)"/>
      <w:numFmt w:val="lowerLetter"/>
      <w:start w:val="1"/>
    </w:lvl>
  </w:abstractNum>
  <w:abstractNum w:abstractNumId="451">
    <w:nsid w:val="24639756"/>
    <w:multiLevelType w:val="hybridMultilevel"/>
    <w:lvl w:ilvl="0">
      <w:lvlJc w:val="left"/>
      <w:lvlText w:val="(%1)"/>
      <w:numFmt w:val="lowerLetter"/>
      <w:start w:val="2"/>
    </w:lvl>
  </w:abstractNum>
  <w:abstractNum w:abstractNumId="452">
    <w:nsid w:val="9D30DFD"/>
    <w:multiLevelType w:val="hybridMultilevel"/>
    <w:lvl w:ilvl="0">
      <w:lvlJc w:val="left"/>
      <w:lvlText w:val="(%1)"/>
      <w:numFmt w:val="lowerLetter"/>
      <w:start w:val="1"/>
    </w:lvl>
  </w:abstractNum>
  <w:abstractNum w:abstractNumId="453">
    <w:nsid w:val="70A42016"/>
    <w:multiLevelType w:val="hybridMultilevel"/>
    <w:lvl w:ilvl="0">
      <w:lvlJc w:val="left"/>
      <w:lvlText w:val="•"/>
      <w:numFmt w:val="bullet"/>
      <w:start w:val="1"/>
    </w:lvl>
  </w:abstractNum>
  <w:abstractNum w:abstractNumId="454">
    <w:nsid w:val="161BC243"/>
    <w:multiLevelType w:val="hybridMultilevel"/>
    <w:lvl w:ilvl="0">
      <w:lvlJc w:val="left"/>
      <w:lvlText w:val="(%1)"/>
      <w:numFmt w:val="lowerLetter"/>
      <w:start w:val="1"/>
    </w:lvl>
  </w:abstractNum>
  <w:abstractNum w:abstractNumId="455">
    <w:nsid w:val="16E908C8"/>
    <w:multiLevelType w:val="hybridMultilevel"/>
    <w:lvl w:ilvl="0">
      <w:lvlJc w:val="left"/>
      <w:lvlText w:val="(%1)"/>
      <w:numFmt w:val="lowerLetter"/>
      <w:start w:val="4"/>
    </w:lvl>
  </w:abstractNum>
  <w:abstractNum w:abstractNumId="456">
    <w:nsid w:val="2E0D7671"/>
    <w:multiLevelType w:val="hybridMultilevel"/>
    <w:lvl w:ilvl="0">
      <w:lvlJc w:val="left"/>
      <w:lvlText w:val="(%1)"/>
      <w:numFmt w:val="lowerRoman"/>
      <w:start w:val="3"/>
    </w:lvl>
  </w:abstractNum>
  <w:abstractNum w:abstractNumId="457">
    <w:nsid w:val="38B59EFF"/>
    <w:multiLevelType w:val="hybridMultilevel"/>
    <w:lvl w:ilvl="0">
      <w:lvlJc w:val="left"/>
      <w:lvlText w:val="(%1)"/>
      <w:numFmt w:val="lowerLetter"/>
      <w:start w:val="1"/>
    </w:lvl>
  </w:abstractNum>
  <w:abstractNum w:abstractNumId="458">
    <w:nsid w:val="307995CA"/>
    <w:multiLevelType w:val="hybridMultilevel"/>
    <w:lvl w:ilvl="0">
      <w:lvlJc w:val="left"/>
      <w:lvlText w:val="(%1)"/>
      <w:numFmt w:val="lowerLetter"/>
      <w:start w:val="1"/>
    </w:lvl>
  </w:abstractNum>
  <w:abstractNum w:abstractNumId="459">
    <w:nsid w:val="52E2024D"/>
    <w:multiLevelType w:val="hybridMultilevel"/>
    <w:lvl w:ilvl="0">
      <w:lvlJc w:val="left"/>
      <w:lvlText w:val="(%1)"/>
      <w:numFmt w:val="lowerLetter"/>
      <w:start w:val="1"/>
    </w:lvl>
  </w:abstractNum>
  <w:abstractNum w:abstractNumId="460">
    <w:nsid w:val="CE344B5"/>
    <w:multiLevelType w:val="hybridMultilevel"/>
    <w:lvl w:ilvl="0">
      <w:lvlJc w:val="left"/>
      <w:lvlText w:val="%1."/>
      <w:numFmt w:val="decimal"/>
      <w:start w:val="4"/>
    </w:lvl>
  </w:abstractNum>
  <w:abstractNum w:abstractNumId="461">
    <w:nsid w:val="29B0E9A8"/>
    <w:multiLevelType w:val="hybridMultilevel"/>
    <w:lvl w:ilvl="0">
      <w:lvlJc w:val="left"/>
      <w:lvlText w:val="(%1)"/>
      <w:numFmt w:val="lowerLetter"/>
      <w:start w:val="1"/>
    </w:lvl>
  </w:abstractNum>
  <w:abstractNum w:abstractNumId="462">
    <w:nsid w:val="6F49CD8A"/>
    <w:multiLevelType w:val="hybridMultilevel"/>
    <w:lvl w:ilvl="0">
      <w:lvlJc w:val="left"/>
      <w:lvlText w:val="(%1)"/>
      <w:numFmt w:val="lowerLetter"/>
      <w:start w:val="3"/>
    </w:lvl>
  </w:abstractNum>
  <w:abstractNum w:abstractNumId="463">
    <w:nsid w:val="4DC5D907"/>
    <w:multiLevelType w:val="hybridMultilevel"/>
    <w:lvl w:ilvl="0">
      <w:lvlJc w:val="left"/>
      <w:lvlText w:val="(%1)"/>
      <w:numFmt w:val="lowerLetter"/>
      <w:start w:val="1"/>
    </w:lvl>
    <w:lvl w:ilvl="1">
      <w:lvlJc w:val="left"/>
      <w:lvlText w:val="(%2)"/>
      <w:numFmt w:val="lowerRoman"/>
      <w:start w:val="1"/>
    </w:lvl>
  </w:abstractNum>
  <w:abstractNum w:abstractNumId="464">
    <w:nsid w:val="D55945E"/>
    <w:multiLevelType w:val="hybridMultilevel"/>
    <w:lvl w:ilvl="0">
      <w:lvlJc w:val="left"/>
      <w:lvlText w:val="%1"/>
      <w:numFmt w:val="lowerLetter"/>
      <w:start w:val="1"/>
    </w:lvl>
    <w:lvl w:ilvl="1">
      <w:lvlJc w:val="left"/>
      <w:lvlText w:val="(%2)"/>
      <w:numFmt w:val="lowerRoman"/>
      <w:start w:val="4"/>
    </w:lvl>
  </w:abstractNum>
  <w:abstractNum w:abstractNumId="465">
    <w:nsid w:val="672417E1"/>
    <w:multiLevelType w:val="hybridMultilevel"/>
    <w:lvl w:ilvl="0">
      <w:lvlJc w:val="left"/>
      <w:lvlText w:val="(%1)"/>
      <w:numFmt w:val="lowerLetter"/>
      <w:start w:val="2"/>
    </w:lvl>
    <w:lvl w:ilvl="1">
      <w:lvlJc w:val="left"/>
      <w:lvlText w:val="(%2)"/>
      <w:numFmt w:val="lowerRoman"/>
      <w:start w:val="1"/>
    </w:lvl>
  </w:abstractNum>
  <w:abstractNum w:abstractNumId="466">
    <w:nsid w:val="5FF6CA09"/>
    <w:multiLevelType w:val="hybridMultilevel"/>
    <w:lvl w:ilvl="0">
      <w:lvlJc w:val="left"/>
      <w:lvlText w:val="(%1)"/>
      <w:numFmt w:val="lowerLetter"/>
      <w:start w:val="4"/>
    </w:lvl>
  </w:abstractNum>
  <w:abstractNum w:abstractNumId="467">
    <w:nsid w:val="330B1333"/>
    <w:multiLevelType w:val="hybridMultilevel"/>
    <w:lvl w:ilvl="0">
      <w:lvlJc w:val="left"/>
      <w:lvlText w:val="(%1)"/>
      <w:numFmt w:val="lowerLetter"/>
      <w:start w:val="1"/>
    </w:lvl>
  </w:abstractNum>
  <w:abstractNum w:abstractNumId="468">
    <w:nsid w:val="2EF32EA6"/>
    <w:multiLevelType w:val="hybridMultilevel"/>
    <w:lvl w:ilvl="0">
      <w:lvlJc w:val="left"/>
      <w:lvlText w:val="(%1)"/>
      <w:numFmt w:val="lowerLetter"/>
      <w:start w:val="1"/>
    </w:lvl>
  </w:abstractNum>
  <w:abstractNum w:abstractNumId="469">
    <w:nsid w:val="32766A55"/>
    <w:multiLevelType w:val="hybridMultilevel"/>
    <w:lvl w:ilvl="0">
      <w:lvlJc w:val="left"/>
      <w:lvlText w:val="(%1)"/>
      <w:numFmt w:val="lowerLetter"/>
      <w:start w:val="2"/>
    </w:lvl>
  </w:abstractNum>
  <w:abstractNum w:abstractNumId="470">
    <w:nsid w:val="22D71957"/>
    <w:multiLevelType w:val="hybridMultilevel"/>
    <w:lvl w:ilvl="0">
      <w:lvlJc w:val="left"/>
      <w:lvlText w:val="(%1)"/>
      <w:numFmt w:val="lowerLetter"/>
      <w:start w:val="1"/>
    </w:lvl>
  </w:abstractNum>
  <w:abstractNum w:abstractNumId="471">
    <w:nsid w:val="4CC1263B"/>
    <w:multiLevelType w:val="hybridMultilevel"/>
    <w:lvl w:ilvl="0">
      <w:lvlJc w:val="left"/>
      <w:lvlText w:val="(%1)"/>
      <w:numFmt w:val="lowerLetter"/>
      <w:start w:val="3"/>
    </w:lvl>
  </w:abstractNum>
  <w:abstractNum w:abstractNumId="472">
    <w:nsid w:val="8BBEB1D"/>
    <w:multiLevelType w:val="hybridMultilevel"/>
    <w:lvl w:ilvl="0">
      <w:lvlJc w:val="left"/>
      <w:lvlText w:val="(%1)"/>
      <w:numFmt w:val="decimal"/>
      <w:start w:val="1"/>
    </w:lvl>
  </w:abstractNum>
  <w:abstractNum w:abstractNumId="473">
    <w:nsid w:val="7365F1EE"/>
    <w:multiLevelType w:val="hybridMultilevel"/>
    <w:lvl w:ilvl="0">
      <w:lvlJc w:val="left"/>
      <w:lvlText w:val="(%1)"/>
      <w:numFmt w:val="lowerLetter"/>
      <w:start w:val="1"/>
    </w:lvl>
  </w:abstractNum>
  <w:abstractNum w:abstractNumId="474">
    <w:nsid w:val="37524CF0"/>
    <w:multiLevelType w:val="hybridMultilevel"/>
    <w:lvl w:ilvl="0">
      <w:lvlJc w:val="left"/>
      <w:lvlText w:val="(%1)"/>
      <w:numFmt w:val="lowerLetter"/>
      <w:start w:val="1"/>
    </w:lvl>
  </w:abstractNum>
  <w:abstractNum w:abstractNumId="475">
    <w:nsid w:val="70CC332F"/>
    <w:multiLevelType w:val="hybridMultilevel"/>
    <w:lvl w:ilvl="0">
      <w:lvlJc w:val="left"/>
      <w:lvlText w:val="(%1)"/>
      <w:numFmt w:val="lowerLetter"/>
      <w:start w:val="3"/>
    </w:lvl>
  </w:abstractNum>
  <w:abstractNum w:abstractNumId="476">
    <w:nsid w:val="5661786E"/>
    <w:multiLevelType w:val="hybridMultilevel"/>
    <w:lvl w:ilvl="0">
      <w:lvlJc w:val="left"/>
      <w:lvlText w:val="(%1)"/>
      <w:numFmt w:val="lowerLetter"/>
      <w:start w:val="1"/>
    </w:lvl>
  </w:abstractNum>
  <w:abstractNum w:abstractNumId="477">
    <w:nsid w:val="3AF6A220"/>
    <w:multiLevelType w:val="hybridMultilevel"/>
    <w:lvl w:ilvl="0">
      <w:lvlJc w:val="left"/>
      <w:lvlText w:val="•"/>
      <w:numFmt w:val="bullet"/>
      <w:start w:val="1"/>
    </w:lvl>
  </w:abstractNum>
  <w:abstractNum w:abstractNumId="478">
    <w:nsid w:val="3C5EA90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jpe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2020-06-26T15:38:30Z</dcterms:created>
  <dcterms:modified xsi:type="dcterms:W3CDTF">2020-06-26T15:38:30Z</dcterms:modified>
</cp:coreProperties>
</file>