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9"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59"/>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3"/>
                <w:szCs w:val="13"/>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5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1"/>
                <w:szCs w:val="21"/>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6"/>
                <w:szCs w:val="16"/>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0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On November 7, 2024, ALX Oncology Holdings Inc. (the "Company"), issued a press release announcing its financial results for the third quarter ended September 30, 2024. A copy of this press release is furnished as Exhibit 99.1 to this Current Report on Form 8-K and is incorporated herein by reference.</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Financial Officer</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November 5, 2024, Peter Garcia, Chief Financial Officer of the Company informed the Company of his resignation from his position effective November 8, 2024, due to personal reasons. Mr. Garcia’s resignation is not the result of any disagreement with the Company related to its operations, policies, or practices. The Company has commenced a search for a new Chief Financial Officer. The Company thanks Mr. Garcia for his dedication over many years of service to the Company in pursuing its mission of helping patients fight cancer.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Interim Chief Financial Officer</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November 7, 2024, the Board of Directors (the “Board”) of the Company appointed Shelly Pinto, the Company’s Senior Vice President, Finance and Chief Accounting Officer, as the Company’s interim Chief Financial Officer, effective upon Mr. Garcia’s resignation. In this position, Ms. Pinto will serve as the principal financial officer of the Company as such term is used for purposes of the rules and regulations of the Securities and Exchange Commission (“SEC”).</w:t>
      </w:r>
    </w:p>
    <w:p>
      <w:pPr>
        <w:spacing w:after="0" w:line="72"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For Ms. Pinto’s biographical information, see the disclosure included under the heading “Executive Officers” included in the Company’s definitive proxy statement for the 2024 annual meeting of stockholders filed with the SEC on April 22, 2024, which disclosure is incorporated by reference herein.</w:t>
      </w:r>
    </w:p>
    <w:p>
      <w:pPr>
        <w:spacing w:after="0" w:line="3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Ms. Pinto is continuing under the terms of her existing compensation arrangement with the Company. There are no arrangements or understandings between Ms. Pinto and any other persons in connection with Ms. Pinto’s appointment as the Interim Chief Financial Officer and the principal financial officer. Ms. Pinto does not have any family relationships with any directors or officers of the Company. Ms. Pinto is not a party to any transaction, or series of transactions, required to be disclosed pursuant to Item 404(a) of Regulation S-K.</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460" w:type="dxa"/>
            <w:vAlign w:val="bottom"/>
            <w:vMerge w:val="restart"/>
          </w:tcPr>
          <w:p>
            <w:pPr>
              <w:jc w:val="right"/>
              <w:ind w:right="4728"/>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7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November 7, 2024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61"/>
        </w:trPr>
        <w:tc>
          <w:tcPr>
            <w:tcW w:w="800" w:type="dxa"/>
            <w:vAlign w:val="bottom"/>
          </w:tcPr>
          <w:p>
            <w:pPr>
              <w:spacing w:after="0"/>
              <w:rPr>
                <w:sz w:val="24"/>
                <w:szCs w:val="24"/>
                <w:color w:val="auto"/>
              </w:rPr>
            </w:pPr>
          </w:p>
        </w:tc>
        <w:tc>
          <w:tcPr>
            <w:tcW w:w="10440" w:type="dxa"/>
            <w:vAlign w:val="bottom"/>
            <w:gridSpan w:val="4"/>
          </w:tcPr>
          <w:p>
            <w:pPr>
              <w:jc w:val="right"/>
              <w:ind w:right="550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1817370"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73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ALX Oncology Reports Third Quarter 2024 Financial Results and Provides Corporate Update</w:t>
      </w:r>
    </w:p>
    <w:p>
      <w:pPr>
        <w:spacing w:after="0" w:line="30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November 7, 2024 (GLOBE NEWSWIRE) -- </w:t>
      </w:r>
      <w:r>
        <w:rPr>
          <w:rFonts w:ascii="Times New Roman" w:cs="Times New Roman" w:eastAsia="Times New Roman" w:hAnsi="Times New Roman"/>
          <w:sz w:val="20"/>
          <w:szCs w:val="20"/>
          <w:color w:val="auto"/>
        </w:rPr>
        <w:t>ALX Oncology Holdings Inc., (“ALX Oncology”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(Nasdaq: ALXO), a clinical-stage biotechnology company advancing therapies that boost the immune system to treat cancer in new ways and extend patients’ lives, today reported financial results for the third quarter ended September 30, 2024, and provided a corporate update.</w:t>
      </w:r>
    </w:p>
    <w:p>
      <w:pPr>
        <w:spacing w:after="0" w:line="19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“We made substantial clinical progress during the third quarter, most notably announcing topline data from our ASPEN-06 Phase 2 trial in which our lead candidate evorpacept became the first and only CD47-blocking agent to show a durable clinical benefit and a well-tolerated safety profile in a prospective randomized clinical trial,” said Jason Lettmann, Chief Executive Officer of ALX Oncology. “These results provided further validation for evorpacept’s novel mechanism of action and our robust evorpacept clinical program. We anticipate achieving several additional clinical milestones in the near-term that could advance evorpacept towards being a best-in-class, combinable therapeutic across a wide range of cancer types.”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2024 Highlights and Recent Developments</w:t>
      </w:r>
    </w:p>
    <w:p>
      <w:pPr>
        <w:spacing w:after="0" w:line="112" w:lineRule="exact"/>
        <w:rPr>
          <w:sz w:val="20"/>
          <w:szCs w:val="20"/>
          <w:color w:val="auto"/>
        </w:rPr>
      </w:pPr>
    </w:p>
    <w:p>
      <w:pPr>
        <w:ind w:left="1020" w:right="240" w:hanging="503"/>
        <w:spacing w:after="0" w:line="266" w:lineRule="auto"/>
        <w:tabs>
          <w:tab w:leader="none" w:pos="102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Reported topline data results in July from the multi-center, international ASPEN-06 Phase 2 clinical trial (NCT05002127) evaluating evorpacept in combination with HERCEPTIN® (trastuzumab), CYRAMZA® (ramucirumab) and paclitaxel (Evo-TRP) against trastuzumab, CYRAMZA (ramucirumab) and paclitaxel (TRP) for the treatment of patients with HER2-positive gastric/gastroesophageal junction (GEJ) cancer, where all patients had received an anti-HER2 agent in prior lines of therapy.</w:t>
      </w:r>
    </w:p>
    <w:p>
      <w:pPr>
        <w:spacing w:after="0" w:line="57" w:lineRule="exact"/>
        <w:rPr>
          <w:rFonts w:ascii="Times New Roman" w:cs="Times New Roman" w:eastAsia="Times New Roman" w:hAnsi="Times New Roman"/>
          <w:sz w:val="19"/>
          <w:szCs w:val="19"/>
          <w:color w:val="auto"/>
        </w:rPr>
      </w:pPr>
    </w:p>
    <w:p>
      <w:pPr>
        <w:ind w:left="1540" w:right="260" w:hanging="509"/>
        <w:spacing w:after="0" w:line="29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Evorpacept improved tumor response in patients with HER2-positive gastric/GEJ cancer, becoming the first CD47 blocker to show promising and durable response with a well-tolerated safety profile in a prospective randomized study.</w:t>
      </w:r>
    </w:p>
    <w:p>
      <w:pPr>
        <w:spacing w:after="0" w:line="29" w:lineRule="exact"/>
        <w:rPr>
          <w:rFonts w:ascii="Times New Roman" w:cs="Times New Roman" w:eastAsia="Times New Roman" w:hAnsi="Times New Roman"/>
          <w:sz w:val="19"/>
          <w:szCs w:val="19"/>
          <w:color w:val="auto"/>
        </w:rPr>
      </w:pPr>
    </w:p>
    <w:p>
      <w:pPr>
        <w:ind w:left="1540" w:hanging="509"/>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oEvo-TRP achieved a confirmed overall response rate (ORR) of 40.3% compared to 26.6% for the TRP control arm and demonstrated a median duration of response of 15.7 months compared to 7.6 months in the intent to treat population (ITT) (N=127). The primary analysis of the ITT compared Evo-TRP to an assumed RP control ORR of 30% Secondary endpoints of PFS and OS were immature at the time of analysis.</w:t>
      </w:r>
    </w:p>
    <w:p>
      <w:pPr>
        <w:spacing w:after="0" w:line="71" w:lineRule="exact"/>
        <w:rPr>
          <w:rFonts w:ascii="Times New Roman" w:cs="Times New Roman" w:eastAsia="Times New Roman" w:hAnsi="Times New Roman"/>
          <w:sz w:val="19"/>
          <w:szCs w:val="19"/>
          <w:color w:val="auto"/>
        </w:rPr>
      </w:pPr>
    </w:p>
    <w:p>
      <w:pPr>
        <w:ind w:left="1540" w:hanging="509"/>
        <w:spacing w:after="0" w:line="26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oEvo-TRP combination showed the greatest response with an ORR of 54.8% compared to 23.1% in the TRP control arm in a pre-specified population of patients with fresh HER2-positive biopsies (n=48).</w:t>
      </w:r>
    </w:p>
    <w:p>
      <w:pPr>
        <w:spacing w:after="0" w:line="51" w:lineRule="exact"/>
        <w:rPr>
          <w:rFonts w:ascii="Times New Roman" w:cs="Times New Roman" w:eastAsia="Times New Roman" w:hAnsi="Times New Roman"/>
          <w:sz w:val="19"/>
          <w:szCs w:val="19"/>
          <w:color w:val="auto"/>
        </w:rPr>
      </w:pPr>
    </w:p>
    <w:p>
      <w:pPr>
        <w:ind w:left="1020" w:right="160" w:hanging="503"/>
        <w:spacing w:after="0" w:line="254"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commenced patient dosing to investigate evorpacept plus SARCLISA® (isatuximab-irfc) and dexamethasone in patients with relapsed or refractory multiple myeloma (RRMM) in the Sanofi-partnered arm of the randomized UMBRELLA phase 1/2 clinical study.</w:t>
      </w:r>
    </w:p>
    <w:p>
      <w:pPr>
        <w:spacing w:after="0" w:line="66" w:lineRule="exact"/>
        <w:rPr>
          <w:sz w:val="20"/>
          <w:szCs w:val="20"/>
          <w:color w:val="auto"/>
        </w:rPr>
      </w:pPr>
    </w:p>
    <w:p>
      <w:pPr>
        <w:jc w:val="both"/>
        <w:ind w:left="1540" w:right="120" w:hanging="514"/>
        <w:spacing w:after="0" w:line="254"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Sanofi is conducting the two-part multicenter, randomized, open-label, controlled, parallel-group study (NCT04643002) to evaluate the safety, efficacy, pharmacokinetics and biomarker data of evorpacept in combination with SARCLISA and dexamethasone in patients with RRMM.</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4" w:name="page5"/>
    <w:bookmarkEnd w:id="4"/>
    <w:p>
      <w:pPr>
        <w:spacing w:after="0" w:line="81" w:lineRule="exact"/>
        <w:rPr>
          <w:sz w:val="20"/>
          <w:szCs w:val="20"/>
          <w:color w:val="auto"/>
        </w:rPr>
      </w:pPr>
    </w:p>
    <w:p>
      <w:pPr>
        <w:ind w:left="1540" w:right="300" w:hanging="514"/>
        <w:spacing w:after="0" w:line="269" w:lineRule="auto"/>
        <w:tabs>
          <w:tab w:leader="none" w:pos="15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 1 is evaluating the dosing of evorpacept in combination with standard doses of SARCLISA and dexamethasone to identify a recommended evorpacept dose.</w:t>
      </w:r>
    </w:p>
    <w:p>
      <w:pPr>
        <w:spacing w:after="0" w:line="51" w:lineRule="exact"/>
        <w:rPr>
          <w:rFonts w:ascii="Times New Roman" w:cs="Times New Roman" w:eastAsia="Times New Roman" w:hAnsi="Times New Roman"/>
          <w:sz w:val="20"/>
          <w:szCs w:val="20"/>
          <w:color w:val="auto"/>
        </w:rPr>
      </w:pPr>
    </w:p>
    <w:p>
      <w:pPr>
        <w:ind w:left="1540" w:right="260" w:hanging="514"/>
        <w:spacing w:after="0" w:line="269" w:lineRule="auto"/>
        <w:tabs>
          <w:tab w:leader="none" w:pos="15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 2 is investigating the efficacy and safety of this three-drug combination in an expanded population of patients with RRMM.</w:t>
      </w:r>
    </w:p>
    <w:p>
      <w:pPr>
        <w:spacing w:after="0" w:line="51" w:lineRule="exact"/>
        <w:rPr>
          <w:rFonts w:ascii="Times New Roman" w:cs="Times New Roman" w:eastAsia="Times New Roman" w:hAnsi="Times New Roman"/>
          <w:sz w:val="20"/>
          <w:szCs w:val="20"/>
          <w:color w:val="auto"/>
        </w:rPr>
      </w:pPr>
    </w:p>
    <w:p>
      <w:pPr>
        <w:ind w:left="1020" w:right="500" w:hanging="503"/>
        <w:spacing w:after="0" w:line="269"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August, enhanced the leadership team by appointing Alan Sandler, M.D. to Board of Directors, a distinguished leader in oncology and drug development with over 30 years of experience across industry and academia.</w:t>
      </w:r>
    </w:p>
    <w:p>
      <w:pPr>
        <w:spacing w:after="0" w:line="51" w:lineRule="exact"/>
        <w:rPr>
          <w:rFonts w:ascii="Times New Roman" w:cs="Times New Roman" w:eastAsia="Times New Roman" w:hAnsi="Times New Roman"/>
          <w:sz w:val="20"/>
          <w:szCs w:val="20"/>
          <w:color w:val="auto"/>
        </w:rPr>
      </w:pPr>
    </w:p>
    <w:p>
      <w:pPr>
        <w:ind w:left="1540" w:right="100" w:hanging="514"/>
        <w:spacing w:after="0" w:line="249" w:lineRule="auto"/>
        <w:tabs>
          <w:tab w:leader="none" w:pos="15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Sandler’s industry background includes serving as Executive Vice President, Chief Medical Officer at Mirati Therapeutics, prior to its acquisition by Bristol Myers Squibb. Before joining Mirati, he served as President, Global Head of Development in Oncology at Zai Lab, and prior to that, he was the Senior Vice President and Global Head, Product Development of Oncology Solid Tumors at Genentech, a member of the Roche Group.</w:t>
      </w:r>
    </w:p>
    <w:p>
      <w:pPr>
        <w:spacing w:after="0" w:line="7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at the 2024 Cantor Fitzgerald Global Healthcare Conference in New York City in September.</w:t>
      </w:r>
    </w:p>
    <w:p>
      <w:pPr>
        <w:spacing w:after="0" w:line="107"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Participated in fireside chat with Analyst, Li Watsek and conducted investor meetings.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Upcoming Clinical Milestones for Evorpacept’s Development Pipeline</w:t>
      </w:r>
    </w:p>
    <w:p>
      <w:pPr>
        <w:spacing w:after="0" w:line="112" w:lineRule="exact"/>
        <w:rPr>
          <w:sz w:val="20"/>
          <w:szCs w:val="20"/>
          <w:color w:val="auto"/>
        </w:rPr>
      </w:pPr>
    </w:p>
    <w:p>
      <w:pPr>
        <w:jc w:val="both"/>
        <w:ind w:left="1020" w:hanging="503"/>
        <w:spacing w:after="0" w:line="254"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Breast Cancer – Results from a Phase 1b/2 combination trial evaluating evorpacept in combination with Jazz Pharmaceuticals’ zanidatamab in HER2-positive and HER2-low metastatic breast cancer will be presented at a poster spotlight presentation at the San Antonio Breast Cancer Symposium on December 12, 2024</w:t>
      </w:r>
    </w:p>
    <w:p>
      <w:pPr>
        <w:spacing w:after="0" w:line="6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Gastric/GEJ Cancer – Updated results of ASPEN-06 Phase 2 clinical trial (1H 2025)</w:t>
      </w:r>
    </w:p>
    <w:p>
      <w:pPr>
        <w:spacing w:after="0" w:line="10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 and Neck Squamous Cell Carcinoma – Topline results from a Phase 2 randomized clinical trial of ASPEN-03 with KEYTRUDA® (pembrolizumab) (1H 2025)</w:t>
      </w:r>
    </w:p>
    <w:p>
      <w:pPr>
        <w:spacing w:after="0" w:line="5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 and Neck Squamous Cell Carcinoma – Topline results from a Phase 2 randomized clinical trial of ASPEN-04 with KEYTRUDA and chemotherapy (1H 2025)</w:t>
      </w:r>
    </w:p>
    <w:p>
      <w:pPr>
        <w:spacing w:after="0" w:line="5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Urothelial Cancer – Updated results from a Phase 1 clinical trial of ASPEN-07 in combination with PADCEV® (enfortumab vedotin) (1H 2025)</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Gastric/GEJ Cancer – Initiation of Phase 3 registrational randomized clinical trial for evorpacept (mid-2025)</w:t>
      </w:r>
    </w:p>
    <w:p>
      <w:pPr>
        <w:spacing w:after="0" w:line="10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Breast Cancer – Topline results from a Phase 1b I-SPY TRIAL with ENHERTU® (fam-trastuzumab deruxtecan-nxki) (2H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2024 Financial Results:</w:t>
      </w:r>
    </w:p>
    <w:p>
      <w:pPr>
        <w:spacing w:after="0" w:line="108" w:lineRule="exact"/>
        <w:rPr>
          <w:sz w:val="20"/>
          <w:szCs w:val="20"/>
          <w:color w:val="auto"/>
        </w:rPr>
      </w:pPr>
    </w:p>
    <w:p>
      <w:pPr>
        <w:ind w:left="760" w:right="120" w:hanging="378"/>
        <w:spacing w:after="0" w:line="256"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Cash, Cash Equivalents and Investments: </w:t>
      </w:r>
      <w:r>
        <w:rPr>
          <w:rFonts w:ascii="Times New Roman" w:cs="Times New Roman" w:eastAsia="Times New Roman" w:hAnsi="Times New Roman"/>
          <w:sz w:val="20"/>
          <w:szCs w:val="20"/>
          <w:color w:val="auto"/>
        </w:rPr>
        <w:t>Cash, cash equivalents and investments as of September 30, 2024, were $162.6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The Company believes its cash, cash equivalents and investments, which includes the proceeds from sales under its at-the-market (“ATM”) offering in the first half of 2024 are sufficient to fund planned operations well into Q1 2026.</w:t>
      </w:r>
    </w:p>
    <w:p>
      <w:pPr>
        <w:spacing w:after="0" w:line="60" w:lineRule="exact"/>
        <w:rPr>
          <w:rFonts w:ascii="Times New Roman" w:cs="Times New Roman" w:eastAsia="Times New Roman" w:hAnsi="Times New Roman"/>
          <w:sz w:val="20"/>
          <w:szCs w:val="20"/>
          <w:color w:val="auto"/>
        </w:rPr>
      </w:pPr>
    </w:p>
    <w:p>
      <w:pPr>
        <w:ind w:left="760" w:right="200" w:hanging="378"/>
        <w:spacing w:after="0" w:line="246"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consist primarily of pre-clinical, clinical and manufacturing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related to the development of the Company’s current lead product candidate, evorpacept, and R&amp;D employee-related expenses. These expenses for the three months ended September 30, 2024, were $26.5 million, compared to $45.8 million for the prior-year period. R&amp;D expenses decreased by $19.3 million during the three months ended September 30, 2024, compared to the three months ended September 30, 2023. Lower expense was primarily attributable to a decrease of $22.2 million in clinical and development costs primarily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1" w:lineRule="exact"/>
        <w:rPr>
          <w:sz w:val="20"/>
          <w:szCs w:val="20"/>
          <w:color w:val="auto"/>
        </w:rPr>
      </w:pPr>
    </w:p>
    <w:p>
      <w:pPr>
        <w:jc w:val="both"/>
        <w:ind w:left="760" w:right="200"/>
        <w:spacing w:after="0" w:line="254" w:lineRule="auto"/>
        <w:rPr>
          <w:sz w:val="20"/>
          <w:szCs w:val="20"/>
          <w:color w:val="auto"/>
        </w:rPr>
      </w:pPr>
      <w:r>
        <w:rPr>
          <w:rFonts w:ascii="Times New Roman" w:cs="Times New Roman" w:eastAsia="Times New Roman" w:hAnsi="Times New Roman"/>
          <w:sz w:val="20"/>
          <w:szCs w:val="20"/>
          <w:color w:val="auto"/>
        </w:rPr>
        <w:t>due to manufacturing of clinical trial materials to support active clinical trials for our lead product candidate, evorpacept, slightly offset by increased preclinical costs for development of new targets, an increase in personnel and related costs, and an increase in stock-based compensation expense.</w:t>
      </w:r>
    </w:p>
    <w:p>
      <w:pPr>
        <w:spacing w:after="0" w:line="62" w:lineRule="exact"/>
        <w:rPr>
          <w:sz w:val="20"/>
          <w:szCs w:val="20"/>
          <w:color w:val="auto"/>
        </w:rPr>
      </w:pPr>
    </w:p>
    <w:p>
      <w:pPr>
        <w:ind w:left="760" w:right="40" w:hanging="378"/>
        <w:spacing w:after="0" w:line="264" w:lineRule="auto"/>
        <w:tabs>
          <w:tab w:leader="none" w:pos="76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General and Administrative (“G&amp;A”) Expenses: </w:t>
      </w:r>
      <w:r>
        <w:rPr>
          <w:rFonts w:ascii="Times New Roman" w:cs="Times New Roman" w:eastAsia="Times New Roman" w:hAnsi="Times New Roman"/>
          <w:sz w:val="19"/>
          <w:szCs w:val="19"/>
          <w:color w:val="auto"/>
        </w:rPr>
        <w:t>G&amp;A expenses consist primarily of administrative employee-related expenses,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legal and other professional fees, patent filing and maintenance fees, and insurance. These expenses for the three months ended September 30, 2024, were $6.1 million, compared to $7.5 million for the prior year period. G&amp;A expenses decreased by $1.4 million during the three months ended September 30, 2024, compared to the three months ended September 30, 2023. The decrease was primarily attributable to lower stock-based compensation expense and lower accounting consulting costs.</w:t>
      </w:r>
    </w:p>
    <w:p>
      <w:pPr>
        <w:spacing w:after="0" w:line="53" w:lineRule="exact"/>
        <w:rPr>
          <w:rFonts w:ascii="Times New Roman" w:cs="Times New Roman" w:eastAsia="Times New Roman" w:hAnsi="Times New Roman"/>
          <w:sz w:val="19"/>
          <w:szCs w:val="19"/>
          <w:color w:val="auto"/>
        </w:rPr>
      </w:pPr>
    </w:p>
    <w:p>
      <w:pPr>
        <w:ind w:left="760" w:right="20" w:hanging="378"/>
        <w:spacing w:after="0" w:line="247" w:lineRule="auto"/>
        <w:tabs>
          <w:tab w:leader="none" w:pos="7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GAAP net loss was $30.7 million for the three months ended September 30, 2024, or ($0.58) per basic and diluted share,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compared to a GAAP net loss of $51.0 million for the three months ended September 30, 2023, or ($1.24) per basic and diluted share. Non-GAAP net loss was $23.7 million for the three months ended September 30, 2024, as compared to a non-GAAP net loss of $44.0 million for the three months ended September 30, 2023. A reconciliation of GAAP to non-GAAP financial results can be found at the end of this news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ALX Oncology (Nasdaq: ALXO) is a clinical-stage biotechnology company advancing therapies that boost the immune system to treat cancer in new ways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More information is available at www.alxoncology.com and on LinkedIn @ALX Oncology.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jc w:val="center"/>
        <w:ind w:right="40"/>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9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26,471</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45,766</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26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32,567</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111,854</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(32,567 )</w:t>
            </w:r>
          </w:p>
        </w:tc>
        <w:tc>
          <w:tcPr>
            <w:tcW w:w="4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(53,275 )</w:t>
            </w: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(111,854 )</w:t>
            </w:r>
          </w:p>
        </w:tc>
        <w:tc>
          <w:tcPr>
            <w:tcW w:w="4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(122,255 )</w:t>
            </w:r>
          </w:p>
        </w:tc>
        <w:tc>
          <w:tcPr>
            <w:tcW w:w="0" w:type="dxa"/>
            <w:vAlign w:val="bottom"/>
          </w:tcPr>
          <w:p>
            <w:pPr>
              <w:spacing w:after="0"/>
              <w:rPr>
                <w:sz w:val="1"/>
                <w:szCs w:val="1"/>
                <w:color w:val="auto"/>
              </w:rPr>
            </w:pPr>
          </w:p>
        </w:tc>
      </w:tr>
      <w:tr>
        <w:trPr>
          <w:trHeight w:val="239"/>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(446 )</w:t>
            </w:r>
          </w:p>
        </w:tc>
        <w:tc>
          <w:tcPr>
            <w:tcW w:w="4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(391 )</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(1,302 )</w:t>
            </w:r>
          </w:p>
        </w:tc>
        <w:tc>
          <w:tcPr>
            <w:tcW w:w="4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(1,150 )</w:t>
            </w:r>
          </w:p>
        </w:tc>
        <w:tc>
          <w:tcPr>
            <w:tcW w:w="0" w:type="dxa"/>
            <w:vAlign w:val="bottom"/>
          </w:tcPr>
          <w:p>
            <w:pPr>
              <w:spacing w:after="0"/>
              <w:rPr>
                <w:sz w:val="1"/>
                <w:szCs w:val="1"/>
                <w:color w:val="auto"/>
              </w:rPr>
            </w:pPr>
          </w:p>
        </w:tc>
      </w:tr>
      <w:tr>
        <w:trPr>
          <w:trHeight w:val="239"/>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(30,707 )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(50,990 )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(105,687 )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(115,333 )</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(0.58 )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(2.05 )</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used to compute net loss per shares, basic</w:t>
            </w:r>
          </w:p>
        </w:tc>
        <w:tc>
          <w:tcPr>
            <w:tcW w:w="34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52,693,878</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41,147,938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51,544,501</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40,963,015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-1585595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-1585595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-1585595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-633730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-616585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-633730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-616585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-633730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-616585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 Data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5900" w:type="dxa"/>
            <w:vAlign w:val="bottom"/>
          </w:tcPr>
          <w:p>
            <w:pPr>
              <w:spacing w:after="0"/>
              <w:rPr>
                <w:sz w:val="21"/>
                <w:szCs w:val="21"/>
                <w:color w:val="auto"/>
              </w:rPr>
            </w:pPr>
          </w:p>
        </w:tc>
        <w:tc>
          <w:tcPr>
            <w:tcW w:w="1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178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162,610</w:t>
            </w: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218,147</w:t>
            </w: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7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185,715</w:t>
            </w:r>
          </w:p>
        </w:tc>
        <w:tc>
          <w:tcPr>
            <w:tcW w:w="3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242,553</w:t>
            </w:r>
          </w:p>
        </w:tc>
        <w:tc>
          <w:tcPr>
            <w:tcW w:w="100" w:type="dxa"/>
            <w:vAlign w:val="bottom"/>
          </w:tcPr>
          <w:p>
            <w:pPr>
              <w:spacing w:after="0"/>
              <w:rPr>
                <w:sz w:val="20"/>
                <w:szCs w:val="20"/>
                <w:color w:val="auto"/>
              </w:rPr>
            </w:pPr>
          </w:p>
        </w:tc>
      </w:tr>
      <w:tr>
        <w:trPr>
          <w:trHeight w:val="247"/>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78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48,908</w:t>
            </w: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52,841</w:t>
            </w: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7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(591,959 )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(486,272 )</w:t>
            </w:r>
          </w:p>
        </w:tc>
      </w:tr>
      <w:tr>
        <w:trPr>
          <w:trHeight w:val="247"/>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8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136,807</w:t>
            </w: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189,712</w:t>
            </w:r>
          </w:p>
        </w:tc>
        <w:tc>
          <w:tcPr>
            <w:tcW w:w="100" w:type="dxa"/>
            <w:vAlign w:val="bottom"/>
            <w:shd w:val="clear" w:color="auto" w:fill="CFF0FC"/>
          </w:tcPr>
          <w:p>
            <w:pPr>
              <w:spacing w:after="0"/>
              <w:rPr>
                <w:sz w:val="21"/>
                <w:szCs w:val="21"/>
                <w:color w:val="auto"/>
              </w:rPr>
            </w:pPr>
          </w:p>
        </w:tc>
      </w:tr>
    </w:tbl>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GAAP to Non-GAAP Reconciliation</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(unaudited)</w:t>
      </w:r>
    </w:p>
    <w:p>
      <w:pPr>
        <w:ind w:left="5060"/>
        <w:spacing w:after="0"/>
        <w:rPr>
          <w:sz w:val="20"/>
          <w:szCs w:val="20"/>
          <w:color w:val="auto"/>
        </w:rPr>
      </w:pPr>
      <w:r>
        <w:rPr>
          <w:rFonts w:ascii="Times New Roman" w:cs="Times New Roman" w:eastAsia="Times New Roman" w:hAnsi="Times New Roman"/>
          <w:sz w:val="20"/>
          <w:szCs w:val="20"/>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9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44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GAAP net loss, as reported</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(30,707 )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(50,990 )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(105,687 )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(115,333 )</w:t>
            </w:r>
          </w:p>
        </w:tc>
      </w:tr>
      <w:tr>
        <w:trPr>
          <w:trHeight w:val="239"/>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21,235</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100" w:type="dxa"/>
            <w:vAlign w:val="bottom"/>
            <w:shd w:val="clear" w:color="auto" w:fill="CFF0FC"/>
          </w:tcPr>
          <w:p>
            <w:pPr>
              <w:spacing w:after="0"/>
              <w:rPr>
                <w:sz w:val="21"/>
                <w:szCs w:val="21"/>
                <w:color w:val="auto"/>
              </w:rPr>
            </w:pPr>
          </w:p>
        </w:tc>
      </w:tr>
      <w:tr>
        <w:trPr>
          <w:trHeight w:val="239"/>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term loan discount and issuance costs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r>
      <w:tr>
        <w:trPr>
          <w:trHeight w:val="236"/>
        </w:trPr>
        <w:tc>
          <w:tcPr>
            <w:tcW w:w="4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(23,689 )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(43,963 )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(84,256 )</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(95,595 )</w:t>
            </w:r>
          </w:p>
        </w:tc>
      </w:tr>
      <w:tr>
        <w:trPr>
          <w:trHeight w:val="20"/>
        </w:trPr>
        <w:tc>
          <w:tcPr>
            <w:tcW w:w="4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4"/>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89"/>
              <w:spacing w:after="0"/>
              <w:rPr>
                <w:sz w:val="20"/>
                <w:szCs w:val="20"/>
                <w:color w:val="auto"/>
              </w:rPr>
            </w:pPr>
            <w:r>
              <w:rPr>
                <w:rFonts w:ascii="Times New Roman" w:cs="Times New Roman" w:eastAsia="Times New Roman" w:hAnsi="Times New Roman"/>
                <w:sz w:val="20"/>
                <w:szCs w:val="20"/>
                <w:color w:val="auto"/>
              </w:rPr>
              <w:t>4</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7"/>
        </w:trPr>
        <w:tc>
          <w:tcPr>
            <w:tcW w:w="4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-1036955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-1036955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-1036955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1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7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Company Contact: </w:t>
      </w:r>
      <w:r>
        <w:rPr>
          <w:rFonts w:ascii="Times New Roman" w:cs="Times New Roman" w:eastAsia="Times New Roman" w:hAnsi="Times New Roman"/>
          <w:sz w:val="20"/>
          <w:szCs w:val="20"/>
          <w:color w:val="auto"/>
        </w:rPr>
        <w:t>Caitlyn Doherty, Manager, Corporate Communications, ALX Oncology, cdoherty@alxoncology.com, (650) 466-7125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Investor Contact: </w:t>
      </w:r>
      <w:r>
        <w:rPr>
          <w:rFonts w:ascii="Times New Roman" w:cs="Times New Roman" w:eastAsia="Times New Roman" w:hAnsi="Times New Roman"/>
          <w:sz w:val="20"/>
          <w:szCs w:val="20"/>
          <w:color w:val="auto"/>
        </w:rPr>
        <w:t>Malini Chatterjee, Ph.D., Blueprint Life Science Group, mchatterjee@bplifescience.com, (917) 330-4269</w:t>
      </w:r>
    </w:p>
    <w:p>
      <w:pPr>
        <w:spacing w:after="0" w:line="216" w:lineRule="exact"/>
        <w:rPr>
          <w:sz w:val="20"/>
          <w:szCs w:val="20"/>
          <w:color w:val="auto"/>
        </w:rPr>
      </w:pPr>
    </w:p>
    <w:p>
      <w:pPr>
        <w:ind w:left="5580" w:right="3900" w:hanging="5565"/>
        <w:spacing w:after="0" w:line="385" w:lineRule="auto"/>
        <w:rPr>
          <w:sz w:val="20"/>
          <w:szCs w:val="20"/>
          <w:color w:val="auto"/>
        </w:rPr>
      </w:pPr>
      <w:r>
        <w:rPr>
          <w:rFonts w:ascii="Times New Roman" w:cs="Times New Roman" w:eastAsia="Times New Roman" w:hAnsi="Times New Roman"/>
          <w:sz w:val="20"/>
          <w:szCs w:val="20"/>
          <w:b w:val="1"/>
          <w:bCs w:val="1"/>
          <w:color w:val="auto"/>
        </w:rPr>
        <w:t xml:space="preserve">Media Contact: </w:t>
      </w:r>
      <w:r>
        <w:rPr>
          <w:rFonts w:ascii="Times New Roman" w:cs="Times New Roman" w:eastAsia="Times New Roman" w:hAnsi="Times New Roman"/>
          <w:sz w:val="20"/>
          <w:szCs w:val="20"/>
          <w:color w:val="auto"/>
        </w:rPr>
        <w:t>Audra Friis, Sam Brown, Inc., audrafriis@sambrown.com, (917) 519-9577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2024-11-07T15:26:36Z</dcterms:created>
  <dcterms:modified xsi:type="dcterms:W3CDTF">2024-11-07T15:26:36Z</dcterms:modified>
</cp:coreProperties>
</file>