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Vivo Capital IX,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6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VIVO CAPITAL LLC</w:t>
            </w:r>
          </w:p>
        </w:tc>
        <w:tc>
          <w:tcPr>
            <w:tcW w:w="0" w:type="dxa"/>
            <w:vAlign w:val="bottom"/>
          </w:tcPr>
          <w:p>
            <w:pPr>
              <w:spacing w:after="0"/>
              <w:rPr>
                <w:sz w:val="1"/>
                <w:szCs w:val="1"/>
                <w:color w:val="auto"/>
              </w:rPr>
            </w:pPr>
          </w:p>
        </w:tc>
      </w:tr>
      <w:tr>
        <w:trPr>
          <w:trHeight w:val="300"/>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5"/>
              </w:rPr>
              <w:t>192 LYTTON AVENUE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40"/>
              <w:spacing w:after="0"/>
              <w:rPr>
                <w:sz w:val="20"/>
                <w:szCs w:val="20"/>
                <w:color w:val="auto"/>
              </w:rPr>
            </w:pPr>
            <w:r>
              <w:rPr>
                <w:rFonts w:ascii="Arial" w:cs="Arial" w:eastAsia="Arial" w:hAnsi="Arial"/>
                <w:sz w:val="20"/>
                <w:szCs w:val="20"/>
                <w:color w:val="0000FF"/>
              </w:rPr>
              <w:t>PALO</w:t>
            </w:r>
          </w:p>
        </w:tc>
        <w:tc>
          <w:tcPr>
            <w:tcW w:w="1220" w:type="dxa"/>
            <w:vAlign w:val="bottom"/>
            <w:vMerge w:val="restart"/>
          </w:tcPr>
          <w:p>
            <w:pPr>
              <w:ind w:left="260"/>
              <w:spacing w:after="0"/>
              <w:rPr>
                <w:sz w:val="20"/>
                <w:szCs w:val="20"/>
                <w:color w:val="auto"/>
              </w:rPr>
            </w:pPr>
            <w:r>
              <w:rPr>
                <w:rFonts w:ascii="Arial" w:cs="Arial" w:eastAsia="Arial" w:hAnsi="Arial"/>
                <w:sz w:val="20"/>
                <w:szCs w:val="20"/>
                <w:color w:val="0000FF"/>
              </w:rPr>
              <w:t>CA</w:t>
            </w:r>
          </w:p>
        </w:tc>
        <w:tc>
          <w:tcPr>
            <w:tcW w:w="1080" w:type="dxa"/>
            <w:vAlign w:val="bottom"/>
            <w:vMerge w:val="restart"/>
          </w:tcPr>
          <w:p>
            <w:pPr>
              <w:ind w:left="80"/>
              <w:spacing w:after="0"/>
              <w:rPr>
                <w:sz w:val="20"/>
                <w:szCs w:val="20"/>
                <w:color w:val="auto"/>
              </w:rPr>
            </w:pPr>
            <w:r>
              <w:rPr>
                <w:rFonts w:ascii="Arial" w:cs="Arial" w:eastAsia="Arial" w:hAnsi="Arial"/>
                <w:sz w:val="20"/>
                <w:szCs w:val="20"/>
                <w:color w:val="0000FF"/>
              </w:rPr>
              <w:t>94301</w:t>
            </w:r>
          </w:p>
        </w:tc>
        <w:tc>
          <w:tcPr>
            <w:tcW w:w="0" w:type="dxa"/>
            <w:vAlign w:val="bottom"/>
          </w:tcPr>
          <w:p>
            <w:pPr>
              <w:spacing w:after="0"/>
              <w:rPr>
                <w:sz w:val="1"/>
                <w:szCs w:val="1"/>
                <w:color w:val="auto"/>
              </w:rPr>
            </w:pPr>
          </w:p>
        </w:tc>
      </w:tr>
      <w:tr>
        <w:trPr>
          <w:trHeight w:val="128"/>
        </w:trPr>
        <w:tc>
          <w:tcPr>
            <w:tcW w:w="800" w:type="dxa"/>
            <w:vAlign w:val="bottom"/>
            <w:vMerge w:val="restart"/>
          </w:tcPr>
          <w:p>
            <w:pPr>
              <w:ind w:left="40"/>
              <w:spacing w:after="0"/>
              <w:rPr>
                <w:sz w:val="20"/>
                <w:szCs w:val="20"/>
                <w:color w:val="auto"/>
              </w:rPr>
            </w:pPr>
            <w:r>
              <w:rPr>
                <w:rFonts w:ascii="Arial" w:cs="Arial" w:eastAsia="Arial" w:hAnsi="Arial"/>
                <w:sz w:val="20"/>
                <w:szCs w:val="20"/>
                <w:color w:val="0000FF"/>
              </w:rPr>
              <w:t>ALTO</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6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6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-8890</wp:posOffset>
            </wp:positionV>
            <wp:extent cx="6927850" cy="400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050"/>
                    </a:xfrm>
                    <a:prstGeom prst="rect">
                      <a:avLst/>
                    </a:prstGeom>
                    <a:noFill/>
                  </pic:spPr>
                </pic:pic>
              </a:graphicData>
            </a:graphic>
          </wp:anchor>
        </w:drawing>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780" w:type="dxa"/>
            <w:vAlign w:val="bottom"/>
            <w:gridSpan w:val="3"/>
          </w:tcPr>
          <w:p>
            <w:pPr>
              <w:ind w:left="80"/>
              <w:spacing w:after="0"/>
              <w:rPr>
                <w:sz w:val="20"/>
                <w:szCs w:val="20"/>
                <w:color w:val="auto"/>
              </w:rPr>
            </w:pPr>
            <w:r>
              <w:rPr>
                <w:rFonts w:ascii="Arial" w:cs="Arial" w:eastAsia="Arial" w:hAnsi="Arial"/>
                <w:sz w:val="20"/>
                <w:szCs w:val="20"/>
                <w:color w:val="0000FF"/>
                <w:w w:val="98"/>
              </w:rPr>
              <w:t>Series C Convertible Preferred</w:t>
            </w:r>
          </w:p>
        </w:tc>
        <w:tc>
          <w:tcPr>
            <w:tcW w:w="1440" w:type="dxa"/>
            <w:vAlign w:val="bottom"/>
            <w:vMerge w:val="restart"/>
          </w:tcPr>
          <w:p>
            <w:pPr>
              <w:ind w:left="600"/>
              <w:spacing w:after="0"/>
              <w:rPr>
                <w:sz w:val="20"/>
                <w:szCs w:val="20"/>
                <w:color w:val="auto"/>
              </w:rPr>
            </w:pPr>
            <w:r>
              <w:rPr>
                <w:rFonts w:ascii="Arial" w:cs="Arial" w:eastAsia="Arial" w:hAnsi="Arial"/>
                <w:sz w:val="13"/>
                <w:szCs w:val="13"/>
                <w:color w:val="008000"/>
              </w:rPr>
              <w:t>(1)</w:t>
            </w:r>
          </w:p>
        </w:tc>
        <w:tc>
          <w:tcPr>
            <w:tcW w:w="56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008000"/>
              </w:rPr>
              <w:t>(1)</w:t>
            </w:r>
          </w:p>
        </w:tc>
        <w:tc>
          <w:tcPr>
            <w:tcW w:w="2940" w:type="dxa"/>
            <w:vAlign w:val="bottom"/>
            <w:vMerge w:val="restart"/>
          </w:tcPr>
          <w:p>
            <w:pPr>
              <w:ind w:left="340"/>
              <w:spacing w:after="0"/>
              <w:rPr>
                <w:sz w:val="20"/>
                <w:szCs w:val="20"/>
                <w:color w:val="auto"/>
              </w:rPr>
            </w:pPr>
            <w:r>
              <w:rPr>
                <w:rFonts w:ascii="Arial" w:cs="Arial" w:eastAsia="Arial" w:hAnsi="Arial"/>
                <w:sz w:val="20"/>
                <w:szCs w:val="20"/>
                <w:color w:val="0000FF"/>
                <w:w w:val="87"/>
              </w:rPr>
              <w:t>Common Stock3,158,851</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640" w:type="dxa"/>
            <w:vAlign w:val="bottom"/>
            <w:vMerge w:val="restart"/>
          </w:tcPr>
          <w:p>
            <w:pPr>
              <w:ind w:left="26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4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9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120" w:type="dxa"/>
            <w:vAlign w:val="bottom"/>
            <w:tcBorders>
              <w:bottom w:val="single" w:sz="8" w:color="2C2C2C"/>
            </w:tcBorders>
            <w:gridSpan w:val="3"/>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220" w:type="dxa"/>
            <w:vAlign w:val="bottom"/>
            <w:tcBorders>
              <w:top w:val="single" w:sz="8" w:color="2C2C2C"/>
            </w:tcBorders>
            <w:gridSpan w:val="4"/>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Vivo Capital IX, LLC</w:t>
              </w:r>
            </w:hyperlink>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180"/>
              <w:spacing w:after="0"/>
              <w:rPr>
                <w:sz w:val="20"/>
                <w:szCs w:val="20"/>
                <w:color w:val="auto"/>
              </w:rPr>
            </w:pPr>
            <w:r>
              <w:rPr>
                <w:rFonts w:ascii="Arial" w:cs="Arial" w:eastAsia="Arial" w:hAnsi="Arial"/>
                <w:sz w:val="15"/>
                <w:szCs w:val="15"/>
                <w:color w:val="auto"/>
              </w:rPr>
              <w:t>(First)</w:t>
            </w:r>
          </w:p>
        </w:tc>
        <w:tc>
          <w:tcPr>
            <w:tcW w:w="1440" w:type="dxa"/>
            <w:vAlign w:val="bottom"/>
          </w:tcPr>
          <w:p>
            <w:pPr>
              <w:ind w:left="10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Arial" w:cs="Arial" w:eastAsia="Arial" w:hAnsi="Arial"/>
                <w:sz w:val="20"/>
                <w:szCs w:val="20"/>
                <w:color w:val="0000FF"/>
              </w:rPr>
              <w:t>C/O VIVO CAPITAL LLC</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Arial" w:cs="Arial" w:eastAsia="Arial" w:hAnsi="Arial"/>
                <w:sz w:val="20"/>
                <w:szCs w:val="20"/>
                <w:color w:val="0000FF"/>
              </w:rPr>
              <w:t>192 LYTTON AVENUE</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PALO ALTO</w:t>
            </w:r>
          </w:p>
        </w:tc>
        <w:tc>
          <w:tcPr>
            <w:tcW w:w="1460" w:type="dxa"/>
            <w:vAlign w:val="bottom"/>
          </w:tcPr>
          <w:p>
            <w:pPr>
              <w:ind w:left="180"/>
              <w:spacing w:after="0"/>
              <w:rPr>
                <w:sz w:val="20"/>
                <w:szCs w:val="20"/>
                <w:color w:val="auto"/>
              </w:rPr>
            </w:pPr>
            <w:r>
              <w:rPr>
                <w:rFonts w:ascii="Arial" w:cs="Arial" w:eastAsia="Arial" w:hAnsi="Arial"/>
                <w:sz w:val="20"/>
                <w:szCs w:val="20"/>
                <w:color w:val="0000FF"/>
              </w:rPr>
              <w:t>CA</w:t>
            </w:r>
          </w:p>
        </w:tc>
        <w:tc>
          <w:tcPr>
            <w:tcW w:w="1440" w:type="dxa"/>
            <w:vAlign w:val="bottom"/>
          </w:tcPr>
          <w:p>
            <w:pPr>
              <w:ind w:left="100"/>
              <w:spacing w:after="0"/>
              <w:rPr>
                <w:sz w:val="20"/>
                <w:szCs w:val="20"/>
                <w:color w:val="auto"/>
              </w:rPr>
            </w:pPr>
            <w:r>
              <w:rPr>
                <w:rFonts w:ascii="Arial" w:cs="Arial" w:eastAsia="Arial" w:hAnsi="Arial"/>
                <w:sz w:val="20"/>
                <w:szCs w:val="20"/>
                <w:color w:val="0000FF"/>
              </w:rPr>
              <w:t>94301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180"/>
              <w:spacing w:after="0"/>
              <w:rPr>
                <w:sz w:val="20"/>
                <w:szCs w:val="20"/>
                <w:color w:val="auto"/>
              </w:rPr>
            </w:pPr>
            <w:r>
              <w:rPr>
                <w:rFonts w:ascii="Arial" w:cs="Arial" w:eastAsia="Arial" w:hAnsi="Arial"/>
                <w:sz w:val="15"/>
                <w:szCs w:val="15"/>
                <w:color w:val="auto"/>
              </w:rPr>
              <w:t>(State)</w:t>
            </w:r>
          </w:p>
        </w:tc>
        <w:tc>
          <w:tcPr>
            <w:tcW w:w="1440" w:type="dxa"/>
            <w:vAlign w:val="bottom"/>
          </w:tcPr>
          <w:p>
            <w:pPr>
              <w:ind w:left="10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220" w:type="dxa"/>
            <w:vAlign w:val="bottom"/>
            <w:gridSpan w:val="4"/>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20"/>
              <w:spacing w:after="0"/>
              <w:rPr>
                <w:rFonts w:ascii="Arial" w:cs="Arial" w:eastAsia="Arial" w:hAnsi="Arial"/>
                <w:sz w:val="24"/>
                <w:szCs w:val="24"/>
                <w:u w:val="single" w:color="auto"/>
                <w:color w:val="0000EE"/>
                <w:w w:val="96"/>
              </w:rPr>
            </w:pPr>
            <w:hyperlink r:id="rId16">
              <w:r>
                <w:rPr>
                  <w:rFonts w:ascii="Arial" w:cs="Arial" w:eastAsia="Arial" w:hAnsi="Arial"/>
                  <w:sz w:val="24"/>
                  <w:szCs w:val="24"/>
                  <w:u w:val="single" w:color="auto"/>
                  <w:color w:val="0000EE"/>
                  <w:w w:val="96"/>
                </w:rPr>
                <w:t>Vivo Capital Fund IX, L.P.</w:t>
              </w:r>
            </w:hyperlink>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180"/>
              <w:spacing w:after="0"/>
              <w:rPr>
                <w:sz w:val="20"/>
                <w:szCs w:val="20"/>
                <w:color w:val="auto"/>
              </w:rPr>
            </w:pPr>
            <w:r>
              <w:rPr>
                <w:rFonts w:ascii="Arial" w:cs="Arial" w:eastAsia="Arial" w:hAnsi="Arial"/>
                <w:sz w:val="15"/>
                <w:szCs w:val="15"/>
                <w:color w:val="auto"/>
              </w:rPr>
              <w:t>(First)</w:t>
            </w:r>
          </w:p>
        </w:tc>
        <w:tc>
          <w:tcPr>
            <w:tcW w:w="1440" w:type="dxa"/>
            <w:vAlign w:val="bottom"/>
          </w:tcPr>
          <w:p>
            <w:pPr>
              <w:ind w:left="10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Arial" w:cs="Arial" w:eastAsia="Arial" w:hAnsi="Arial"/>
                <w:sz w:val="20"/>
                <w:szCs w:val="20"/>
                <w:color w:val="0000FF"/>
              </w:rPr>
              <w:t>C/O VIVO CAPITAL LLC</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Arial" w:cs="Arial" w:eastAsia="Arial" w:hAnsi="Arial"/>
                <w:sz w:val="20"/>
                <w:szCs w:val="20"/>
                <w:color w:val="0000FF"/>
              </w:rPr>
              <w:t>192 LYTTON AVENUE</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PALO ALTO</w:t>
            </w:r>
          </w:p>
        </w:tc>
        <w:tc>
          <w:tcPr>
            <w:tcW w:w="1460" w:type="dxa"/>
            <w:vAlign w:val="bottom"/>
          </w:tcPr>
          <w:p>
            <w:pPr>
              <w:ind w:left="180"/>
              <w:spacing w:after="0"/>
              <w:rPr>
                <w:sz w:val="20"/>
                <w:szCs w:val="20"/>
                <w:color w:val="auto"/>
              </w:rPr>
            </w:pPr>
            <w:r>
              <w:rPr>
                <w:rFonts w:ascii="Arial" w:cs="Arial" w:eastAsia="Arial" w:hAnsi="Arial"/>
                <w:sz w:val="20"/>
                <w:szCs w:val="20"/>
                <w:color w:val="0000FF"/>
              </w:rPr>
              <w:t>CA</w:t>
            </w:r>
          </w:p>
        </w:tc>
        <w:tc>
          <w:tcPr>
            <w:tcW w:w="1440" w:type="dxa"/>
            <w:vAlign w:val="bottom"/>
          </w:tcPr>
          <w:p>
            <w:pPr>
              <w:ind w:left="100"/>
              <w:spacing w:after="0"/>
              <w:rPr>
                <w:sz w:val="20"/>
                <w:szCs w:val="20"/>
                <w:color w:val="auto"/>
              </w:rPr>
            </w:pPr>
            <w:r>
              <w:rPr>
                <w:rFonts w:ascii="Arial" w:cs="Arial" w:eastAsia="Arial" w:hAnsi="Arial"/>
                <w:sz w:val="20"/>
                <w:szCs w:val="20"/>
                <w:color w:val="0000FF"/>
              </w:rPr>
              <w:t>94301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180"/>
              <w:spacing w:after="0"/>
              <w:rPr>
                <w:sz w:val="20"/>
                <w:szCs w:val="20"/>
                <w:color w:val="auto"/>
              </w:rPr>
            </w:pPr>
            <w:r>
              <w:rPr>
                <w:rFonts w:ascii="Arial" w:cs="Arial" w:eastAsia="Arial" w:hAnsi="Arial"/>
                <w:sz w:val="15"/>
                <w:szCs w:val="15"/>
                <w:color w:val="auto"/>
              </w:rPr>
              <w:t>(State)</w:t>
            </w:r>
          </w:p>
        </w:tc>
        <w:tc>
          <w:tcPr>
            <w:tcW w:w="1440" w:type="dxa"/>
            <w:vAlign w:val="bottom"/>
          </w:tcPr>
          <w:p>
            <w:pPr>
              <w:ind w:left="10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-3963035</wp:posOffset>
            </wp:positionV>
            <wp:extent cx="2773045" cy="4040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73045" cy="4040505"/>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ectPr>
          <w:pgSz w:w="11900" w:h="16838" w:orient="portrait"/>
          <w:cols w:equalWidth="0" w:num="1">
            <w:col w:w="10940"/>
          </w:cols>
          <w:pgMar w:left="480" w:top="236" w:right="479" w:bottom="0" w:gutter="0" w:footer="0" w:header="0"/>
          <w:type w:val="continuous"/>
        </w:sectPr>
      </w:pPr>
    </w:p>
    <w:bookmarkStart w:id="1" w:name="page2"/>
    <w:bookmarkEnd w:id="1"/>
    <w:p>
      <w:pPr>
        <w:ind w:right="38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C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firstLine="5"/>
        <w:spacing w:after="0" w:line="267"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held of record by Vivo Capital Fund IX, L.P. (VIVO IX LP). Vivo Capital IX, LLC (VIVO IX LLC) is the General Partner of VIVO IX LP. As the managing members of Vivo Capital IX, LLC, the general partner of VIVO IX LP, Frank Kung, Albert Cha, Edgar Engleman, Shan Fu and Chen Yu share voting and dispositive power with respect to the shares held of record by VIVO IX LP but each disclaims beneficial ownership of such shares except to the extent of his individual pecuniary interest therein.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Albert Cha,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4615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 of Vivo 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Capital IX,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1534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1534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Albert Cha,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461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3096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Arial" w:cs="Arial" w:eastAsia="Arial" w:hAnsi="Arial"/>
          <w:sz w:val="20"/>
          <w:szCs w:val="20"/>
          <w:color w:val="0000FF"/>
        </w:rPr>
        <w:t>Capital IX, LLC, the</w:t>
      </w:r>
      <w:r>
        <w:rPr>
          <w:sz w:val="20"/>
          <w:szCs w:val="20"/>
          <w:color w:val="auto"/>
        </w:rPr>
        <w:tab/>
      </w: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189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518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Capital Fund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0" Type="http://schemas.openxmlformats.org/officeDocument/2006/relationships/hyperlink" Target="http://www.sec.gov/cgi-bin/browse-edgar?action=getcompany&amp;CIK=0001750698" TargetMode="External"/><Relationship Id="rId11" Type="http://schemas.openxmlformats.org/officeDocument/2006/relationships/hyperlink" Target="http://www.sec.gov/cgi-bin/browse-edgar?action=getcompany&amp;CIK=0001810182" TargetMode="External"/><Relationship Id="rId16" Type="http://schemas.openxmlformats.org/officeDocument/2006/relationships/hyperlink" Target="http://www.sec.gov/cgi-bin/browse-edgar?action=getcompany&amp;CIK=000175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2020-07-16T17:45:06Z</dcterms:created>
  <dcterms:modified xsi:type="dcterms:W3CDTF">2020-07-16T17:45:06Z</dcterms:modified>
</cp:coreProperties>
</file>