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688340</wp:posOffset>
            </wp:positionH>
            <wp:positionV relativeFrom="page">
              <wp:posOffset>852170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6172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113665</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66" w:lineRule="exact"/>
        <w:rPr>
          <w:sz w:val="24"/>
          <w:szCs w:val="24"/>
          <w:color w:val="auto"/>
        </w:rPr>
      </w:pPr>
    </w:p>
    <w:tbl>
      <w:tblPr>
        <w:tblLayout w:type="fixed"/>
        <w:tblInd w:w="520" w:type="dxa"/>
        <w:tblCellMar>
          <w:top w:w="0" w:type="dxa"/>
          <w:left w:w="0" w:type="dxa"/>
          <w:bottom w:w="0" w:type="dxa"/>
          <w:right w:w="0" w:type="dxa"/>
        </w:tblCellMar>
      </w:tblPr>
      <w:tr>
        <w:trPr>
          <w:trHeight w:val="222"/>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tcPr>
          <w:p>
            <w:pPr>
              <w:jc w:val="right"/>
              <w:ind w:right="122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196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300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020" w:type="dxa"/>
            <w:vAlign w:val="bottom"/>
          </w:tcPr>
          <w:p>
            <w:pPr>
              <w:spacing w:after="0"/>
              <w:rPr>
                <w:sz w:val="12"/>
                <w:szCs w:val="12"/>
                <w:color w:val="auto"/>
              </w:rPr>
            </w:pP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000" w:type="dxa"/>
            <w:vAlign w:val="bottom"/>
          </w:tcPr>
          <w:p>
            <w:pPr>
              <w:jc w:val="center"/>
              <w:ind w:right="4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02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0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35"/>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020" w:type="dxa"/>
            <w:vAlign w:val="bottom"/>
          </w:tcPr>
          <w:p>
            <w:pPr>
              <w:spacing w:after="0"/>
              <w:rPr>
                <w:sz w:val="20"/>
                <w:szCs w:val="20"/>
                <w:color w:val="auto"/>
              </w:rPr>
            </w:pPr>
          </w:p>
        </w:tc>
        <w:tc>
          <w:tcPr>
            <w:tcW w:w="19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00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020" w:type="dxa"/>
            <w:vAlign w:val="bottom"/>
          </w:tcPr>
          <w:p>
            <w:pPr>
              <w:spacing w:after="0"/>
              <w:rPr>
                <w:sz w:val="15"/>
                <w:szCs w:val="15"/>
                <w:color w:val="auto"/>
              </w:rPr>
            </w:pPr>
          </w:p>
        </w:tc>
        <w:tc>
          <w:tcPr>
            <w:tcW w:w="19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27"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1280" w:firstLine="4"/>
        <w:spacing w:after="0" w:line="387"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3"/>
                <w:szCs w:val="13"/>
                <w:color w:val="auto"/>
              </w:rPr>
            </w:pPr>
          </w:p>
        </w:tc>
        <w:tc>
          <w:tcPr>
            <w:tcW w:w="19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3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The Nasdaq </w:t>
            </w:r>
            <w:r>
              <w:rPr>
                <w:rFonts w:ascii="Times New Roman" w:cs="Times New Roman" w:eastAsia="Times New Roman" w:hAnsi="Times New Roman"/>
                <w:sz w:val="18"/>
                <w:szCs w:val="18"/>
                <w:color w:val="212529"/>
                <w:w w:val="99"/>
              </w:rPr>
              <w:t>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904240</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68580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1" w:name="page2"/>
    <w:bookmarkEnd w:id="1"/>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Appointment of Chief Development and Operating Officer</w:t>
      </w:r>
    </w:p>
    <w:p>
      <w:pPr>
        <w:spacing w:after="0" w:line="11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Effective April 13, 2026, the Board of Directors (the “Board”) of ALX Oncology Holdings Inc. (the “Company”) appointed Jeff Knight as Chief Development and Operating Officer.</w:t>
      </w:r>
    </w:p>
    <w:p>
      <w:pPr>
        <w:spacing w:after="0" w:line="5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Jeff Knight, age 55, served as the Chief Development and Operating Officer at Crinetics Pharmaceuticals, Inc., a global biopharmaceutical company, from September 2021 to April 2026. From October 2018 to August 2021, Mr. Knight served as Senior Vice President, Portfolio Management and Corporate Operations at Poseida Therapeutics, Inc., where he was responsible for portfolio management and strategy, alliance management, quality and compliance, and corporate operations. From March 2017 until October 2018, he was Vice President, Development Operations and Project and Portfolio Management at Halozyme Therapeutics, Inc. From July 2015 until March 2017, he served as Executive Director, Global Development Operations at Amgen Inc. and from January 2012 until July 2015, Mr. Knight served in various program and portfolio management and development operations roles at Onyx Pharmaceuticals. Prior to that, he held several leadership roles of increasing responsibility in clinical operations, regulatory affairs, and project management at Genentech, PRA International, and Hoechst Marion Roussel (now Sanofi). Mr. Knight earned a Master’s of Public Health in biostatistics and epidemiology from the University of Oklahoma Health Sciences Center and a B.A. in psychology from the University of Oklahoma. He also earned a B.S. in nursing from the University of Kansas.</w:t>
      </w:r>
    </w:p>
    <w:p>
      <w:pPr>
        <w:spacing w:after="0" w:line="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Knight and any other persons pursuant to which he was appointed Chief Development and Operating Officer. There are no family relationships between Mr. Knight and any director or executive officer of the Company.</w:t>
      </w:r>
    </w:p>
    <w:p>
      <w:pPr>
        <w:spacing w:after="0" w:line="6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appointment of Mr. Knight as the Company’s Chief Development and Operating Officer, the Company and Mr. Knight entered into an employment offer letter. Mr. Knight’s annual base salary will be $565,000, less any applicable withholdings. Mr. Knight will be eligible for an annual target cash bonus equal to 40% of his annual base salary based on achieving performance objectives established by the Board or the compensation committee of the Board. The employment letter also provides that he will be granted a stock option to purchase 800,000 shares of the Company’s common stock under the Company’s 2025 Inducement Equity Incentive Plan. The shares subject to the option are scheduled to vest as to 25% on the one-year anniversary of his start date, with an additional one forty-eighth of the shares vesting monthly thereafter, on the same day of the month as his start date, subject to his continued services to the Company through the applicable vesting date.</w:t>
      </w:r>
    </w:p>
    <w:p>
      <w:pPr>
        <w:spacing w:after="0" w:line="8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employment offer letter does not purport to be complete and is qualified in its entirety by reference to the full text of the employment offer letter, which the Company intends to file with the Securities and Exchange Commission as an exhibit to a subsequent periodic report.</w:t>
      </w:r>
    </w:p>
    <w:p>
      <w:pPr>
        <w:spacing w:after="0" w:line="68" w:lineRule="exact"/>
        <w:rPr>
          <w:sz w:val="20"/>
          <w:szCs w:val="20"/>
          <w:color w:val="auto"/>
        </w:rPr>
      </w:pPr>
    </w:p>
    <w:p>
      <w:pPr>
        <w:ind w:right="200" w:firstLine="506"/>
        <w:spacing w:after="0" w:line="282" w:lineRule="auto"/>
        <w:rPr>
          <w:sz w:val="20"/>
          <w:szCs w:val="20"/>
          <w:color w:val="auto"/>
        </w:rPr>
      </w:pPr>
      <w:r>
        <w:rPr>
          <w:rFonts w:ascii="Times New Roman" w:cs="Times New Roman" w:eastAsia="Times New Roman" w:hAnsi="Times New Roman"/>
          <w:sz w:val="18"/>
          <w:szCs w:val="18"/>
          <w:color w:val="auto"/>
        </w:rPr>
        <w:t>The Company and Mr. Knight entered into a change of control and severance agreement on the Company’s standard form, a copy of which has been filed as Exhibit 10.12 to the Company’s annual report on Form 10-K on March 9, 2026.</w:t>
      </w:r>
    </w:p>
    <w:p>
      <w:pPr>
        <w:spacing w:after="0" w:line="54" w:lineRule="exact"/>
        <w:rPr>
          <w:sz w:val="20"/>
          <w:szCs w:val="20"/>
          <w:color w:val="auto"/>
        </w:rPr>
      </w:pPr>
    </w:p>
    <w:p>
      <w:pPr>
        <w:ind w:right="120" w:firstLine="506"/>
        <w:spacing w:after="0" w:line="282" w:lineRule="auto"/>
        <w:rPr>
          <w:sz w:val="20"/>
          <w:szCs w:val="20"/>
          <w:color w:val="auto"/>
        </w:rPr>
      </w:pPr>
      <w:r>
        <w:rPr>
          <w:rFonts w:ascii="Times New Roman" w:cs="Times New Roman" w:eastAsia="Times New Roman" w:hAnsi="Times New Roman"/>
          <w:sz w:val="18"/>
          <w:szCs w:val="18"/>
          <w:color w:val="auto"/>
        </w:rPr>
        <w:t>Mr. Knight entered into an indemnification agreement on the Company’s standard form, a copy of which was filed as Exhibit 10.1 to the Company’s registration statement on Form S-1 (File No. 333-239490) on June 26, 2020.</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00" w:firstLine="506"/>
        <w:spacing w:after="0" w:line="282" w:lineRule="auto"/>
        <w:rPr>
          <w:sz w:val="20"/>
          <w:szCs w:val="20"/>
          <w:color w:val="auto"/>
        </w:rPr>
      </w:pPr>
      <w:r>
        <w:rPr>
          <w:rFonts w:ascii="Times New Roman" w:cs="Times New Roman" w:eastAsia="Times New Roman" w:hAnsi="Times New Roman"/>
          <w:sz w:val="18"/>
          <w:szCs w:val="18"/>
          <w:color w:val="auto"/>
        </w:rPr>
        <w:t>On April 13, 2026, the Company issued a press release announcing the appointment of Mr. Knight as Chief Development and Operating Officer of the Company. A copy of this press release is furnished as Exhibit 99.1 to this Current Report on Form 8-K.</w:t>
      </w:r>
    </w:p>
    <w:p>
      <w:pPr>
        <w:spacing w:after="0" w:line="54" w:lineRule="exact"/>
        <w:rPr>
          <w:sz w:val="20"/>
          <w:szCs w:val="20"/>
          <w:color w:val="auto"/>
        </w:rPr>
      </w:pPr>
    </w:p>
    <w:p>
      <w:pPr>
        <w:ind w:right="120" w:firstLine="506"/>
        <w:spacing w:after="0" w:line="256" w:lineRule="auto"/>
        <w:rPr>
          <w:sz w:val="20"/>
          <w:szCs w:val="20"/>
          <w:color w:val="auto"/>
        </w:rPr>
      </w:pPr>
      <w:r>
        <w:rPr>
          <w:rFonts w:ascii="Times New Roman" w:cs="Times New Roman" w:eastAsia="Times New Roman" w:hAnsi="Times New Roman"/>
          <w:sz w:val="18"/>
          <w:szCs w:val="18"/>
          <w:color w:val="auto"/>
        </w:rPr>
        <w:t>The information contained in this Item 7.01, including the related information set forth in the press release attached hereto as Exhibit 99.1, is being “furnished” and shall not be deemed “filed” with the Securities and Exchange Commission for the purposes of Section 18 of the Securities Exchange Act of 1934, as amended (the “Exchange Act”) or otherwise subject to the liabilities of that section and is not incorporated by reference into any filing of the Company under the Securities Act of 1933, as amended, or the Exchange Act, whether made before or after the date hereof, except as shall be expressly set forth by specific reference in such a filing.</w:t>
      </w:r>
    </w:p>
    <w:p>
      <w:pPr>
        <w:spacing w:after="0" w:line="18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680" w:type="dxa"/>
            <w:vAlign w:val="bottom"/>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86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2680" w:type="dxa"/>
            <w:vAlign w:val="bottom"/>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-7620</wp:posOffset>
            </wp:positionV>
            <wp:extent cx="1598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98930" cy="8890"/>
                    </a:xfrm>
                    <a:prstGeom prst="rect">
                      <a:avLst/>
                    </a:prstGeom>
                    <a:noFill/>
                  </pic:spPr>
                </pic:pic>
              </a:graphicData>
            </a:graphic>
          </wp:anchor>
        </w:drawing>
      </w:r>
    </w:p>
    <w:p>
      <w:pPr>
        <w:spacing w:after="0" w:line="11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758825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197" w:right="11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86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720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648"/>
        </w:trPr>
        <w:tc>
          <w:tcPr>
            <w:tcW w:w="3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April 13, 2026</w:t>
            </w:r>
          </w:p>
        </w:tc>
        <w:tc>
          <w:tcPr>
            <w:tcW w:w="720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By:/s/ Jason Lettmann</w:t>
            </w:r>
          </w:p>
        </w:tc>
      </w:tr>
      <w:tr>
        <w:trPr>
          <w:trHeight w:val="191"/>
        </w:trPr>
        <w:tc>
          <w:tcPr>
            <w:tcW w:w="38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Jason Lettmann</w:t>
            </w:r>
          </w:p>
        </w:tc>
        <w:tc>
          <w:tcPr>
            <w:tcW w:w="660" w:type="dxa"/>
            <w:vAlign w:val="bottom"/>
          </w:tcPr>
          <w:p>
            <w:pPr>
              <w:spacing w:after="0"/>
              <w:rPr>
                <w:sz w:val="16"/>
                <w:szCs w:val="16"/>
                <w:color w:val="auto"/>
              </w:rPr>
            </w:pPr>
          </w:p>
        </w:tc>
      </w:tr>
      <w:tr>
        <w:trPr>
          <w:trHeight w:val="234"/>
        </w:trPr>
        <w:tc>
          <w:tcPr>
            <w:tcW w:w="3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95"/>
        </w:trPr>
        <w:tc>
          <w:tcPr>
            <w:tcW w:w="38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19685</wp:posOffset>
            </wp:positionV>
            <wp:extent cx="1405890" cy="916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589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ALX Oncology Appoints Jeff Knight as Chief Development and Operating Officer</w:t>
      </w:r>
    </w:p>
    <w:p>
      <w:pPr>
        <w:spacing w:after="0" w:line="238" w:lineRule="exact"/>
        <w:rPr>
          <w:sz w:val="20"/>
          <w:szCs w:val="20"/>
          <w:color w:val="auto"/>
        </w:rPr>
      </w:pPr>
    </w:p>
    <w:p>
      <w:pPr>
        <w:ind w:left="120" w:hanging="107"/>
        <w:spacing w:after="0"/>
        <w:tabs>
          <w:tab w:leader="none" w:pos="120" w:val="left"/>
        </w:tabs>
        <w:numPr>
          <w:ilvl w:val="0"/>
          <w:numId w:val="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Veteran biopharmaceutical and oncology leader brings more than three decades of experience across clinical</w:t>
      </w:r>
    </w:p>
    <w:p>
      <w:pPr>
        <w:spacing w:after="0" w:line="37" w:lineRule="exact"/>
        <w:rPr>
          <w:rFonts w:ascii="Times New Roman" w:cs="Times New Roman" w:eastAsia="Times New Roman" w:hAnsi="Times New Roman"/>
          <w:sz w:val="19"/>
          <w:szCs w:val="19"/>
          <w:b w:val="1"/>
          <w:bCs w:val="1"/>
          <w:i w:val="1"/>
          <w:iCs w:val="1"/>
          <w:color w:val="auto"/>
        </w:rPr>
      </w:pPr>
    </w:p>
    <w:p>
      <w:pPr>
        <w:ind w:left="2440"/>
        <w:spacing w:after="0"/>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20"/>
          <w:szCs w:val="20"/>
          <w:b w:val="1"/>
          <w:bCs w:val="1"/>
          <w:i w:val="1"/>
          <w:iCs w:val="1"/>
          <w:color w:val="auto"/>
        </w:rPr>
        <w:t>development, regulatory, and operational execution</w:t>
      </w:r>
    </w:p>
    <w:p>
      <w:pPr>
        <w:spacing w:after="0" w:line="20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SOUTH SAN FRANCISCO, Calif., April 13, 2026 (GLOBE NEWSWIRE) – </w:t>
      </w:r>
      <w:r>
        <w:rPr>
          <w:rFonts w:ascii="Times New Roman" w:cs="Times New Roman" w:eastAsia="Times New Roman" w:hAnsi="Times New Roman"/>
          <w:sz w:val="20"/>
          <w:szCs w:val="20"/>
          <w:color w:val="auto"/>
        </w:rPr>
        <w:t>ALX Oncology Holdings Inc.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(“ALX Oncology,” Nasdaq: ALXO), a clinical-stage biotechnology company advancing a pipeline of novel therapies designed to treat cancer and extend patients’ lives, announced the appointment of Jeff Knight, M.P.H., as Chief Development and Operating Officer, effective April 13, 2026.</w:t>
      </w:r>
    </w:p>
    <w:p>
      <w:pPr>
        <w:spacing w:after="0" w:line="19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“Jeff is a highly accomplished leader with deep expertise across clinical development and operations, and a strong track record of both advancing innovative therapies through critical stages of growth and advancing companies of our stage through late-stage development and commercialization,” said Jason Lettmann, Chief Executive Officer at ALX Oncology. “We anticipate several important catalysts in the next 12 to 18 months with our evorpacept and ALX2004 clinical programs. Jeff’s leadership will be instrumental in strengthening our development capabilities and operational infrastructure to support high-quality execution and deliver on these upcoming milestones.”</w:t>
      </w:r>
    </w:p>
    <w:p>
      <w:pPr>
        <w:spacing w:after="0" w:line="186"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20"/>
          <w:szCs w:val="20"/>
          <w:color w:val="auto"/>
        </w:rPr>
        <w:t>Mr. Knight brings more than 30 years of experience across the biopharmaceutical industry, with demonstrated success advancing programs from early development through commercialization, including multiple oncology programs. Most recently, he served as Chief Development and Operating Officer at Crinetics Pharmaceuticals, where he was responsible for clinical development, portfolio strategy, and corporate operations. Prior to joining Crinetics Pharmaceuticals, Mr. Knight held senior leadership roles at Poseida Therapeutics, Halozyme Therapeutics, Amgen and Onyx Pharmaceuticals, where he led development and operational functions within these organizations. Earlier in his career, he held several roles at Genentech, gaining extensive experience in oncology clinical development and regulatory affairs.</w:t>
      </w:r>
    </w:p>
    <w:p>
      <w:pPr>
        <w:spacing w:after="0" w:line="20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“ALX Oncology is entering a critical phase of growth, with multiple opportunities to advance its pipeline and build a scalable organization,” said Mr. Knight. “I am incredibly excited about ALX’s clinical programs and data and look forward to working with the team to ensure strategic development and operational excellence as the company advances toward key clinical and corporate milestones.”</w:t>
      </w:r>
    </w:p>
    <w:p>
      <w:pPr>
        <w:spacing w:after="0" w:line="19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Mr. Knight holds a Master of Public Health in Biostatistics and Epidemiology and a Bachelor of Arts in Psychology from the University of Oklahoma, as well as a Bachelor of Science in Nursing from the University of Kansas.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481330</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765" w:right="1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About ALX Oncology</w:t>
      </w:r>
    </w:p>
    <w:p>
      <w:pPr>
        <w:spacing w:after="0" w:line="26" w:lineRule="exact"/>
        <w:rPr>
          <w:sz w:val="20"/>
          <w:szCs w:val="20"/>
          <w:color w:val="auto"/>
        </w:rPr>
      </w:pPr>
    </w:p>
    <w:p>
      <w:pPr>
        <w:ind w:right="99"/>
        <w:spacing w:after="0"/>
        <w:rPr>
          <w:sz w:val="20"/>
          <w:szCs w:val="20"/>
          <w:color w:val="auto"/>
        </w:rPr>
      </w:pPr>
      <w:r>
        <w:rPr>
          <w:rFonts w:ascii="Times New Roman" w:cs="Times New Roman" w:eastAsia="Times New Roman" w:hAnsi="Times New Roman"/>
          <w:sz w:val="20"/>
          <w:szCs w:val="20"/>
          <w:color w:val="auto"/>
        </w:rPr>
        <w:t>ALX Oncology (Nasdaq: ALXO) is a clinical-stage biotechnology company advancing a pipeline of novel therapies designed to treat cancer and extend patients’ lives. ALX Oncology’s lead therapeutic candidate, evorpacept, has demonstrated potential to serve as a cornerstone therapy upon which the future of immuno-oncology can be built. Evorpacept is currently being evaluated across multiple ongoing clinical trials in a wide range of cancer indications. ALX Oncology’s second pipeline candidate, ALX2004, is a novel EGFR-targeted antibody-drug conjugate with a differentiated mechanism of action. A Phase 1, dose-escalation trial of ALX2004 is ongoing in patients with EGFR-expressing solid tumors. More information is available at www.alxoncology.com and on LinkedIn @ALX Oncology.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6" w:lineRule="exact"/>
        <w:rPr>
          <w:sz w:val="20"/>
          <w:szCs w:val="20"/>
          <w:color w:val="auto"/>
        </w:rPr>
      </w:pPr>
    </w:p>
    <w:p>
      <w:pPr>
        <w:ind w:right="79"/>
        <w:spacing w:after="0" w:line="253" w:lineRule="auto"/>
        <w:rPr>
          <w:sz w:val="20"/>
          <w:szCs w:val="20"/>
          <w:color w:val="auto"/>
        </w:rPr>
      </w:pPr>
      <w:r>
        <w:rPr>
          <w:rFonts w:ascii="Times New Roman" w:cs="Times New Roman" w:eastAsia="Times New Roman" w:hAnsi="Times New Roman"/>
          <w:sz w:val="19"/>
          <w:szCs w:val="19"/>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19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 #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Elhan Webb, CFA, IR Consultant</w:t>
      </w:r>
    </w:p>
    <w:p>
      <w:pPr>
        <w:spacing w:after="0"/>
        <w:rPr>
          <w:sz w:val="20"/>
          <w:szCs w:val="20"/>
          <w:color w:val="auto"/>
        </w:rPr>
      </w:pPr>
      <w:r>
        <w:rPr>
          <w:rFonts w:ascii="Times New Roman" w:cs="Times New Roman" w:eastAsia="Times New Roman" w:hAnsi="Times New Roman"/>
          <w:sz w:val="20"/>
          <w:szCs w:val="20"/>
          <w:color w:val="auto"/>
        </w:rPr>
        <w:t>ewebb@alxoncology.com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Michele Parisi, SparkPoint Healthcare Communications</w:t>
      </w:r>
    </w:p>
    <w:p>
      <w:pPr>
        <w:spacing w:after="0"/>
        <w:rPr>
          <w:sz w:val="20"/>
          <w:szCs w:val="20"/>
          <w:color w:val="auto"/>
        </w:rPr>
      </w:pPr>
      <w:r>
        <w:rPr>
          <w:rFonts w:ascii="Times New Roman" w:cs="Times New Roman" w:eastAsia="Times New Roman" w:hAnsi="Times New Roman"/>
          <w:sz w:val="20"/>
          <w:szCs w:val="20"/>
          <w:color w:val="auto"/>
        </w:rPr>
        <w:t>mparisi@sparkpointpr.com</w:t>
      </w:r>
    </w:p>
    <w:p>
      <w:pPr>
        <w:spacing w:after="0"/>
        <w:rPr>
          <w:sz w:val="20"/>
          <w:szCs w:val="20"/>
          <w:color w:val="auto"/>
        </w:rPr>
      </w:pPr>
      <w:r>
        <w:rPr>
          <w:rFonts w:ascii="Times New Roman" w:cs="Times New Roman" w:eastAsia="Times New Roman" w:hAnsi="Times New Roman"/>
          <w:sz w:val="20"/>
          <w:szCs w:val="20"/>
          <w:color w:val="auto"/>
        </w:rPr>
        <w:t>(925) 864-5028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673100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085"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2026-04-13T07:37:43Z</dcterms:created>
  <dcterms:modified xsi:type="dcterms:W3CDTF">2026-04-13T07:37:43Z</dcterms:modified>
</cp:coreProperties>
</file>