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December 7, 2020</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2" w:lineRule="exact"/>
        <w:rPr>
          <w:sz w:val="24"/>
          <w:szCs w:val="24"/>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232" w:lineRule="auto"/>
        <w:rPr>
          <w:sz w:val="20"/>
          <w:szCs w:val="20"/>
          <w:color w:val="auto"/>
        </w:rPr>
      </w:pPr>
      <w:r>
        <w:rPr>
          <w:rFonts w:ascii="Arial" w:cs="Arial" w:eastAsia="Arial" w:hAnsi="Arial"/>
          <w:sz w:val="17"/>
          <w:szCs w:val="17"/>
          <w:color w:val="auto"/>
        </w:rPr>
        <w:t>Division of Corporation Finance</w:t>
      </w:r>
    </w:p>
    <w:p>
      <w:pPr>
        <w:spacing w:after="0" w:line="232" w:lineRule="auto"/>
        <w:rPr>
          <w:sz w:val="20"/>
          <w:szCs w:val="20"/>
          <w:color w:val="auto"/>
        </w:rPr>
      </w:pPr>
      <w:r>
        <w:rPr>
          <w:rFonts w:ascii="Arial" w:cs="Arial" w:eastAsia="Arial" w:hAnsi="Arial"/>
          <w:sz w:val="17"/>
          <w:szCs w:val="17"/>
          <w:color w:val="auto"/>
        </w:rPr>
        <w:t>Office of Life Sciences</w:t>
      </w:r>
    </w:p>
    <w:p>
      <w:pPr>
        <w:spacing w:after="0" w:line="232" w:lineRule="auto"/>
        <w:rPr>
          <w:sz w:val="20"/>
          <w:szCs w:val="20"/>
          <w:color w:val="auto"/>
        </w:rPr>
      </w:pPr>
      <w:r>
        <w:rPr>
          <w:rFonts w:ascii="Arial" w:cs="Arial" w:eastAsia="Arial" w:hAnsi="Arial"/>
          <w:sz w:val="17"/>
          <w:szCs w:val="17"/>
          <w:color w:val="auto"/>
        </w:rPr>
        <w:t>100 F Street, N.E.</w:t>
      </w:r>
    </w:p>
    <w:p>
      <w:pPr>
        <w:spacing w:after="0"/>
        <w:rPr>
          <w:sz w:val="20"/>
          <w:szCs w:val="20"/>
          <w:color w:val="auto"/>
        </w:rPr>
      </w:pPr>
      <w:r>
        <w:rPr>
          <w:rFonts w:ascii="Arial" w:cs="Arial" w:eastAsia="Arial" w:hAnsi="Arial"/>
          <w:sz w:val="17"/>
          <w:szCs w:val="17"/>
          <w:color w:val="auto"/>
        </w:rPr>
        <w:t>Washington, D.C. 20549-3720</w:t>
      </w:r>
    </w:p>
    <w:p>
      <w:pPr>
        <w:sectPr>
          <w:pgSz w:w="11900" w:h="16838" w:orient="portrait"/>
          <w:cols w:equalWidth="0" w:num="1">
            <w:col w:w="11000"/>
          </w:cols>
          <w:pgMar w:left="440" w:top="241" w:right="459" w:bottom="1440" w:gutter="0" w:footer="0" w:header="0"/>
        </w:sectPr>
      </w:pP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Ada Sarmento</w:t>
      </w:r>
    </w:p>
    <w:p>
      <w:pPr>
        <w:spacing w:after="0" w:line="232" w:lineRule="auto"/>
        <w:rPr>
          <w:sz w:val="20"/>
          <w:szCs w:val="20"/>
          <w:color w:val="auto"/>
        </w:rPr>
      </w:pPr>
      <w:r>
        <w:rPr>
          <w:rFonts w:ascii="Arial" w:cs="Arial" w:eastAsia="Arial" w:hAnsi="Arial"/>
          <w:sz w:val="17"/>
          <w:szCs w:val="17"/>
          <w:color w:val="auto"/>
        </w:rPr>
        <w:t>Christine Torney</w:t>
      </w:r>
    </w:p>
    <w:p>
      <w:pPr>
        <w:spacing w:after="0" w:line="232" w:lineRule="auto"/>
        <w:rPr>
          <w:sz w:val="20"/>
          <w:szCs w:val="20"/>
          <w:color w:val="auto"/>
        </w:rPr>
      </w:pPr>
      <w:r>
        <w:rPr>
          <w:rFonts w:ascii="Arial" w:cs="Arial" w:eastAsia="Arial" w:hAnsi="Arial"/>
          <w:sz w:val="17"/>
          <w:szCs w:val="17"/>
          <w:color w:val="auto"/>
        </w:rPr>
        <w:t>Lynn Dicker</w:t>
      </w:r>
    </w:p>
    <w:p>
      <w:pPr>
        <w:spacing w:after="0"/>
        <w:rPr>
          <w:sz w:val="20"/>
          <w:szCs w:val="20"/>
          <w:color w:val="auto"/>
        </w:rPr>
      </w:pPr>
      <w:r>
        <w:rPr>
          <w:rFonts w:ascii="Arial" w:cs="Arial" w:eastAsia="Arial" w:hAnsi="Arial"/>
          <w:sz w:val="17"/>
          <w:szCs w:val="17"/>
          <w:color w:val="auto"/>
        </w:rPr>
        <w:t>Mary Beth Breslin</w:t>
      </w:r>
    </w:p>
    <w:p>
      <w:pPr>
        <w:spacing w:after="0" w:line="190" w:lineRule="exact"/>
        <w:rPr>
          <w:sz w:val="24"/>
          <w:szCs w:val="24"/>
          <w:color w:val="auto"/>
        </w:rPr>
      </w:pPr>
    </w:p>
    <w:p>
      <w:pPr>
        <w:sectPr>
          <w:pgSz w:w="11900" w:h="16838" w:orient="portrait"/>
          <w:cols w:equalWidth="0" w:num="2">
            <w:col w:w="720" w:space="580"/>
            <w:col w:w="9700"/>
          </w:cols>
          <w:pgMar w:left="440" w:top="241" w:right="459" w:bottom="1440" w:gutter="0" w:footer="0" w:header="0"/>
          <w:type w:val="continuous"/>
        </w:sectPr>
      </w:pPr>
    </w:p>
    <w:p>
      <w:pPr>
        <w:spacing w:after="0" w:line="20" w:lineRule="exact"/>
        <w:rPr>
          <w:sz w:val="24"/>
          <w:szCs w:val="24"/>
          <w:color w:val="auto"/>
        </w:rPr>
      </w:pPr>
    </w:p>
    <w:p>
      <w:pPr>
        <w:ind w:left="600"/>
        <w:spacing w:after="0"/>
        <w:rPr>
          <w:sz w:val="20"/>
          <w:szCs w:val="20"/>
          <w:color w:val="auto"/>
        </w:rPr>
      </w:pPr>
      <w:r>
        <w:rPr>
          <w:rFonts w:ascii="Arial" w:cs="Arial" w:eastAsia="Arial" w:hAnsi="Arial"/>
          <w:sz w:val="17"/>
          <w:szCs w:val="17"/>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ALX Oncology Holdings Inc.</w:t>
      </w:r>
    </w:p>
    <w:p>
      <w:pPr>
        <w:spacing w:after="0" w:line="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Registration Statement on Form S-1</w:t>
      </w:r>
    </w:p>
    <w:p>
      <w:pPr>
        <w:spacing w:after="0"/>
        <w:rPr>
          <w:sz w:val="20"/>
          <w:szCs w:val="20"/>
          <w:color w:val="auto"/>
        </w:rPr>
      </w:pPr>
      <w:r>
        <w:rPr>
          <w:rFonts w:ascii="Arial" w:cs="Arial" w:eastAsia="Arial" w:hAnsi="Arial"/>
          <w:sz w:val="17"/>
          <w:szCs w:val="17"/>
          <w:b w:val="1"/>
          <w:bCs w:val="1"/>
          <w:color w:val="auto"/>
        </w:rPr>
        <w:t>(File No. 333-251171)</w:t>
      </w:r>
    </w:p>
    <w:p>
      <w:pPr>
        <w:spacing w:after="0" w:line="190" w:lineRule="exact"/>
        <w:rPr>
          <w:sz w:val="24"/>
          <w:szCs w:val="24"/>
          <w:color w:val="auto"/>
        </w:rPr>
      </w:pPr>
    </w:p>
    <w:p>
      <w:pPr>
        <w:sectPr>
          <w:pgSz w:w="11900" w:h="16838" w:orient="portrait"/>
          <w:cols w:equalWidth="0" w:num="2">
            <w:col w:w="880" w:space="420"/>
            <w:col w:w="9700"/>
          </w:cols>
          <w:pgMar w:left="440" w:top="241" w:right="459" w:bottom="1440" w:gutter="0" w:footer="0" w:header="0"/>
          <w:type w:val="continuous"/>
        </w:sectPr>
      </w:pPr>
    </w:p>
    <w:p>
      <w:pPr>
        <w:jc w:val="right"/>
        <w:ind w:left="1300"/>
        <w:spacing w:after="0" w:line="249" w:lineRule="auto"/>
        <w:rPr>
          <w:sz w:val="20"/>
          <w:szCs w:val="20"/>
          <w:color w:val="auto"/>
        </w:rPr>
      </w:pPr>
      <w:r>
        <w:rPr>
          <w:rFonts w:ascii="Arial" w:cs="Arial" w:eastAsia="Arial" w:hAnsi="Arial"/>
          <w:sz w:val="17"/>
          <w:szCs w:val="17"/>
          <w:b w:val="1"/>
          <w:bCs w:val="1"/>
          <w:color w:val="auto"/>
        </w:rPr>
        <w:t>Acceleration Request Requested Date: Requested Time:</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Wednesday, December 9, 2020</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4:30 P.M. Eastern Time</w:t>
      </w:r>
    </w:p>
    <w:p>
      <w:pPr>
        <w:spacing w:after="0" w:line="209" w:lineRule="exact"/>
        <w:rPr>
          <w:sz w:val="24"/>
          <w:szCs w:val="24"/>
          <w:color w:val="auto"/>
        </w:rPr>
      </w:pPr>
    </w:p>
    <w:p>
      <w:pPr>
        <w:sectPr>
          <w:pgSz w:w="11900" w:h="16838" w:orient="portrait"/>
          <w:cols w:equalWidth="0" w:num="2">
            <w:col w:w="3140" w:space="380"/>
            <w:col w:w="7480"/>
          </w:cols>
          <w:pgMar w:left="440" w:top="241" w:right="459" w:bottom="1440" w:gutter="0" w:footer="0" w:header="0"/>
          <w:type w:val="continuous"/>
        </w:sectPr>
      </w:pPr>
    </w:p>
    <w:p>
      <w:pPr>
        <w:spacing w:after="0"/>
        <w:rPr>
          <w:sz w:val="20"/>
          <w:szCs w:val="20"/>
          <w:color w:val="auto"/>
        </w:rPr>
      </w:pPr>
      <w:r>
        <w:rPr>
          <w:rFonts w:ascii="Arial" w:cs="Arial" w:eastAsia="Arial" w:hAnsi="Arial"/>
          <w:sz w:val="17"/>
          <w:szCs w:val="17"/>
          <w:color w:val="auto"/>
        </w:rPr>
        <w:t>Ladies and Gentlemen:</w:t>
      </w:r>
    </w:p>
    <w:p>
      <w:pPr>
        <w:spacing w:after="0" w:line="190" w:lineRule="exact"/>
        <w:rPr>
          <w:sz w:val="24"/>
          <w:szCs w:val="24"/>
          <w:color w:val="auto"/>
        </w:rPr>
      </w:pPr>
    </w:p>
    <w:p>
      <w:pPr>
        <w:ind w:firstLine="440"/>
        <w:spacing w:after="0" w:line="236" w:lineRule="auto"/>
        <w:rPr>
          <w:sz w:val="20"/>
          <w:szCs w:val="20"/>
          <w:color w:val="auto"/>
        </w:rPr>
      </w:pPr>
      <w:r>
        <w:rPr>
          <w:rFonts w:ascii="Arial" w:cs="Arial" w:eastAsia="Arial" w:hAnsi="Arial"/>
          <w:sz w:val="17"/>
          <w:szCs w:val="17"/>
          <w:color w:val="auto"/>
        </w:rPr>
        <w:t>Pursuant to Rule 461 under the Securities Act of 1933, as amended, ALX Oncology Holdings Inc. (the “</w:t>
      </w:r>
      <w:r>
        <w:rPr>
          <w:rFonts w:ascii="Arial" w:cs="Arial" w:eastAsia="Arial" w:hAnsi="Arial"/>
          <w:sz w:val="17"/>
          <w:szCs w:val="17"/>
          <w:b w:val="1"/>
          <w:bCs w:val="1"/>
          <w:color w:val="auto"/>
        </w:rPr>
        <w:t>Company</w:t>
      </w:r>
      <w:r>
        <w:rPr>
          <w:rFonts w:ascii="Arial" w:cs="Arial" w:eastAsia="Arial" w:hAnsi="Arial"/>
          <w:sz w:val="17"/>
          <w:szCs w:val="17"/>
          <w:color w:val="auto"/>
        </w:rPr>
        <w:t>”) hereby requests that the above-referenced Registration Statement on Form S-1 (File No. 333-251171)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our counsel, Wilson Sonsini Goodrich &amp; Rosati, P.C., by calling Michael Coke at (650)</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auto"/>
        </w:rPr>
        <w:t>565-3596.</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p>
    <w:p>
      <w:pPr>
        <w:sectPr>
          <w:pgSz w:w="11900" w:h="16838" w:orient="portrait"/>
          <w:cols w:equalWidth="0" w:num="1">
            <w:col w:w="11000"/>
          </w:cols>
          <w:pgMar w:left="440" w:top="241" w:right="459" w:bottom="1440" w:gutter="0" w:footer="0" w:header="0"/>
          <w:type w:val="continuous"/>
        </w:sectPr>
      </w:pPr>
    </w:p>
    <w:bookmarkStart w:id="1" w:name="page2"/>
    <w:bookmarkEnd w:id="1"/>
    <w:p>
      <w:pPr>
        <w:ind w:left="662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10"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ALX ONCOLOGY HOLDINGS INC.</w:t>
      </w:r>
    </w:p>
    <w:p>
      <w:pPr>
        <w:spacing w:after="0" w:line="210"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0</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0"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Jaume Pons, Ph.D.</w:t>
      </w:r>
    </w:p>
    <w:p>
      <w:pPr>
        <w:ind w:left="6624"/>
        <w:spacing w:after="0"/>
        <w:rPr>
          <w:sz w:val="20"/>
          <w:szCs w:val="20"/>
          <w:color w:val="auto"/>
        </w:rPr>
      </w:pP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305" w:lineRule="exact"/>
        <w:rPr>
          <w:sz w:val="20"/>
          <w:szCs w:val="20"/>
          <w:color w:val="auto"/>
        </w:rPr>
      </w:pPr>
    </w:p>
    <w:p>
      <w:pPr>
        <w:ind w:left="1764" w:right="5059" w:hanging="1764"/>
        <w:spacing w:after="0" w:line="232" w:lineRule="auto"/>
        <w:tabs>
          <w:tab w:leader="none" w:pos="214" w:val="left"/>
        </w:tabs>
        <w:numPr>
          <w:ilvl w:val="0"/>
          <w:numId w:val="1"/>
        </w:numPr>
        <w:rPr>
          <w:rFonts w:ascii="Arial" w:cs="Arial" w:eastAsia="Arial" w:hAnsi="Arial"/>
          <w:sz w:val="17"/>
          <w:szCs w:val="17"/>
          <w:color w:val="auto"/>
        </w:rPr>
      </w:pPr>
      <w:r>
        <w:rPr>
          <w:rFonts w:ascii="Arial" w:cs="Arial" w:eastAsia="Arial" w:hAnsi="Arial"/>
          <w:sz w:val="17"/>
          <w:szCs w:val="17"/>
          <w:color w:val="auto"/>
        </w:rPr>
        <w:t>(w/o enclosures): Peter García, ALX Oncology Holdings Inc. Jason Trimborn, KPMG LLP</w:t>
      </w:r>
    </w:p>
    <w:p>
      <w:pPr>
        <w:ind w:left="1764" w:right="5919"/>
        <w:spacing w:after="0" w:line="232" w:lineRule="auto"/>
        <w:rPr>
          <w:rFonts w:ascii="Arial" w:cs="Arial" w:eastAsia="Arial" w:hAnsi="Arial"/>
          <w:sz w:val="17"/>
          <w:szCs w:val="17"/>
          <w:color w:val="auto"/>
        </w:rPr>
      </w:pPr>
      <w:r>
        <w:rPr>
          <w:rFonts w:ascii="Arial" w:cs="Arial" w:eastAsia="Arial" w:hAnsi="Arial"/>
          <w:sz w:val="17"/>
          <w:szCs w:val="17"/>
          <w:color w:val="auto"/>
        </w:rPr>
        <w:t>Dave Peinsipp, Cooley LLP Kristin VanderPas, Cooley LLP</w:t>
      </w:r>
    </w:p>
    <w:p>
      <w:pPr>
        <w:ind w:left="1764" w:right="3859"/>
        <w:spacing w:after="0" w:line="243" w:lineRule="auto"/>
        <w:rPr>
          <w:rFonts w:ascii="Arial" w:cs="Arial" w:eastAsia="Arial" w:hAnsi="Arial"/>
          <w:sz w:val="17"/>
          <w:szCs w:val="17"/>
          <w:color w:val="auto"/>
        </w:rPr>
      </w:pPr>
      <w:r>
        <w:rPr>
          <w:rFonts w:ascii="Arial" w:cs="Arial" w:eastAsia="Arial" w:hAnsi="Arial"/>
          <w:sz w:val="17"/>
          <w:szCs w:val="17"/>
          <w:color w:val="auto"/>
        </w:rPr>
        <w:t>Michael Coke, Wilson Sonsini Goodrich &amp; Rosati, P.C. Christina Poulsen, Wilson Sonsini Goodrich &amp; Rosati, P.C.</w:t>
      </w:r>
    </w:p>
    <w:sectPr>
      <w:pgSz w:w="11900" w:h="16838" w:orient="portrait"/>
      <w:cols w:equalWidth="0" w:num="1">
        <w:col w:w="10023"/>
      </w:cols>
      <w:pgMar w:left="436" w:top="2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2021-08-15T20:25:28Z</dcterms:created>
  <dcterms:modified xsi:type="dcterms:W3CDTF">2021-08-15T20:25:28Z</dcterms:modified>
</cp:coreProperties>
</file>