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720" w:type="dxa"/>
        <w:tblCellMar>
          <w:top w:w="0" w:type="dxa"/>
          <w:left w:w="0" w:type="dxa"/>
          <w:bottom w:w="0" w:type="dxa"/>
          <w:right w:w="0" w:type="dxa"/>
        </w:tblCellMar>
      </w:tblPr>
      <w:tr>
        <w:trPr>
          <w:trHeight w:val="208"/>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right"/>
              <w:ind w:right="150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38"/>
        </w:trPr>
        <w:tc>
          <w:tcPr>
            <w:tcW w:w="3320" w:type="dxa"/>
            <w:vAlign w:val="bottom"/>
          </w:tcPr>
          <w:p>
            <w:pPr>
              <w:jc w:val="center"/>
              <w:ind w:right="80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20" w:type="dxa"/>
            <w:vAlign w:val="bottom"/>
          </w:tcPr>
          <w:p>
            <w:pPr>
              <w:spacing w:after="0"/>
              <w:rPr>
                <w:sz w:val="12"/>
                <w:szCs w:val="12"/>
                <w:color w:val="auto"/>
              </w:rPr>
            </w:pPr>
          </w:p>
        </w:tc>
        <w:tc>
          <w:tcPr>
            <w:tcW w:w="2240" w:type="dxa"/>
            <w:vAlign w:val="bottom"/>
          </w:tcPr>
          <w:p>
            <w:pPr>
              <w:jc w:val="center"/>
              <w:ind w:left="110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8"/>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2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02"/>
        </w:trPr>
        <w:tc>
          <w:tcPr>
            <w:tcW w:w="3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2"/>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620" w:type="dxa"/>
            <w:vAlign w:val="bottom"/>
          </w:tcPr>
          <w:p>
            <w:pPr>
              <w:spacing w:after="0"/>
              <w:rPr>
                <w:sz w:val="19"/>
                <w:szCs w:val="19"/>
                <w:color w:val="auto"/>
              </w:rPr>
            </w:pPr>
          </w:p>
        </w:tc>
        <w:tc>
          <w:tcPr>
            <w:tcW w:w="22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20" w:type="dxa"/>
            <w:vAlign w:val="bottom"/>
          </w:tcPr>
          <w:p>
            <w:pPr>
              <w:spacing w:after="0"/>
              <w:rPr>
                <w:sz w:val="15"/>
                <w:szCs w:val="15"/>
                <w:color w:val="auto"/>
              </w:rPr>
            </w:pP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466-7125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right="2720" w:firstLine="21"/>
        <w:spacing w:after="0" w:line="379"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ind w:right="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 Compensatory Arrangements of Certain Officers.</w:t>
      </w:r>
    </w:p>
    <w:p>
      <w:pPr>
        <w:spacing w:after="0" w:line="185" w:lineRule="exact"/>
        <w:rPr>
          <w:sz w:val="20"/>
          <w:szCs w:val="20"/>
          <w:color w:val="auto"/>
        </w:rPr>
      </w:pPr>
    </w:p>
    <w:p>
      <w:pPr>
        <w:ind w:right="100" w:firstLine="585"/>
        <w:spacing w:after="0" w:line="276" w:lineRule="auto"/>
        <w:rPr>
          <w:sz w:val="20"/>
          <w:szCs w:val="20"/>
          <w:color w:val="auto"/>
        </w:rPr>
      </w:pPr>
      <w:r>
        <w:rPr>
          <w:rFonts w:ascii="Times New Roman" w:cs="Times New Roman" w:eastAsia="Times New Roman" w:hAnsi="Times New Roman"/>
          <w:sz w:val="18"/>
          <w:szCs w:val="18"/>
          <w:color w:val="auto"/>
        </w:rPr>
        <w:t>Effective as of April 11, 2022, the Board of Directors of ALX Oncology Holdings Inc. (the “Company”) appointed Dr. Itziar Canamasas to its Board of Directors and increased the size of its Board of Directors from six to seven directors in connection with her appointment. The appointment was made based upon the recommendation of the Corporate Governance and Nominating Committee of the Company’s Board of Directors. Dr. Canamasas has been designated as a Class II director for a term expiring at the Company’s 2022 Annual Meeting of Stockholders.</w:t>
      </w:r>
    </w:p>
    <w:p>
      <w:pPr>
        <w:spacing w:after="0" w:line="195" w:lineRule="exact"/>
        <w:rPr>
          <w:sz w:val="20"/>
          <w:szCs w:val="20"/>
          <w:color w:val="auto"/>
        </w:rPr>
      </w:pPr>
    </w:p>
    <w:p>
      <w:pPr>
        <w:ind w:right="120" w:firstLine="630"/>
        <w:spacing w:after="0" w:line="274" w:lineRule="auto"/>
        <w:rPr>
          <w:sz w:val="20"/>
          <w:szCs w:val="20"/>
          <w:color w:val="auto"/>
        </w:rPr>
      </w:pPr>
      <w:r>
        <w:rPr>
          <w:rFonts w:ascii="Times New Roman" w:cs="Times New Roman" w:eastAsia="Times New Roman" w:hAnsi="Times New Roman"/>
          <w:sz w:val="18"/>
          <w:szCs w:val="18"/>
          <w:color w:val="auto"/>
        </w:rPr>
        <w:t>Dr. Canamasas currently serves as the Head of Oncology Europe, Middle East and Africa at Bayer AG. During her 20 plus years at Bayer, Dr. Canamasas has held various oncology leadership positions with expertise focused on global commercialization, strategic life-cycle development and corporate strategy, including roles as Vice President of Global Marketing Oncology and Managing Director of Bayer Limited. Dr. Canamasas is also the Organizational Development Director for the Ambassador Program at the Healthcare Businesswomen’s Association (HBA). Dr. Canamasas holds an M.S. in Biology with distinction from the Universitat de Barcelona and a Ph.D. in Cancer Genetics from the University of Mainz.</w:t>
      </w:r>
    </w:p>
    <w:p>
      <w:pPr>
        <w:spacing w:after="0" w:line="195" w:lineRule="exact"/>
        <w:rPr>
          <w:sz w:val="20"/>
          <w:szCs w:val="20"/>
          <w:color w:val="auto"/>
        </w:rPr>
      </w:pPr>
    </w:p>
    <w:p>
      <w:pPr>
        <w:ind w:right="80" w:firstLine="630"/>
        <w:spacing w:after="0" w:line="272" w:lineRule="auto"/>
        <w:rPr>
          <w:sz w:val="20"/>
          <w:szCs w:val="20"/>
          <w:color w:val="auto"/>
        </w:rPr>
      </w:pPr>
      <w:r>
        <w:rPr>
          <w:rFonts w:ascii="Times New Roman" w:cs="Times New Roman" w:eastAsia="Times New Roman" w:hAnsi="Times New Roman"/>
          <w:sz w:val="18"/>
          <w:szCs w:val="18"/>
          <w:color w:val="auto"/>
        </w:rPr>
        <w:t>In accordance with the Company’s outside director compensation policy (the “policy”) and in connection with her appointment on April 11, 2022, Dr. Canamasas was automatically granted an initial award of stock options to purchase 24,009 shares of the Company’s common stock (the “Initial Award”). The Initial Award is scheduled to vest in equal installments as to one thirty-sixth of the shares subject to the Initial Award on a monthly basis following the Initial Award’s grant date, on the same day of the month as the grant date, subject to continued services to the Company through the applicable vesting date. Dr. Canamasas shall also be entitled to annual cash compensation and equity awards under the terms of the policy. In addition, the Company entered into an indemnification agreement with Dr. Canamasas in the same form as the Company’s other directors.</w:t>
      </w:r>
    </w:p>
    <w:p>
      <w:pPr>
        <w:spacing w:after="0" w:line="199" w:lineRule="exact"/>
        <w:rPr>
          <w:sz w:val="20"/>
          <w:szCs w:val="20"/>
          <w:color w:val="auto"/>
        </w:rPr>
      </w:pPr>
    </w:p>
    <w:p>
      <w:pPr>
        <w:jc w:val="both"/>
        <w:ind w:right="360" w:firstLine="630"/>
        <w:spacing w:after="0" w:line="281" w:lineRule="auto"/>
        <w:rPr>
          <w:sz w:val="20"/>
          <w:szCs w:val="20"/>
          <w:color w:val="auto"/>
        </w:rPr>
      </w:pPr>
      <w:r>
        <w:rPr>
          <w:rFonts w:ascii="Times New Roman" w:cs="Times New Roman" w:eastAsia="Times New Roman" w:hAnsi="Times New Roman"/>
          <w:sz w:val="18"/>
          <w:szCs w:val="18"/>
          <w:color w:val="auto"/>
        </w:rPr>
        <w:t>There are no arrangements or understandings between Dr. Canamasas and any other person pursuant to which she was selected to serve on the Company’s Board of Directors. There are no transactions in which the Company or any of its subsidiaries is a party and in which Dr. Canamasas has a material interest subject to disclosure under Item 404(a) of Regulation S-K.</w:t>
      </w:r>
    </w:p>
    <w:p>
      <w:pPr>
        <w:spacing w:after="0" w:line="164" w:lineRule="exact"/>
        <w:rPr>
          <w:sz w:val="20"/>
          <w:szCs w:val="20"/>
          <w:color w:val="auto"/>
        </w:rPr>
      </w:pPr>
    </w:p>
    <w:p>
      <w:pPr>
        <w:jc w:val="both"/>
        <w:ind w:right="340" w:firstLine="630"/>
        <w:spacing w:after="0" w:line="297" w:lineRule="auto"/>
        <w:rPr>
          <w:sz w:val="20"/>
          <w:szCs w:val="20"/>
          <w:color w:val="auto"/>
        </w:rPr>
      </w:pPr>
      <w:r>
        <w:rPr>
          <w:rFonts w:ascii="Times New Roman" w:cs="Times New Roman" w:eastAsia="Times New Roman" w:hAnsi="Times New Roman"/>
          <w:sz w:val="18"/>
          <w:szCs w:val="18"/>
          <w:color w:val="auto"/>
        </w:rPr>
        <w:t>On April 12, 2022, the Company, issued a press release announcing the appointment of Dr. Canamasas to its Board of Directors effective as of April 11, 2022. A copy of this press release is furnished as Exhibit 99.1 to this Current Report on Form 8-K and is incorporated herein by reference.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4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Press Release dated April 12, 2022</w:t>
              </w:r>
            </w:hyperlink>
          </w:p>
        </w:tc>
        <w:tc>
          <w:tcPr>
            <w:tcW w:w="20" w:type="dxa"/>
            <w:vAlign w:val="bottom"/>
            <w:tcBorders>
              <w:bottom w:val="single" w:sz="8" w:color="0000EE"/>
            </w:tcBorders>
          </w:tcPr>
          <w:p>
            <w:pPr>
              <w:spacing w:after="0"/>
              <w:rPr>
                <w:sz w:val="24"/>
                <w:szCs w:val="24"/>
                <w:color w:val="auto"/>
              </w:rPr>
            </w:pPr>
          </w:p>
        </w:tc>
        <w:tc>
          <w:tcPr>
            <w:tcW w:w="7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506"/>
        </w:trPr>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351"/>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12, 2022</w:t>
            </w:r>
          </w:p>
        </w:tc>
        <w:tc>
          <w:tcPr>
            <w:tcW w:w="766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Peter Garcia</w:t>
            </w:r>
          </w:p>
        </w:tc>
      </w:tr>
      <w:tr>
        <w:trPr>
          <w:trHeight w:val="147"/>
        </w:trPr>
        <w:tc>
          <w:tcPr>
            <w:tcW w:w="3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280" w:type="dxa"/>
            <w:vAlign w:val="bottom"/>
            <w:tcBorders>
              <w:top w:val="single" w:sz="8" w:color="auto"/>
            </w:tcBorders>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Peter Garcia</w:t>
            </w:r>
          </w:p>
        </w:tc>
      </w:tr>
      <w:tr>
        <w:trPr>
          <w:trHeight w:val="238"/>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507"/>
        </w:trPr>
        <w:tc>
          <w:tcPr>
            <w:tcW w:w="35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145732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73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ALX Oncology Appoints Itziar Canamasas, Ph.D., to its Board of Directors</w:t>
      </w:r>
    </w:p>
    <w:p>
      <w:pPr>
        <w:spacing w:after="0" w:line="24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SOUTH SAN FRANCISCO, Calif., April 12, 2022 (GLOBE NEWSWIRE) -- </w:t>
      </w:r>
      <w:r>
        <w:rPr>
          <w:rFonts w:ascii="Times New Roman" w:cs="Times New Roman" w:eastAsia="Times New Roman" w:hAnsi="Times New Roman"/>
          <w:sz w:val="19"/>
          <w:szCs w:val="19"/>
          <w:color w:val="auto"/>
        </w:rPr>
        <w:t>ALX Oncology Holdings Inc., (“ALX Oncology”)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(Nasdaq: ALXO) a clinical-stage immuno-oncology company developing therapies that block the CD47 checkpoint pathway, today announced the appointment of Itziar Canamasas, Ph.D., to its Board of Directors (the “Board”) effective April 11, 2022. With more than 20 years of biopharmaceutical industry experience, Dr. Canamasas brings expertise in driving business growth and operational excellence.</w:t>
      </w:r>
    </w:p>
    <w:p>
      <w:pPr>
        <w:spacing w:after="0" w:line="163" w:lineRule="exact"/>
        <w:rPr>
          <w:sz w:val="20"/>
          <w:szCs w:val="20"/>
          <w:color w:val="auto"/>
        </w:rPr>
      </w:pPr>
    </w:p>
    <w:p>
      <w:pPr>
        <w:jc w:val="both"/>
        <w:ind w:right="220"/>
        <w:spacing w:after="0" w:line="236" w:lineRule="auto"/>
        <w:rPr>
          <w:sz w:val="20"/>
          <w:szCs w:val="20"/>
          <w:color w:val="auto"/>
        </w:rPr>
      </w:pPr>
      <w:r>
        <w:rPr>
          <w:rFonts w:ascii="Times New Roman" w:cs="Times New Roman" w:eastAsia="Times New Roman" w:hAnsi="Times New Roman"/>
          <w:sz w:val="20"/>
          <w:szCs w:val="20"/>
          <w:color w:val="auto"/>
        </w:rPr>
        <w:t>“We are excited to welcome Dr. Canamasas to our Board during an important time in ALX Oncology’s continued evolution,” said Corey Goodman, Ph.D., Executive Chairman of ALX Oncology. “Dr. Canamasas provides a proven track record of successful oncology product launches and transformational strategic expertise to ALX Oncology that will be instrumental in 2022 and beyond as we execute on helping patients fight cancer.”</w:t>
      </w:r>
    </w:p>
    <w:p>
      <w:pPr>
        <w:spacing w:after="0" w:line="175" w:lineRule="exact"/>
        <w:rPr>
          <w:sz w:val="20"/>
          <w:szCs w:val="20"/>
          <w:color w:val="auto"/>
        </w:rPr>
      </w:pPr>
    </w:p>
    <w:p>
      <w:pPr>
        <w:jc w:val="both"/>
        <w:ind w:right="360"/>
        <w:spacing w:after="0"/>
        <w:rPr>
          <w:sz w:val="20"/>
          <w:szCs w:val="20"/>
          <w:color w:val="auto"/>
        </w:rPr>
      </w:pPr>
      <w:r>
        <w:rPr>
          <w:rFonts w:ascii="Times New Roman" w:cs="Times New Roman" w:eastAsia="Times New Roman" w:hAnsi="Times New Roman"/>
          <w:sz w:val="20"/>
          <w:szCs w:val="20"/>
          <w:color w:val="auto"/>
        </w:rPr>
        <w:t>“I am excited to join the Board at this pivotal junction in ALX Oncology’s growth trajectory. I look forward to working closely with the management team and fellow Board members to execute on advancing evorpacept to reach its full potential as a therapy for patients with hematological and solid tumors,” said Dr. Canamasas.</w:t>
      </w:r>
    </w:p>
    <w:p>
      <w:pPr>
        <w:spacing w:after="0" w:line="174"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20"/>
          <w:szCs w:val="20"/>
          <w:color w:val="auto"/>
        </w:rPr>
        <w:t>Dr. Canamasas currently serves as the Head of Oncology Europe, Middle East and Africa at Bayer AG. During her 20 plus years at Bayer, Dr. Canamasas has held various oncology leadership positions with expertise focused on global commercialization, strategic life-cycle development and corporate strategy, including roles as Vice President of Global Marketing Oncology and Managing Director of Bayer Limited. Dr. Canamasas is also the Organizational Development Director for the Ambassador Program at the Healthcare Businesswomen’s Association (HBA). Dr. Canamasas holds an M.S. in Biology with distinction from the Universitat de Barcelona and a Ph.D. in Cancer Genetics from the University of Mainz.</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206" w:lineRule="exact"/>
        <w:rPr>
          <w:sz w:val="20"/>
          <w:szCs w:val="20"/>
          <w:color w:val="auto"/>
        </w:rPr>
      </w:pPr>
    </w:p>
    <w:p>
      <w:pPr>
        <w:ind w:right="560"/>
        <w:spacing w:after="0" w:line="231" w:lineRule="auto"/>
        <w:rPr>
          <w:sz w:val="20"/>
          <w:szCs w:val="20"/>
          <w:color w:val="auto"/>
        </w:rPr>
      </w:pPr>
      <w:r>
        <w:rPr>
          <w:rFonts w:ascii="Times New Roman" w:cs="Times New Roman" w:eastAsia="Times New Roman" w:hAnsi="Times New Roman"/>
          <w:sz w:val="20"/>
          <w:szCs w:val="20"/>
          <w:color w:val="auto"/>
        </w:rPr>
        <w:t>ALX Oncology is a publicly traded, clinical-stage immuno-oncology company focused on helping patients fight cancer by developing therapies that block the CD47 checkpoint pathway and bridge the innate and adaptive immune system. ALX Oncology’s lead product candidate, evorpacept, is a next 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agents. ALX Oncology intends to continue clinical development of evorpacept for the treatment of multiple solid tumor indications and hematologic malignancies, including acute myeloid leukemia and myelodysplastic syndromes.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06"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4" w:name="page5"/>
    <w:bookmarkEnd w:id="4"/>
    <w:p>
      <w:pPr>
        <w:spacing w:after="0" w:line="234" w:lineRule="auto"/>
        <w:rPr>
          <w:sz w:val="20"/>
          <w:szCs w:val="20"/>
          <w:color w:val="auto"/>
        </w:rPr>
      </w:pPr>
      <w:r>
        <w:rPr>
          <w:rFonts w:ascii="Times New Roman" w:cs="Times New Roman" w:eastAsia="Times New Roman" w:hAnsi="Times New Roman"/>
          <w:sz w:val="20"/>
          <w:szCs w:val="20"/>
          <w:color w:val="auto"/>
        </w:rPr>
        <w:t>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Garcia</w:t>
      </w:r>
    </w:p>
    <w:p>
      <w:pPr>
        <w:spacing w:after="0" w:line="233" w:lineRule="auto"/>
        <w:rPr>
          <w:sz w:val="20"/>
          <w:szCs w:val="20"/>
          <w:color w:val="auto"/>
        </w:rPr>
      </w:pPr>
      <w:r>
        <w:rPr>
          <w:rFonts w:ascii="Times New Roman" w:cs="Times New Roman" w:eastAsia="Times New Roman" w:hAnsi="Times New Roman"/>
          <w:sz w:val="20"/>
          <w:szCs w:val="20"/>
          <w:color w:val="auto"/>
        </w:rPr>
        <w:t>Chief Financial Officer, ALX Oncology</w:t>
      </w:r>
    </w:p>
    <w:p>
      <w:pPr>
        <w:spacing w:after="0" w:line="1" w:lineRule="exact"/>
        <w:rPr>
          <w:sz w:val="20"/>
          <w:szCs w:val="20"/>
          <w:color w:val="auto"/>
        </w:rPr>
      </w:pPr>
    </w:p>
    <w:p>
      <w:pPr>
        <w:jc w:val="both"/>
        <w:ind w:right="9120" w:firstLine="8"/>
        <w:spacing w:after="0" w:line="256" w:lineRule="auto"/>
        <w:tabs>
          <w:tab w:leader="none" w:pos="478"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466-7125 Ext. 113 </w:t>
      </w:r>
      <w:r>
        <w:rPr>
          <w:rFonts w:ascii="Times New Roman" w:cs="Times New Roman" w:eastAsia="Times New Roman" w:hAnsi="Times New Roman"/>
          <w:sz w:val="19"/>
          <w:szCs w:val="19"/>
          <w:u w:val="single" w:color="auto"/>
          <w:color w:val="0000FF"/>
        </w:rPr>
        <w:t>peter@alxoncology.com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Argot Partners</w:t>
      </w:r>
    </w:p>
    <w:p>
      <w:pPr>
        <w:spacing w:after="0" w:line="233" w:lineRule="auto"/>
        <w:rPr>
          <w:sz w:val="20"/>
          <w:szCs w:val="20"/>
          <w:color w:val="auto"/>
        </w:rPr>
      </w:pPr>
      <w:r>
        <w:rPr>
          <w:rFonts w:ascii="Times New Roman" w:cs="Times New Roman" w:eastAsia="Times New Roman" w:hAnsi="Times New Roman"/>
          <w:sz w:val="20"/>
          <w:szCs w:val="20"/>
          <w:color w:val="auto"/>
        </w:rPr>
        <w:t>(212)-600-1902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alxoncology@argotpartners.com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Karen Sharma</w:t>
      </w:r>
    </w:p>
    <w:p>
      <w:pPr>
        <w:spacing w:after="0" w:line="233" w:lineRule="auto"/>
        <w:rPr>
          <w:sz w:val="20"/>
          <w:szCs w:val="20"/>
          <w:color w:val="auto"/>
        </w:rPr>
      </w:pPr>
      <w:r>
        <w:rPr>
          <w:rFonts w:ascii="Times New Roman" w:cs="Times New Roman" w:eastAsia="Times New Roman" w:hAnsi="Times New Roman"/>
          <w:sz w:val="20"/>
          <w:szCs w:val="20"/>
          <w:color w:val="auto"/>
        </w:rPr>
        <w:t>MacDougall</w:t>
      </w:r>
    </w:p>
    <w:p>
      <w:pPr>
        <w:ind w:left="480" w:hanging="472"/>
        <w:spacing w:after="0" w:line="226" w:lineRule="auto"/>
        <w:tabs>
          <w:tab w:leader="none" w:pos="4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235-3060</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alx@macbiocom.com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3" w:right="4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50"/>
    </w:lvl>
  </w:abstractNum>
  <w:abstractNum w:abstractNumId="2">
    <w:nsid w:val="19495CFF"/>
    <w:multiLevelType w:val="hybridMultilevel"/>
    <w:lvl w:ilvl="0">
      <w:lvlJc w:val="left"/>
      <w:lvlText w:val="(%1)"/>
      <w:numFmt w:val="decimal"/>
      <w:start w:val="78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2022-04-12T07:36:32Z</dcterms:created>
  <dcterms:modified xsi:type="dcterms:W3CDTF">2022-04-12T07:36:32Z</dcterms:modified>
</cp:coreProperties>
</file>