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9,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85-0642577</w:t>
      </w:r>
    </w:p>
    <w:p>
      <w:pPr>
        <w:spacing w:after="0" w:line="31" w:lineRule="exact"/>
        <w:rPr>
          <w:sz w:val="24"/>
          <w:szCs w:val="24"/>
          <w:color w:val="auto"/>
        </w:rPr>
      </w:pPr>
    </w:p>
    <w:p>
      <w:pPr>
        <w:sectPr>
          <w:pgSz w:w="11900" w:h="16838" w:orient="portrait"/>
          <w:cols w:equalWidth="0" w:num="2">
            <w:col w:w="7180" w:space="720"/>
            <w:col w:w="3060"/>
          </w:cols>
          <w:pgMar w:left="440" w:top="229" w:right="49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b w:val="1"/>
          <w:bCs w:val="1"/>
          <w:color w:val="auto"/>
        </w:rPr>
        <w:t>(I.R.S. Employer</w:t>
      </w:r>
    </w:p>
    <w:p>
      <w:pPr>
        <w:jc w:val="center"/>
        <w:ind w:right="19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6920" w:space="720"/>
            <w:col w:w="3320"/>
          </w:cols>
          <w:pgMar w:left="440" w:top="229" w:right="4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323 Allerton Avenue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Amended and Restated 2020 Equity Incentive Plan</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ectPr>
          <w:pgSz w:w="11900" w:h="16838" w:orient="portrait"/>
          <w:cols w:equalWidth="0" w:num="1">
            <w:col w:w="10960"/>
          </w:cols>
          <w:pgMar w:left="440" w:top="229" w:right="49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ALX Oncology Holdings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323 Allerton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650-466-7125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Kenneth A. Clark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Michael E. Coke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Christina L. Poulsen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Wilson Sonsini Goodrich &amp; Rosati, P.C.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ALX Oncology Holdings Inc. (the “Registrant”) hereby incorporates by reference into this Registration Statement the following documents previously filed with the Securities and Exchange Commission (the “Commission”):</w:t>
      </w:r>
    </w:p>
    <w:p>
      <w:pPr>
        <w:spacing w:after="0" w:line="62" w:lineRule="exact"/>
        <w:rPr>
          <w:sz w:val="20"/>
          <w:szCs w:val="20"/>
          <w:color w:val="auto"/>
        </w:rPr>
      </w:pPr>
    </w:p>
    <w:p>
      <w:pPr>
        <w:ind w:left="700" w:hanging="264"/>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2022, filed with the Commission on March 9, 2023;</w:t>
      </w:r>
    </w:p>
    <w:p>
      <w:pPr>
        <w:spacing w:after="0" w:line="248" w:lineRule="exact"/>
        <w:rPr>
          <w:rFonts w:ascii="Arial" w:cs="Arial" w:eastAsia="Arial" w:hAnsi="Arial"/>
          <w:sz w:val="16"/>
          <w:szCs w:val="16"/>
          <w:color w:val="auto"/>
        </w:rPr>
      </w:pPr>
    </w:p>
    <w:p>
      <w:pPr>
        <w:jc w:val="both"/>
        <w:ind w:right="140" w:firstLine="436"/>
        <w:spacing w:after="0" w:line="263"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(1) above (other than the portions of these documents not deemed to be filed); and</w:t>
      </w:r>
    </w:p>
    <w:p>
      <w:pPr>
        <w:spacing w:after="0" w:line="183"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w:t>
      </w:r>
      <w:hyperlink r:id="rId1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001-39386) filed with the Commission on July 13, 2020, pursuant to Section 12(b) of the Exchange Act, including any amendment or report filed for the purpose of updating such description.</w:t>
      </w:r>
    </w:p>
    <w:p>
      <w:pPr>
        <w:spacing w:after="0" w:line="184" w:lineRule="exact"/>
        <w:rPr>
          <w:rFonts w:ascii="Arial" w:cs="Arial" w:eastAsia="Arial" w:hAnsi="Arial"/>
          <w:sz w:val="16"/>
          <w:szCs w:val="16"/>
          <w:color w:val="auto"/>
        </w:rPr>
      </w:pPr>
    </w:p>
    <w:p>
      <w:pPr>
        <w:jc w:val="both"/>
        <w:ind w:right="40" w:firstLine="440"/>
        <w:spacing w:after="0" w:line="296" w:lineRule="auto"/>
        <w:rPr>
          <w:sz w:val="20"/>
          <w:szCs w:val="20"/>
          <w:color w:val="auto"/>
        </w:rPr>
      </w:pPr>
      <w:r>
        <w:rPr>
          <w:rFonts w:ascii="Arial" w:cs="Arial" w:eastAsia="Arial" w:hAnsi="Arial"/>
          <w:sz w:val="16"/>
          <w:szCs w:val="16"/>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documents or information deemed to have been furnished and not filed in accordance with the rules of the Commission shall not be deemed incorporated by reference into this Registration Statement.</w:t>
      </w:r>
    </w:p>
    <w:p>
      <w:pPr>
        <w:spacing w:after="0" w:line="161" w:lineRule="exact"/>
        <w:rPr>
          <w:rFonts w:ascii="Arial" w:cs="Arial" w:eastAsia="Arial" w:hAnsi="Arial"/>
          <w:sz w:val="16"/>
          <w:szCs w:val="16"/>
          <w:color w:val="auto"/>
        </w:rPr>
      </w:pPr>
    </w:p>
    <w:p>
      <w:pPr>
        <w:ind w:right="100" w:firstLine="4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7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6"/>
          <w:szCs w:val="16"/>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6"/>
          <w:szCs w:val="16"/>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6"/>
          <w:szCs w:val="16"/>
          <w:color w:val="auto"/>
        </w:rPr>
      </w:pPr>
    </w:p>
    <w:p>
      <w:pPr>
        <w:ind w:firstLine="440"/>
        <w:spacing w:after="0" w:line="296" w:lineRule="auto"/>
        <w:rPr>
          <w:sz w:val="20"/>
          <w:szCs w:val="20"/>
          <w:color w:val="auto"/>
        </w:rPr>
      </w:pPr>
      <w:r>
        <w:rPr>
          <w:rFonts w:ascii="Arial" w:cs="Arial" w:eastAsia="Arial" w:hAnsi="Arial"/>
          <w:sz w:val="16"/>
          <w:szCs w:val="16"/>
          <w:color w:val="auto"/>
        </w:rPr>
        <w:t>Section 145 of the Delaware General Corporation Law authorizes a corporation’s board of directors to grant, and authorizes a court to award, indemnity to officers, directors, and other corporate agents, provided that the person acted in good faith and in a manner the person reasonably believed to be in the corporation’s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w:t>
      </w:r>
    </w:p>
    <w:p>
      <w:pPr>
        <w:sectPr>
          <w:pgSz w:w="11900" w:h="16838" w:orient="portrait"/>
          <w:cols w:equalWidth="0" w:num="1">
            <w:col w:w="10980"/>
          </w:cols>
          <w:pgMar w:left="440" w:top="270" w:right="479" w:bottom="1440" w:gutter="0" w:footer="0" w:header="0"/>
        </w:sectPr>
      </w:pPr>
    </w:p>
    <w:bookmarkStart w:id="2" w:name="page3"/>
    <w:bookmarkEnd w:id="2"/>
    <w:p>
      <w:pPr>
        <w:ind w:left="4" w:right="3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Registrant’s amended and restated certificate of incorporation to be in effect upon the completion of this offering contains provisions that limit the liability of its directors for monetary damages to the fullest extent permitted by the Delaware General Corporation Law. Consequently, the Registrant’s directors will not be personally liable to the Registrant or its stockholders for monetary damages for any breach of fiduciary duties as directors, except liability for the following:</w:t>
      </w:r>
    </w:p>
    <w:p>
      <w:pPr>
        <w:spacing w:after="0" w:line="92" w:lineRule="exact"/>
        <w:rPr>
          <w:sz w:val="20"/>
          <w:szCs w:val="20"/>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their duty of loyalty to the Registrant or its stockholders;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64" w:right="62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87"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In addition, the Registrant’s amended and restated bylaws provide that the Registrant will indemnify, to the fullest extent permitted by law, any person who is or was a party or is threatened to be made a party to any action, suit, or proceeding by reason of the fact that they are or were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also provide that the Registrant must advance expenses incurred by or on behalf of a director or officer in advance of the final disposition of any action or proceeding, subject to limited exceptions.</w:t>
      </w:r>
    </w:p>
    <w:p>
      <w:pPr>
        <w:spacing w:after="0" w:line="165"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ind w:left="4" w:right="40" w:hanging="4"/>
        <w:spacing w:after="0" w:line="253"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amended and restated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91"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Further, as permitted by the Delaware General Corporation Law, the Registrant has entered into separate indemnification agreements with each of its directors and certain executive officers that may be broader than the specific indemnification provisions contained in the Delaware General Corporation Law. These indemnification agreements require the Registrant, among other things, to indemnify its directors and executive officers against certain liabilities that may arise by reason of their status or service.</w:t>
      </w:r>
    </w:p>
    <w:p>
      <w:pPr>
        <w:spacing w:after="0" w:line="187"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The Registrant has obtained insurance policies under which, within the limits and subject to the limitations of the policies, coverage is provided to the Registrant’s directors and executive officers against certain expenses in connection with the defense of, and certain liabilities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The coverage provided by these policies may apply whether or not the Registrant would have the power to indemnify such person against such liability under the provisions of the Delaware General Corporation Law.</w:t>
      </w:r>
    </w:p>
    <w:p>
      <w:pPr>
        <w:spacing w:after="0" w:line="164" w:lineRule="exact"/>
        <w:rPr>
          <w:sz w:val="20"/>
          <w:szCs w:val="20"/>
          <w:color w:val="auto"/>
        </w:rPr>
      </w:pPr>
    </w:p>
    <w:p>
      <w:pPr>
        <w:jc w:val="both"/>
        <w:ind w:left="4" w:right="500" w:firstLine="44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directors and executive officers may be sufficiently broad to permit indemnification of the Registrant’s directors and executive officers for liabilities (including reimbursement of expenses incurred) arising under the Securities Act.</w:t>
      </w:r>
    </w:p>
    <w:p>
      <w:pPr>
        <w:sectPr>
          <w:pgSz w:w="11900" w:h="16838" w:orient="portrait"/>
          <w:cols w:equalWidth="0" w:num="1">
            <w:col w:w="11004"/>
          </w:cols>
          <w:pgMar w:left="436" w:top="274"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57"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5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3"/>
        </w:trPr>
        <w:tc>
          <w:tcPr>
            <w:tcW w:w="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Number</w:t>
            </w:r>
          </w:p>
        </w:tc>
        <w:tc>
          <w:tcPr>
            <w:tcW w:w="520" w:type="dxa"/>
            <w:vAlign w:val="bottom"/>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Description</w:t>
            </w:r>
          </w:p>
        </w:tc>
        <w:tc>
          <w:tcPr>
            <w:tcW w:w="6280" w:type="dxa"/>
            <w:vAlign w:val="bottom"/>
            <w:gridSpan w:val="7"/>
          </w:tcPr>
          <w:p>
            <w:pPr>
              <w:spacing w:after="0"/>
              <w:rPr>
                <w:sz w:val="18"/>
                <w:szCs w:val="18"/>
                <w:color w:val="auto"/>
              </w:rPr>
            </w:pPr>
          </w:p>
        </w:tc>
      </w:tr>
      <w:tr>
        <w:trPr>
          <w:trHeight w:val="280"/>
        </w:trPr>
        <w:tc>
          <w:tcPr>
            <w:tcW w:w="580" w:type="dxa"/>
            <w:vAlign w:val="bottom"/>
          </w:tcPr>
          <w:p>
            <w:pPr>
              <w:spacing w:after="0"/>
              <w:rPr>
                <w:sz w:val="20"/>
                <w:szCs w:val="20"/>
                <w:color w:val="auto"/>
              </w:rPr>
            </w:pPr>
            <w:r>
              <w:rPr>
                <w:rFonts w:ascii="Arial" w:cs="Arial" w:eastAsia="Arial" w:hAnsi="Arial"/>
                <w:sz w:val="18"/>
                <w:szCs w:val="18"/>
                <w:color w:val="auto"/>
              </w:rPr>
              <w:t>4.1(1)</w:t>
            </w:r>
          </w:p>
        </w:tc>
        <w:tc>
          <w:tcPr>
            <w:tcW w:w="520" w:type="dxa"/>
            <w:vAlign w:val="bottom"/>
          </w:tcPr>
          <w:p>
            <w:pPr>
              <w:spacing w:after="0"/>
              <w:rPr>
                <w:sz w:val="24"/>
                <w:szCs w:val="24"/>
                <w:color w:val="auto"/>
              </w:rPr>
            </w:pPr>
          </w:p>
        </w:tc>
        <w:tc>
          <w:tcPr>
            <w:tcW w:w="7100" w:type="dxa"/>
            <w:vAlign w:val="bottom"/>
            <w:gridSpan w:val="8"/>
          </w:tcPr>
          <w:p>
            <w:pPr>
              <w:spacing w:after="0"/>
              <w:rPr>
                <w:rFonts w:ascii="Arial" w:cs="Arial" w:eastAsia="Arial" w:hAnsi="Arial"/>
                <w:sz w:val="18"/>
                <w:szCs w:val="18"/>
                <w:color w:val="0000EE"/>
              </w:rPr>
            </w:pPr>
            <w:hyperlink r:id="rId21">
              <w:r>
                <w:rPr>
                  <w:rFonts w:ascii="Arial" w:cs="Arial" w:eastAsia="Arial" w:hAnsi="Arial"/>
                  <w:sz w:val="18"/>
                  <w:szCs w:val="18"/>
                  <w:color w:val="0000EE"/>
                </w:rPr>
                <w:t>Specimen common stock certificate of the Registrant.</w:t>
              </w:r>
            </w:hyperlink>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4.2(2)</w:t>
            </w:r>
          </w:p>
        </w:tc>
        <w:tc>
          <w:tcPr>
            <w:tcW w:w="520" w:type="dxa"/>
            <w:vAlign w:val="bottom"/>
          </w:tcPr>
          <w:p>
            <w:pPr>
              <w:spacing w:after="0"/>
              <w:rPr>
                <w:sz w:val="24"/>
                <w:szCs w:val="24"/>
                <w:color w:val="auto"/>
              </w:rPr>
            </w:pPr>
          </w:p>
        </w:tc>
        <w:tc>
          <w:tcPr>
            <w:tcW w:w="6360" w:type="dxa"/>
            <w:vAlign w:val="bottom"/>
            <w:tcBorders>
              <w:bottom w:val="single" w:sz="8" w:color="0000EE"/>
            </w:tcBorders>
            <w:gridSpan w:val="7"/>
          </w:tcPr>
          <w:p>
            <w:pPr>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Amended and Restated 2020 Equity Incentive Plan and forms of agreements thereunder.</w:t>
              </w:r>
            </w:hyperlink>
          </w:p>
        </w:tc>
        <w:tc>
          <w:tcPr>
            <w:tcW w:w="740" w:type="dxa"/>
            <w:vAlign w:val="bottom"/>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7100" w:type="dxa"/>
            <w:vAlign w:val="bottom"/>
            <w:gridSpan w:val="8"/>
          </w:tcPr>
          <w:p>
            <w:pPr>
              <w:spacing w:after="0"/>
              <w:rPr>
                <w:sz w:val="20"/>
                <w:szCs w:val="20"/>
                <w:color w:val="auto"/>
              </w:rPr>
            </w:pPr>
            <w:r>
              <w:rPr>
                <w:rFonts w:ascii="Arial" w:cs="Arial" w:eastAsia="Arial" w:hAnsi="Arial"/>
                <w:sz w:val="18"/>
                <w:szCs w:val="18"/>
                <w:color w:val="0000EE"/>
              </w:rPr>
              <w:t>Opinion of Wilson Sonsini Goodrich &amp; Rosati, P.C.</w:t>
            </w: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7100" w:type="dxa"/>
            <w:vAlign w:val="bottom"/>
            <w:gridSpan w:val="8"/>
          </w:tcPr>
          <w:p>
            <w:pPr>
              <w:spacing w:after="0"/>
              <w:rPr>
                <w:sz w:val="20"/>
                <w:szCs w:val="20"/>
                <w:color w:val="auto"/>
              </w:rPr>
            </w:pPr>
            <w:r>
              <w:rPr>
                <w:rFonts w:ascii="Arial" w:cs="Arial" w:eastAsia="Arial" w:hAnsi="Arial"/>
                <w:sz w:val="18"/>
                <w:szCs w:val="18"/>
                <w:color w:val="0000EE"/>
              </w:rPr>
              <w:t>Consent of KPMG LLP, Independent Registered Public Accounting Firm.</w:t>
            </w: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71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Consent of Wilson Sonsini Goodrich &amp; Rosati, Professional Corporation (included in Exhibit 5.1).</w:t>
            </w: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40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Power of Attorney (contained on signature page hereto).</w:t>
            </w:r>
          </w:p>
        </w:tc>
        <w:tc>
          <w:tcPr>
            <w:tcW w:w="3040" w:type="dxa"/>
            <w:vAlign w:val="bottom"/>
            <w:gridSpan w:val="3"/>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107.1</w:t>
            </w:r>
          </w:p>
        </w:tc>
        <w:tc>
          <w:tcPr>
            <w:tcW w:w="520" w:type="dxa"/>
            <w:vAlign w:val="bottom"/>
          </w:tcPr>
          <w:p>
            <w:pPr>
              <w:spacing w:after="0"/>
              <w:rPr>
                <w:sz w:val="24"/>
                <w:szCs w:val="24"/>
                <w:color w:val="auto"/>
              </w:rPr>
            </w:pPr>
          </w:p>
        </w:tc>
        <w:tc>
          <w:tcPr>
            <w:tcW w:w="7100" w:type="dxa"/>
            <w:vAlign w:val="bottom"/>
            <w:gridSpan w:val="8"/>
          </w:tcPr>
          <w:p>
            <w:pPr>
              <w:spacing w:after="0"/>
              <w:rPr>
                <w:sz w:val="20"/>
                <w:szCs w:val="20"/>
                <w:color w:val="auto"/>
              </w:rPr>
            </w:pPr>
            <w:r>
              <w:rPr>
                <w:rFonts w:ascii="Arial" w:cs="Arial" w:eastAsia="Arial" w:hAnsi="Arial"/>
                <w:sz w:val="18"/>
                <w:szCs w:val="18"/>
                <w:color w:val="0000EE"/>
              </w:rPr>
              <w:t>Filing Fee Table.</w:t>
            </w: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right="40" w:hanging="424"/>
        <w:spacing w:after="0" w:line="258"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4.2 filed with the Registrant’s Registration Statement on Form S-1 (Registration No. 333-239490), filed with the Commission on June 26, 2020.</w:t>
      </w:r>
    </w:p>
    <w:p>
      <w:pPr>
        <w:spacing w:after="0" w:line="1" w:lineRule="exact"/>
        <w:rPr>
          <w:rFonts w:ascii="Arial" w:cs="Arial" w:eastAsia="Arial" w:hAnsi="Arial"/>
          <w:sz w:val="18"/>
          <w:szCs w:val="18"/>
          <w:color w:val="auto"/>
        </w:rPr>
      </w:pPr>
    </w:p>
    <w:p>
      <w:pPr>
        <w:ind w:left="424" w:right="14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10.2 filed with the Registrant’s Registration Statement on Form S-1/A (Registration No. 333-239490), filed with the Commission on July 13, 2020.</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20" w:hanging="439"/>
        <w:spacing w:after="0" w:line="291" w:lineRule="auto"/>
        <w:tabs>
          <w:tab w:leader="none" w:pos="1424"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424" w:right="20" w:hanging="439"/>
        <w:spacing w:after="0" w:line="277" w:lineRule="auto"/>
        <w:tabs>
          <w:tab w:leader="none" w:pos="1424"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89" w:lineRule="exact"/>
        <w:rPr>
          <w:sz w:val="20"/>
          <w:szCs w:val="20"/>
          <w:color w:val="auto"/>
        </w:rPr>
      </w:pPr>
    </w:p>
    <w:p>
      <w:pPr>
        <w:jc w:val="both"/>
        <w:ind w:left="964" w:right="28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964"/>
          </w:cols>
          <w:pgMar w:left="436" w:top="270" w:right="499" w:bottom="1440" w:gutter="0" w:footer="0" w:header="0"/>
        </w:sectPr>
      </w:pPr>
    </w:p>
    <w:bookmarkStart w:id="4" w:name="page5"/>
    <w:bookmarkEnd w:id="4"/>
    <w:p>
      <w:pPr>
        <w:ind w:left="424" w:hanging="424"/>
        <w:spacing w:after="0" w:line="271"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4"/>
          </w:cols>
          <w:pgMar w:left="436" w:top="274" w:right="5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California, on the 9th day of March 2023.</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ALX ONCOLOGY HOLDINGS INC.</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Jaume Pons, Ph.D. and Peter Garcia,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16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Jaume Pons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6"/>
              </w:rPr>
              <w:t>Jaume Pons, Ph.D.</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Peter Garcia</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Peter Garcia</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Shelly Pinto</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President, Finance and Chief Accounting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Shelly Pinto</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5"/>
              </w:rPr>
              <w:t>(Principal Accounting Officer)</w:t>
            </w: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Corey Goodman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Chairman of the Board of Directors</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Corey Goodman,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Itziar Canamasas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Itziar Canamasas,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Scott Garland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Scott Garland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Rekha Hemrajani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Rekha Hemrajani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Lettmann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Jason Lettmann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Jack Nielsen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Jack Nielsen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Sophia Randolph</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March 9,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Sophia Randolph, M.D.,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9728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Palo Alto, California 94304-1050</w:t>
      </w:r>
    </w:p>
    <w:p>
      <w:pPr>
        <w:spacing w:after="0" w:line="116" w:lineRule="exact"/>
        <w:rPr>
          <w:sz w:val="20"/>
          <w:szCs w:val="20"/>
          <w:color w:val="auto"/>
        </w:rPr>
      </w:pPr>
    </w:p>
    <w:p>
      <w:pPr>
        <w:ind w:left="7380"/>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35" w:lineRule="exact"/>
        <w:rPr>
          <w:sz w:val="20"/>
          <w:szCs w:val="20"/>
          <w:color w:val="auto"/>
        </w:rPr>
      </w:pPr>
    </w:p>
    <w:p>
      <w:pPr>
        <w:ind w:left="7380"/>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We have examined the Registration Statement on Form S-8 (the “Registration Statement”) to be filed by ALX Oncology Holdings Inc., a Delaware corporation (the “Company”), with the Securities and Exchange Commission on or about the date hereof, relating to the registration under the Securities Act of 1933, as amended, of 1,634,456 shares of common stock, par value $0.001 per share (the “Common Stock”), reserved for issuance pursuant to the Company’s Amended and Restated 2020 Equity Incentive Plan (which plan is referred to herein as the “Plan” and which shares of Common Stock are referred to herein as the “Shares”).</w:t>
      </w:r>
    </w:p>
    <w:p>
      <w:pPr>
        <w:spacing w:after="0" w:line="188"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0581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805815" cy="317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Suite 1400</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55 Second Street</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San Francisco, CA 94105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consent to the use of our report dated March 9, 2023, with respect to the consolidated financial statements of ALX Oncology Holdings Inc.,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196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04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Security</w:t>
            </w: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Fee</w:t>
            </w:r>
          </w:p>
        </w:tc>
        <w:tc>
          <w:tcPr>
            <w:tcW w:w="10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0"/>
              </w:rPr>
              <w:t>Offering</w:t>
            </w:r>
          </w:p>
        </w:tc>
        <w:tc>
          <w:tcPr>
            <w:tcW w:w="10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7"/>
              </w:rPr>
              <w:t>Aggregate</w:t>
            </w: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60" w:type="dxa"/>
            <w:vAlign w:val="bottom"/>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Calculation</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0" w:type="dxa"/>
            <w:vAlign w:val="bottom"/>
          </w:tcPr>
          <w:p>
            <w:pPr>
              <w:spacing w:after="0"/>
              <w:rPr>
                <w:sz w:val="1"/>
                <w:szCs w:val="1"/>
                <w:color w:val="auto"/>
              </w:rPr>
            </w:pPr>
          </w:p>
        </w:tc>
      </w:tr>
      <w:tr>
        <w:trPr>
          <w:trHeight w:val="174"/>
        </w:trPr>
        <w:tc>
          <w:tcPr>
            <w:tcW w:w="94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Arial" w:cs="Arial" w:eastAsia="Arial" w:hAnsi="Arial"/>
                <w:sz w:val="13"/>
                <w:szCs w:val="13"/>
                <w:b w:val="1"/>
                <w:bCs w:val="1"/>
                <w:color w:val="auto"/>
                <w:w w:val="86"/>
              </w:rPr>
              <w:t>Security Type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Registered (1)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5"/>
              </w:rPr>
              <w:t>Equity</w:t>
            </w:r>
          </w:p>
        </w:tc>
        <w:tc>
          <w:tcPr>
            <w:tcW w:w="1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Common Stock, $0.001</w:t>
            </w:r>
          </w:p>
        </w:tc>
        <w:tc>
          <w:tcPr>
            <w:tcW w:w="60" w:type="dxa"/>
            <w:vAlign w:val="bottom"/>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457(c) and</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1,634,456 (2)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$6.39 (3)</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$10,444,174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$1,151</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 value per share,</w:t>
            </w:r>
          </w:p>
        </w:tc>
        <w:tc>
          <w:tcPr>
            <w:tcW w:w="60" w:type="dxa"/>
            <w:vAlign w:val="bottom"/>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reserved for issuance</w:t>
            </w:r>
          </w:p>
        </w:tc>
        <w:tc>
          <w:tcPr>
            <w:tcW w:w="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pursuant to the Amended</w:t>
            </w:r>
          </w:p>
        </w:tc>
        <w:tc>
          <w:tcPr>
            <w:tcW w:w="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Restated 2020</w:t>
            </w:r>
          </w:p>
        </w:tc>
        <w:tc>
          <w:tcPr>
            <w:tcW w:w="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Incentive Plan</w:t>
            </w: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40" w:type="dxa"/>
            <w:vAlign w:val="bottom"/>
            <w:tcBorders>
              <w:left w:val="single" w:sz="8" w:color="auto"/>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8"/>
                <w:szCs w:val="18"/>
                <w:b w:val="1"/>
                <w:bCs w:val="1"/>
                <w:color w:val="auto"/>
                <w:w w:val="93"/>
              </w:rPr>
              <w:t>Total Offering Amount</w:t>
            </w:r>
          </w:p>
        </w:tc>
        <w:tc>
          <w:tcPr>
            <w:tcW w:w="10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5"/>
              </w:rPr>
              <w:t>$ 10,444,174</w:t>
            </w:r>
          </w:p>
        </w:tc>
        <w:tc>
          <w:tcPr>
            <w:tcW w:w="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$1,151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8"/>
                <w:szCs w:val="18"/>
                <w:b w:val="1"/>
                <w:bCs w:val="1"/>
                <w:color w:val="auto"/>
                <w:w w:val="88"/>
              </w:rPr>
              <w:t>Total Fee Offsets</w:t>
            </w:r>
          </w:p>
        </w:tc>
        <w:tc>
          <w:tcPr>
            <w:tcW w:w="10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997"/>
              <w:spacing w:after="0"/>
              <w:rPr>
                <w:sz w:val="20"/>
                <w:szCs w:val="20"/>
                <w:color w:val="auto"/>
              </w:rPr>
            </w:pPr>
            <w:r>
              <w:rPr>
                <w:rFonts w:ascii="Arial" w:cs="Arial" w:eastAsia="Arial" w:hAnsi="Arial"/>
                <w:sz w:val="18"/>
                <w:szCs w:val="18"/>
                <w:b w:val="1"/>
                <w:bCs w:val="1"/>
                <w:color w:val="auto"/>
                <w:w w:val="90"/>
              </w:rPr>
              <w:t>Net Fee Due</w:t>
            </w:r>
          </w:p>
        </w:tc>
        <w:tc>
          <w:tcPr>
            <w:tcW w:w="8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40"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shares of common stock, par value $0.001 per share (“Common Stock”) of ALX Oncology Holdings Inc. (the “Registrant”) available for issuance pursuant to awards granted pursuant to the Registrant’s Amended and Restated 2020 Equity Incentive Plan (the “2020 Plan”). In addition, pursuant to Rule 416(a) of the Securities Act of 1933, as amended (the “Securities Act”), this Registration Statement shall also cover any additional shares of the Registrant’s Common Stock that become issuable under the 2020 Plan by reason of any stock dividend, stock split, recapitalization or other similar transaction effected without the Registrant’s receipt of consideration that results in an increase in the number of the outstanding shares of common stock.</w:t>
      </w:r>
    </w:p>
    <w:p>
      <w:pPr>
        <w:spacing w:after="0" w:line="1" w:lineRule="exact"/>
        <w:rPr>
          <w:rFonts w:ascii="Arial" w:cs="Arial" w:eastAsia="Arial" w:hAnsi="Arial"/>
          <w:sz w:val="18"/>
          <w:szCs w:val="18"/>
          <w:color w:val="auto"/>
        </w:rPr>
      </w:pPr>
    </w:p>
    <w:p>
      <w:pPr>
        <w:ind w:left="424" w:right="440" w:hanging="424"/>
        <w:spacing w:after="0" w:line="25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an automatic increase on January 1, 2023 to the number of shares of Common Stock reserved for issuance pursuant to future awards under the 2020 Plan, which annual increase is provided for in the 2020 Plan.</w:t>
      </w:r>
    </w:p>
    <w:p>
      <w:pPr>
        <w:jc w:val="both"/>
        <w:ind w:left="424" w:right="120" w:hanging="424"/>
        <w:spacing w:after="0" w:line="255"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Estimated in accordance with paragraphs (c) and (h) of Rule 457 of the Securities Act solely for the purpose of calculating the registration fee on the basis of $6.39 per share, which is the average of the high and low prices of the Registrant’s Common Stock, as reported on the Nasdaq Global Select Market, on March 2, 2023.</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79E2A9E3"/>
    <w:multiLevelType w:val="hybridMultilevel"/>
    <w:lvl w:ilvl="0">
      <w:lvlJc w:val="left"/>
      <w:lvlText w:val="%1"/>
      <w:numFmt w:val="upperLetter"/>
      <w:start w:val="1"/>
    </w:lvl>
    <w:lvl w:ilvl="1">
      <w:lvlJc w:val="left"/>
      <w:lvlText w:val="(%2)"/>
      <w:numFmt w:val="decimal"/>
      <w:start w:val="2"/>
    </w:lvl>
  </w:abstractNum>
  <w:abstractNum w:abstractNumId="6">
    <w:nsid w:val="7545E146"/>
    <w:multiLevelType w:val="hybridMultilevel"/>
    <w:lvl w:ilvl="0">
      <w:lvlJc w:val="left"/>
      <w:lvlText w:val="%1."/>
      <w:numFmt w:val="upperLetter"/>
      <w:start w:val="2"/>
    </w:lvl>
    <w:lvl w:ilvl="1">
      <w:lvlJc w:val="left"/>
      <w:lvlText w:val="%2"/>
      <w:numFmt w:val="decimal"/>
      <w:start w:val="1"/>
    </w:lvl>
  </w:abstractNum>
  <w:abstractNum w:abstractNumId="7">
    <w:nsid w:val="515F007C"/>
    <w:multiLevelType w:val="hybridMultilevel"/>
    <w:lvl w:ilvl="0">
      <w:lvlJc w:val="left"/>
      <w:lvlText w:val="%1."/>
      <w:numFmt w:val="upperLetter"/>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jpeg"/><Relationship Id="rId28" Type="http://schemas.openxmlformats.org/officeDocument/2006/relationships/image" Target="media/image17.jpeg"/><Relationship Id="rId17" Type="http://schemas.openxmlformats.org/officeDocument/2006/relationships/hyperlink" Target="http://www.sec.gov/ix?doc=/Archives/edgar/data/1810182/000095017023007013/alxo-20221231.htm" TargetMode="External"/><Relationship Id="rId18" Type="http://schemas.openxmlformats.org/officeDocument/2006/relationships/hyperlink" Target="http://www.sec.gov/Archives/edgar/data/1810182/000119312520191878/d936945d8a12b.htm" TargetMode="External"/><Relationship Id="rId21" Type="http://schemas.openxmlformats.org/officeDocument/2006/relationships/hyperlink" Target="http://www.sec.gov/Archives/edgar/data/1810182/000119312520181021/d913838dex42.htm" TargetMode="External"/><Relationship Id="rId22" Type="http://schemas.openxmlformats.org/officeDocument/2006/relationships/hyperlink" Target="http://www.sec.gov/Archives/edgar/data/1810182/000119312520191500/d91383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2023-03-09T17:40:10Z</dcterms:created>
  <dcterms:modified xsi:type="dcterms:W3CDTF">2023-03-09T17:40:10Z</dcterms:modified>
</cp:coreProperties>
</file>