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1866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Randolph Sophia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ALX ONCOLOGY HOLDINGS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866 MALCOLM ROAD, SUITE 100</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BURLINGAME 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94010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2"/>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ALX ONCOLOGY HOLDINGS INC </w:t>
              </w:r>
            </w:hyperlink>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500" w:type="dxa"/>
            <w:vAlign w:val="bottom"/>
            <w:vMerge w:val="restart"/>
          </w:tcPr>
          <w:p>
            <w:pPr>
              <w:ind w:left="280"/>
              <w:spacing w:after="0" w:line="54" w:lineRule="exact"/>
              <w:rPr>
                <w:sz w:val="20"/>
                <w:szCs w:val="20"/>
                <w:color w:val="auto"/>
              </w:rPr>
            </w:pPr>
            <w:r>
              <w:rPr>
                <w:rFonts w:ascii="Arial" w:cs="Arial" w:eastAsia="Arial" w:hAnsi="Arial"/>
                <w:sz w:val="6"/>
                <w:szCs w:val="6"/>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24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ALXO </w:t>
              </w:r>
              <w:r>
                <w:rPr>
                  <w:rFonts w:ascii="Arial" w:cs="Arial" w:eastAsia="Arial" w:hAnsi="Arial"/>
                  <w:sz w:val="1"/>
                  <w:szCs w:val="1"/>
                  <w:color w:val="000000"/>
                </w:rPr>
                <w:t>]</w:t>
              </w:r>
            </w:hyperlink>
          </w:p>
        </w:tc>
        <w:tc>
          <w:tcPr>
            <w:tcW w:w="50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8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500" w:type="dxa"/>
            <w:vAlign w:val="bottom"/>
            <w:vMerge w:val="continue"/>
          </w:tcPr>
          <w:p>
            <w:pPr>
              <w:spacing w:after="0"/>
              <w:rPr>
                <w:sz w:val="9"/>
                <w:szCs w:val="9"/>
                <w:color w:val="auto"/>
              </w:rPr>
            </w:pPr>
          </w:p>
        </w:tc>
        <w:tc>
          <w:tcPr>
            <w:tcW w:w="1360" w:type="dxa"/>
            <w:vAlign w:val="bottom"/>
          </w:tcPr>
          <w:p>
            <w:pPr>
              <w:ind w:left="100"/>
              <w:spacing w:after="0" w:line="101" w:lineRule="exact"/>
              <w:rPr>
                <w:sz w:val="20"/>
                <w:szCs w:val="20"/>
                <w:color w:val="auto"/>
              </w:rPr>
            </w:pPr>
            <w:r>
              <w:rPr>
                <w:rFonts w:ascii="Arial" w:cs="Arial" w:eastAsia="Arial" w:hAnsi="Arial"/>
                <w:sz w:val="11"/>
                <w:szCs w:val="11"/>
                <w:color w:val="auto"/>
              </w:rPr>
              <w:t>below)</w:t>
            </w:r>
          </w:p>
        </w:tc>
        <w:tc>
          <w:tcPr>
            <w:tcW w:w="1440" w:type="dxa"/>
            <w:vAlign w:val="bottom"/>
          </w:tcPr>
          <w:p>
            <w:pPr>
              <w:ind w:left="300"/>
              <w:spacing w:after="0" w:line="101"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205"/>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7"/>
                <w:szCs w:val="17"/>
                <w:color w:val="auto"/>
              </w:rPr>
            </w:pPr>
          </w:p>
        </w:tc>
        <w:tc>
          <w:tcPr>
            <w:tcW w:w="2800" w:type="dxa"/>
            <w:vAlign w:val="bottom"/>
            <w:gridSpan w:val="2"/>
          </w:tcPr>
          <w:p>
            <w:pPr>
              <w:ind w:left="380"/>
              <w:spacing w:after="0"/>
              <w:rPr>
                <w:sz w:val="20"/>
                <w:szCs w:val="20"/>
                <w:color w:val="auto"/>
              </w:rPr>
            </w:pPr>
            <w:r>
              <w:rPr>
                <w:rFonts w:ascii="Arial" w:cs="Arial" w:eastAsia="Arial" w:hAnsi="Arial"/>
                <w:sz w:val="17"/>
                <w:szCs w:val="17"/>
                <w:color w:val="0000FF"/>
              </w:rPr>
              <w:t>Chief Medical Officer</w:t>
            </w:r>
          </w:p>
        </w:tc>
        <w:tc>
          <w:tcPr>
            <w:tcW w:w="0" w:type="dxa"/>
            <w:vAlign w:val="bottom"/>
          </w:tcPr>
          <w:p>
            <w:pPr>
              <w:spacing w:after="0"/>
              <w:rPr>
                <w:sz w:val="1"/>
                <w:szCs w:val="1"/>
                <w:color w:val="auto"/>
              </w:rPr>
            </w:pPr>
          </w:p>
        </w:tc>
      </w:tr>
      <w:tr>
        <w:trPr>
          <w:trHeight w:val="220"/>
        </w:trPr>
        <w:tc>
          <w:tcPr>
            <w:tcW w:w="3320" w:type="dxa"/>
            <w:vAlign w:val="bottom"/>
            <w:gridSpan w:val="2"/>
          </w:tcPr>
          <w:p>
            <w:pPr>
              <w:ind w:left="80"/>
              <w:spacing w:after="0"/>
              <w:rPr>
                <w:sz w:val="20"/>
                <w:szCs w:val="20"/>
                <w:color w:val="auto"/>
              </w:rPr>
            </w:pPr>
            <w:r>
              <w:rPr>
                <w:rFonts w:ascii="Arial" w:cs="Arial" w:eastAsia="Arial" w:hAnsi="Arial"/>
                <w:sz w:val="17"/>
                <w:szCs w:val="17"/>
                <w:color w:val="0000FF"/>
              </w:rPr>
              <w:t>08/10/2021</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3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65" w:lineRule="exact"/>
        <w:rPr>
          <w:sz w:val="20"/>
          <w:szCs w:val="20"/>
          <w:color w:val="auto"/>
        </w:rPr>
      </w:pPr>
    </w:p>
    <w:p>
      <w:pPr>
        <w:sectPr>
          <w:pgSz w:w="11900" w:h="16838" w:orient="portrait"/>
          <w:cols w:equalWidth="0" w:num="2">
            <w:col w:w="3760" w:space="80"/>
            <w:col w:w="7160"/>
          </w:cols>
          <w:pgMar w:left="460" w:top="225"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jc w:val="center"/>
              <w:ind w:left="4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7"/>
              <w:spacing w:after="0"/>
              <w:rPr>
                <w:sz w:val="20"/>
                <w:szCs w:val="20"/>
                <w:color w:val="auto"/>
              </w:rPr>
            </w:pPr>
            <w:r>
              <w:rPr>
                <w:rFonts w:ascii="Arial" w:cs="Arial" w:eastAsia="Arial" w:hAnsi="Arial"/>
                <w:sz w:val="17"/>
                <w:szCs w:val="17"/>
                <w:color w:val="0000FF"/>
                <w:w w:val="91"/>
              </w:rPr>
              <w:t>08/10/2021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w w:val="93"/>
              </w:rPr>
              <w:t>1,718</w:t>
            </w:r>
          </w:p>
        </w:tc>
        <w:tc>
          <w:tcPr>
            <w:tcW w:w="540" w:type="dxa"/>
            <w:vAlign w:val="bottom"/>
            <w:tcBorders>
              <w:bottom w:val="single" w:sz="8" w:color="2C2C2C"/>
            </w:tcBorders>
          </w:tcPr>
          <w:p>
            <w:pPr>
              <w:jc w:val="center"/>
              <w:ind w:left="4"/>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64.1971</w:t>
            </w:r>
            <w:r>
              <w:rPr>
                <w:rFonts w:ascii="Arial" w:cs="Arial" w:eastAsia="Arial" w:hAnsi="Arial"/>
                <w:sz w:val="22"/>
                <w:szCs w:val="22"/>
                <w:color w:val="008000"/>
                <w:w w:val="87"/>
                <w:vertAlign w:val="superscript"/>
              </w:rPr>
              <w:t>(2)</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169,871</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7"/>
              <w:spacing w:after="0"/>
              <w:rPr>
                <w:sz w:val="20"/>
                <w:szCs w:val="20"/>
                <w:color w:val="auto"/>
              </w:rPr>
            </w:pPr>
            <w:r>
              <w:rPr>
                <w:rFonts w:ascii="Arial" w:cs="Arial" w:eastAsia="Arial" w:hAnsi="Arial"/>
                <w:sz w:val="17"/>
                <w:szCs w:val="17"/>
                <w:color w:val="0000FF"/>
                <w:w w:val="91"/>
              </w:rPr>
              <w:t>08/10/2021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w w:val="93"/>
              </w:rPr>
              <w:t>5,599</w:t>
            </w:r>
          </w:p>
        </w:tc>
        <w:tc>
          <w:tcPr>
            <w:tcW w:w="540" w:type="dxa"/>
            <w:vAlign w:val="bottom"/>
            <w:tcBorders>
              <w:bottom w:val="single" w:sz="8" w:color="2C2C2C"/>
            </w:tcBorders>
          </w:tcPr>
          <w:p>
            <w:pPr>
              <w:jc w:val="center"/>
              <w:ind w:left="4"/>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64.7555</w:t>
            </w:r>
            <w:r>
              <w:rPr>
                <w:rFonts w:ascii="Arial" w:cs="Arial" w:eastAsia="Arial" w:hAnsi="Arial"/>
                <w:sz w:val="22"/>
                <w:szCs w:val="22"/>
                <w:color w:val="008000"/>
                <w:w w:val="87"/>
                <w:vertAlign w:val="superscript"/>
              </w:rPr>
              <w:t>(3)</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164,272</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7"/>
              <w:spacing w:after="0"/>
              <w:rPr>
                <w:sz w:val="20"/>
                <w:szCs w:val="20"/>
                <w:color w:val="auto"/>
              </w:rPr>
            </w:pPr>
            <w:r>
              <w:rPr>
                <w:rFonts w:ascii="Arial" w:cs="Arial" w:eastAsia="Arial" w:hAnsi="Arial"/>
                <w:sz w:val="17"/>
                <w:szCs w:val="17"/>
                <w:color w:val="0000FF"/>
                <w:w w:val="91"/>
              </w:rPr>
              <w:t>08/10/2021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4"/>
              </w:rPr>
              <w:t>70</w:t>
            </w:r>
          </w:p>
        </w:tc>
        <w:tc>
          <w:tcPr>
            <w:tcW w:w="540" w:type="dxa"/>
            <w:vAlign w:val="bottom"/>
            <w:tcBorders>
              <w:bottom w:val="single" w:sz="8" w:color="2C2C2C"/>
            </w:tcBorders>
          </w:tcPr>
          <w:p>
            <w:pPr>
              <w:jc w:val="center"/>
              <w:ind w:left="4"/>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65.46</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164,202</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in this Form 4 was effected pursuant to a Rule 10b5-1 trading plan adopted by the reporting person on January 28, 2021.</w:t>
      </w:r>
    </w:p>
    <w:p>
      <w:pPr>
        <w:spacing w:after="0" w:line="50"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$63.42 to $64.415,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$64.42 to $65.10, inclusive.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6"/>
              </w:rPr>
              <w:t>/s/ Peter Garcia, by power of</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08/11/2021</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1"/>
              </w:rPr>
              <w:t>attorney</w:t>
            </w:r>
          </w:p>
        </w:tc>
        <w:tc>
          <w:tcPr>
            <w:tcW w:w="14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4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17127"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2021-08-11T15:30:58Z</dcterms:created>
  <dcterms:modified xsi:type="dcterms:W3CDTF">2021-08-11T15:30:58Z</dcterms:modified>
</cp:coreProperties>
</file>