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50630.htm"/>
      <w:bookmarkStart w:id="1" w:name="ksalxo20250630"/>
      <w:bookmarkEnd w:id="0"/>
      <w:bookmarkEnd w:id="1"/>
      <w:r>
        <w:rPr/>
        <w:t> </w:t>
      </w:r>
    </w:p>
    <w:p>
      <w:pPr>
        <w:pStyle w:val="TextBody"/>
        <w:bidi w:val="0"/>
        <w:jc w:val="center"/>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ind w:left="4320" w:right="4320" w:hanging="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40" w:after="283"/>
        <w:ind w:left="4320" w:right="4320" w:hanging="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QUARTERLY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ind w:left="4320" w:right="4320" w:hanging="0"/>
        <w:jc w:val="center"/>
        <w:rPr>
          <w:rFonts w:ascii="Times New Roman" w:hAnsi="Times New Roman"/>
          <w:b/>
          <w:color w:val="000000"/>
          <w:sz w:val="36"/>
        </w:rPr>
      </w:pPr>
      <w:r>
        <w:rPr>
          <w:rFonts w:ascii="Times New Roman" w:hAnsi="Times New Roman"/>
          <w:b/>
          <w:color w:val="000000"/>
          <w:sz w:val="36"/>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ind w:left="4320" w:right="4320" w:hanging="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650-466-7125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bidi w:val="0"/>
        <w:spacing w:before="40" w:after="283"/>
        <w:ind w:left="4320" w:right="4320" w:hanging="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40" w:after="283"/>
        <w:jc w:val="left"/>
        <w:rPr/>
      </w:pPr>
      <w:r>
        <w:rPr/>
        <w:t> </w:t>
      </w:r>
    </w:p>
    <w:p>
      <w:pPr>
        <w:pStyle w:val="TextBody"/>
        <w:bidi w:val="0"/>
        <w:spacing w:before="80" w:after="283"/>
        <w:ind w:left="0" w:right="0" w:firstLine="288"/>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ind w:left="0" w:right="0" w:firstLine="288"/>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ind w:left="0" w:right="0" w:firstLine="288"/>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80" w:after="283"/>
        <w:ind w:left="0" w:right="0" w:firstLine="288"/>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ind w:left="0" w:right="0" w:firstLine="288"/>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ind w:left="0" w:right="0" w:firstLine="288"/>
        <w:jc w:val="left"/>
        <w:rPr>
          <w:rFonts w:ascii="Times New Roman" w:hAnsi="Times New Roman"/>
          <w:sz w:val="20"/>
        </w:rPr>
      </w:pPr>
      <w:r>
        <w:rPr>
          <w:rFonts w:ascii="Times New Roman" w:hAnsi="Times New Roman"/>
          <w:color w:val="000000"/>
          <w:sz w:val="16"/>
        </w:rPr>
        <w:t>As of August 5, 2025, the registrant had 53,551,134</w:t>
      </w:r>
      <w:r>
        <w:rPr>
          <w:rFonts w:ascii="Times New Roman" w:hAnsi="Times New Roman"/>
          <w:color w:val="000000"/>
          <w:sz w:val="20"/>
        </w:rPr>
        <w:t xml:space="preserve"> </w:t>
      </w:r>
      <w:r>
        <w:rPr>
          <w:rFonts w:ascii="Times New Roman" w:hAnsi="Times New Roman"/>
          <w:color w:val="000000"/>
          <w:sz w:val="16"/>
        </w:rPr>
        <w:t>shares of common stock outstanding, $0.001 par value per share.</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bidi w:val="0"/>
        <w:ind w:left="0" w:right="0" w:firstLine="490"/>
        <w:jc w:val="left"/>
        <w:rPr/>
      </w:pPr>
      <w:r>
        <w:rPr/>
        <w:t>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existing cash to fund our future operating expenses and capital expenditure requirements;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preclinical research activities, and for the manufacture of our product candidates;</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mechanisms of action, safety profile, efficacy and therapeutic effects of our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focus of our current and future clinical trials, and the reporting of data from those trials;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competing product candidates and therapies;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additional indications that we may pursue;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and ability to successfully manufacture and supply our product candidates for clinical trials and for commercial use, if approved;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macroeconomic conditions and global economic environment, such as inflation, interest rate changes, trade and other global disputes and interruptions, including related to tariffs and trade protection measures, economic downturns, bank failures or instability in the financial services sector, or geopolitical risks, disasters, and medical or public health crises, such as the COVID-19 pandemic;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financial and internal controls; and</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and cash equivalents, short-term and long-term investments, and the funds available from our term loan.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80" w:type="dxa"/>
        <w:jc w:val="left"/>
        <w:tblInd w:w="0" w:type="dxa"/>
        <w:tblLayout w:type="fixed"/>
        <w:tblCellMar>
          <w:top w:w="28" w:type="dxa"/>
          <w:left w:w="28" w:type="dxa"/>
          <w:bottom w:w="28" w:type="dxa"/>
          <w:right w:w="28" w:type="dxa"/>
        </w:tblCellMar>
      </w:tblPr>
      <w:tblGrid>
        <w:gridCol w:w="903"/>
        <w:gridCol w:w="7366"/>
        <w:gridCol w:w="511"/>
      </w:tblGrid>
      <w:tr>
        <w:trPr/>
        <w:tc>
          <w:tcPr>
            <w:tcW w:w="903"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Times New Roman" w:hAnsi="Times New Roman"/>
                  <w:color w:val="0000FF"/>
                  <w:sz w:val="20"/>
                  <w:u w:val="single"/>
                </w:rPr>
                <w:t>FINANCIAL INFORMATION</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f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bs">
              <w:r>
                <w:rPr>
                  <w:rStyle w:val="InternetLink"/>
                  <w:rFonts w:ascii="Times New Roman" w:hAnsi="Times New Roman"/>
                  <w:color w:val="0000FF"/>
                  <w:sz w:val="20"/>
                  <w:u w:val="single"/>
                </w:rPr>
                <w:t>Condensed Consolidated Balance Sheets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i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l">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s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notes">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_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4_controls">
              <w:r>
                <w:rPr>
                  <w:rStyle w:val="InternetLink"/>
                  <w:rFonts w:ascii="Times New Roman" w:hAnsi="Times New Roman"/>
                  <w:color w:val="0000FF"/>
                  <w:sz w:val="20"/>
                  <w:u w:val="single"/>
                </w:rPr>
                <w:t>Controls and Procedures</w:t>
              </w:r>
            </w:hyperlink>
            <w:hyperlink w:anchor="part1_item4_control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2">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
              <w:r>
                <w:rPr>
                  <w:rStyle w:val="InternetLink"/>
                  <w:rFonts w:ascii="Times New Roman" w:hAnsi="Times New Roman"/>
                  <w:color w:val="0000FF"/>
                  <w:sz w:val="20"/>
                  <w:u w:val="single"/>
                </w:rPr>
                <w:t>Legal Proceedings</w:t>
              </w:r>
            </w:hyperlink>
            <w:r>
              <w:rPr>
                <w:rFonts w:ascii="Times New Roman" w:hAnsi="Times New Roman"/>
                <w:color w:val="0000EE"/>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f">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hyperlink w:anchor="part2_item3_defaul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1"/>
      <w:bookmarkEnd w:id="3"/>
      <w:r>
        <w:rPr>
          <w:rFonts w:ascii="Times New Roman" w:hAnsi="Times New Roman"/>
          <w:b/>
          <w:color w:val="000000"/>
          <w:sz w:val="20"/>
        </w:rPr>
        <w:t>PART I — FINANCIAL INFORMATION</w:t>
      </w:r>
    </w:p>
    <w:p>
      <w:pPr>
        <w:pStyle w:val="TextBody"/>
        <w:bidi w:val="0"/>
        <w:spacing w:before="360" w:after="283"/>
        <w:jc w:val="left"/>
        <w:rPr>
          <w:rFonts w:ascii="Times New Roman" w:hAnsi="Times New Roman"/>
          <w:sz w:val="20"/>
        </w:rPr>
      </w:pPr>
      <w:bookmarkStart w:id="4" w:name="part1_item1_fs"/>
      <w:bookmarkEnd w:id="4"/>
      <w:r>
        <w:rPr>
          <w:rFonts w:ascii="Times New Roman" w:hAnsi="Times New Roman"/>
          <w:b/>
          <w:color w:val="000000"/>
          <w:sz w:val="20"/>
        </w:rPr>
        <w:t>Item 1.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5" w:name="part1_item1_b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9177" w:type="dxa"/>
        <w:jc w:val="left"/>
        <w:tblInd w:w="0" w:type="dxa"/>
        <w:tblLayout w:type="fixed"/>
        <w:tblCellMar>
          <w:top w:w="28" w:type="dxa"/>
          <w:left w:w="28" w:type="dxa"/>
          <w:bottom w:w="28" w:type="dxa"/>
          <w:right w:w="28" w:type="dxa"/>
        </w:tblCellMar>
      </w:tblPr>
      <w:tblGrid>
        <w:gridCol w:w="5796"/>
        <w:gridCol w:w="146"/>
        <w:gridCol w:w="211"/>
        <w:gridCol w:w="841"/>
        <w:gridCol w:w="166"/>
        <w:gridCol w:w="146"/>
        <w:gridCol w:w="252"/>
        <w:gridCol w:w="1008"/>
        <w:gridCol w:w="611"/>
      </w:tblGrid>
      <w:tr>
        <w:trPr/>
        <w:tc>
          <w:tcPr>
            <w:tcW w:w="5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 and accrued liabilities 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 1,000,000,000 shares authorized </w:t>
              <w:br/>
              <w:t xml:space="preserve">     as of June 30, 2025 and December 31, 2024; 53,506,777 and </w:t>
              <w:br/>
              <w:t>     53,052,912 shares issued and outstanding as of June 30, 2025</w:t>
              <w:br/>
              <w:t>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6" w:name="part1_item1_i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53,445,631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54,031,176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50,969,089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7" w:name="part1_item1_cl"/>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10082" w:type="dxa"/>
        <w:jc w:val="left"/>
        <w:tblInd w:w="0" w:type="dxa"/>
        <w:tblLayout w:type="fixed"/>
        <w:tblCellMar>
          <w:top w:w="28" w:type="dxa"/>
          <w:left w:w="28" w:type="dxa"/>
          <w:bottom w:w="28" w:type="dxa"/>
          <w:right w:w="28" w:type="dxa"/>
        </w:tblCellMar>
      </w:tblPr>
      <w:tblGrid>
        <w:gridCol w:w="4821"/>
        <w:gridCol w:w="146"/>
        <w:gridCol w:w="211"/>
        <w:gridCol w:w="736"/>
        <w:gridCol w:w="166"/>
        <w:gridCol w:w="146"/>
        <w:gridCol w:w="211"/>
        <w:gridCol w:w="736"/>
        <w:gridCol w:w="166"/>
        <w:gridCol w:w="146"/>
        <w:gridCol w:w="211"/>
        <w:gridCol w:w="736"/>
        <w:gridCol w:w="166"/>
        <w:gridCol w:w="146"/>
        <w:gridCol w:w="211"/>
        <w:gridCol w:w="736"/>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bookmarkStart w:id="8" w:name="part1_item1_se"/>
      <w:bookmarkEnd w:id="8"/>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70"/>
        <w:gridCol w:w="146"/>
        <w:gridCol w:w="146"/>
        <w:gridCol w:w="916"/>
        <w:gridCol w:w="146"/>
        <w:gridCol w:w="146"/>
        <w:gridCol w:w="249"/>
        <w:gridCol w:w="442"/>
        <w:gridCol w:w="146"/>
        <w:gridCol w:w="146"/>
        <w:gridCol w:w="196"/>
        <w:gridCol w:w="691"/>
        <w:gridCol w:w="166"/>
        <w:gridCol w:w="146"/>
        <w:gridCol w:w="377"/>
        <w:gridCol w:w="839"/>
        <w:gridCol w:w="166"/>
        <w:gridCol w:w="146"/>
        <w:gridCol w:w="217"/>
        <w:gridCol w:w="834"/>
        <w:gridCol w:w="166"/>
        <w:gridCol w:w="146"/>
        <w:gridCol w:w="231"/>
        <w:gridCol w:w="819"/>
        <w:gridCol w:w="412"/>
      </w:tblGrid>
      <w:tr>
        <w:trPr/>
        <w:tc>
          <w:tcPr>
            <w:tcW w:w="2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53,052,912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113,618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through ATM offering,</w:t>
              <w:br/>
              <w:t>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53,384,145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88,295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53,506,777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64,415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90"/>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1"/>
        <w:gridCol w:w="819"/>
        <w:gridCol w:w="412"/>
      </w:tblGrid>
      <w:tr>
        <w:trPr/>
        <w:tc>
          <w:tcPr>
            <w:tcW w:w="2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49,951,989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189,712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Issuance of common stock through ATM offering,</w:t>
              <w:br/>
              <w:t>   net of commissions of $0.1</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50,277,193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164,195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Issuance of common stock through ATM offering,</w:t>
              <w:br/>
              <w:t>   net of commissions and offering costs of $0.8</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(39,399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52,452,749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159,317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9" w:name="part1_item1_c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8824" w:type="dxa"/>
        <w:jc w:val="left"/>
        <w:tblInd w:w="0" w:type="dxa"/>
        <w:tblLayout w:type="fixed"/>
        <w:tblCellMar>
          <w:top w:w="28" w:type="dxa"/>
          <w:left w:w="28" w:type="dxa"/>
          <w:bottom w:w="28" w:type="dxa"/>
          <w:right w:w="28" w:type="dxa"/>
        </w:tblCellMar>
      </w:tblPr>
      <w:tblGrid>
        <w:gridCol w:w="5811"/>
        <w:gridCol w:w="146"/>
        <w:gridCol w:w="196"/>
        <w:gridCol w:w="661"/>
        <w:gridCol w:w="166"/>
        <w:gridCol w:w="146"/>
        <w:gridCol w:w="196"/>
        <w:gridCol w:w="691"/>
        <w:gridCol w:w="8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(74,980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accretion of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term loan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fixed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Payable and accrued liabilities 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ATM offering,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29,227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stock options under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Principal 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30,238</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Right-of-use asset acquired under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(included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10" w:name="part1_item1_note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biotechnology company advancing a pipeline of novel therapies designed to treat cancer and extend patients’ lives.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expects to incur additional losses in the future to conduct product candidate research and development and to conduct pre-commercialization activities and recognizes that the Company will likely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2024 filed with the SEC on March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June 30, 2025 included herein was derived from the audited financial statements as of that date, but does not include all disclosures including notes required by U.S.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and impairment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management believes to be reasonable under the circumstances and adjusts those estimates and assumptions when facts and circumstances change.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new or material changes to the significant accounting policies discussed in the Company’s Annual Report on Form 10-K for the year ended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Income Taxes (Topic 740): </w:t>
      </w:r>
      <w:r>
        <w:rPr>
          <w:rFonts w:ascii="Times New Roman" w:hAnsi="Times New Roman"/>
          <w:i/>
          <w:color w:val="000000"/>
          <w:sz w:val="20"/>
        </w:rPr>
        <w:t>Improvements to Income Tax Disclosures</w:t>
      </w:r>
      <w:r>
        <w:rPr>
          <w:rFonts w:ascii="Times New Roman" w:hAnsi="Times New Roman"/>
          <w:color w:val="000000"/>
          <w:sz w:val="20"/>
        </w:rPr>
        <w:t xml:space="preserve">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Reporting - Comprehensive Income - Expense Disaggregation Disclosures (Subtopic 220-40): Disaggregation of Income Statement Expenses</w:t>
      </w:r>
      <w:r>
        <w:rPr>
          <w:rFonts w:ascii="Times New Roman" w:hAnsi="Times New Roman"/>
          <w:color w:val="000000"/>
          <w:sz w:val="20"/>
        </w:rPr>
        <w:t xml:space="preserve"> (ASU 2024-03). ASU 2024-03 requires disaggregated disclosure of certain costs and 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manages its operations as a single operating segment. The Company’s chief operating decision maker (CODM) uses consolidated, single-segment financial information for the purposes of assessing performance, making operating decisions, allocating resources, and planning and forecasting for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the Company’s consolidated net loss, including key components of research and development costs and general and administrative costs. These measures are used to monitor budget versus actual results and to evaluate the performance of the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reviews cash, cash equivalents and investments as a measure of segment assets. As of June 30, 2025 and December 31, 2024, the Company’s cash, cash equivalents and investments were $83.5 million and $131.3 million, respectively.</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significant segment expenses for the three months ended June 30, 2025 and 2024 (in thousands):</w:t>
      </w:r>
    </w:p>
    <w:tbl>
      <w:tblPr>
        <w:tblW w:w="9402" w:type="dxa"/>
        <w:jc w:val="left"/>
        <w:tblInd w:w="0" w:type="dxa"/>
        <w:tblLayout w:type="fixed"/>
        <w:tblCellMar>
          <w:top w:w="28" w:type="dxa"/>
          <w:left w:w="28" w:type="dxa"/>
          <w:bottom w:w="28" w:type="dxa"/>
          <w:right w:w="28" w:type="dxa"/>
        </w:tblCellMar>
      </w:tblPr>
      <w:tblGrid>
        <w:gridCol w:w="3941"/>
        <w:gridCol w:w="146"/>
        <w:gridCol w:w="211"/>
        <w:gridCol w:w="736"/>
        <w:gridCol w:w="166"/>
        <w:gridCol w:w="146"/>
        <w:gridCol w:w="211"/>
        <w:gridCol w:w="736"/>
        <w:gridCol w:w="166"/>
        <w:gridCol w:w="146"/>
        <w:gridCol w:w="211"/>
        <w:gridCol w:w="736"/>
        <w:gridCol w:w="166"/>
        <w:gridCol w:w="146"/>
        <w:gridCol w:w="211"/>
        <w:gridCol w:w="736"/>
        <w:gridCol w:w="591"/>
      </w:tblGrid>
      <w:tr>
        <w:trPr/>
        <w:tc>
          <w:tcPr>
            <w:tcW w:w="3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are determined in accordance with the fair value hierarchy established in ASC 820, Fair Value Measurements and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Company’s investments, which consist of cash equivalents and investments classified as available-for-sale investments, that are measured at fair value on a recurring basis by level within the fair value hierarchy as of June 30, 2025 and December 31, 2024 (in thousands):</w:t>
      </w:r>
    </w:p>
    <w:tbl>
      <w:tblPr>
        <w:tblW w:w="10205" w:type="dxa"/>
        <w:jc w:val="left"/>
        <w:tblInd w:w="0" w:type="dxa"/>
        <w:tblLayout w:type="fixed"/>
        <w:tblCellMar>
          <w:top w:w="28" w:type="dxa"/>
          <w:left w:w="28" w:type="dxa"/>
          <w:bottom w:w="28" w:type="dxa"/>
          <w:right w:w="28" w:type="dxa"/>
        </w:tblCellMar>
      </w:tblPr>
      <w:tblGrid>
        <w:gridCol w:w="2517"/>
        <w:gridCol w:w="146"/>
        <w:gridCol w:w="1011"/>
        <w:gridCol w:w="146"/>
        <w:gridCol w:w="305"/>
        <w:gridCol w:w="981"/>
        <w:gridCol w:w="146"/>
        <w:gridCol w:w="146"/>
        <w:gridCol w:w="528"/>
        <w:gridCol w:w="868"/>
        <w:gridCol w:w="146"/>
        <w:gridCol w:w="146"/>
        <w:gridCol w:w="544"/>
        <w:gridCol w:w="893"/>
        <w:gridCol w:w="166"/>
        <w:gridCol w:w="146"/>
        <w:gridCol w:w="231"/>
        <w:gridCol w:w="744"/>
        <w:gridCol w:w="395"/>
      </w:tblGrid>
      <w:tr>
        <w:trPr/>
        <w:tc>
          <w:tcPr>
            <w:tcW w:w="2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7"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14,585</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9"/>
        <w:gridCol w:w="146"/>
        <w:gridCol w:w="1010"/>
        <w:gridCol w:w="146"/>
        <w:gridCol w:w="271"/>
        <w:gridCol w:w="1011"/>
        <w:gridCol w:w="146"/>
        <w:gridCol w:w="146"/>
        <w:gridCol w:w="463"/>
        <w:gridCol w:w="928"/>
        <w:gridCol w:w="146"/>
        <w:gridCol w:w="146"/>
        <w:gridCol w:w="541"/>
        <w:gridCol w:w="889"/>
        <w:gridCol w:w="166"/>
        <w:gridCol w:w="146"/>
        <w:gridCol w:w="214"/>
        <w:gridCol w:w="795"/>
        <w:gridCol w:w="396"/>
      </w:tblGrid>
      <w:tr>
        <w:trPr/>
        <w:tc>
          <w:tcPr>
            <w:tcW w:w="2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classification included in the condensed consolidated balance sheets was as follows as of June 30, 2025 and December 31, 2024 (in thousands):</w:t>
      </w:r>
    </w:p>
    <w:tbl>
      <w:tblPr>
        <w:tblW w:w="4772" w:type="dxa"/>
        <w:jc w:val="left"/>
        <w:tblInd w:w="0" w:type="dxa"/>
        <w:tblLayout w:type="fixed"/>
        <w:tblCellMar>
          <w:top w:w="28" w:type="dxa"/>
          <w:left w:w="28" w:type="dxa"/>
          <w:bottom w:w="28" w:type="dxa"/>
          <w:right w:w="28" w:type="dxa"/>
        </w:tblCellMar>
      </w:tblPr>
      <w:tblGrid>
        <w:gridCol w:w="1996"/>
        <w:gridCol w:w="146"/>
        <w:gridCol w:w="211"/>
        <w:gridCol w:w="676"/>
        <w:gridCol w:w="146"/>
        <w:gridCol w:w="146"/>
        <w:gridCol w:w="268"/>
        <w:gridCol w:w="99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 the above table excludes bank account cash of $1.7 million and $2.1 million as of June 30, 2025 and December 31, 2024,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contractual maturity was as follows as of June 30, 2025 and December 31, 2024 (in thousands):</w:t>
      </w:r>
    </w:p>
    <w:tbl>
      <w:tblPr>
        <w:tblW w:w="6317" w:type="dxa"/>
        <w:jc w:val="left"/>
        <w:tblInd w:w="0" w:type="dxa"/>
        <w:tblLayout w:type="fixed"/>
        <w:tblCellMar>
          <w:top w:w="28" w:type="dxa"/>
          <w:left w:w="28" w:type="dxa"/>
          <w:bottom w:w="28" w:type="dxa"/>
          <w:right w:w="28" w:type="dxa"/>
        </w:tblCellMar>
      </w:tblPr>
      <w:tblGrid>
        <w:gridCol w:w="3541"/>
        <w:gridCol w:w="146"/>
        <w:gridCol w:w="211"/>
        <w:gridCol w:w="676"/>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of financial instruments between the fair value measurement levels during the three months and six months ended June 30, 2025 and 2024 and there were no financial instruments classified as Level 3 as of June 30,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and December 31, 2024, accrued interest receivable related to the Company’s investments of $0.7 million and $0.9 million was included in prepaid expenses and other current assets on the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June 30, 2025 and 2024, no allowance for credit losses for the Company’s investments was recorded. As of June 30, 2025 and December 31, 2024, no securities were in a continuous net unrealized loss position for more than 12 months. As of June 30, 2025 and 2024, the Company has not recognized any impairment losses on available-for-sale investments.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prepaid expenses and other current assets as of June 30, 2025 and December 31, 2024 (in thousands):</w:t>
      </w:r>
    </w:p>
    <w:tbl>
      <w:tblPr>
        <w:tblW w:w="7030" w:type="dxa"/>
        <w:jc w:val="left"/>
        <w:tblInd w:w="0" w:type="dxa"/>
        <w:tblLayout w:type="fixed"/>
        <w:tblCellMar>
          <w:top w:w="28" w:type="dxa"/>
          <w:left w:w="28" w:type="dxa"/>
          <w:bottom w:w="28" w:type="dxa"/>
          <w:right w:w="28" w:type="dxa"/>
        </w:tblCellMar>
      </w:tblPr>
      <w:tblGrid>
        <w:gridCol w:w="4131"/>
        <w:gridCol w:w="146"/>
        <w:gridCol w:w="218"/>
        <w:gridCol w:w="592"/>
        <w:gridCol w:w="146"/>
        <w:gridCol w:w="146"/>
        <w:gridCol w:w="339"/>
        <w:gridCol w:w="92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components of property and equipment, net as of June 30, 2025 and December 31, 2024 (in thousands):</w:t>
      </w:r>
    </w:p>
    <w:tbl>
      <w:tblPr>
        <w:tblW w:w="5752" w:type="dxa"/>
        <w:jc w:val="left"/>
        <w:tblInd w:w="0" w:type="dxa"/>
        <w:tblLayout w:type="fixed"/>
        <w:tblCellMar>
          <w:top w:w="28" w:type="dxa"/>
          <w:left w:w="28" w:type="dxa"/>
          <w:bottom w:w="28" w:type="dxa"/>
          <w:right w:w="28" w:type="dxa"/>
        </w:tblCellMar>
      </w:tblPr>
      <w:tblGrid>
        <w:gridCol w:w="2781"/>
        <w:gridCol w:w="146"/>
        <w:gridCol w:w="211"/>
        <w:gridCol w:w="631"/>
        <w:gridCol w:w="166"/>
        <w:gridCol w:w="146"/>
        <w:gridCol w:w="314"/>
        <w:gridCol w:w="946"/>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was $0.2 million for the three months ended June 30, 2025 and 2024 and $0.4 million for the six months ended June 30, 2025 and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components of other assets as of June 30, 2025 and December 31, 2024 (in thousands): </w:t>
      </w:r>
    </w:p>
    <w:tbl>
      <w:tblPr>
        <w:tblW w:w="6920" w:type="dxa"/>
        <w:jc w:val="left"/>
        <w:tblInd w:w="0" w:type="dxa"/>
        <w:tblLayout w:type="fixed"/>
        <w:tblCellMar>
          <w:top w:w="28" w:type="dxa"/>
          <w:left w:w="28" w:type="dxa"/>
          <w:bottom w:w="28" w:type="dxa"/>
          <w:right w:w="28" w:type="dxa"/>
        </w:tblCellMar>
      </w:tblPr>
      <w:tblGrid>
        <w:gridCol w:w="4021"/>
        <w:gridCol w:w="146"/>
        <w:gridCol w:w="218"/>
        <w:gridCol w:w="592"/>
        <w:gridCol w:w="146"/>
        <w:gridCol w:w="146"/>
        <w:gridCol w:w="339"/>
        <w:gridCol w:w="92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contract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determined it operates in a single operating segment and has one reportable segment. The Company reviews for indicators of impairment on a quarterly basis, including changes in how its property is being used.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made a decision to sublease its leased property in Palo Alto. The Company is actively marketing the leased building for sublease. In connection with the preparation of these condensed consolidated financial statements, the Company determined that the change in how this building is being used could indicate impairment. The Company identified this to-be-sublet property as a separate asset group for purposes of long-lived asset impairment assessment. The Company concluded that the carrying value of this to-be-sublet property asset group was not recoverable and the estimated fair value of this asset group was below its carrying value. The lower fair value of this asset group was mainly due to the lower estimated sublease income compared to the lease payments in accordance with the initial operating lease agreement and higher discount rate. The Company applied a discounted cash flow method to estimate fair value of its right-of-use asset and leasehold improvements. Based on this analysis, the Company concluded the fair value of the right-of-use asset and leasehold improvements of $1.5 million was lower than its net book value of $4.7 million. The Company recognized a pre-tax long-lived asset impairment charge of $3.2 million on the right-of-use asset and leasehold improvements for the three months and six months ended June 30, 2025.</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of the fair value of the Company’s asset group related to the to-be-sublet property that is currently being marketed for sublease purposes represents a Level 3 nonrecurring fair value measurement. Calculating the fair value of the asset involves significant estimates and assumptions. These estimates and assumptions include, among other things, expected sublease rental income of $2.5 million and risk-adjusted annual discount rate of 10%.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accrued expenses and other current liabilities as of June 30, 2025 and December 31, 2024 (in thousands):</w:t>
      </w:r>
    </w:p>
    <w:tbl>
      <w:tblPr>
        <w:tblW w:w="7437" w:type="dxa"/>
        <w:jc w:val="left"/>
        <w:tblInd w:w="0" w:type="dxa"/>
        <w:tblLayout w:type="fixed"/>
        <w:tblCellMar>
          <w:top w:w="28" w:type="dxa"/>
          <w:left w:w="28" w:type="dxa"/>
          <w:bottom w:w="28" w:type="dxa"/>
          <w:right w:w="28" w:type="dxa"/>
        </w:tblCellMar>
      </w:tblPr>
      <w:tblGrid>
        <w:gridCol w:w="4461"/>
        <w:gridCol w:w="146"/>
        <w:gridCol w:w="211"/>
        <w:gridCol w:w="676"/>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nonclinical study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non-cancelable operating leases for its offices located in the U.S. As of June 30, 2025, these leases expire on various dates between 2026 and 2030. Certain lease agreements include one or more options to renew, with renewal terms that can extend the lease up to two years after expiration. The Company has the right to exercise or forego the lease renewal options. The lease agreements do not contain any material residual value guarantees or material restrictive covenants.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maturities and balance sheet information of the Company’s operating lease liabilities as of June 30, 2025 (in thousands, except lease term and discount rate):</w:t>
      </w:r>
    </w:p>
    <w:tbl>
      <w:tblPr>
        <w:tblW w:w="7540" w:type="dxa"/>
        <w:jc w:val="left"/>
        <w:tblInd w:w="0" w:type="dxa"/>
        <w:tblLayout w:type="fixed"/>
        <w:tblCellMar>
          <w:top w:w="28" w:type="dxa"/>
          <w:left w:w="28" w:type="dxa"/>
          <w:bottom w:w="28" w:type="dxa"/>
          <w:right w:w="28" w:type="dxa"/>
        </w:tblCellMar>
      </w:tblPr>
      <w:tblGrid>
        <w:gridCol w:w="4111"/>
        <w:gridCol w:w="146"/>
        <w:gridCol w:w="367"/>
        <w:gridCol w:w="998"/>
        <w:gridCol w:w="271"/>
        <w:gridCol w:w="146"/>
        <w:gridCol w:w="320"/>
        <w:gridCol w:w="865"/>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current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non-current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Current lease liabilities are presented within accrued expenses and other current liabilities on the condensed consolidated balance sheets.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Non-current lease liabilities are presented within other non-current liabilities on the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components of lease costs for the three months and six months ended June 30, 2025 and 2024 (in thousands): </w:t>
      </w:r>
    </w:p>
    <w:tbl>
      <w:tblPr>
        <w:tblW w:w="7670" w:type="dxa"/>
        <w:jc w:val="left"/>
        <w:tblInd w:w="0" w:type="dxa"/>
        <w:tblLayout w:type="fixed"/>
        <w:tblCellMar>
          <w:top w:w="28" w:type="dxa"/>
          <w:left w:w="28" w:type="dxa"/>
          <w:bottom w:w="28" w:type="dxa"/>
          <w:right w:w="28" w:type="dxa"/>
        </w:tblCellMar>
      </w:tblPr>
      <w:tblGrid>
        <w:gridCol w:w="3111"/>
        <w:gridCol w:w="146"/>
        <w:gridCol w:w="254"/>
        <w:gridCol w:w="507"/>
        <w:gridCol w:w="176"/>
        <w:gridCol w:w="176"/>
        <w:gridCol w:w="254"/>
        <w:gridCol w:w="507"/>
        <w:gridCol w:w="146"/>
        <w:gridCol w:w="146"/>
        <w:gridCol w:w="211"/>
        <w:gridCol w:w="571"/>
        <w:gridCol w:w="146"/>
        <w:gridCol w:w="146"/>
        <w:gridCol w:w="211"/>
        <w:gridCol w:w="57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cost and other, net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(i)</w:t>
      </w:r>
    </w:p>
    <w:p>
      <w:pPr>
        <w:pStyle w:val="TextBody"/>
        <w:bidi w:val="0"/>
        <w:jc w:val="left"/>
        <w:rPr>
          <w:rFonts w:ascii="Times New Roman" w:hAnsi="Times New Roman"/>
          <w:color w:val="000000"/>
          <w:sz w:val="18"/>
        </w:rPr>
      </w:pPr>
      <w:r>
        <w:rPr>
          <w:rFonts w:ascii="Times New Roman" w:hAnsi="Times New Roman"/>
          <w:color w:val="000000"/>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right-of-use assets and operating lease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supplemental cash flow disclosures for cash paid for leases for the six months ended June 30, 2025 and 2024 (in thousands):</w:t>
      </w:r>
    </w:p>
    <w:tbl>
      <w:tblPr>
        <w:tblW w:w="8109" w:type="dxa"/>
        <w:jc w:val="left"/>
        <w:tblInd w:w="0" w:type="dxa"/>
        <w:tblLayout w:type="fixed"/>
        <w:tblCellMar>
          <w:top w:w="28" w:type="dxa"/>
          <w:left w:w="28" w:type="dxa"/>
          <w:bottom w:w="28" w:type="dxa"/>
          <w:right w:w="28" w:type="dxa"/>
        </w:tblCellMar>
      </w:tblPr>
      <w:tblGrid>
        <w:gridCol w:w="5866"/>
        <w:gridCol w:w="146"/>
        <w:gridCol w:w="211"/>
        <w:gridCol w:w="421"/>
        <w:gridCol w:w="146"/>
        <w:gridCol w:w="146"/>
        <w:gridCol w:w="211"/>
        <w:gridCol w:w="57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acquired under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 entered into a loan and security agreement, as amended, the Loan Agreement, with Oxford Finance LLC, Oxford Finance Credit Fund II LP, and Silicon Valley Bank, or SVB, collectively the Lenders, for a secured term loan facility of up to $100.0 million. Pursuant to the Loan Agreement, the Company drew an initial loan of $10.0 million. Under the original terms of the Loan Agreement, the Company had the right to draw an additional $40.0 million through the end of December 2023. In December 2023, the original terms of the Loan Agreement were amended to extend the draw deadline to June 2024. The original terms of the Loan Agreement provided for an additional $50.0 million over three tranches, with $12.5 million available in each of two tranches based upon the achievement of milestones related to the development of evorpacept and one preclinical product candidate, and $25.0 million at the Lenders’ sole discretion. The Company decided not to draw down on any portion of the $40.0 million available under the Loan Agreement by the deadline of June 30, 2024 and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loans may be used by the Company for working capital and to fund its general business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regarding our indebtedness is included in our notes to our consolidated financial statements in our Annual Report on Form 10-K for the fiscal year ended December 31, 2024, which was filed with the SEC on March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2025 and 2024, interest expense incurred in connection with the Loan Agreement was $0.3 million and $0.3 million, respectively. During the six months ended June 30, 2025 and 2024, interest expense incurred in connection with the Loan Agreement was $0.7 million and $0.6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Company was in compliance with all financial reporting covenants under the Loan Agreement.</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future maturities under the Loan Agreement are as follows (in thousands):</w:t>
      </w:r>
    </w:p>
    <w:p>
      <w:pPr>
        <w:pStyle w:val="TextBody"/>
        <w:bidi w:val="0"/>
        <w:jc w:val="left"/>
        <w:rPr/>
      </w:pPr>
      <w:r>
        <w:rPr/>
        <w:t> </w:t>
      </w:r>
    </w:p>
    <w:tbl>
      <w:tblPr>
        <w:tblW w:w="4828" w:type="dxa"/>
        <w:jc w:val="left"/>
        <w:tblInd w:w="0" w:type="dxa"/>
        <w:tblLayout w:type="fixed"/>
        <w:tblCellMar>
          <w:top w:w="28" w:type="dxa"/>
          <w:left w:w="28" w:type="dxa"/>
          <w:bottom w:w="28" w:type="dxa"/>
          <w:right w:w="28" w:type="dxa"/>
        </w:tblCellMar>
      </w:tblPr>
      <w:tblGrid>
        <w:gridCol w:w="3196"/>
        <w:gridCol w:w="146"/>
        <w:gridCol w:w="303"/>
        <w:gridCol w:w="972"/>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unaccreted final payment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2020, the Company’s amended and restated certificate of incorporation became effective, authorizing 1,000,000,000 shares of common stock, $0.001 par value per share, and 100,000,000 shares of undesignated preferred stock, $0.001 par value per share. As of June 30, 2025 and December 31, 2024, the Company had 53,506,777 and 53,052,912 shares of common stock outstanding, respectively, and no shares of undesignated preferred stock outstanding,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as of June 30, 2025 consists of the following:</w:t>
      </w:r>
    </w:p>
    <w:tbl>
      <w:tblPr>
        <w:tblW w:w="7277" w:type="dxa"/>
        <w:jc w:val="left"/>
        <w:tblInd w:w="0" w:type="dxa"/>
        <w:tblLayout w:type="fixed"/>
        <w:tblCellMar>
          <w:top w:w="28" w:type="dxa"/>
          <w:left w:w="28" w:type="dxa"/>
          <w:bottom w:w="28" w:type="dxa"/>
          <w:right w:w="28" w:type="dxa"/>
        </w:tblCellMar>
      </w:tblPr>
      <w:tblGrid>
        <w:gridCol w:w="5611"/>
        <w:gridCol w:w="157"/>
        <w:gridCol w:w="1118"/>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12,786,569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2,565,664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issued and outstanding</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18,555,907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entered into a sales agreement (as amended, Sales Agreement) with Cantor Fitzgerald &amp; Co. and Credit Suisse Securities (USA) LLC (Credit Suisse), under which it may offer and sell shares of the Company’s common stock, having aggregate gross proceeds of up to $150.0 million, from time to time through them as the Company’s sales agents in its at-the-market (ATM) equity offering program. In August 2023, the Company entered into an amendment to the Sales Agreement to include UBS Securities LLC as an additional sales agent and to remove Credit Suisse as a sales agent. As of June 30, 2025, the Company had issued approximately 2,404,855 shares of common stock pursuant to the Sales Agreement for net proceeds of $30.0 million. The Company may terminate this ATM program at any time, pursuant to its terms.</w:t>
      </w:r>
    </w:p>
    <w:p>
      <w:pPr>
        <w:pStyle w:val="TextBody"/>
        <w:bidi w:val="0"/>
        <w:spacing w:before="120" w:after="283"/>
        <w:jc w:val="left"/>
        <w:rPr>
          <w:rFonts w:ascii="Times New Roman" w:hAnsi="Times New Roman"/>
          <w:sz w:val="20"/>
        </w:rPr>
      </w:pPr>
      <w:r>
        <w:rPr>
          <w:rFonts w:ascii="Times New Roman" w:hAnsi="Times New Roman"/>
          <w:b/>
          <w:i/>
          <w:color w:val="000000"/>
          <w:sz w:val="20"/>
        </w:rPr>
        <w:t>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an underwritten follow-on public offering (the October 2023 Offering) pursuant to a shelf registration statement, which provides for aggregate offerings of up to $450.0 million of the Company’s securities. 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respectively, no shares underlying the pre-funded warrants had been exercised. All of the outstanding pre-funded warrants are included in the weighted-average number of shares of common stock used to calculate basic net loss per share attributable to common stockholders (see Note 11 “Net Loss Per Share”).</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Amended and Restated 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2025, the number of shares available under the 2020 Plan was increased by 2,122,116 shares.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 Inducement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adopted the 2025 Inducement Equity Incentive Plan, or the 2025 Plan. The 2025 Plan provides for the granting of equity-based awards, including non-statutory stock options, stock appreciation rights, restricted stock, restricted stock units, performance units and performance shares. A total of 1,500,000 shares were reserved under the 2025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Company determined that the performance conditions for one tranche of PSUs was achieved. As a result, compensation expense of $0.1 million and $0.7 million has been recognized related to this tranche of PSUs as of and for the three months and six months ended June 30, 2025, respectively. The performance conditions for the other tranche of PSUs was not achieved as of March 31, 2025, and therefore, these awards were forfeited. As of June 30, 2025, there were 69,750 PSUs outstanding and unvested.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2020 Employee Stock Purchase Plan, or the ESPP, eligible employees are entitled to purchase shares of common stock with accumulated payroll deductions.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was as follows (in thousands):</w:t>
      </w:r>
    </w:p>
    <w:tbl>
      <w:tblPr>
        <w:tblW w:w="6957"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676"/>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several related-party agreements with Tallac Therapeutics, Inc., or Tallac, and with ScalmiBio, Inc., or ScalmiBio. The details of these agreements are described in our notes to our consolidated financial statements in our Annual Report on Form 10-K for the fiscal year ended December 31, 2024, which was filed with the SEC on March 6, 2025. During the three months and six months ended June 30, 2025, there were no material changes to these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Service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and six months ended June 30, 2024, the Company recorded a nominal amount as research and development, or R&amp;D, costs in relation to the research and development services agreement with Tallac, or the Tallac Services Agreement. Per contractual terms, the Tallac Services Agreement terminated on July 1, 2024.</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2025 and 2024, the Company recorded $40,000 and $0.2 million, respectively, as R&amp;D costs in relation to the collaboration agreement with Tallac, or the Tallac Collaboration Agreement. During the six months ended June 30, 2025 and 2024, the Company recorded $0.1 million and $0.6 million, respectively, as R&amp;D costs in relation to the Tallac Collaboration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the Company had accrued expenses of $40,000 and $0.1 million, respectively, related to the Tallac Collaboration Agreement, which was presented within the payable and accrued liabilities due to related party on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ScalmiBio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and 2024, the Company made no milestone payment to the stockholders of ScalmiBio. During the six months ended June 30, 2025 and 2024, the Company made no milestone payment and $1.0 million milestone payment, respectively, as a result of selecting a development candidate, to the stockholders of ScalmiBio, including 31.7%, or $0.3 million, to the Company’s former Chief Executive Officer and former Chief Scientific Officer and President, and 63.5%, or $0.6 million, to another employee of the Company. This milestone payment was recorded as R&amp;D costs within the condensed consolidated statements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for the three months and six months ended June 30, 2025 and 2024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53,445,631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54,031,176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50,969,089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 was in a loss position for all periods presented, basic net loss per share is the same as diluted net loss per share for all periods presented as the inclusion of all potential common stock outstanding would have been anti-dilutive.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computation of diluted net loss per share for the three months and six months ended June 30, 2025 and 2024 because including them would have been anti-dilutive:</w:t>
      </w:r>
    </w:p>
    <w:tbl>
      <w:tblPr>
        <w:tblW w:w="6927" w:type="dxa"/>
        <w:jc w:val="left"/>
        <w:tblInd w:w="0" w:type="dxa"/>
        <w:tblLayout w:type="fixed"/>
        <w:tblCellMar>
          <w:top w:w="28" w:type="dxa"/>
          <w:left w:w="28" w:type="dxa"/>
          <w:bottom w:w="28" w:type="dxa"/>
          <w:right w:w="28" w:type="dxa"/>
        </w:tblCellMar>
      </w:tblPr>
      <w:tblGrid>
        <w:gridCol w:w="3166"/>
        <w:gridCol w:w="146"/>
        <w:gridCol w:w="177"/>
        <w:gridCol w:w="1258"/>
        <w:gridCol w:w="177"/>
        <w:gridCol w:w="177"/>
        <w:gridCol w:w="177"/>
        <w:gridCol w:w="1258"/>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and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12,786,569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10,054,943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417,677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13,273,996</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11,563,098</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June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June 30, 2025, the Company had no pending or threatened litigation.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other contractual obligations and other commitments from manufacturing and service contracts, which are presented as follows as of June 30, 2025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57"/>
        <w:gridCol w:w="146"/>
        <w:gridCol w:w="211"/>
        <w:gridCol w:w="571"/>
        <w:gridCol w:w="146"/>
        <w:gridCol w:w="146"/>
        <w:gridCol w:w="642"/>
        <w:gridCol w:w="1286"/>
        <w:gridCol w:w="146"/>
        <w:gridCol w:w="146"/>
        <w:gridCol w:w="319"/>
        <w:gridCol w:w="638"/>
        <w:gridCol w:w="146"/>
        <w:gridCol w:w="146"/>
        <w:gridCol w:w="359"/>
        <w:gridCol w:w="593"/>
        <w:gridCol w:w="146"/>
        <w:gridCol w:w="146"/>
        <w:gridCol w:w="386"/>
        <w:gridCol w:w="635"/>
        <w:gridCol w:w="394"/>
      </w:tblGrid>
      <w:tr>
        <w:trPr/>
        <w:tc>
          <w:tcPr>
            <w:tcW w:w="2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0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(remaining six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2028-2029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service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$0.6 million. In addition, the Company has commitments with three other pharmaceutical contract manufacturers, including certain future purchase obligations of approximately $0.9 million. These amounts are based on non-cancellable commitments and forecasts that include estimates of future market demand, quantity discounts and manufacturing efficiencies that may impact timing of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12, 2025, the board of directors of the Company (the Board) appointed Daniel Curran, M.D. to serve as a Class III director of the Board for a term expiring at the 2026 annual meeting of stockholders. The Board also appointed Dr. Curran to serve as a member of the Corporate Governance and Nominating Committee of the Board. In connection with the changes to the Board, the Board increased its size to seven directors.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part1_item2_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advancing a pipeline of novel therapies designed to treat cancer and extend patients’ lives. Our clinical pipeline includes two product candidates, the CD47 blocker evorpacept and an epidermal growth factor receptor (EGFR)-targeted antibody drug candidate (ADC) ALX2004. Our lead product, evorpacept, has demonstrated potential to serve as a cornerstone therapy upon which the future of immuno-oncology can be built. Evorpacept is currently being evaluated across multiple ongoing clinical trials in a wide range of cancer indications. Our second pipeline candidate, ALX2004, is a novel EGFR-targeted antibody-drug conjugate with a differentiated mechanism of action and is anticipated to enter Phase 1 trials in August 2025.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focused on evorpacept development with the standard-of-care agents that provide a stimulatory signal to the innate immune system. We are combining evorpacept with anti-cancer targeted antibodies with an active Fc domain, where evorpacept enables the Fc-mediated antibody dependent phagocytosis that is impaired by the expression of CD47 on cancer cells. </w:t>
      </w:r>
    </w:p>
    <w:p>
      <w:pPr>
        <w:pStyle w:val="TextBody"/>
        <w:bidi w:val="0"/>
        <w:spacing w:before="120" w:after="283"/>
        <w:jc w:val="left"/>
        <w:rPr>
          <w:rFonts w:ascii="Times New Roman" w:hAnsi="Times New Roman"/>
          <w:sz w:val="20"/>
        </w:rPr>
      </w:pPr>
      <w:r>
        <w:rPr>
          <w:rFonts w:ascii="Times New Roman" w:hAnsi="Times New Roman"/>
          <w:color w:val="000000"/>
          <w:sz w:val="20"/>
        </w:rPr>
        <w:t>Data from the randomized ASPEN-06 Phase 2 clinical trial supports the clinical validation of this mechanism of action. ASPEN-06 evaluates the contribution of evorpacept to HERCEPTIN</w:t>
      </w:r>
      <w:r>
        <w:rPr>
          <w:rFonts w:ascii="Times New Roman" w:hAnsi="Times New Roman"/>
          <w:color w:val="000000"/>
          <w:sz w:val="13"/>
        </w:rPr>
        <w:t xml:space="preserve">® </w:t>
      </w:r>
      <w:r>
        <w:rPr>
          <w:rFonts w:ascii="Times New Roman" w:hAnsi="Times New Roman"/>
          <w:color w:val="000000"/>
          <w:sz w:val="20"/>
        </w:rPr>
        <w:t>(trastuzumab) plus standard of care (CYRAMZA</w:t>
      </w:r>
      <w:r>
        <w:rPr>
          <w:rFonts w:ascii="Times New Roman" w:hAnsi="Times New Roman"/>
          <w:color w:val="000000"/>
          <w:sz w:val="13"/>
        </w:rPr>
        <w:t>®</w:t>
      </w:r>
      <w:r>
        <w:rPr>
          <w:rFonts w:ascii="Times New Roman" w:hAnsi="Times New Roman"/>
          <w:color w:val="000000"/>
          <w:sz w:val="20"/>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Results from the December 2024 data cutoff were presented at an oral presentation at the 2025 American Society of Clinical Oncology (ASCO) Gastrointestinal Cancers Symposium: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Primary endpoints</w:t>
      </w:r>
      <w:r>
        <w:rPr>
          <w:color w:val="000000"/>
        </w:rPr>
        <w:t xml:space="preserve"> </w:t>
      </w:r>
      <w:r>
        <w:rPr>
          <w:rFonts w:ascii="Times New Roman" w:hAnsi="Times New Roman"/>
          <w:color w:val="000000"/>
          <w:sz w:val="20"/>
        </w:rPr>
        <w:t>(December 2024 data cutoff):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color w:val="000000"/>
          <w:sz w:val="20"/>
        </w:rPr>
        <w:t>Intent-to-treat (ITT) patient population overall response rate (ORR) (n=127):</w:t>
      </w:r>
      <w:r>
        <w:rPr>
          <w:color w:val="000000"/>
        </w:rPr>
        <w:t xml:space="preserve"> </w:t>
      </w:r>
      <w:r>
        <w:rPr>
          <w:rFonts w:ascii="Times New Roman" w:hAnsi="Times New Roman"/>
          <w:color w:val="000000"/>
          <w:sz w:val="20"/>
        </w:rPr>
        <w:t>Evo-TRP demonstrated an ORR of 41.3% compared to 30% for ramucirumab and paclitaxel (RP) historical control and 26.6% for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color w:val="000000"/>
          <w:sz w:val="20"/>
        </w:rPr>
        <w:t>Fresh HER2-positive biopsy patient population ORR (n=48)</w:t>
      </w:r>
      <w:r>
        <w:rPr>
          <w:rFonts w:ascii="Times New Roman" w:hAnsi="Times New Roman"/>
          <w:color w:val="000000"/>
          <w:sz w:val="20"/>
        </w:rPr>
        <w:t>: Evo-TRP demonstrated an ORR of 59.1% compared to 30% for RP historical control and 23.1% for TRP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ITT population, Evo-TRP demonstrated a median duration of response (mDOR) of 15.7 months and a median progression-free survival (mPFS) of 7.5 months compared to an mDOR of 9.1 months and mPFS of 7.4 months in the TRP control group, with a progression-free survival (PFS) Hazard Ratio (PFS HR) in this population of 0.77.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fresh HER2-positive biopsies, Evo-TRP demonstrated an mDOR of 15.7 months and mPFS of 9.5 months compared to an mDOR of 14.5 months and mPFS of 7.1 months in the TRP control group, with a PFS HR of 0.62.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confirmed HER2-positive expression as determined by either fresh biopsy or circulating tumor DNA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this pre-planned exploratory analysis of the ASPEN-06 clinical trial in gastric cancer, CD47 overexpression was identified as a key predictive biomarker for response and durable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confirmed HER2-positive, CD47-high gastric cancer patients (n=43), evorpacept combined with TRP achieved an objective response rate (ORR) of 65% compared to 26% with TRP alone. In contrast, in confirmed HER2-positive, CD47-low patients (n=47), evorpacept plus TRP demonstrated a 39% ORR versus 25% with TRP alone.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Duration of response (DOR), PFS, and overall survival (OS) also showed strong magnitude of benefit for evorpacept in CD47-high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Full data set will be presented at an upcoming medical conference in the fourth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Evo-TRP was generally well tolerated, with the incidence of adverse events in the evorpacept population consistent with those in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earlier ASPEN-01 Phase 1 positive data in combination with rituximab in non-Hodgkin lymphoma (NHL) and the recent clinical data of our investigator-sponsored trial (IST) collaborator from the ongoing Phase 1/2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product candidate is ALX2004, a novel EGFR-targeted ADC. ALX2004 was created from our proprietary linker-payload platform and fully designed and developed in-house by our scientists. ALX2004 comprises an affinity-tuned EGFR antibody backbone engineered for optimal activity as an antibody drug conjugate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engaged in the following clinical programs, collaborations, and investigator-sponsored trials:</w:t>
      </w:r>
    </w:p>
    <w:p>
      <w:pPr>
        <w:pStyle w:val="TextBody"/>
        <w:bidi w:val="0"/>
        <w:spacing w:before="18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jc w:val="left"/>
        <w:rPr>
          <w:rFonts w:ascii="Times New Roman" w:hAnsi="Times New Roman"/>
          <w:i/>
          <w:color w:val="000000"/>
          <w:sz w:val="20"/>
        </w:rPr>
      </w:pPr>
      <w:r>
        <w:rPr>
          <w:rFonts w:ascii="Times New Roman" w:hAnsi="Times New Roman"/>
          <w:i/>
          <w:color w:val="000000"/>
          <w:sz w:val="20"/>
        </w:rPr>
        <w:t>Combination with the HER2-targeted antibody trastuzumab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ASPEN-Breast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that based on the magnitude of benefit in patients with high CD47 expression in HER2-positive gastric cancer, the ASPEN-Breast study in HER2-positive breast cancer evaluating evorpacept in combination with trastuzumab and chemotherapy has been amended to a single-arm design in all previously treated HER2 positive patients and will be evaluated by CD47 expression.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2025, we presented updated results from the ASPEN-06 Phase 2 clinical trial in an oral presentation at the 2025 ASCO Gastrointestinal Cancers Symposium. A confirmed ORR of 41.3% was demonstrated for the Evo-TRP treatment arm compared to 26.6% for the TRP control arm in the ITT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2025, we received guidance from the FDA that the ASPEN-06 Phase 2 trial data evaluating Evo-TRP was not eligible for submission for accelerated approval given the availability of ENHERTU. A Phase 3 versus ENHERTU trial would be needed to pursue a regulatory approval of evorpacept in the second-line setting for HER2-positive gastric and GEJ. Given our disciplined focus and the allocation of our resources, we will not pursue a U.S. registrational path with a Phase 3 trial in gastric cancer and will consider exploring development partnerships to advance this program in gastric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topline results from pre-planned exploratory analysis of the ASPEN-06 trial in gastric cancer, where CD47 overexpression was identified as a key predictive biomarker for response and durable benefit.</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confirmed HER2-positive, CD47-high gastric cancer patients (n=43), evorpacept combined with TRP achieved an ORR of 65% compared to 26% with TRP alone. In contrast, in confirmed HER2-positive, CD47-low patients (n=47), evorpacept plus TRP demonstrated a 39% ORR versus 25% with TRP alone.</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DOR, PFS, and OS also showed strong magnitude of benefit for evorpacept in CD47-high patients</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Full data set will be presented at an upcoming medical conference in the fourth quarter of 2025</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the EGFR-targeted antibody cetuximab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ASPEN-CRC - Colorectal Cancer (CRC)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1b study evaluating evorpacept in combination with the EGFR-targeted antibody cetuximab and FOLFIRI for the treatment of patients with second-line metastatic CRC.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streamlined evorpacept development program to focus our resources on the ASPEN-Breast trial and paused the ASPEN-CRC study announced earlier in March 2025.</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the HER2-targeted bispecific, zanidatamab, and HER2-targeted ADC, fam-trastuzumab deruxtecan-nxki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showed the greatest anti-tumor activity with a confirmed ORR of 55.6% and a median progression free survival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median duration of response was not reached for Cohort 1 patients (range: 3.6-25.9 months) and was 5.5 months for Cohort 2 patients (range: 3.6-11.0 months), with responses ongoing, including the longest observed response, in each cohort.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Quantum Leap Healthcare Collaborative - I-SPY Trial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the CD20-targeted antibody rituximab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2024, MD Anderson Cancer Center reported clinical data from the ongoing Phase 1/2 IST of evorpacept in combination with R2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R2 treatment. The regimen was well tolerated, and there were no dose-limiting toxicities. Patients with indolent R/R B-NHL (n=18) had a best ORR of 94% and a complete response rate of 83%. The median duration of response was not reached.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2025, final data for the Phase 1 portion of the MD Anderson Cancer Center IST was presented at the 2025 AACR Annual Meeting. In the total population (n=20), after a median follow-up of 28 months (95% CI, 18-28 months) the two-year progression-free survival (PFS) rate was 69% and two-year OS rate was 84%. The Phase 2 portion of the clinical trial in patients with previously untreated indolent NHL is ongoing and has completed enrollment.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the CD38-targeted antibody isatuximab-irfc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(isatuximab-irfc), an anti-cancer antibody, and dexamethasone in combination with evorpacept for the treatment of patients with relapsed or refractory multiple myeloma. We announced the dosing of the first patient in September 2024.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2025, Sanofi and ALX Oncology announced the dose escalation portion of the cohort testing evorpacept with isatuximab-irfc and dexamethasone within the randomized phase 1/2 UMBRELLA study in patients with previously treated multiple myeloma is complete. Sanofi will begin the dose optimization portion of the study.</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Dendritic cells are also inhibited by the interaction of SIRPα with CD47. Activated dendritic cells present neoantigens to T-cells that, once activated, will kill cancer cells when the PD-1/PD-L1 inhibitory interaction is blocked by T-cell checkpoint inhibitors such as pembrolizumab.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Pittsburgh - Ovarian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California San Diego - Oropharyngeal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ALX2004</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ALX2004 is a novel EGFR-targeted ADC that was created from our proprietary linker-payload platform and fully designed and developed in-house by our scientists. ALX2004 comprises an affinity-tuned EGFR antibody backbone engineered for optimal activity as an ADC, a proprietary topoisomerase I inhibitor payload with enhanced bystander effect, and a linker with enhanced stability.</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filed an IND application for our first ADC program, ALX2004 and in April 2025, the FDA cleared the IND to evaluate ALX2004 in a Phase 1 clinical trial for patients with epidermal growth factor receptor expressing solid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founding, we have devoted substantially all of our resources to developing evorpacept, identifying and advancing preclinical programs, including the initiation and advancement of clinical trials of ALX2004, scaling up manufacturing, conducting clinical trials and providing general and administrative support for these operations. We have no products approved for marketing and we have never received any revenue from drug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inception through June 30, 2025, we have raised an aggregate of $643.5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in December 2020, $9.3 million were net proceeds from borrowings under the Loan Agreement (as defined below), $58.9 million were net proceeds from our follow-on offering in October 2023, and $30.0 million were net proceeds from our at-the-market (ATM) offering. For more information on the funding of our operations since inception, see section titled “—Liquidity and Capital Resources; Plan of Operations—Funding Requirements” included elsewhere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year since inception. Our net losses were $25.9 million and $39.4 million for the three months ended June 30, 2025 and 2024, respectively, and $56.7 million and $75.0 million for the six months ended June 30, 2025 and 2024, respectively. As of June 30, 2025, we had an accumulated deficit of $677.8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evorpacept through multiple clinical trials in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evorpacept in solid tumors and hematological malignancies;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ALX2004 through a first-in-human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preclinical and clinical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supplies for our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add operational, financial and management information systems to support ongoing operations as a public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Nasdaq Minimum Bid Price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2025, we received a written notice (Notice), from the Listing Qualifications Staff (Staff) of The Nasdaq Stock Market LLC (Nasdaq) notifying us that we have not been in compliance with the minimum bid price requirement for continued listing on the Nasdaq Global Select Market set forth in Nasdaq Listing Rule 5450(a)(1) for a period of 30 consecutive business days. The Notice has no immediate effect on the listing of our common stock on the Nasdaq Global Select Market, subject to our compliance with the other listing requirements of Nasdaq.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Nasdaq Listing Rule 5810(c)(3)(A), we have been provided a compliance period of 180 calendar days from the date of the Notice, or until October 20, 2025, to regain compliance with the minimum bid price requirement.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If we do not regain compliance during the 180-calendar day compliance period, we may be afforded a second 180-calendar day compliance period to regain compliance if we elect to transfer to the Nasdaq Capital Market. To qualify, we must meet the continued listing requirement for market value of publicly-held shares and all other initial listing standards for the Nasdaq Capital Market (with the exception of the minimum bid price requirement) and notify Nasdaq of our intent to cure the deficiency. If we do not regain compliance within the allotted compliance periods, including any extensions that may be granted by Nasdaq, our common stock will be subject to delisting. There can be no assurance that we will be eligible for the second compliance period, if applicable, or that the Staff would grant our request for continued listing subsequent to any delisting notification. If, during any compliance period, our common stock has a closing bid price of $0.10 per share or less for ten consecutive trading days, the Staff will issue a delisting determination under Nasdaq Listing Rule 5810(c)(3)(A)(iii) with respect to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actively monitor the closing bid price of our common stock and assess potential actions to regain compliance during the 180-calendar day compliance period, including effecting a reverse stock split, if necessary. While we are exercising diligent efforts to maintain the listing of our common stock on the Nasdaq Global Select Market, there can be no assurance that we will be able to regain or maintain compliance with the minimum bid price requirement or any other Nasdaq listing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development of our lead product candidate, evorpacept, and the initiation and advancement of ALX2004,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production of clinical materials, including fees paid to contract manufacturing organizations, or CMOs;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vendor expenses and third-party drugs related to the execution of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and other expenses, which include expenses for rent and maintenance of facilities, depreciation and amortization expense and other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associated with the development of our lead product candidate, evorpacept, and the initiation and advancement of ALX2004, and include external costs, such as fees paid to consultants, central laboratories, contractors, collaborators, CMOs and CROs in connection with our preclinical and clinical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Almost all of our research and development expenses to date have been related to the clinical development of our lead product candidate, evorpacept, and the initiation and advancement of ALX2004. We expect to incur significant research and development expenses in the foreseeable future as we continue to invest in research and development activities related to progress on our existing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development of our current and future product candidates is highly uncertain. This is due to numerous risks and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regulators or institutional review boards authorizing us or our investigators to commence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agreements with clinical trial sites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third-party manufacturers for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 including, if necessary,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Securities and Exchange Commission (SEC) requirements, audit and investor relations costs, director and officer insurance premiums and other costs associated with being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Charge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 consists of impairment of long-lived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income consists primarily of interest income on cash, cash equivalents and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expense consists primarily of interest expense on the term loan, amortization of deferred debt issuance costs, and interest related to finance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other income (expense), net consists primarily of realized foreign currency transaction gains and losses.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 and Net Loss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and six months ended June 30, 2025 and 2024 (in thousands):</w:t>
      </w:r>
    </w:p>
    <w:tbl>
      <w:tblPr>
        <w:tblW w:w="11458" w:type="dxa"/>
        <w:jc w:val="left"/>
        <w:tblInd w:w="0" w:type="dxa"/>
        <w:tblLayout w:type="fixed"/>
        <w:tblCellMar>
          <w:top w:w="28" w:type="dxa"/>
          <w:left w:w="28" w:type="dxa"/>
          <w:bottom w:w="28" w:type="dxa"/>
          <w:right w:w="28" w:type="dxa"/>
        </w:tblCellMar>
      </w:tblPr>
      <w:tblGrid>
        <w:gridCol w:w="1491"/>
        <w:gridCol w:w="146"/>
        <w:gridCol w:w="211"/>
        <w:gridCol w:w="736"/>
        <w:gridCol w:w="166"/>
        <w:gridCol w:w="146"/>
        <w:gridCol w:w="211"/>
        <w:gridCol w:w="736"/>
        <w:gridCol w:w="166"/>
        <w:gridCol w:w="146"/>
        <w:gridCol w:w="211"/>
        <w:gridCol w:w="736"/>
        <w:gridCol w:w="166"/>
        <w:gridCol w:w="146"/>
        <w:gridCol w:w="146"/>
        <w:gridCol w:w="421"/>
        <w:gridCol w:w="271"/>
        <w:gridCol w:w="146"/>
        <w:gridCol w:w="211"/>
        <w:gridCol w:w="736"/>
        <w:gridCol w:w="166"/>
        <w:gridCol w:w="146"/>
        <w:gridCol w:w="211"/>
        <w:gridCol w:w="736"/>
        <w:gridCol w:w="166"/>
        <w:gridCol w:w="146"/>
        <w:gridCol w:w="211"/>
        <w:gridCol w:w="736"/>
        <w:gridCol w:w="166"/>
        <w:gridCol w:w="146"/>
        <w:gridCol w:w="146"/>
        <w:gridCol w:w="421"/>
        <w:gridCol w:w="7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(R&amp;D) expenses incurred for the three months and six months ended June 30, 2025 and 2024 (in thousands):</w:t>
      </w:r>
    </w:p>
    <w:tbl>
      <w:tblPr>
        <w:tblW w:w="10743" w:type="dxa"/>
        <w:jc w:val="left"/>
        <w:tblInd w:w="0" w:type="dxa"/>
        <w:tblLayout w:type="fixed"/>
        <w:tblCellMar>
          <w:top w:w="28" w:type="dxa"/>
          <w:left w:w="28" w:type="dxa"/>
          <w:bottom w:w="28" w:type="dxa"/>
          <w:right w:w="28" w:type="dxa"/>
        </w:tblCellMar>
      </w:tblPr>
      <w:tblGrid>
        <w:gridCol w:w="1386"/>
        <w:gridCol w:w="146"/>
        <w:gridCol w:w="211"/>
        <w:gridCol w:w="676"/>
        <w:gridCol w:w="146"/>
        <w:gridCol w:w="146"/>
        <w:gridCol w:w="211"/>
        <w:gridCol w:w="676"/>
        <w:gridCol w:w="146"/>
        <w:gridCol w:w="146"/>
        <w:gridCol w:w="211"/>
        <w:gridCol w:w="736"/>
        <w:gridCol w:w="166"/>
        <w:gridCol w:w="146"/>
        <w:gridCol w:w="146"/>
        <w:gridCol w:w="376"/>
        <w:gridCol w:w="271"/>
        <w:gridCol w:w="146"/>
        <w:gridCol w:w="211"/>
        <w:gridCol w:w="676"/>
        <w:gridCol w:w="146"/>
        <w:gridCol w:w="146"/>
        <w:gridCol w:w="211"/>
        <w:gridCol w:w="676"/>
        <w:gridCol w:w="146"/>
        <w:gridCol w:w="146"/>
        <w:gridCol w:w="211"/>
        <w:gridCol w:w="736"/>
        <w:gridCol w:w="166"/>
        <w:gridCol w:w="146"/>
        <w:gridCol w:w="146"/>
        <w:gridCol w:w="376"/>
        <w:gridCol w:w="516"/>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R&amp;D expenses decreased by $16.6 million during the three months ended June 30, 2025 compared to the three months ended June 30, 2024. The decrease was primarily attributable to a decrease of $8.5 million in clinical and development costs primarily due to manufacturing of clinical trial materials, the majority of which was completed in early 2024, to support active clinical trials for our lead product candidate, evorpacept, a decrease of $4.1 million in stock-based compensation expense due to terminations from the reduction in workforce as well as modification from the December 2024 option exchange, a decrease of $2.1 million in personnel and related costs primarily driven by the reduction in workforce in Q1 2025, a decrease of $1.7 million in preclinical costs due to pipeline prioritization strategy, and a decrease of $0.2 million in other research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R&amp;D expenses decreased by $24.5 million during the six months ended June 30, 2025 compared to the six months ended June 30, 2024. The decrease was primarily attributable to a decrease of $15.5 million in clinical and development costs primarily due to manufacturing of clinical trial materials, the majority of which was completed in early 2024, to support active clinical trials for our lead product candidate, evorpacept, a decrease of $6.1 million in stock-based compensation expense due to terminations from the reduction in workforce as well as modification from the December 2024 option exchange, a decrease of $1.3 million in preclinical costs due to pipeline prioritization strategy, a decrease of $1.1 million in other research costs due to absence of development milestone payment compared to the prior period, and a decrease of $0.4 million in personnel and related costs primarily driven by the reduction in workforce in Q1 2025.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(G&amp;A) expenses incurred for the three months and six months ended June 30, 2025 and 2024 (in thousands):</w:t>
      </w:r>
    </w:p>
    <w:tbl>
      <w:tblPr>
        <w:tblW w:w="10368" w:type="dxa"/>
        <w:jc w:val="left"/>
        <w:tblInd w:w="0" w:type="dxa"/>
        <w:tblLayout w:type="fixed"/>
        <w:tblCellMar>
          <w:top w:w="28" w:type="dxa"/>
          <w:left w:w="28" w:type="dxa"/>
          <w:bottom w:w="28" w:type="dxa"/>
          <w:right w:w="28" w:type="dxa"/>
        </w:tblCellMar>
      </w:tblPr>
      <w:tblGrid>
        <w:gridCol w:w="1491"/>
        <w:gridCol w:w="146"/>
        <w:gridCol w:w="211"/>
        <w:gridCol w:w="571"/>
        <w:gridCol w:w="146"/>
        <w:gridCol w:w="146"/>
        <w:gridCol w:w="211"/>
        <w:gridCol w:w="571"/>
        <w:gridCol w:w="146"/>
        <w:gridCol w:w="146"/>
        <w:gridCol w:w="211"/>
        <w:gridCol w:w="631"/>
        <w:gridCol w:w="166"/>
        <w:gridCol w:w="146"/>
        <w:gridCol w:w="146"/>
        <w:gridCol w:w="376"/>
        <w:gridCol w:w="271"/>
        <w:gridCol w:w="146"/>
        <w:gridCol w:w="211"/>
        <w:gridCol w:w="676"/>
        <w:gridCol w:w="146"/>
        <w:gridCol w:w="146"/>
        <w:gridCol w:w="211"/>
        <w:gridCol w:w="676"/>
        <w:gridCol w:w="146"/>
        <w:gridCol w:w="146"/>
        <w:gridCol w:w="211"/>
        <w:gridCol w:w="571"/>
        <w:gridCol w:w="166"/>
        <w:gridCol w:w="146"/>
        <w:gridCol w:w="146"/>
        <w:gridCol w:w="376"/>
        <w:gridCol w:w="516"/>
      </w:tblGrid>
      <w:tr>
        <w:trPr/>
        <w:tc>
          <w:tcPr>
            <w:tcW w:w="1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decreased by $1.4 million during the three months ended June 30, 2025 compared to the three months ended June 30, 2024. The decrease was primarily attributable to a decrease of $1.0 million in stock-based compensation expense due to terminations from the reduction in workforce as well as modification from the December 2024 option exchange and a decrease of $0.4 million in other G&amp;A costs from legal consulting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G&amp;A expenses increased by $0.5 million during the six months ended June 30, 2025 compared to the six months ended June 30, 2024. The increase was primarily attributable to an increase of $1.3 million in personnel and related costs primarily driven by severance costs from the reduction in workforce, offset by a decrease of $0.9 million in stock-based compensation expense due to terminations from the reduction in workforce as well as modification from the December 2024 option exchange.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Charge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 increased by $3.2 million for the three months and six months ended June 30, 2025. In May 2025, we made a decision to sublease our leased property in Palo Alto and are actively marketing the leased property for sublease. We recorded long-lived asset impairment charge based on the performed impairment analysis.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by $1.5 million for the three months ended June 30, 2025 compared to the three months ended June 30, 2024 and by $2.6 million for the six months ended June 30, 2025 compared to the six months ended June 30, 2024. The decreases were primarily attributable to lower cash and investment balances during 2025 as compared to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remained flat for the three months ended June 30, 2025 compared to the three months ended June 30, 2024, as well as for the six months ended June 30, 2025 compared to the six months ended June 30, 2024 due to similar interest rates during the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remained flat for the three months ended June 30, 2025 compared to the three months ended June 30, 2024, as well as for the six months ended June 30, 2025 compared to the six months ended June 30,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 Plan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June 30, 2025, we had cash, cash equivalents and investments of $83.5 million.</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and negative cash flows from operations since inception and anticipate that we will continue to incur net losses for the foreseeable future. As of June 30, 2025, we had an accumulated deficit of $677.8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and retention of key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patent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collaboration, license or other arrangement, including the terms and timing of any milestone and royalty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Nasdaq;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and global economic environment, such as inflation, interest rate changes, trade and other global disputes and interruptions, including related to tariffs and trade protection measures, economic downturns, bank failures or instability in the financial services sector, or geopolitical risks, disasters, and medical or public health crises, such as the COVID-19 pandemic, which may exacerbate the magnitude of the factors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a loan and security agreement (as amended, the Loan Agreement) we entered into with Oxford Finance LLC, Oxford Finance Credit Fund II LP, and Silicon Valley Bank (SVB) (collectively, the Lenders), for a secured term loan facility of up to $100.0 million in October 2022,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a stockholder’s ownership interest will be diluted, and the terms of these securities may include liquidation or other preferences that adversely affect one’s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we entered a sales agreement (as amended, Sales Agreement) with Cantor Fitzgerald &amp; Co. and Credit Suisse Securities (USA) LLC (Credit Suisse), under which we may offer and sell our common stock, having aggregate gross proceeds of up to $150.0 million, from time to time through them as our sales agents in our ATM offering program. In March 2022, we filed a universal shelf registration statement (2022 Shelf Registration Statement) with the SEC. In May 2022, we filed the amended 2022 Shelf Registration Statement, which was declared effective by the SEC on May 31, 2022. In August 2023, we entered into an amendment to the Sales Agreement to include UBS Securities LLC as an additional sales agent and to remove Credit Suisse as a sales agent. As of June 30, 2025, we sold an aggregate of 2,404,855 shares of common stock under our Sales Agreement for net proceeds of $30.0 million, after deducting commissions. We may terminate this ATM program and the Sales Agreement at any time, pursuant to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For a description of the terms of the Loan Agreement, see “Note 7.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completed an underwritten follow-on public offering pursuant to the 2022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As of June 30, 2025, no shares underlying the pre-funded warrants had been exercised. On March 6, 2025, we filed a shelf registration statement with the SEC that became effective on April 24, 2025 (the 2025 Shelf Registration Statement). The 2025 Shelf Registration Statement replaced the 2022 Shelf Registration Statement and registered the unsold securities from the 2022 Shelf Registration Statement, including those available under the ATM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to us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existing cash, cash equivalents and investments will enable us to fund our operating expenses and capital expenditure requirements into the first quarter of 2027. Additionally, the Company also has the ability to further utilize the ATM program. We have based these estimates on assumptions in which actuals may materially differ, and we could utilize our available capital resources sooner than we expect.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net cash flow activity for the six months ended June 30, 2025 and 2024 (in thousands):</w:t>
      </w:r>
    </w:p>
    <w:tbl>
      <w:tblPr>
        <w:tblW w:w="83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2025, net cash used in operating activities of $48.1 million was attributable to a net loss of $56.7 million and a change in our net operating assets and liabilities of $2.5 million, offset by non-cash charges of $11.2 million. The change in operating assets and liabilities was primarily due to (i) a decrease in accounts payable, payable and accrued liabilities due to related party, and accrued expenses and other current liabilities of $1.7 million primarily due to timing of invoices and payments, (ii) a decrease in prepaid and other current assets of $0.7 million, (iii) a decrease in other non-current liabilities of $1.0 million and (iv) an increase in other assets of $0.4 million. Non-cash charges consisted primarily of stock-based compensation expense of $7.4 million, non-cash lease costs of $0.9 million, depreciation and amortization costs of $0.4 million, and impairment charge of $3.2 million offset by net amortization of premiums and accretion of discounts on investments of $0.8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six months ended June 30, 2024, net cash used in operating activities of $64.5 million was attributable to a net loss of $75.0 million and a change in our net operating assets and liabilities of $2.3 million, offset by non-cash charges of $12.8 million. The change in operating assets and liabilities was primarily due to (i) an increase in accounts payable and accrued expenses and other current liabilities of $2.9 million primarily due to timing of invoices and payments, (ii) a decrease in other assets of $1.9 million, (iii) an increase in prepaid and other current assets of $6.1 million and (iv) a decrease in other non-current liabilities of $1.1 million. Non-cash charges consisted primarily of stock-based compensation expense of $14.3 million, non-cash lease costs of $0.9 million, and depreciation and amortization costs of $0.4 million offset by net amortization of premiums and accretion of discounts on investments of $2.9 million.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2025, net cash provided by investing activities of $50.0 million was attributable to cash received for maturities of investments of $91.2 million offset by purchases of short-term and long-term investments of $41.2 million and purchases of property and equipment of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2024, net cash provided by investing activities of $27.4 million was attributable to cash received for maturities of investments of $121.9 million offset by purchases of short-term and long-term investments of $94.2 million and purchases of property and equipment of $0.2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2025, net cash used in financing activities of $0.2 million was attributable to principal payments on finance leases of $0.5 million offset by proceeds from our ATM offering program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six months ended June 30, 2024, net cash provided by financing activities of $30.2 million was attributable to proceeds from our ATM offering program of $29.2 million, proceeds from the exercise of stock options under equity incentive plans of $1.1 million, and proceeds from issuance of common stock pursuant to employee stock purchase plan of $0.3 million, offset by principal payments on finance leases of $0.4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presented, we did not have, nor do we currently have, any off-balance sheet arrangements, as defined in the rules and regulations of the SEC.</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2024. During the six months ended June 30, 2025, there were no material changes to our critical accounting policies and estimates from those discussed in the Company’s Annual Report on Form 10-K for the year ended December 31, 2024 filed with the SEC on March 6,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Significant Accounting Policies - Recent Accounting Pronouncements” to our condensed consolidated financial statements included elsewhere in this Quarterly Report on Form 10-Q for more information. </w:t>
      </w:r>
    </w:p>
    <w:p>
      <w:pPr>
        <w:pStyle w:val="TextBody"/>
        <w:bidi w:val="0"/>
        <w:spacing w:before="360" w:after="283"/>
        <w:jc w:val="left"/>
        <w:rPr>
          <w:rFonts w:ascii="Times New Roman" w:hAnsi="Times New Roman"/>
          <w:b/>
          <w:color w:val="000000"/>
          <w:sz w:val="20"/>
        </w:rPr>
      </w:pPr>
      <w:bookmarkStart w:id="12" w:name="part1_item3_risk"/>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sensitivities.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we had cash, cash equivalents and investments of $83.5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FDIC.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continuing to monitor any events involving limited liquidity, defaults, non-performance or other adverse developments that affect financial institutions or other companies in the financial services industry or the financial services industry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the Company has not experienced any realized losses on its deposits of cash, cash equivalents or investments.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impact on our financial results.</w:t>
      </w:r>
    </w:p>
    <w:p>
      <w:pPr>
        <w:pStyle w:val="TextBody"/>
        <w:bidi w:val="0"/>
        <w:spacing w:before="360" w:after="283"/>
        <w:jc w:val="left"/>
        <w:rPr>
          <w:rFonts w:ascii="Times New Roman" w:hAnsi="Times New Roman"/>
          <w:b/>
          <w:color w:val="000000"/>
          <w:sz w:val="20"/>
        </w:rPr>
      </w:pPr>
      <w:bookmarkStart w:id="13" w:name="part1_item4_control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June 30, 2025.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2025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4" w:name="part2"/>
      <w:bookmarkEnd w:id="14"/>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5" w:name="part2_item1_legal"/>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6" w:name="part2_item1a_rf"/>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together with the other information contained elsewhere in this Quarterly Report on Form 10-Q, including our unaudited condensed consolidated financial statements and the related notes,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the results of our clinical trials may not satisfy the requirements of the U.S. Food and Drug Administration, or FDA,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for clinical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levels of our debt and compliance with the terms of our loan agreement could restrict our ability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and global economic environment, such as inflation, interest rate changes, trade and other global disputes and interruptions, including related to tariffs and trade protection measures, economic downturns, bank failures or instability in the financial services sector, or geopolitical risks, disasters, and medical or public health crises, such as the COVID-19 pandemic, could adversely impact our business including our ongoing and planned clinical trials and preclinical research;</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may be delisted from the Nasdaq Global Select Market, or Nasdaq, if the Company cannot maintain compliance with Nasdaq’s continued listing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stock may be volatile, and you could lose all or part of your investment;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our financial reports.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$25.9 million and $39.4 million for the three months ended June 30, 2025 and 2024, respectively. As of June 30, 2025, we had an accumulated deficit of $677.8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Even though we recently announced a reduction in the Company’s workforce, or RIF, by approximately 30% of the Company’s employees in connection with the Company pipeline prioritization, clinical development and cash preservation strategy, there can be no assurances we will be successful at all, or realize the anticipated savings from the RIF.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we had cash, cash equivalents and investments of $83.5 million. Based on our current operating plan, we believe that our existing cash, cash equivalents, and investments will be sufficient to fund our operations into the first quarter of 2027.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use our cash, cash equivalents and investments to advance the clinical development of evorpacept, the initiation and advancement of clinical trials of ALX2004,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 required to obtain further funding through public or private equity offerings, debt financings, collaborations and licensing arrangements or other sources, which may dilute our stockholders or restrict our operating activities. Our ability to raise additional funds may be adversely impacted by market perceptions of our ability to maintain our listing on the Nasdaq.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Under the Loan Agreement, $25.0 million is available for us to draw down at the Lenders’ sole discretion as of June 30, 2025.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a stockholder’s ownership interest will be diluted, and the terms may include liquidation or other preferences that adversely affect one’s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and clinical development of our lead product candidate, evorpacept, the initiation and advancement of ALX2004,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or CROs, and clinical sites for the clinical development of evorpacept and our other future product candidates;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of evorpacept and any future product candidates as viable treatment options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favorable coverage and adequate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our licensed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or infringement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most recently amended in December 2023, under which we have borrowed $10.0 million. Under the Loan Agreement, $25.0 million is available for us to draw at the Lenders’ sole discretion as of June 30, 2025. The proceeds of the loans may be used by us for working capital and to fund our general business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mature on October 1, 2027. We will begin to make principal payments in equal monthly installments beginning on December 1, 2025, and if either of the milestone related tranche term loans are funded, then we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loans under the Loan Agreement are secured by substantially all of our assets, except our intellectual property, which is the subject of a negative pledge, and will be guaranteed by our future subsidiaries, subject to certain limitations.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and the initiation and advancement of clinical trials of ALX2004. As a result, our business currently depends heavily on the successful development, regulatory approval and, if approved, commercialization of evorpacept in one or more of these indications, such as gastric/gastroesophageal junction, or GEJ, carcinoma, breast cancer, NHL, multiple myeloma, or colorectal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head and neck squamous cell carcinoma (HNSCC).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including with respect to our single-arm ASPEN-Breast study in HER2-positive breast cancer, our clinical timelines may be delayed.</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preclinical development and then extensive clinical trials (including initiation of any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HNSCC.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our future clinical trials will begin or enroll subjects on time or whether our ongoing and/or future clinical trials will be completed on schedule or at all. Clinical trials can be delayed for a variety of reasons, including delays related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agreement on acceptable terms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institutional review board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adding necessary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or trial subjects withdrawing or dropping out of clinical trials at a higher rate than anticipated;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receipt of marketing approval or our ability to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are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being insufficient or inadequate;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and approval of FDA required companion diagnostics necessary for use with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demonstrate consistent or adequate safety and efficacy sufficient to obtain marketing approval of our product candidates or to market our drugs after any such approval.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by us and the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subjects adequately during and after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of clinical trial sites to prospective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subjects enrolled in clinical trials dropping out before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delay in enrollment of subjects due to a variety of reasons, including outbreaks and public health crises, such as the COVID-19 pandemic;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appropriately enroll an ethnically and racially diverse patient population representative of the target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adverse effects related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such as our topline Phase 2 ASPEN-06 clinical trial results of evorpacept for the treatment of advanced HER2-Positive gastric cancer announced in July 2024, the updated data from a December 2024 data cutoff announced in January 2025, and the updated data from a May 2025 data cutoff announced in August 2025, our topline Phase 2 ASPEN-03 and ASPEN-04 clinical trial results of evorpacept for the treatment of HNSCC announced in April 2025, as well as the CD47 biomarker analysis that we released in August 2025.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diarrhea, constipation, and neutrophil count decrease. These events have been reported across the program in patients administered evorpacept as a single agent, in combination with pembrolizumab, trastuzumab, rituximab, azacitidine, or enfortumab vedotin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i/>
          <w:color w:val="000000"/>
          <w:sz w:val="20"/>
        </w:rPr>
        <w:t>e.g.</w:t>
      </w:r>
      <w:r>
        <w:rPr>
          <w:rFonts w:ascii="Times New Roman" w:hAnsi="Times New Roman"/>
          <w:color w:val="000000"/>
          <w:sz w:val="20"/>
        </w:rPr>
        <w:t xml:space="preserve">,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the rejection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seizures, detentions or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product recalls and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restrictions on operations, including costly new manufacturing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previously relied on Tallac Therapeutics Inc., a third-party service provider, to conduct substantially all of our preclinical research activities for evorpacept. If we are unable to successfully transition preclinical research activities in-house or identify an alternative provider as needed, there may be disruptions or delays to our evorpacept development pipeline and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previously relied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Inc., a third-party service provider, formerly known as Tollnine, Inc., or Tallac Therapeutics, and entered into a research and development services agreement, or the Tallac Services Agreement, with Tallac Therapeutics. Under the terms of the Tallac Services Agreement, Tallac Therapeutics provided preclinical research services to us for the cost of these services plus a mark-up equal to 10.0% of such costs. The Tallac Services Agreement terminated on July 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transition preclinical research activities in-house, or identify an alternative provider as needed, our preclinical research efforts and studies may be extended or delayed, and there may be disruptions or delays to our evorpacept development pipeline. While we haven’t experienced any issue with transitioning preclinical research activities in-house, we recently announced the RIF in connection with the Company pipeline prioritization, clinical development and cash preservation strategy, which impacted a number of employees in research and preclinical development. As a result, our evorpacept product candidate research and development efforts may be delayed or harmed, and our costs could increase and our future ability to generate revenues could be delayed.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2/3 clinical trials of evorpacept in combination with trastuzumab for gastric/GEJ carcinoma. As a result, the results of our clinical trials and the sales of our drugs may be affected by the availability of these third-party drugs. For instance, we entered into clinical trial collaboration and supply agreements with Eli Lilly, pursuant to which our collaboration counterparties will supply doses of ramucirumab for use in certain clinical trials. If the agreement with Eli Lilly is terminated before the trial is completed, we may need to find another source of ramucirumab in order to continue our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also may be implicated if any of our CROs violates fraud and abuse or false claims laws and regulations or healthcare privacy and security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therapies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evorpacept and our other product candidates;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for evorpacept or our other product candidates by the FDA or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and 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and effectiveness of marketing and distribution support and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for our product candidates and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and the willingness of patients to pay out-of-pocket in the absence of third-party coverage;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is approved but does not achieve an adequate level of acceptance by patients, physicians and/or third-party payors, we may not generate sufficient revenue to become or remain profitable and our business may be harmed.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receive marketing approval, if we or others later identify undesirable or unacceptable side effects caused by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us to take our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coverage and adequate reimbursement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drug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seizure or detention, or refusal to permit the import or export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under the new leadership at the HHS, reorganization of that department, departure of senior leadership at the FDA and other agencies under HHS, and mass layoffs at HHS may impact operations at the FDA as well as other federal agencies. The FDA may lack adequate staff and resources to meet current review, approval, and inspection schedules, which could delay our anticipated timelines. These new policies are also expected to lead to fewer agency guidance documents that could result in interference with FDA programs or lead to delays or refusals to approve products. It is unclear how our industry and our clinical programs will be impacted by policies or regulations implemented under the current presidential administration and the new FDA commissioner or other executive orders. To the extent the agency reorganization and other agency changes lead to disruptions in the FDA’s operations, our interactions, correspondence, and regulatory review processes with the FDA may be delayed.</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Further, in view of the overturn of the Chevron doctrine, this landmark Supreme Court decision may invite various stakeholders to bring lawsuits against the FDA to challenge longstanding decisions and policies, which could lead to uncertainties in the industry. Changes in the leadership of the FDA and other federal agencies under the current U.S. presidential administration may also lead to new policies and changes in the regulations and operations of the FDA, which may impact our clinical development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w:t>
      </w:r>
      <w:r>
        <w:rPr>
          <w:rFonts w:ascii="Times New Roman" w:hAnsi="Times New Roman"/>
          <w:i/>
          <w:color w:val="000000"/>
          <w:sz w:val="20"/>
        </w:rPr>
        <w:t xml:space="preserve">Chevron </w:t>
      </w:r>
      <w:r>
        <w:rPr>
          <w:rFonts w:ascii="Times New Roman" w:hAnsi="Times New Roman"/>
          <w:color w:val="000000"/>
          <w:sz w:val="20"/>
        </w:rPr>
        <w:t xml:space="preserve">doctrine, which may invite more companies and other stakeholders to bring lawsuits against the FDA to challenge longstanding decisions and policies of the FDA and other federal agencies, which could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drugs,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drugs;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 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i/>
          <w:color w:val="000000"/>
          <w:sz w:val="20"/>
        </w:rPr>
        <w:t>i.e.</w:t>
      </w:r>
      <w:r>
        <w:rPr>
          <w:rFonts w:ascii="Times New Roman" w:hAnsi="Times New Roman"/>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Food, Drug and Cosmetic Act prohibits, among other things, the adulteration or misbranding of drugs, biologics and medical devices.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collect, process, use or transfer personal information from individuals located in the European Economic Area, or EEA, Switzerland and the United Kingdom in connection with our business, including in connection with conducting clinical trials in these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General Data Protection Regulation, or, together with the UK’s Data Protection Act 2018,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alleged failure to comply with the GDPR, UK GDPR, FADP, or other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UK GDPR and FADP also restrict the transfer of personal information outside of the EEA, United Kingdom and Switzerland, respectively, unless appropriate safeguards are in place.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primary set of safeguards, the Standard Contractual Clauses adopted by the European Commission, has been updated recently. With regard to data transfers outside of the EEA to the United States, in March 2022, the European Union and United States established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in 2025 and it may be modified or revoked in the interim. The United Kingdom made targeted amendments to the UK GDPR in the UK Data (Use and Access) Act 2025, which was enacted on June 19, 2025. These amendments may impact the European Commission’s adequacy decision with respect to the UK’s data protection regime. In addition, in February 2022, the United Kingdom’s Information Commissioner’s Office issued new Standard Contractual Clauses for the transfer of personal information outside of the United Kingdom. The data transfers enforcement landscape and the longer-term stability of the EU-U.S. DPF and related programs remain uncertain, which could </w:t>
      </w:r>
      <w:r>
        <w:rPr>
          <w:rFonts w:ascii="Times New Roman" w:hAnsi="Times New Roman"/>
          <w:color w:val="000000"/>
          <w:sz w:val="20"/>
          <w:u w:val="single"/>
        </w:rPr>
        <w:t xml:space="preserve">require us to modify our policies and practices and </w:t>
      </w:r>
      <w:r>
        <w:rPr>
          <w:rFonts w:ascii="Times New Roman" w:hAnsi="Times New Roman"/>
          <w:color w:val="000000"/>
          <w:sz w:val="20"/>
        </w:rPr>
        <w:t>increase our compliance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therefore, incur liabilities, expenses, costs, and other operational losses under the GDPR, the UK GDPR, the FADP, and applicable laws and regulations of European Union member states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the California Privacy Rights Act, or the CPRA, was approved by California voters in November 2020. The CPRA modified and augmented the CCPA significantly, effective as of January 1, 2023, resulting in further uncertainty and requiring us to incur additional costs and expenses in an effort to comply. Numerous other states have proposed, and in certain cases enacted similar laws, including comprehensive privacy laws similar to the CCPA enacted in Colorado, Connecticut, Delaware, Florida, Indiana, Iowa, Kentucky, Maryland, Minnesota, Montana, Nebraska, New Hampshire, New Jersey, Oregon, Rhode Island, Tennessee, Texas, Utah, and Virginia. Other states have proposed, and in certain cases enacted, legislation addressing privacy and cybersecurity in the context of specific subject matter such as biometrics and health-related personal information. The U.S. Department of Justice also has issued rules regarding certain bulk sensitive personal data transfers. As we expand our operations, preclinical studies and clinical trials, these new state laws and other state laws and regulations relating to privacy, data security, and the collection, use, transfer, and other processing of data may increase our compliance costs and potential liability. Laws and regulations relating to these matters are not consistent across jurisdictions, and they may impose conflicting or uncertain obligations. Compliance with these and any other applicable laws and regulations relating to these matters is a rigorous, costly and time-intensive process, and we may be required to put in place additional mechanisms </w:t>
      </w:r>
      <w:r>
        <w:rPr>
          <w:rFonts w:ascii="Times New Roman" w:hAnsi="Times New Roman"/>
          <w:color w:val="000000"/>
          <w:sz w:val="20"/>
          <w:u w:val="single"/>
        </w:rPr>
        <w:t>to address</w:t>
      </w:r>
      <w:r>
        <w:rPr>
          <w:rFonts w:ascii="Times New Roman" w:hAnsi="Times New Roman"/>
          <w:color w:val="000000"/>
          <w:sz w:val="20"/>
        </w:rPr>
        <w:t xml:space="preserve"> new and changing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challenging our patent rights or the patent rights of others.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283"/>
        <w:jc w:val="left"/>
        <w:rPr>
          <w:rFonts w:ascii="Times New Roman" w:hAnsi="Times New Roman"/>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i/>
          <w:color w:val="000000"/>
          <w:sz w:val="20"/>
        </w:rPr>
        <w:t>e.g.</w:t>
      </w:r>
      <w:r>
        <w:rPr>
          <w:rFonts w:ascii="Times New Roman" w:hAnsi="Times New Roman"/>
          <w:color w:val="000000"/>
          <w:sz w:val="20"/>
        </w:rPr>
        <w:t xml:space="preserve">, via post-grant reviews or </w:t>
      </w:r>
      <w:r>
        <w:rPr>
          <w:rFonts w:ascii="Times New Roman" w:hAnsi="Times New Roman"/>
          <w:i/>
          <w:color w:val="000000"/>
          <w:sz w:val="20"/>
        </w:rPr>
        <w:t>inter partes</w:t>
      </w:r>
      <w:r>
        <w:rPr>
          <w:rFonts w:ascii="Times New Roman" w:hAnsi="Times New Roman"/>
          <w:color w:val="000000"/>
          <w:sz w:val="20"/>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initiate litigation or other proceedings against third parties to enforce our patent and trade secret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(now abandoned in favor of a divisional application 18/518,353, which has claims that are not related to polypeptides comprising soluble human SIRPα) owned by University Health Network, or UHN, and The Hospital for Sick Children that may encompass certain therapies for the treatment of cancer using polypeptides comprising soluble human SIRPα, as well as related applications in other jurisdictions.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The hearing before the Board of Appeal has been scheduled for December 9, 2025.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been scheduled for November 28, 2025.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we had 49 employees, including 34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updating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a novel technology,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including the recently announced RIF, pausing recruiting efforts, or employee attrition could also create delays in the development of our product candidates, yield unintended consequences and costs, such as the loss of institutional knowledge and expertise, attrition beyond the intended reduction in force, the distraction of employees and reduced employee morale, which could all adversely affect our reputation as an employer, making it more difficult for us to hire new employees in the future and harm our business.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obtain and maintain regulatory approvals for the use of our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or qualification of foreign clinical trial data by the competent authorities of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payor reimbursement regimes, government payors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such as a fire, an earthquake or a flood, or outbreaks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breach or incident or a related breach of our information systems 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expenses including, among others, expenses for travel, translation and insurance;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factors could harm our future international expansion and operations and, consequently,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U.S. Internal Revenue Code of 1986, as amended, if a corporation undergoes an “ownership change” (generally defined as a greater than 50%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2024, we had net operating loss carryforwards of approximately $162.6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carryforwards will begin to expire beginning in 2038. Other limitations may apply under state law. For example, in June 2024, California enacted legislation suspending the use of state net operating losses by taxpayers with net business income or modified adjusted gross income of $1 million or more for tax years beginning on or after January 1, 2024 and before January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Irish net operating loss carryforwards of approximately $5.5 million. These Irish net operating loss carryforwards do not expire but may not be fully utilized unless we generate sufficient income in Ireland. We may also be limited in the amount of net operating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net operating loss carryforwards) in other jurisdictions, we cannot offset the income from one jurisdiction with the loss from another, which could increase our effective tax rate.</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July 4, 2025, the United States enacted tax legislation commonly referred to as the One Big Beautiful Bill Act, or OBBB Act. In accordance with U.S. GAAP, the Company will account for the tax effects of changes in tax law in the period of enactment which is Q3 of calendar year 2025. The Company is currently in the process of analyzing the tax impacts of the OBBB Act, but we do not expect a material impact on our financial statements. Additionally, the Organisation for Economic Co-operation and Development has proposed implementing a global minimum tax of 15%, or Pillar Two, which has been implemented into the domestic laws of European Union member countries and is being considered for implementation by other countries. However, on June 28, 2025, the G7 released a joint statement that it had reached an understanding with the United States for a side-by-side system based on certain accepted principles, including that U.S.-parented groups, such as ours, would be exempt from certain provisions of Pillar Two. We continue to assess the effect of the Pillar Two rules in all jurisdictions and do not currently expect Pillar Two to have a material impact on our financial position.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2025 Shelf Registration Statement provides for aggregate offerings of up to $364.1 million of the Company’s securities inclusive of up to $119.1 million of shares of our common stock through the at-the-market (ATM) offering. As of June 30, 2025, we sold an aggregate of 2,404,855 shares of common stock under our ATM offering.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June 30, 2025, no shares underlying the pre-funded warrants had been exercised. If we issue common stock or securities convertible into common stock, our stockholders will experience additional dilution and our stock price may decline.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and timing of our preclinical studies and clinical trials and studies and trials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products or new products that may emerge;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growth and development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 candidates or technological innovations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or recommendations by securities analysts, if any cover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concern over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price and volume fluctuations attributable to inconsistent trading volume levels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perceptions of our ability to maintain our listing on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of actual or anticipated reduction in force, including the RIF;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in the United States or overseas;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and global economic environment, such as inflation, interest rate changes, trade and other global disputes and interruptions, including related to tariffs and trade protection measures, economic downturns, bank failures or instability in the financial services sector, or geopolitical risks, disasters, and medical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or expectations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fluctuations in U.S. equity markets, general market conditions and market conditions for biotechnology stocks;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may be unanticipated or out of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the trading price of our common stock does not increase, it may cause our common stock to no longer satisfy the continued listing standards of Nasdaq. If we are not able to maintain the requirements for listing on Nasdaq, we could be delisted, which could have a materially adverse effect on our ability to raise additional funds as well as on the price and liquidity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maintain listing of our securities on the Nasdaq Global Select Market or another reputable stock exchange, it may be more difficult for our stockholders to sell their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it could have a materially adverse effect on our ability to raise additional funds as well as on the price and liquidity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at any time the bid price of our common stock closes below $1.00 per share for more than 30 consecutive business days, we may be subject to delisting from the Nasdaq Global Select Market. On April 23, 2025, we received a notice from Nasdaq notifying us that we have not been in compliance with the minimum bid price requirement for continued listing on the Nasdaq Global Select Market set forth in Nasdaq Listing Rule 5450(a)(1) for a period of 30 consecutive business days. In accordance with Nasdaq Listing Rule 5810(c)(3)(A), we have been provided a compliance period of 180 calendar days from the date of the Notice, or until October 20, 2025, to regain compliance (subject to any additional 180-day compliance period which may be available to us).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During this 180-day period, we will be reviewing our options to regain compliance with the minimum bid price requirements. To the extent that we are unable to resolve any listing deficiency, there is a risk that our common stock may be delisted from Nasdaq, which would adversely impact liquidity of our common stock and potentially result in even lower bid prices for our common stock. Additionally, if during any compliance period, our common stock has a closing bid price of $0.10 per share or less for ten consecutive trading days, the Staff will issue a delisting determination under Nasdaq Listing Rule 5810(c)(3)(A)(iii) with respect to our common stock. As of the date of filing this report, our stock has closed below $1.00 per share on every trading day since March 10, 2025.</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subjects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outcomes of clinical trials for evorpacept, and any of our other product candidates, or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regulatory review or approval of evorpacept or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evorpacept and any of our other product candidates, if approved, which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 in interest expense due to an increase in the floating rate under the Loan Agreement as described elsewhere in this Quarterly Report on Form 10-Q;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and any U.S. federal government debt default due to a failure to increase the debt ceiling;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In February and April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10, 2023, we completed the October 2023 Offering for the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June 30, 2025, no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2025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large-accelerated filer for fiscal year 2022, we have been a “non-accelerated filer” since fiscal year 2023 and we anticipate we will continue to be one throughout fiscal year 2026. This status could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we re-evaluate our SEC filing status. Accordingly, we are a non-accelerated filer, and due to our public float as of June 30, 2025, we anticipate we will be a non-accelerated filer throughout calendar year 2026.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Our affiliated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our executive officers, directors, and affiliated holders of 5% or more of our capital stock and their respective affiliates beneficially owned approximately 21.3% of our outstanding voting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a stockholder’s ownership interest will be diluted, and the terms of these new securities may include liquidation or other preferences that adversely affect one’s rights as a common stockholder. Sales of equity securities may be made under our 2025 Shelf Registration Statement and pursuant to our related ATM facility described therein. Additionally, our stockholders may be further diluted by the exercise of the pre-funded warrants issued in the follow-on public offering. As of June 30, 2025, no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behalf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 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effective internal control over financial reporting could have a material adverse effect on our business, financial condition and results of operations and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or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Russia’s war with Ukraine and war and instability in Israel and the surrounding region may subject us and our CROs and other third-party service providers to heightened risks of cyber-attacks and security breaches and incidents, any of which could materially disrupt our drug discovery and development programs or other aspects of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part2_item2_unreg"/>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part2_item3_default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part2_item4_mine"/>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20" w:name="part2_item5_other"/>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last fiscal quarter, none of our officers or directors, as defined in Rule 16a-1(f), adopted and/or terminated a “Rule 10b5-1 trading arrangement” or a “non-Rule 10b5-1 trading arrangement,” as defined in Regulation S-K Item 408.</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part2_item6_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44"/>
        <w:gridCol w:w="146"/>
        <w:gridCol w:w="4742"/>
        <w:gridCol w:w="146"/>
        <w:gridCol w:w="616"/>
        <w:gridCol w:w="146"/>
        <w:gridCol w:w="557"/>
        <w:gridCol w:w="146"/>
        <w:gridCol w:w="796"/>
        <w:gridCol w:w="146"/>
        <w:gridCol w:w="691"/>
        <w:gridCol w:w="146"/>
        <w:gridCol w:w="1083"/>
      </w:tblGrid>
      <w:tr>
        <w:trPr/>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31_1.htm">
              <w:r>
                <w:rPr>
                  <w:rStyle w:val="InternetLink"/>
                  <w:rFonts w:ascii="Times New Roman" w:hAnsi="Times New Roman"/>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31_2.htm">
              <w:r>
                <w:rPr>
                  <w:rStyle w:val="InternetLink"/>
                  <w:rFonts w:ascii="Times New Roman" w:hAnsi="Times New Roman"/>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32_1.htm">
              <w:r>
                <w:rPr>
                  <w:rStyle w:val="InternetLink"/>
                  <w:rFonts w:ascii="Times New Roman" w:hAnsi="Times New Roman"/>
                  <w:color w:val="0000EE"/>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32_2.htm">
              <w:r>
                <w:rPr>
                  <w:rStyle w:val="InternetLink"/>
                  <w:rFonts w:ascii="Times New Roman" w:hAnsi="Times New Roman"/>
                  <w:color w:val="0000EE"/>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b/>
          <w:color w:val="000000"/>
          <w:sz w:val="20"/>
        </w:rPr>
        <w:t>.</w:t>
      </w:r>
    </w:p>
    <w:p>
      <w:pPr>
        <w:pStyle w:val="TextBody"/>
        <w:bidi w:val="0"/>
        <w:jc w:val="left"/>
        <w:rPr/>
      </w:pPr>
      <w:r>
        <w:rPr/>
        <w:t> </w:t>
      </w:r>
    </w:p>
    <w:tbl>
      <w:tblPr>
        <w:tblW w:w="5579" w:type="dxa"/>
        <w:jc w:val="left"/>
        <w:tblInd w:w="0" w:type="dxa"/>
        <w:tblLayout w:type="fixed"/>
        <w:tblCellMar>
          <w:top w:w="28" w:type="dxa"/>
          <w:left w:w="28" w:type="dxa"/>
          <w:bottom w:w="28" w:type="dxa"/>
          <w:right w:w="28" w:type="dxa"/>
        </w:tblCellMar>
      </w:tblPr>
      <w:tblGrid>
        <w:gridCol w:w="1951"/>
        <w:gridCol w:w="146"/>
        <w:gridCol w:w="406"/>
        <w:gridCol w:w="30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HOLDINGS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tbl>
      <w:tblPr>
        <w:tblW w:w="7739" w:type="dxa"/>
        <w:jc w:val="left"/>
        <w:tblInd w:w="0" w:type="dxa"/>
        <w:tblLayout w:type="fixed"/>
        <w:tblCellMar>
          <w:top w:w="28" w:type="dxa"/>
          <w:left w:w="28" w:type="dxa"/>
          <w:bottom w:w="28" w:type="dxa"/>
          <w:right w:w="28" w:type="dxa"/>
        </w:tblCellMar>
      </w:tblPr>
      <w:tblGrid>
        <w:gridCol w:w="1951"/>
        <w:gridCol w:w="146"/>
        <w:gridCol w:w="406"/>
        <w:gridCol w:w="523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Pinto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Pinto</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Finance and Chief Accounting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lxo-ex31_1.htm"/>
      <w:bookmarkStart w:id="24" w:name="ksalxo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Lettmann,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1951"/>
        <w:gridCol w:w="146"/>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lxo-ex31_2.htm"/>
      <w:bookmarkStart w:id="26" w:name="ksalxo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Harish Shantharam,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lxo-ex32_1.htm"/>
      <w:bookmarkStart w:id="28" w:name="ksalxoex32_1"/>
      <w:bookmarkEnd w:id="27"/>
      <w:bookmarkEnd w:id="28"/>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June 30, 2025,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1951"/>
        <w:gridCol w:w="146"/>
        <w:gridCol w:w="40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lxo-ex32_2.htm"/>
      <w:bookmarkStart w:id="30" w:name="ksalxoex32_2"/>
      <w:bookmarkEnd w:id="29"/>
      <w:bookmarkEnd w:id="3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June 30, 2025,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62024</Words>
  <Characters>344232</Characters>
  <CharactersWithSpaces>406841</CharactersWithSpaces>
  <Paragraphs>6410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