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alxo-20250331.htm"/>
      <w:bookmarkStart w:id="1" w:name="ksalxo20250331"/>
      <w:bookmarkEnd w:id="0"/>
      <w:bookmarkEnd w:id="1"/>
      <w:r>
        <w:rPr/>
        <w:t> </w:t>
      </w:r>
    </w:p>
    <w:p>
      <w:pPr>
        <w:pStyle w:val="TextBody"/>
        <w:bidi w:val="0"/>
        <w:jc w:val="center"/>
        <w:rPr/>
      </w:pPr>
      <w:r>
        <w:rPr/>
        <w:t> </w:t>
      </w:r>
    </w:p>
    <w:p>
      <w:pPr>
        <w:pStyle w:val="TextBody"/>
        <w:pBdr>
          <w:top w:val="double" w:sz="4" w:space="1" w:color="000000"/>
        </w:pBdr>
        <w:bidi w:val="0"/>
        <w:jc w:val="center"/>
        <w:rPr/>
      </w:pPr>
      <w:r>
        <w:rPr/>
        <w:t> </w:t>
      </w:r>
    </w:p>
    <w:p>
      <w:pPr>
        <w:pStyle w:val="TextBody"/>
        <w:bidi w:val="0"/>
        <w:jc w:val="center"/>
        <w:rPr>
          <w:rFonts w:ascii="Times New Roman" w:hAnsi="Times New Roman"/>
          <w:sz w:val="20"/>
        </w:rPr>
      </w:pPr>
      <w:r>
        <w:rPr>
          <w:rFonts w:ascii="Times New Roman" w:hAnsi="Times New Roman"/>
          <w:b/>
          <w:color w:val="000000"/>
          <w:sz w:val="30"/>
        </w:rPr>
        <w:t>UNITED STATES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30"/>
        </w:rPr>
        <w:t>SECURITIES AND EXCHANGE COMMISSION</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Washington, D.C. 20549</w:t>
      </w:r>
      <w:r>
        <w:rPr>
          <w:rFonts w:ascii="Times New Roman" w:hAnsi="Times New Roman"/>
          <w:color w:val="000000"/>
          <w:sz w:val="20"/>
        </w:rPr>
        <w:t xml:space="preserve"> </w:t>
      </w:r>
    </w:p>
    <w:p>
      <w:pPr>
        <w:pStyle w:val="TextBody"/>
        <w:pBdr>
          <w:bottom w:val="single" w:sz="4" w:space="1" w:color="000000"/>
        </w:pBdr>
        <w:bidi w:val="0"/>
        <w:jc w:val="center"/>
        <w:rPr/>
      </w:pPr>
      <w:r>
        <w:rPr/>
        <w:t>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FORM 10-Q</w:t>
      </w:r>
    </w:p>
    <w:p>
      <w:pPr>
        <w:pStyle w:val="TextBody"/>
        <w:bidi w:val="0"/>
        <w:spacing w:before="40" w:after="283"/>
        <w:jc w:val="left"/>
        <w:rPr>
          <w:rFonts w:ascii="Times New Roman" w:hAnsi="Times New Roman"/>
          <w:sz w:val="20"/>
        </w:rPr>
      </w:pPr>
      <w:r>
        <w:rPr>
          <w:rFonts w:ascii="Times New Roman" w:hAnsi="Times New Roman"/>
          <w:b/>
          <w:color w:val="000000"/>
          <w:sz w:val="20"/>
        </w:rPr>
        <w:t>(Mark One)</w:t>
      </w:r>
      <w:r>
        <w:rPr>
          <w:rFonts w:ascii="Times New Roman" w:hAnsi="Times New Roman"/>
          <w:color w:val="000000"/>
          <w:sz w:val="20"/>
        </w:rPr>
        <w:t xml:space="preserve"> </w:t>
      </w:r>
    </w:p>
    <w:tbl>
      <w:tblPr>
        <w:tblW w:w="9062" w:type="dxa"/>
        <w:jc w:val="left"/>
        <w:tblInd w:w="0" w:type="dxa"/>
        <w:tblLayout w:type="fixed"/>
        <w:tblCellMar>
          <w:top w:w="28" w:type="dxa"/>
          <w:left w:w="28" w:type="dxa"/>
          <w:bottom w:w="28" w:type="dxa"/>
          <w:right w:w="28" w:type="dxa"/>
        </w:tblCellMar>
      </w:tblPr>
      <w:tblGrid>
        <w:gridCol w:w="331"/>
        <w:gridCol w:w="8731"/>
      </w:tblGrid>
      <w:tr>
        <w:trPr/>
        <w:tc>
          <w:tcPr>
            <w:tcW w:w="331" w:type="dxa"/>
            <w:tcBorders/>
            <w:vAlign w:val="center"/>
          </w:tcPr>
          <w:p>
            <w:pPr>
              <w:pStyle w:val="TableContents"/>
              <w:bidi w:val="0"/>
              <w:spacing w:before="0" w:after="283"/>
              <w:jc w:val="left"/>
              <w:rPr>
                <w:sz w:val="4"/>
                <w:szCs w:val="4"/>
              </w:rPr>
            </w:pPr>
            <w:r>
              <w:rPr>
                <w:sz w:val="4"/>
                <w:szCs w:val="4"/>
              </w:rPr>
            </w:r>
          </w:p>
        </w:tc>
        <w:tc>
          <w:tcPr>
            <w:tcW w:w="8731"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87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QUARTERLY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quarterly period ended March 31, 2025</w:t>
      </w:r>
    </w:p>
    <w:p>
      <w:pPr>
        <w:pStyle w:val="TextBody"/>
        <w:bidi w:val="0"/>
        <w:spacing w:before="40" w:after="283"/>
        <w:jc w:val="center"/>
        <w:rPr>
          <w:rFonts w:ascii="Times New Roman" w:hAnsi="Times New Roman"/>
          <w:sz w:val="20"/>
        </w:rPr>
      </w:pPr>
      <w:r>
        <w:rPr>
          <w:rFonts w:ascii="Times New Roman" w:hAnsi="Times New Roman"/>
          <w:b/>
          <w:color w:val="000000"/>
          <w:sz w:val="20"/>
        </w:rPr>
        <w:t>OR</w:t>
      </w:r>
      <w:r>
        <w:rPr>
          <w:rFonts w:ascii="Times New Roman" w:hAnsi="Times New Roman"/>
          <w:color w:val="000000"/>
          <w:sz w:val="20"/>
        </w:rPr>
        <w:t xml:space="preserve"> </w:t>
      </w:r>
    </w:p>
    <w:tbl>
      <w:tblPr>
        <w:tblW w:w="9047" w:type="dxa"/>
        <w:jc w:val="left"/>
        <w:tblInd w:w="0" w:type="dxa"/>
        <w:tblLayout w:type="fixed"/>
        <w:tblCellMar>
          <w:top w:w="28" w:type="dxa"/>
          <w:left w:w="28" w:type="dxa"/>
          <w:bottom w:w="28" w:type="dxa"/>
          <w:right w:w="28" w:type="dxa"/>
        </w:tblCellMar>
      </w:tblPr>
      <w:tblGrid>
        <w:gridCol w:w="331"/>
        <w:gridCol w:w="8716"/>
      </w:tblGrid>
      <w:tr>
        <w:trPr/>
        <w:tc>
          <w:tcPr>
            <w:tcW w:w="331" w:type="dxa"/>
            <w:tcBorders/>
            <w:vAlign w:val="center"/>
          </w:tcPr>
          <w:p>
            <w:pPr>
              <w:pStyle w:val="TableContents"/>
              <w:bidi w:val="0"/>
              <w:spacing w:before="0" w:after="283"/>
              <w:jc w:val="left"/>
              <w:rPr>
                <w:sz w:val="4"/>
                <w:szCs w:val="4"/>
              </w:rPr>
            </w:pPr>
            <w:r>
              <w:rPr>
                <w:sz w:val="4"/>
                <w:szCs w:val="4"/>
              </w:rPr>
            </w:r>
          </w:p>
        </w:tc>
        <w:tc>
          <w:tcPr>
            <w:tcW w:w="871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60" w:after="283"/>
              <w:jc w:val="left"/>
              <w:rPr>
                <w:color w:val="000000"/>
              </w:rPr>
            </w:pPr>
            <w:r>
              <w:rPr>
                <w:color w:val="000000"/>
              </w:rPr>
              <w:t>☐</w:t>
            </w:r>
          </w:p>
        </w:tc>
        <w:tc>
          <w:tcPr>
            <w:tcW w:w="8716" w:type="dxa"/>
            <w:tcBorders/>
            <w:tcMar>
              <w:top w:w="0" w:type="dxa"/>
              <w:left w:w="0" w:type="dxa"/>
              <w:bottom w:w="0" w:type="dxa"/>
              <w:right w:w="0" w:type="dxa"/>
            </w:tcMar>
            <w:vAlign w:val="center"/>
          </w:tcPr>
          <w:p>
            <w:pPr>
              <w:pStyle w:val="TableContents"/>
              <w:bidi w:val="0"/>
              <w:spacing w:before="40" w:after="283"/>
              <w:jc w:val="left"/>
              <w:rPr>
                <w:rFonts w:ascii="Times New Roman" w:hAnsi="Times New Roman"/>
                <w:sz w:val="16"/>
              </w:rPr>
            </w:pPr>
            <w:r>
              <w:rPr>
                <w:rFonts w:ascii="Times New Roman" w:hAnsi="Times New Roman"/>
                <w:b/>
                <w:color w:val="000000"/>
                <w:sz w:val="16"/>
              </w:rPr>
              <w:t>TRANSITION REPORT PURSUANT TO SECTION 13 OR 15(d) OF THE SECURITIES EXCHANGE ACT OF 1934</w:t>
            </w:r>
            <w:r>
              <w:rPr>
                <w:rFonts w:ascii="Times New Roman" w:hAnsi="Times New Roman"/>
                <w:color w:val="000000"/>
                <w:sz w:val="16"/>
              </w:rPr>
              <w:t xml:space="preserve"> </w:t>
            </w:r>
          </w:p>
        </w:tc>
      </w:tr>
    </w:tbl>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For the transition period from to</w:t>
      </w:r>
    </w:p>
    <w:p>
      <w:pPr>
        <w:pStyle w:val="TextBody"/>
        <w:bidi w:val="0"/>
        <w:spacing w:before="40" w:after="283"/>
        <w:jc w:val="center"/>
        <w:rPr>
          <w:rFonts w:ascii="Times New Roman" w:hAnsi="Times New Roman"/>
          <w:sz w:val="20"/>
        </w:rPr>
      </w:pPr>
      <w:r>
        <w:rPr>
          <w:rFonts w:ascii="Times New Roman" w:hAnsi="Times New Roman"/>
          <w:b/>
          <w:color w:val="000000"/>
          <w:sz w:val="20"/>
        </w:rPr>
        <w:t>Commission File Number 001-39386</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36"/>
        </w:rPr>
      </w:pPr>
      <w:r>
        <w:rPr>
          <w:rFonts w:ascii="Times New Roman" w:hAnsi="Times New Roman"/>
          <w:b/>
          <w:color w:val="000000"/>
          <w:sz w:val="36"/>
        </w:rPr>
        <w:t>ALX ONCOLOGY HOLDINGS INC.</w:t>
      </w:r>
    </w:p>
    <w:p>
      <w:pPr>
        <w:pStyle w:val="TextBody"/>
        <w:bidi w:val="0"/>
        <w:jc w:val="center"/>
        <w:rPr>
          <w:rFonts w:ascii="Times New Roman" w:hAnsi="Times New Roman"/>
          <w:sz w:val="20"/>
        </w:rPr>
      </w:pPr>
      <w:r>
        <w:rPr>
          <w:rFonts w:ascii="Times New Roman" w:hAnsi="Times New Roman"/>
          <w:b/>
          <w:color w:val="000000"/>
          <w:sz w:val="20"/>
        </w:rPr>
        <w:t>(Exact name of Registrant as specified in its Charter)</w:t>
      </w:r>
      <w:r>
        <w:rPr>
          <w:rFonts w:ascii="Times New Roman" w:hAnsi="Times New Roman"/>
          <w:color w:val="000000"/>
          <w:sz w:val="20"/>
        </w:rPr>
        <w:t xml:space="preserve">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85-0642577</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r>
        <w:trPr/>
        <w:tc>
          <w:tcPr>
            <w:tcW w:w="29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323 Allerton Avenue</w:t>
            </w:r>
          </w:p>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South San Francisco, California</w:t>
            </w:r>
          </w:p>
        </w:tc>
        <w:tc>
          <w:tcPr>
            <w:tcW w:w="148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0"/>
              </w:rPr>
            </w:pPr>
            <w:r>
              <w:rPr>
                <w:rFonts w:ascii="Times New Roman" w:hAnsi="Times New Roman"/>
                <w:b/>
                <w:color w:val="000000"/>
                <w:sz w:val="20"/>
              </w:rPr>
              <w:t>94080</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650-466-7125</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(Registrant’s telephone number, including area code)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(Former name, former address and former fiscal year, if changed since last report)</w:t>
      </w:r>
    </w:p>
    <w:p>
      <w:pPr>
        <w:pStyle w:val="TextBody"/>
        <w:bidi w:val="0"/>
        <w:spacing w:before="40" w:after="283"/>
        <w:jc w:val="left"/>
        <w:rPr>
          <w:rFonts w:ascii="Times New Roman" w:hAnsi="Times New Roman"/>
          <w:sz w:val="20"/>
        </w:rPr>
      </w:pPr>
      <w:r>
        <w:rPr>
          <w:rFonts w:ascii="Times New Roman" w:hAnsi="Times New Roman"/>
          <w:color w:val="000000"/>
          <w:sz w:val="16"/>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585" w:type="dxa"/>
        <w:jc w:val="left"/>
        <w:tblInd w:w="0" w:type="dxa"/>
        <w:tblLayout w:type="fixed"/>
        <w:tblCellMar>
          <w:top w:w="28" w:type="dxa"/>
          <w:left w:w="28" w:type="dxa"/>
          <w:bottom w:w="28" w:type="dxa"/>
          <w:right w:w="28" w:type="dxa"/>
        </w:tblCellMar>
      </w:tblPr>
      <w:tblGrid>
        <w:gridCol w:w="3151"/>
        <w:gridCol w:w="146"/>
        <w:gridCol w:w="826"/>
        <w:gridCol w:w="146"/>
        <w:gridCol w:w="3316"/>
      </w:tblGrid>
      <w:tr>
        <w:trPr/>
        <w:tc>
          <w:tcPr>
            <w:tcW w:w="31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315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31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Common Stock, par value $0.001 per share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ALXO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The Nasdaq Global Select Market</w:t>
            </w:r>
          </w:p>
        </w:tc>
      </w:tr>
    </w:tbl>
    <w:p>
      <w:pPr>
        <w:pStyle w:val="TextBody"/>
        <w:bidi w:val="0"/>
        <w:spacing w:before="40" w:after="283"/>
        <w:jc w:val="left"/>
        <w:rPr/>
      </w:pPr>
      <w:r>
        <w:rPr/>
        <w: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olor w:val="000000"/>
          <w:sz w:val="16"/>
        </w:rPr>
        <w:t>NO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807" w:type="dxa"/>
        <w:jc w:val="left"/>
        <w:tblInd w:w="0" w:type="dxa"/>
        <w:tblLayout w:type="fixed"/>
        <w:tblCellMar>
          <w:top w:w="28" w:type="dxa"/>
          <w:left w:w="28" w:type="dxa"/>
          <w:bottom w:w="28" w:type="dxa"/>
          <w:right w:w="28" w:type="dxa"/>
        </w:tblCellMar>
      </w:tblPr>
      <w:tblGrid>
        <w:gridCol w:w="1666"/>
        <w:gridCol w:w="146"/>
        <w:gridCol w:w="316"/>
        <w:gridCol w:w="146"/>
        <w:gridCol w:w="2026"/>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2172" w:type="dxa"/>
            <w:gridSpan w:val="2"/>
            <w:tcBorders/>
            <w:tcMar>
              <w:top w:w="0" w:type="dxa"/>
              <w:left w:w="0" w:type="dxa"/>
              <w:bottom w:w="0" w:type="dxa"/>
              <w:right w:w="0" w:type="dxa"/>
            </w:tcMar>
            <w:vAlign w:val="center"/>
          </w:tcPr>
          <w:p>
            <w:pPr>
              <w:pStyle w:val="TableContents"/>
              <w:bidi w:val="0"/>
              <w:spacing w:before="0" w:after="283"/>
              <w:jc w:val="left"/>
              <w:rPr/>
            </w:pPr>
            <w:r>
              <w:rPr/>
              <w:t> </w:t>
            </w:r>
          </w:p>
        </w:tc>
        <w:tc>
          <w:tcPr>
            <w:tcW w:w="507" w:type="dxa"/>
            <w:gridSpan w:val="2"/>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spacing w:before="80" w:after="283"/>
        <w:jc w:val="left"/>
        <w:rPr>
          <w:rFonts w:ascii="Times New Roman" w:hAnsi="Times New Roman"/>
          <w:color w:val="000000"/>
          <w:sz w:val="16"/>
        </w:rPr>
      </w:pPr>
      <w:r>
        <w:rPr>
          <w:rFonts w:ascii="Times New Roman" w:hAnsi="Times New Roman"/>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80" w:after="283"/>
        <w:jc w:val="left"/>
        <w:rPr>
          <w:rFonts w:ascii="Times New Roman" w:hAnsi="Times New Roman"/>
          <w:sz w:val="20"/>
        </w:rPr>
      </w:pPr>
      <w:r>
        <w:rPr>
          <w:rFonts w:ascii="Times New Roman" w:hAnsi="Times New Roman"/>
          <w:color w:val="000000"/>
          <w:sz w:val="16"/>
        </w:rPr>
        <w:t xml:space="preserve">Indicate by check mark whether the registrant is a shell company (as defined in Rule 12b-2 of the Exchange Act). </w:t>
      </w:r>
      <w:r>
        <w:rPr>
          <w:rFonts w:ascii="Times New Roman" w:hAnsi="Times New Roman"/>
          <w:caps/>
          <w:color w:val="000000"/>
          <w:sz w:val="16"/>
        </w:rPr>
        <w:t>Yes</w:t>
      </w:r>
      <w:r>
        <w:rPr>
          <w:rFonts w:ascii="Times New Roman" w:hAnsi="Times New Roman"/>
          <w:color w:val="000000"/>
          <w:sz w:val="20"/>
        </w:rPr>
        <w:t xml:space="preserve"> ☐ </w:t>
      </w:r>
      <w:r>
        <w:rPr>
          <w:rFonts w:ascii="Times New Roman" w:hAnsi="Times New Roman"/>
          <w:caps/>
          <w:color w:val="000000"/>
          <w:sz w:val="16"/>
        </w:rPr>
        <w:t>No</w:t>
      </w:r>
      <w:r>
        <w:rPr>
          <w:rFonts w:ascii="Times New Roman" w:hAnsi="Times New Roman"/>
          <w:color w:val="000000"/>
          <w:sz w:val="20"/>
        </w:rPr>
        <w:t xml:space="preserve"> ☒</w:t>
      </w:r>
    </w:p>
    <w:p>
      <w:pPr>
        <w:pStyle w:val="TextBody"/>
        <w:bidi w:val="0"/>
        <w:spacing w:before="80" w:after="283"/>
        <w:jc w:val="left"/>
        <w:rPr>
          <w:rFonts w:ascii="Times New Roman" w:hAnsi="Times New Roman"/>
          <w:sz w:val="20"/>
        </w:rPr>
      </w:pPr>
      <w:r>
        <w:rPr>
          <w:rFonts w:ascii="Times New Roman" w:hAnsi="Times New Roman"/>
          <w:color w:val="000000"/>
          <w:sz w:val="16"/>
        </w:rPr>
        <w:t>As of May 1, 2025, the registrant had 53,444,020</w:t>
      </w:r>
      <w:r>
        <w:rPr>
          <w:rFonts w:ascii="Times New Roman" w:hAnsi="Times New Roman"/>
          <w:color w:val="000000"/>
          <w:sz w:val="20"/>
        </w:rPr>
        <w:t xml:space="preserve"> </w:t>
      </w:r>
      <w:r>
        <w:rPr>
          <w:rFonts w:ascii="Times New Roman" w:hAnsi="Times New Roman"/>
          <w:color w:val="000000"/>
          <w:sz w:val="16"/>
        </w:rPr>
        <w:t>shares of common stock outstanding, $0.001 par value per share.</w:t>
      </w:r>
    </w:p>
    <w:p>
      <w:pPr>
        <w:pStyle w:val="TextBody"/>
        <w:pBdr>
          <w:bottom w:val="double" w:sz="4" w:space="1" w:color="000000"/>
        </w:pBdr>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This Quarterly Report on Form 10-Q contains forward-looking statements. All statements other than statements of historical facts contained in this report, including statements regarding our future results of operations and financial position, business strategy, product candidates, planned preclinical studies and clinical trials, results of clinical trials, research and development costs, regulatory approvals, timing and likelihood of success, as well as plans and objectives of management for future operations, are forward-looking statements. These statements involve known and unknown risks, uncertainties and other important factors that are in some cases beyond our control and may cause our actual results, performance or achievements to be materially different from any future results, performance or achievements expressed or implied by the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some cases, you can identify forward-looking statements by terms such as “may,” “will,” “should,” “would,” “expect,” “plan,” “anticipate,” “could,” “intend,” “target,” “project,” “believe,” “estimate,” “predict,” “potential,” or “continue” or the negative of these terms or other similar expressions. Forward-looking statements contained in this Quarterly Report include, but are not limited to, statements about: </w:t>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performance;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sufficiency of our existing cash to fund our future operating expenses and capital expenditure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expenses, future revenue, capital requirements, and needs for additional financing;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commercializing our product candidates, if approved, including the geographic areas of focus and our ability to grow a sales team;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implementation of our strategic plans for our business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regulatory approval of our product candidates and the timing or likelihood of regulatory filings and approvals, including our expectation to seek special designations, such as orphan drug designation, for our product candidates for various diseases;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reliance on third parties to conduct preclinical research activities, and for the manufacture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beneficial characteristics, mechanisms of action, safety profile, efficacy and therapeutic effects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progress and focus of our current and future clinical trials, and the reporting of data from those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advance product candidates into and successfully complete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our clinical trials, including collaborations and investigator sponsored trials, to demonstrate the safety and efficacy of our product candidates, and other positive results;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competing therapies that are or may become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relating to our competitors and our industry, including competing product candidates and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relating to the further development and manufacturing of our product candidates, including additional indications that we may pursue;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existing regulations and regulatory developments in the United States and other jurisdictions;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potential and ability to successfully manufacture and supply our product candidates for clinical trials and for commercial use,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continued reliance on third parties to conduct clinical trials of our product candidates, and for the manufacture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and ability to obtain or protect intellectual property rights, including extensions of existing patent terms where available;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protection we are able to establish and maintain for intellectual property rights, including our technology platform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retain the continued service of our key personnel, the impacts of any executive officer changes, and to identify, hire, and then retain additional qualified personnel;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macroeconomic conditions and global economic environment, such as inflation, interest rate changes, trade and other global disputes and interruptions, including related to tariffs and trade protection measures, economic downturns, bank failures or instability in the financial services sector, or geopolitical risks, disasters, and medical or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plans for and prospects of our acquisitions and other business development activities, and our ability to successfully capitalize on these opportunities;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in our financial and internal controls;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anticipated use of our existing cash and cash equivalents, short-term and long-term investments, and the funds available from our term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based these forward-looking statements largely on our current expectations and projections about our business, the industry in which we operate and financial trends that we believe may affect our business, financial condition, results of operations and prospects, and these forward-looking statements are not guarantees of future performance or development. These forward-looking statements speak only as of the date of this Quarterly Report on Form 10-Q and are subject to a number of risks, uncertainties and assumptions described in the section titled “Risk Factors” and elsewhere in this Quarterly Report on Form 10-Q. Because forward-looking statements are inherently subject to risks and uncertainties, some of which cannot be predicted or quantified, you should not rely on these forward-looking statements as predictions of future events. The events and circumstances reflected in our forward-looking statements may not be achieved or occur and actual results could differ materially from those projected in the forward-looking statements. Except as required by applicable law, we do not plan to publicly update or revise any forward-looking statements contained herein, whether as a result of any new information, future events or otherwise.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you are cautioned not to unduly rely upon these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toc_page"/>
      <w:bookmarkEnd w:id="2"/>
      <w:r>
        <w:rPr>
          <w:rFonts w:ascii="Times New Roman" w:hAnsi="Times New Roman"/>
          <w:b/>
          <w:color w:val="000000"/>
          <w:sz w:val="20"/>
        </w:rPr>
        <w:t>Table of Contents</w:t>
      </w:r>
    </w:p>
    <w:p>
      <w:pPr>
        <w:pStyle w:val="TextBody"/>
        <w:bidi w:val="0"/>
        <w:jc w:val="left"/>
        <w:rPr/>
      </w:pPr>
      <w:r>
        <w:rPr/>
        <w:t> </w:t>
      </w:r>
    </w:p>
    <w:tbl>
      <w:tblPr>
        <w:tblW w:w="8780" w:type="dxa"/>
        <w:jc w:val="left"/>
        <w:tblInd w:w="0" w:type="dxa"/>
        <w:tblLayout w:type="fixed"/>
        <w:tblCellMar>
          <w:top w:w="28" w:type="dxa"/>
          <w:left w:w="28" w:type="dxa"/>
          <w:bottom w:w="28" w:type="dxa"/>
          <w:right w:w="28" w:type="dxa"/>
        </w:tblCellMar>
      </w:tblPr>
      <w:tblGrid>
        <w:gridCol w:w="903"/>
        <w:gridCol w:w="7366"/>
        <w:gridCol w:w="511"/>
      </w:tblGrid>
      <w:tr>
        <w:trPr/>
        <w:tc>
          <w:tcPr>
            <w:tcW w:w="903"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Page</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1">
              <w:r>
                <w:rPr>
                  <w:rStyle w:val="InternetLink"/>
                  <w:rFonts w:ascii="Times New Roman" w:hAnsi="Times New Roman"/>
                  <w:color w:val="0000FF"/>
                  <w:sz w:val="20"/>
                  <w:u w:val="single"/>
                </w:rPr>
                <w:t>FINANCIAL INFORMATION</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fs">
              <w:r>
                <w:rPr>
                  <w:rStyle w:val="InternetLink"/>
                  <w:rFonts w:ascii="Times New Roman" w:hAnsi="Times New Roman"/>
                  <w:color w:val="0000FF"/>
                  <w:sz w:val="20"/>
                  <w:u w:val="single"/>
                </w:rPr>
                <w:t>Financial Statements (Unaudited)</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bs">
              <w:r>
                <w:rPr>
                  <w:rStyle w:val="InternetLink"/>
                  <w:rFonts w:ascii="Times New Roman" w:hAnsi="Times New Roman"/>
                  <w:color w:val="0000FF"/>
                  <w:sz w:val="20"/>
                  <w:u w:val="single"/>
                </w:rPr>
                <w:t>Condensed Consolidated Balance Sheets</w:t>
              </w:r>
            </w:hyperlink>
            <w:r>
              <w:rPr>
                <w:rFonts w:ascii="Times New Roman" w:hAnsi="Times New Roman"/>
                <w:color w:val="000000"/>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is">
              <w:r>
                <w:rPr>
                  <w:rStyle w:val="InternetLink"/>
                  <w:rFonts w:ascii="Times New Roman" w:hAnsi="Times New Roman"/>
                  <w:color w:val="0000FF"/>
                  <w:sz w:val="20"/>
                  <w:u w:val="single"/>
                </w:rPr>
                <w:t>Condensed Consolidated Statements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l">
              <w:r>
                <w:rPr>
                  <w:rStyle w:val="InternetLink"/>
                  <w:rFonts w:ascii="Times New Roman" w:hAnsi="Times New Roman"/>
                  <w:color w:val="0000FF"/>
                  <w:sz w:val="20"/>
                  <w:u w:val="single"/>
                </w:rPr>
                <w:t>Condensed Consolidated Statements of Comprehensive Loss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se">
              <w:r>
                <w:rPr>
                  <w:rStyle w:val="InternetLink"/>
                  <w:rFonts w:ascii="Times New Roman" w:hAnsi="Times New Roman"/>
                  <w:color w:val="0000FF"/>
                  <w:sz w:val="20"/>
                  <w:u w:val="single"/>
                </w:rPr>
                <w:t>Condensed Consolidated Statements of Stockholders’ Equity</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cf">
              <w:r>
                <w:rPr>
                  <w:rStyle w:val="InternetLink"/>
                  <w:rFonts w:ascii="Times New Roman" w:hAnsi="Times New Roman"/>
                  <w:color w:val="0000FF"/>
                  <w:sz w:val="20"/>
                  <w:u w:val="single"/>
                </w:rPr>
                <w:t>Condensed Consolidated Statements of Cash Flows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1_notes">
              <w:r>
                <w:rPr>
                  <w:rStyle w:val="InternetLink"/>
                  <w:rFonts w:ascii="Times New Roman" w:hAnsi="Times New Roman"/>
                  <w:color w:val="0000FF"/>
                  <w:sz w:val="20"/>
                  <w:u w:val="single"/>
                </w:rPr>
                <w:t>Notes to Condensed Consolidated Financial Statements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10</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2_mda">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21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3_risk">
              <w:r>
                <w:rPr>
                  <w:rStyle w:val="InternetLink"/>
                  <w:rFonts w:ascii="Times New Roman" w:hAnsi="Times New Roman"/>
                  <w:color w:val="0000FF"/>
                  <w:sz w:val="20"/>
                  <w:u w:val="single"/>
                </w:rPr>
                <w:t>Quantitative and Qualitative Disclosures about Market Risk</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32</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1_item4_controls">
              <w:r>
                <w:rPr>
                  <w:rStyle w:val="InternetLink"/>
                  <w:rFonts w:ascii="Times New Roman" w:hAnsi="Times New Roman"/>
                  <w:color w:val="0000FF"/>
                  <w:sz w:val="20"/>
                  <w:u w:val="single"/>
                </w:rPr>
                <w:t>Controls and Procedures</w:t>
              </w:r>
            </w:hyperlink>
            <w:hyperlink w:anchor="part1_item4_control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PART II</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center"/>
              <w:rPr/>
            </w:pPr>
            <w:hyperlink w:anchor="part2">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_legal">
              <w:r>
                <w:rPr>
                  <w:rStyle w:val="InternetLink"/>
                  <w:rFonts w:ascii="Times New Roman" w:hAnsi="Times New Roman"/>
                  <w:color w:val="0000FF"/>
                  <w:sz w:val="20"/>
                  <w:u w:val="single"/>
                </w:rPr>
                <w:t>Legal Proceedings</w:t>
              </w:r>
            </w:hyperlink>
            <w:r>
              <w:rPr>
                <w:rFonts w:ascii="Times New Roman" w:hAnsi="Times New Roman"/>
                <w:color w:val="0000EE"/>
                <w:sz w:val="20"/>
              </w:rPr>
              <w:t xml:space="preserve"> </w:t>
            </w:r>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34</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1A</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1a_rf">
              <w:r>
                <w:rPr>
                  <w:rStyle w:val="InternetLink"/>
                  <w:rFonts w:ascii="Times New Roman" w:hAnsi="Times New Roman"/>
                  <w:color w:val="0000FF"/>
                  <w:sz w:val="20"/>
                  <w:u w:val="single"/>
                </w:rPr>
                <w:t>Risk Factors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34</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2</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2_unreg">
              <w:r>
                <w:rPr>
                  <w:rStyle w:val="InternetLink"/>
                  <w:rFonts w:ascii="Times New Roman" w:hAnsi="Times New Roman"/>
                  <w:color w:val="0000FF"/>
                  <w:sz w:val="20"/>
                  <w:u w:val="single"/>
                </w:rPr>
                <w:t>Unregistered Sales of Equity Securities and Use of Proceeds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3</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3_defaults">
              <w:r>
                <w:rPr>
                  <w:rStyle w:val="InternetLink"/>
                  <w:rFonts w:ascii="Times New Roman" w:hAnsi="Times New Roman"/>
                  <w:color w:val="0000FF"/>
                  <w:sz w:val="20"/>
                  <w:u w:val="single"/>
                </w:rPr>
                <w:t>Defaults Upon Senior Securities</w:t>
              </w:r>
            </w:hyperlink>
            <w:hyperlink w:anchor="part2_item3_defaults">
              <w:r>
                <w:rPr>
                  <w:rStyle w:val="InternetLink"/>
                  <w:rFonts w:ascii="Times New Roman" w:hAnsi="Times New Roman"/>
                  <w:color w:val="0000FF"/>
                  <w:sz w:val="20"/>
                </w:rPr>
                <w:t xml:space="preserve"> </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4</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4_mine">
              <w:r>
                <w:rPr>
                  <w:rStyle w:val="InternetLink"/>
                  <w:rFonts w:ascii="Times New Roman" w:hAnsi="Times New Roman"/>
                  <w:color w:val="0000FF"/>
                  <w:sz w:val="20"/>
                  <w:u w:val="single"/>
                </w:rPr>
                <w:t>Mine Safety Disclosures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5</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5_other">
              <w:r>
                <w:rPr>
                  <w:rStyle w:val="InternetLink"/>
                  <w:rFonts w:ascii="Times New Roman" w:hAnsi="Times New Roman"/>
                  <w:color w:val="0000FF"/>
                  <w:sz w:val="20"/>
                  <w:u w:val="single"/>
                </w:rPr>
                <w:t>Other Information</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right"/>
              <w:rPr>
                <w:rFonts w:ascii="Times New Roman" w:hAnsi="Times New Roman"/>
                <w:color w:val="000000"/>
                <w:sz w:val="20"/>
              </w:rPr>
            </w:pPr>
            <w:r>
              <w:rPr>
                <w:rFonts w:ascii="Times New Roman" w:hAnsi="Times New Roman"/>
                <w:color w:val="000000"/>
                <w:sz w:val="20"/>
              </w:rPr>
              <w:t>81</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rFonts w:ascii="Times New Roman" w:hAnsi="Times New Roman"/>
                <w:color w:val="000000"/>
                <w:sz w:val="20"/>
              </w:rPr>
            </w:pPr>
            <w:r>
              <w:rPr>
                <w:rFonts w:ascii="Times New Roman" w:hAnsi="Times New Roman"/>
                <w:color w:val="000000"/>
                <w:sz w:val="20"/>
              </w:rPr>
              <w:t>Item 6</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part2_item6_exhibits">
              <w:r>
                <w:rPr>
                  <w:rStyle w:val="InternetLink"/>
                  <w:rFonts w:ascii="Times New Roman" w:hAnsi="Times New Roman"/>
                  <w:color w:val="0000FF"/>
                  <w:sz w:val="20"/>
                  <w:u w:val="single"/>
                </w:rPr>
                <w:t>Exhibits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3" w:name="part1"/>
      <w:bookmarkEnd w:id="3"/>
      <w:r>
        <w:rPr>
          <w:rFonts w:ascii="Times New Roman" w:hAnsi="Times New Roman"/>
          <w:b/>
          <w:color w:val="000000"/>
          <w:sz w:val="20"/>
        </w:rPr>
        <w:t>PART I — FINANCIAL INFORMATION</w:t>
      </w:r>
    </w:p>
    <w:p>
      <w:pPr>
        <w:pStyle w:val="TextBody"/>
        <w:bidi w:val="0"/>
        <w:spacing w:before="360" w:after="283"/>
        <w:jc w:val="left"/>
        <w:rPr>
          <w:rFonts w:ascii="Times New Roman" w:hAnsi="Times New Roman"/>
          <w:sz w:val="20"/>
        </w:rPr>
      </w:pPr>
      <w:bookmarkStart w:id="4" w:name="part1_item1_fs"/>
      <w:bookmarkEnd w:id="4"/>
      <w:r>
        <w:rPr>
          <w:rFonts w:ascii="Times New Roman" w:hAnsi="Times New Roman"/>
          <w:b/>
          <w:color w:val="000000"/>
          <w:sz w:val="20"/>
        </w:rPr>
        <w:t>Item 1. Financial Statements</w:t>
      </w:r>
      <w:r>
        <w:rPr>
          <w:rFonts w:ascii="Times New Roman" w:hAnsi="Times New Roman"/>
          <w:color w:val="000000"/>
          <w:sz w:val="20"/>
        </w:rPr>
        <w:t xml:space="preserve"> </w:t>
      </w:r>
      <w:r>
        <w:rPr>
          <w:rFonts w:ascii="Times New Roman" w:hAnsi="Times New Roman"/>
          <w:b/>
          <w:color w:val="000000"/>
          <w:sz w:val="20"/>
        </w:rPr>
        <w:t>(Unaudited)</w:t>
      </w:r>
    </w:p>
    <w:p>
      <w:pPr>
        <w:pStyle w:val="TextBody"/>
        <w:bidi w:val="0"/>
        <w:spacing w:before="120" w:after="283"/>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5" w:name="part1_item1_bs"/>
      <w:bookmarkEnd w:id="5"/>
      <w:r>
        <w:rPr>
          <w:rFonts w:ascii="Times New Roman" w:hAnsi="Times New Roman"/>
          <w:b/>
          <w:color w:val="000000"/>
          <w:sz w:val="20"/>
        </w:rPr>
        <w:t>Condensed Consolidated Balance Sheets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9177" w:type="dxa"/>
        <w:jc w:val="left"/>
        <w:tblInd w:w="0" w:type="dxa"/>
        <w:tblLayout w:type="fixed"/>
        <w:tblCellMar>
          <w:top w:w="28" w:type="dxa"/>
          <w:left w:w="28" w:type="dxa"/>
          <w:bottom w:w="28" w:type="dxa"/>
          <w:right w:w="28" w:type="dxa"/>
        </w:tblCellMar>
      </w:tblPr>
      <w:tblGrid>
        <w:gridCol w:w="5796"/>
        <w:gridCol w:w="146"/>
        <w:gridCol w:w="211"/>
        <w:gridCol w:w="841"/>
        <w:gridCol w:w="166"/>
        <w:gridCol w:w="146"/>
        <w:gridCol w:w="252"/>
        <w:gridCol w:w="1008"/>
        <w:gridCol w:w="611"/>
      </w:tblGrid>
      <w:tr>
        <w:trPr/>
        <w:tc>
          <w:tcPr>
            <w:tcW w:w="5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17,567</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110,190</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102,532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134,352</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147,775</w:t>
            </w:r>
          </w:p>
        </w:tc>
        <w:tc>
          <w:tcPr>
            <w:tcW w:w="6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4,497</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Payable and accrued liabilities due to related party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Term loan,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18,742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18,500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9,469</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32,605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34,157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$0.001 par value; 1,000,000,000 shares authorized </w:t>
              <w:br/>
              <w:t xml:space="preserve">     as of March 31, 2025 and December 31, 2024; 53,384,145 and </w:t>
              <w:br/>
              <w:t>     53,052,912 shares issued and outstanding as of March 31, 2025</w:t>
              <w:br/>
              <w:t>     and December 31, 2024,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734,412</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other comprehensive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275</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(651,876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(621,122</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5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88,295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113,618</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5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120,900</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147,775</w:t>
            </w:r>
          </w:p>
        </w:tc>
        <w:tc>
          <w:tcPr>
            <w:tcW w:w="6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6" w:name="part1_item1_is"/>
      <w:bookmarkEnd w:id="6"/>
      <w:r>
        <w:rPr>
          <w:rFonts w:ascii="Times New Roman" w:hAnsi="Times New Roman"/>
          <w:b/>
          <w:color w:val="000000"/>
          <w:sz w:val="20"/>
        </w:rPr>
        <w:t>Condensed Consolidated Statements of Operations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left"/>
        <w:rPr/>
      </w:pPr>
      <w:r>
        <w:rPr/>
        <w:t> </w:t>
      </w:r>
    </w:p>
    <w:tbl>
      <w:tblPr>
        <w:tblW w:w="7804" w:type="dxa"/>
        <w:jc w:val="left"/>
        <w:tblInd w:w="0" w:type="dxa"/>
        <w:tblLayout w:type="fixed"/>
        <w:tblCellMar>
          <w:top w:w="28" w:type="dxa"/>
          <w:left w:w="28" w:type="dxa"/>
          <w:bottom w:w="28" w:type="dxa"/>
          <w:right w:w="28" w:type="dxa"/>
        </w:tblCellMar>
      </w:tblPr>
      <w:tblGrid>
        <w:gridCol w:w="4261"/>
        <w:gridCol w:w="146"/>
        <w:gridCol w:w="211"/>
        <w:gridCol w:w="1036"/>
        <w:gridCol w:w="166"/>
        <w:gridCol w:w="146"/>
        <w:gridCol w:w="211"/>
        <w:gridCol w:w="1036"/>
        <w:gridCol w:w="591"/>
      </w:tblGrid>
      <w:tr>
        <w:trPr/>
        <w:tc>
          <w:tcPr>
            <w:tcW w:w="42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(35,581</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2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Weighted-average shares of common stock used to </w:t>
              <w:br/>
              <w:t>    compute 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53,359,338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50,120,758</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7" w:name="part1_item1_cl"/>
      <w:bookmarkEnd w:id="7"/>
      <w:r>
        <w:rPr>
          <w:rFonts w:ascii="Times New Roman" w:hAnsi="Times New Roman"/>
          <w:b/>
          <w:color w:val="000000"/>
          <w:sz w:val="20"/>
        </w:rPr>
        <w:t>Condensed Consolidated Statements of Comprehensive Loss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tbl>
      <w:tblPr>
        <w:tblW w:w="7564" w:type="dxa"/>
        <w:jc w:val="left"/>
        <w:tblInd w:w="0" w:type="dxa"/>
        <w:tblLayout w:type="fixed"/>
        <w:tblCellMar>
          <w:top w:w="28" w:type="dxa"/>
          <w:left w:w="28" w:type="dxa"/>
          <w:bottom w:w="28" w:type="dxa"/>
          <w:right w:w="28" w:type="dxa"/>
        </w:tblCellMar>
      </w:tblPr>
      <w:tblGrid>
        <w:gridCol w:w="4821"/>
        <w:gridCol w:w="146"/>
        <w:gridCol w:w="211"/>
        <w:gridCol w:w="736"/>
        <w:gridCol w:w="166"/>
        <w:gridCol w:w="146"/>
        <w:gridCol w:w="211"/>
        <w:gridCol w:w="736"/>
        <w:gridCol w:w="391"/>
      </w:tblGrid>
      <w:tr>
        <w:trPr/>
        <w:tc>
          <w:tcPr>
            <w:tcW w:w="48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comprehensive gain (loss), net of tax:</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8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Unrealized gain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8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(30,911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(35,809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sz w:val="20"/>
        </w:rPr>
      </w:pPr>
      <w:bookmarkStart w:id="8" w:name="part1_item1_se"/>
      <w:bookmarkEnd w:id="8"/>
      <w:r>
        <w:rPr>
          <w:rFonts w:ascii="Times New Roman" w:hAnsi="Times New Roman"/>
          <w:b/>
          <w:color w:val="000000"/>
          <w:sz w:val="20"/>
        </w:rPr>
        <w:t>Condensed Consolidated Statements of Stockholders’ Equity</w:t>
      </w:r>
      <w:r>
        <w:rPr>
          <w:rFonts w:ascii="Times New Roman" w:hAnsi="Times New Roman"/>
          <w:color w:val="000000"/>
          <w:sz w:val="20"/>
        </w:rPr>
        <w:t xml:space="preserve"> </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90"/>
        <w:gridCol w:w="146"/>
        <w:gridCol w:w="146"/>
        <w:gridCol w:w="916"/>
        <w:gridCol w:w="146"/>
        <w:gridCol w:w="146"/>
        <w:gridCol w:w="249"/>
        <w:gridCol w:w="442"/>
        <w:gridCol w:w="146"/>
        <w:gridCol w:w="146"/>
        <w:gridCol w:w="196"/>
        <w:gridCol w:w="691"/>
        <w:gridCol w:w="146"/>
        <w:gridCol w:w="146"/>
        <w:gridCol w:w="377"/>
        <w:gridCol w:w="839"/>
        <w:gridCol w:w="166"/>
        <w:gridCol w:w="146"/>
        <w:gridCol w:w="217"/>
        <w:gridCol w:w="834"/>
        <w:gridCol w:w="166"/>
        <w:gridCol w:w="146"/>
        <w:gridCol w:w="231"/>
        <w:gridCol w:w="819"/>
        <w:gridCol w:w="412"/>
      </w:tblGrid>
      <w:tr>
        <w:trPr/>
        <w:tc>
          <w:tcPr>
            <w:tcW w:w="2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53,052,912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734,412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(621,122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113,618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125,920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through ATM offering,</w:t>
              <w:br/>
              <w:t>   net of commissions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205,313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5,216</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loss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(30,754</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53,384,145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740,000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(651,876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88,295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center"/>
        <w:rPr/>
      </w:pPr>
      <w:r>
        <w:rPr/>
        <w:t> </w:t>
      </w:r>
    </w:p>
    <w:tbl>
      <w:tblPr>
        <w:tblW w:w="10205" w:type="dxa"/>
        <w:jc w:val="left"/>
        <w:tblInd w:w="0" w:type="dxa"/>
        <w:tblLayout w:type="fixed"/>
        <w:tblCellMar>
          <w:top w:w="28" w:type="dxa"/>
          <w:left w:w="28" w:type="dxa"/>
          <w:bottom w:w="28" w:type="dxa"/>
          <w:right w:w="28" w:type="dxa"/>
        </w:tblCellMar>
      </w:tblPr>
      <w:tblGrid>
        <w:gridCol w:w="2190"/>
        <w:gridCol w:w="146"/>
        <w:gridCol w:w="146"/>
        <w:gridCol w:w="916"/>
        <w:gridCol w:w="146"/>
        <w:gridCol w:w="146"/>
        <w:gridCol w:w="249"/>
        <w:gridCol w:w="442"/>
        <w:gridCol w:w="146"/>
        <w:gridCol w:w="146"/>
        <w:gridCol w:w="196"/>
        <w:gridCol w:w="691"/>
        <w:gridCol w:w="146"/>
        <w:gridCol w:w="146"/>
        <w:gridCol w:w="377"/>
        <w:gridCol w:w="839"/>
        <w:gridCol w:w="166"/>
        <w:gridCol w:w="146"/>
        <w:gridCol w:w="217"/>
        <w:gridCol w:w="834"/>
        <w:gridCol w:w="166"/>
        <w:gridCol w:w="146"/>
        <w:gridCol w:w="231"/>
        <w:gridCol w:w="819"/>
        <w:gridCol w:w="412"/>
      </w:tblGrid>
      <w:tr>
        <w:trPr/>
        <w:tc>
          <w:tcPr>
            <w:tcW w:w="21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br/>
              <w:t>Other</w:t>
              <w:br/>
              <w:t>Comprehensive</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br/>
              <w:t>Stockholders’</w:t>
            </w:r>
          </w:p>
        </w:tc>
        <w:tc>
          <w:tcPr>
            <w:tcW w:w="4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Income (Loss)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Equity</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December 31, 2023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49,951,989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675,678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(486,272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189,712</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Issuance of common stock under equity incentive plans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113,385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16"/>
              </w:rPr>
              <w:t>Issuance of common stock through ATM offering,</w:t>
              <w:br/>
              <w:t>   net of commissions of $0.1</w:t>
            </w:r>
            <w:r>
              <w:rPr>
                <w:rFonts w:ascii="Times New Roman" w:hAnsi="Times New Roman"/>
                <w:color w:val="000000"/>
                <w:sz w:val="20"/>
              </w:rPr>
              <w:t> </w:t>
            </w:r>
            <w:r>
              <w:rPr>
                <w:rFonts w:ascii="Times New Roman" w:hAnsi="Times New Roman"/>
                <w:color w:val="000000"/>
                <w:sz w:val="16"/>
              </w:rPr>
              <w:t>million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211,819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7,031</w:t>
            </w:r>
          </w:p>
        </w:tc>
        <w:tc>
          <w:tcPr>
            <w:tcW w:w="412"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Unrealized gain on available-for-sale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4"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(228</w:t>
            </w:r>
          </w:p>
        </w:tc>
        <w:tc>
          <w:tcPr>
            <w:tcW w:w="412"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(35,581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(35,581</w:t>
            </w:r>
          </w:p>
        </w:tc>
        <w:tc>
          <w:tcPr>
            <w:tcW w:w="4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21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Balance as of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50,277,193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685,970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164,195</w:t>
            </w:r>
          </w:p>
        </w:tc>
        <w:tc>
          <w:tcPr>
            <w:tcW w:w="4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9" w:name="part1_item1_cf"/>
      <w:bookmarkEnd w:id="9"/>
      <w:r>
        <w:rPr>
          <w:rFonts w:ascii="Times New Roman" w:hAnsi="Times New Roman"/>
          <w:b/>
          <w:color w:val="000000"/>
          <w:sz w:val="20"/>
        </w:rPr>
        <w:t>Condensed Consolidated Statements of Cash Flows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left"/>
        <w:rPr/>
      </w:pPr>
      <w:r>
        <w:rPr/>
        <w:t> </w:t>
      </w:r>
    </w:p>
    <w:tbl>
      <w:tblPr>
        <w:tblW w:w="8794" w:type="dxa"/>
        <w:jc w:val="left"/>
        <w:tblInd w:w="0" w:type="dxa"/>
        <w:tblLayout w:type="fixed"/>
        <w:tblCellMar>
          <w:top w:w="28" w:type="dxa"/>
          <w:left w:w="28" w:type="dxa"/>
          <w:bottom w:w="28" w:type="dxa"/>
          <w:right w:w="28" w:type="dxa"/>
        </w:tblCellMar>
      </w:tblPr>
      <w:tblGrid>
        <w:gridCol w:w="5811"/>
        <w:gridCol w:w="146"/>
        <w:gridCol w:w="196"/>
        <w:gridCol w:w="661"/>
        <w:gridCol w:w="166"/>
        <w:gridCol w:w="146"/>
        <w:gridCol w:w="196"/>
        <w:gridCol w:w="661"/>
        <w:gridCol w:w="811"/>
      </w:tblGrid>
      <w:tr>
        <w:trPr/>
        <w:tc>
          <w:tcPr>
            <w:tcW w:w="5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2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(35,581</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Adjustments to reconcile net loss to 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Non-cash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449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7,031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Net accretion of discounts on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(1,553</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Accretion of term loan discount and issuance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Loss on disposal of fixed asset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Changes in operating assets and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(4,504</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(2,326</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Payable and accrued liabilities due to related party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(168</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(1,079</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6"/>
              </w:rPr>
            </w:pPr>
            <w:r>
              <w:rPr>
                <w:rFonts w:ascii="Times New Roman" w:hAnsi="Times New Roman"/>
                <w:color w:val="000000"/>
                <w:sz w:val="16"/>
              </w:rPr>
              <w:t>Other non-current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(630</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16"/>
              </w:rPr>
            </w:pPr>
            <w:r>
              <w:rPr>
                <w:rFonts w:ascii="Times New Roman" w:hAnsi="Times New Roman"/>
                <w:color w:val="000000"/>
                <w:sz w:val="16"/>
              </w:rPr>
              <w:t>Net cash used in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(24,663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(37,924</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(15,775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(31,285</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Maturities of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57,906</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27,645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26,473</w:t>
            </w:r>
          </w:p>
        </w:tc>
        <w:tc>
          <w:tcPr>
            <w:tcW w:w="8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ATM offering, net of commissions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372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3,024</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Proceeds from exercise of stock options under equity incentive plan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237</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Principal payments on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cash provided by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65</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left"/>
              <w:rPr/>
            </w:pPr>
            <w:r>
              <w:rPr/>
              <w:t> </w:t>
            </w:r>
          </w:p>
        </w:tc>
        <w:tc>
          <w:tcPr>
            <w:tcW w:w="661" w:type="dxa"/>
            <w:tcBorders>
              <w:top w:val="single" w:sz="4" w:space="0" w:color="000000"/>
              <w:bottom w:val="single" w:sz="4"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3,086</w:t>
            </w:r>
          </w:p>
        </w:tc>
        <w:tc>
          <w:tcPr>
            <w:tcW w:w="81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increase (decrease) in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(8,365</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beginning of year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22,472</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Cash, cash equivalents and restricted cash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Supplemental disclosure of 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Purchase of property and equipment in accounts payable and accrued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1,335</w:t>
            </w:r>
          </w:p>
        </w:tc>
        <w:tc>
          <w:tcPr>
            <w:tcW w:w="8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Reconciliation of cash and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14,041</w:t>
            </w:r>
          </w:p>
        </w:tc>
        <w:tc>
          <w:tcPr>
            <w:tcW w:w="8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6"/>
              </w:rPr>
            </w:pPr>
            <w:r>
              <w:rPr>
                <w:rFonts w:ascii="Times New Roman" w:hAnsi="Times New Roman"/>
                <w:color w:val="000000"/>
                <w:sz w:val="16"/>
              </w:rPr>
              <w:t>Restricted cash (included in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66</w:t>
            </w:r>
          </w:p>
        </w:tc>
        <w:tc>
          <w:tcPr>
            <w:tcW w:w="8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cash, cash equivalents and 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20,680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14,107</w:t>
            </w:r>
          </w:p>
        </w:tc>
        <w:tc>
          <w:tcPr>
            <w:tcW w:w="8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these condensed consolidated financial statements (unaudited).</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ALX ONCOLOGY HOLDINGS INC.</w:t>
      </w:r>
    </w:p>
    <w:p>
      <w:pPr>
        <w:pStyle w:val="TextBody"/>
        <w:bidi w:val="0"/>
        <w:jc w:val="center"/>
        <w:rPr>
          <w:rFonts w:ascii="Times New Roman" w:hAnsi="Times New Roman"/>
          <w:b/>
          <w:color w:val="000000"/>
          <w:sz w:val="20"/>
        </w:rPr>
      </w:pPr>
      <w:bookmarkStart w:id="10" w:name="part1_item1_notes"/>
      <w:bookmarkEnd w:id="10"/>
      <w:r>
        <w:rPr>
          <w:rFonts w:ascii="Times New Roman" w:hAnsi="Times New Roman"/>
          <w:b/>
          <w:color w:val="000000"/>
          <w:sz w:val="20"/>
        </w:rPr>
        <w:t>Notes to Condensed Consolidated Financial Statements</w:t>
      </w:r>
    </w:p>
    <w:p>
      <w:pPr>
        <w:pStyle w:val="TextBody"/>
        <w:bidi w:val="0"/>
        <w:jc w:val="center"/>
        <w:rPr>
          <w:rFonts w:ascii="Times New Roman" w:hAnsi="Times New Roman"/>
          <w:color w:val="000000"/>
          <w:sz w:val="20"/>
        </w:rPr>
      </w:pPr>
      <w:r>
        <w:rPr>
          <w:rFonts w:ascii="Times New Roman" w:hAnsi="Times New Roman"/>
          <w:color w:val="000000"/>
          <w:sz w:val="20"/>
        </w:rPr>
        <w:t>(unaudited)</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 ORGANIZATION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Organization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or the Company, was formed as a Delaware corporation on April 1, 2020, or Inception. The Company was formed for the purpose of completing the Company’s initial public offering of its common stock and related transactions in order to carry on the business of ALX Oncology Limited. The Company is a clinical-stage immuno-oncology company focused on helping patients fight cancer by developing therapies that block the CD47 checkpoint pathway and bridge the innate and adaptive immune system.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ALX Oncology Holdings Inc. is incorporated in Delaware. ALX Oncology Limited, incorporated in Ireland, is a wholly-owned subsidiary of ALX Oncology Holdings Inc. ALX Oncology Inc., incorporated in Delaware, is a wholly-owned subsidiary of ALX Oncology Limited. All the companies, except for ALX Oncology Holdings Inc., are collectively known as the Subsidiaries.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Company has devoted substantially all of its efforts to the formation and financing of the Company, as well as product development, and has not realized product revenues from its planned principal operations. The Company does not have manufacturing facilities and all manufacturing related activities are contracted out to third-party service providers.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expects to incur additional losses in the future to conduct product candidate research and development and to conduct pre-commercialization activities and recognizes that the Company will likely be required to raise additional capital to fully implement its business plan. The Company intends to raise such capital through the sale of additional equity, debt financings and/or strategic alliances with third parties. However, there can be no assurance that the Company will be successful in acquiring additional funding at levels sufficient to fund its operations or on terms acceptable to the Company. If the Company is unsuccessful in its efforts to raise additional financing, the Company could be required to significantly reduce operating expenses and delay, reduce the scope of or eliminate some of its development programs or its future commercialization efforts, out-license intellectual property rights to its product candidates and sell unsecured assets, or a combination of the above, any of which may have a material adverse effect on the Company’s business, results of operations, financial condition and/or its ability to fund its scheduled obligations on a timely basis or at all. The Company believes that the existing capital resources will be sufficient to fund the projected operating requirements for at least the next twelve months.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(2) SIGNIFICANT ACCOUNTING POLICIES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Preparation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unaudited condensed consolidated financial statements have been prepared in accordance with generally accepted accounting principles in the United States, or U.S. GAAP, and applicable rules and regulations of the Securities and Exchange Commission, or SEC, regarding interim financial reporting. Certain information and note disclosures normally included in the financial statements prepared in accordance with U.S. GAAP have been condensed or omitted pursuant to such rules and regulations. As such, the information included in this Quarterly Report on Form 10-Q should be read in conjunction with the consolidated financial statements and accompanying notes included in the Annual Report on Form 10-K for the year ended December 31, 2024 filed with the SEC on March 6,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balance sheet as of March 31, 2025 included herein was derived from the audited financial statements as of that date, but does not include all disclosures including notes required by U.S. GAAP.</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accompanying condensed consolidated financial statements reflect all normal recurring adjustments that are necessary to present fairly the results for the interim periods presented. Interim results are not necessarily indicative of the results for the full year ending December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intercompany balances and transactions have been eliminated in consolidation.</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Use of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the condensed consolidated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On an ongoing basis, management evaluates its estimates, including, but not limited to, those related to the estimated useful lives of long-lived assets, clinical and contract manufacturing accruals, fair value of assets and liabilities, fair value of investments, and stock-based compensation. The Company evaluates its estimates and assumptions on an ongoing basis based on historical experience and on various other market-specific and relevant assumptions that management believes to be reasonable under the circumstances and adjusts those estimates and assumptions when facts and circumstances change. Actual results could differ from those estimates.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have been no new or material changes to the significant accounting policies discussed in the Company’s Annual Report on Form 10-K for the year ended December 31,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Recent Accounting Pronouncements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Income Taxes (Topic 740): </w:t>
      </w:r>
      <w:r>
        <w:rPr>
          <w:rFonts w:ascii="Times New Roman" w:hAnsi="Times New Roman"/>
          <w:i/>
          <w:color w:val="000000"/>
          <w:sz w:val="20"/>
        </w:rPr>
        <w:t>Improvements to Income Tax Disclosures</w:t>
      </w:r>
      <w:r>
        <w:rPr>
          <w:rFonts w:ascii="Times New Roman" w:hAnsi="Times New Roman"/>
          <w:color w:val="000000"/>
          <w:sz w:val="20"/>
        </w:rPr>
        <w:t xml:space="preserve"> (ASU 2023-09). ASU 2023-09 requires enhanced annual disclosures regarding the rate reconciliation and income taxes paid information. ASU 2023-09 is effective for annual periods beginning after December 15, 2024 and may be adopted on a prospective or retrospective basis. Early adoption is permitted. The Company is evaluating the impact of this guidance on its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Reporting - Comprehensive Income - Expense Disaggregation Disclosures (Subtopic 220-40): Disaggregation of Income Statement Expenses</w:t>
      </w:r>
      <w:r>
        <w:rPr>
          <w:rFonts w:ascii="Times New Roman" w:hAnsi="Times New Roman"/>
          <w:color w:val="000000"/>
          <w:sz w:val="20"/>
        </w:rPr>
        <w:t xml:space="preserve"> (ASU 2024-03). ASU 2024-03 requires disaggregated disclosure of certain costs and expenses, including purchases of inventory, employee compensation, depreciation and amortization, within relevant income statement captions. ASU 2024-03 is effective for annual periods beginning after December 15, 2026 and interim periods beginning after December 15, 2027. Early adoption is permitted. The guidance is applied on a prospective basis with the option for retrospective application. The Company is evaluating the impact of this guidance on its consolidated financial statements and related disclosures.</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(3) SEGMENT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manages its operations as a single operating segment. The Company’s chief operating decision maker (CODM) uses consolidated, single-segment financial information for the purposes of assessing performance, making operating decisions, allocating resources, and planning and forecasting for future periods.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CODM assesses performance and decides how to allocate resources based on the Company’s consolidated net loss, including key components of research and development costs and general and administrative costs. These measures are used to monitor budget versus actual results and to evaluate the performance of the segment.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CODM reviews cash, cash equivalents and investments as a measure of segment assets. As of March 31, 2025 and December 31, 2024, the Company’s cash, cash equivalents and investments were $107.0 million and $131.3 million, respectively.</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significant segment expenses for the three months ended March 31, 2025 and 2024 (in thousands):</w:t>
      </w:r>
    </w:p>
    <w:tbl>
      <w:tblPr>
        <w:tblW w:w="6884" w:type="dxa"/>
        <w:jc w:val="left"/>
        <w:tblInd w:w="0" w:type="dxa"/>
        <w:tblLayout w:type="fixed"/>
        <w:tblCellMar>
          <w:top w:w="28" w:type="dxa"/>
          <w:left w:w="28" w:type="dxa"/>
          <w:bottom w:w="28" w:type="dxa"/>
          <w:right w:w="28" w:type="dxa"/>
        </w:tblCellMar>
      </w:tblPr>
      <w:tblGrid>
        <w:gridCol w:w="3941"/>
        <w:gridCol w:w="146"/>
        <w:gridCol w:w="211"/>
        <w:gridCol w:w="736"/>
        <w:gridCol w:w="166"/>
        <w:gridCol w:w="146"/>
        <w:gridCol w:w="211"/>
        <w:gridCol w:w="736"/>
        <w:gridCol w:w="591"/>
      </w:tblGrid>
      <w:tr>
        <w:trPr/>
        <w:tc>
          <w:tcPr>
            <w:tcW w:w="3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center"/>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17,537</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31,717</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(35,581</w:t>
            </w:r>
          </w:p>
        </w:tc>
        <w:tc>
          <w:tcPr>
            <w:tcW w:w="5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(4) FAIR VALUE OF FINANCIAL INSTRUMENTS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fair value of the Company’s financial assets and liabilities are determined in accordance with the fair value hierarchy established in ASC 820, Fair Value Measurements and Disclosures.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Company’s investments, which consist of cash equivalents and investments classified as available-for-sale investments, that are measured at fair value on a recurring basis by level within the fair value hierarchy as of March 31, 2025 and December 31, 2024 (in thousands):</w:t>
      </w:r>
    </w:p>
    <w:tbl>
      <w:tblPr>
        <w:tblW w:w="10205" w:type="dxa"/>
        <w:jc w:val="left"/>
        <w:tblInd w:w="0" w:type="dxa"/>
        <w:tblLayout w:type="fixed"/>
        <w:tblCellMar>
          <w:top w:w="28" w:type="dxa"/>
          <w:left w:w="28" w:type="dxa"/>
          <w:bottom w:w="28" w:type="dxa"/>
          <w:right w:w="28" w:type="dxa"/>
        </w:tblCellMar>
      </w:tblPr>
      <w:tblGrid>
        <w:gridCol w:w="2499"/>
        <w:gridCol w:w="146"/>
        <w:gridCol w:w="1010"/>
        <w:gridCol w:w="146"/>
        <w:gridCol w:w="271"/>
        <w:gridCol w:w="1011"/>
        <w:gridCol w:w="146"/>
        <w:gridCol w:w="146"/>
        <w:gridCol w:w="463"/>
        <w:gridCol w:w="928"/>
        <w:gridCol w:w="146"/>
        <w:gridCol w:w="146"/>
        <w:gridCol w:w="541"/>
        <w:gridCol w:w="889"/>
        <w:gridCol w:w="166"/>
        <w:gridCol w:w="146"/>
        <w:gridCol w:w="214"/>
        <w:gridCol w:w="795"/>
        <w:gridCol w:w="396"/>
      </w:tblGrid>
      <w:tr>
        <w:trPr/>
        <w:tc>
          <w:tcPr>
            <w:tcW w:w="2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17,550</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1,395</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34,894</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41,105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1,218</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2,001</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7,159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7,160</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105,205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105,323</w:t>
            </w:r>
          </w:p>
        </w:tc>
        <w:tc>
          <w:tcPr>
            <w:tcW w:w="3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499"/>
        <w:gridCol w:w="146"/>
        <w:gridCol w:w="1010"/>
        <w:gridCol w:w="146"/>
        <w:gridCol w:w="271"/>
        <w:gridCol w:w="1011"/>
        <w:gridCol w:w="146"/>
        <w:gridCol w:w="146"/>
        <w:gridCol w:w="463"/>
        <w:gridCol w:w="928"/>
        <w:gridCol w:w="146"/>
        <w:gridCol w:w="146"/>
        <w:gridCol w:w="541"/>
        <w:gridCol w:w="889"/>
        <w:gridCol w:w="166"/>
        <w:gridCol w:w="146"/>
        <w:gridCol w:w="214"/>
        <w:gridCol w:w="795"/>
        <w:gridCol w:w="396"/>
      </w:tblGrid>
      <w:tr>
        <w:trPr/>
        <w:tc>
          <w:tcPr>
            <w:tcW w:w="249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4" w:type="dxa"/>
            <w:gridSpan w:val="1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 2024</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br/>
              <w:t>Hierarchy</w:t>
              <w:br/>
              <w:t>Level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Amortized Cost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Gains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Unrealized Losses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w:t>
            </w:r>
          </w:p>
        </w:tc>
        <w:tc>
          <w:tcPr>
            <w:tcW w:w="3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3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Treasury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52,315</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U.S. government agency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3,107</w:t>
            </w:r>
          </w:p>
        </w:tc>
        <w:tc>
          <w:tcPr>
            <w:tcW w:w="3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52,657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52,779</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Commercial paper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8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1,989</w:t>
            </w:r>
          </w:p>
        </w:tc>
        <w:tc>
          <w:tcPr>
            <w:tcW w:w="3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9"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49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Corporate debt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Level 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8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3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49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128,907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8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3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classification included in the condensed consolidated balance sheets was as follows as of March 31, 2025 and December 31, 2024 (in thousands):</w:t>
      </w:r>
    </w:p>
    <w:tbl>
      <w:tblPr>
        <w:tblW w:w="4877" w:type="dxa"/>
        <w:jc w:val="left"/>
        <w:tblInd w:w="0" w:type="dxa"/>
        <w:tblLayout w:type="fixed"/>
        <w:tblCellMar>
          <w:top w:w="28" w:type="dxa"/>
          <w:left w:w="28" w:type="dxa"/>
          <w:bottom w:w="28" w:type="dxa"/>
          <w:right w:w="28" w:type="dxa"/>
        </w:tblCellMar>
      </w:tblPr>
      <w:tblGrid>
        <w:gridCol w:w="1996"/>
        <w:gridCol w:w="146"/>
        <w:gridCol w:w="211"/>
        <w:gridCol w:w="781"/>
        <w:gridCol w:w="146"/>
        <w:gridCol w:w="146"/>
        <w:gridCol w:w="268"/>
        <w:gridCol w:w="992"/>
        <w:gridCol w:w="191"/>
      </w:tblGrid>
      <w:tr>
        <w:trPr/>
        <w:tc>
          <w:tcPr>
            <w:tcW w:w="19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18,945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15,468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77,217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110,190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9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9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Cash and cash equivalents in the above table excludes bank account cash of $1.7 million and $2.1 million as of March 31, 2025 and December 31, 2024,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fair value of cash equivalents and available-for-sale investments by contractual maturity was as follows as of March 31, 2025 and December 31, 2024 (in thousands):</w:t>
      </w:r>
    </w:p>
    <w:tbl>
      <w:tblPr>
        <w:tblW w:w="6422" w:type="dxa"/>
        <w:jc w:val="left"/>
        <w:tblInd w:w="0" w:type="dxa"/>
        <w:tblLayout w:type="fixed"/>
        <w:tblCellMar>
          <w:top w:w="28" w:type="dxa"/>
          <w:left w:w="28" w:type="dxa"/>
          <w:bottom w:w="28" w:type="dxa"/>
          <w:right w:w="28" w:type="dxa"/>
        </w:tblCellMar>
      </w:tblPr>
      <w:tblGrid>
        <w:gridCol w:w="3541"/>
        <w:gridCol w:w="146"/>
        <w:gridCol w:w="211"/>
        <w:gridCol w:w="781"/>
        <w:gridCol w:w="146"/>
        <w:gridCol w:w="146"/>
        <w:gridCol w:w="268"/>
        <w:gridCol w:w="992"/>
        <w:gridCol w:w="191"/>
      </w:tblGrid>
      <w:tr>
        <w:trPr/>
        <w:tc>
          <w:tcPr>
            <w:tcW w:w="35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in one year or less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125,658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Maturing after one year through five years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9,161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105,323</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129,182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primary objective of the Company’s investment portfolio is to maintain safety of principal, prudent levels of liquidity and acceptable levels of risk. The Company’s investment policy limits investments to certain types of instruments issued by institutions with investment-grade credit ratings, and it places restrictions on maturities and concentration by asset class and issuer.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transfers of financial instruments between the fair value measurement levels during the three months ended March 31, 2025 and 2024 and there were no financial instruments classified as Level 3 as of March 31, 2025 and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and December 31, 2024, accrued interest receivable related to the Company’s investments of $0.9 million was included in prepaid expenses and other current assets on the condensed consolidated balance sheet.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the unrealized losses for available-for-sale investments were non-credit related and the Company does not intend to sell the investments that were in an unrealized loss position, nor does it foresee or project that it will be required to sell those investments before recovery of their amortized costs basis, which may be maturity. As of March 31, 2025 and 2024, no allowance for credit losses for the Company’s investments was recorded. As of March 31, 2025 and December 31, 2024, no securities were in a continuous net unrealized loss position for more than 12 months. As of March 31, 2025 and 2024, the Company has not recognized any impairment losses on available-for-sale investments.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(5) BALANCE SHEET COMPONENTS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Prepaid Expenses and Other Current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components of prepaid expenses and other current assets as of March 31, 2025 and December 31, 2024 (in thousands):</w:t>
      </w:r>
    </w:p>
    <w:tbl>
      <w:tblPr>
        <w:tblW w:w="7195" w:type="dxa"/>
        <w:jc w:val="left"/>
        <w:tblInd w:w="0" w:type="dxa"/>
        <w:tblLayout w:type="fixed"/>
        <w:tblCellMar>
          <w:top w:w="28" w:type="dxa"/>
          <w:left w:w="28" w:type="dxa"/>
          <w:bottom w:w="28" w:type="dxa"/>
          <w:right w:w="28" w:type="dxa"/>
        </w:tblCellMar>
      </w:tblPr>
      <w:tblGrid>
        <w:gridCol w:w="4131"/>
        <w:gridCol w:w="146"/>
        <w:gridCol w:w="263"/>
        <w:gridCol w:w="712"/>
        <w:gridCol w:w="146"/>
        <w:gridCol w:w="146"/>
        <w:gridCol w:w="339"/>
        <w:gridCol w:w="921"/>
        <w:gridCol w:w="391"/>
      </w:tblGrid>
      <w:tr>
        <w:trPr/>
        <w:tc>
          <w:tcPr>
            <w:tcW w:w="41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clinical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3,757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and investment receivables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1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4,701</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6,595</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120"/>
        <w:jc w:val="left"/>
        <w:rPr>
          <w:rFonts w:ascii="Times New Roman" w:hAnsi="Times New Roman"/>
          <w:b/>
          <w:i/>
          <w:color w:val="000000"/>
          <w:sz w:val="20"/>
        </w:rPr>
      </w:pPr>
      <w:r>
        <w:rPr>
          <w:rFonts w:ascii="Times New Roman" w:hAnsi="Times New Roman"/>
          <w:b/>
          <w:i/>
          <w:color w:val="000000"/>
          <w:sz w:val="20"/>
        </w:rPr>
        <w:t>Property and Equipment, Net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following table presents the components of property and equipment, net as of March 31, 2025 and December 31, 2024 (in thousands):</w:t>
      </w:r>
    </w:p>
    <w:tbl>
      <w:tblPr>
        <w:tblW w:w="5885" w:type="dxa"/>
        <w:jc w:val="left"/>
        <w:tblInd w:w="0" w:type="dxa"/>
        <w:tblLayout w:type="fixed"/>
        <w:tblCellMar>
          <w:top w:w="28" w:type="dxa"/>
          <w:left w:w="28" w:type="dxa"/>
          <w:bottom w:w="28" w:type="dxa"/>
          <w:right w:w="28" w:type="dxa"/>
        </w:tblCellMar>
      </w:tblPr>
      <w:tblGrid>
        <w:gridCol w:w="2781"/>
        <w:gridCol w:w="146"/>
        <w:gridCol w:w="244"/>
        <w:gridCol w:w="731"/>
        <w:gridCol w:w="166"/>
        <w:gridCol w:w="146"/>
        <w:gridCol w:w="314"/>
        <w:gridCol w:w="946"/>
        <w:gridCol w:w="411"/>
      </w:tblGrid>
      <w:tr>
        <w:trPr/>
        <w:tc>
          <w:tcPr>
            <w:tcW w:w="2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Leasehold improvements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2,509</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Laboratory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1,835</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Computer hardware and software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473</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Furniture and fixtures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gross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4,982</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accumulated depreciation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(2,077</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78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2,905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Depreciation was $0.2 million for the three months ended March 31, 2025 and 2024.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Assets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the components of other assets as of March 31, 2025 and December 31, 2024 (in thousands): </w:t>
      </w:r>
    </w:p>
    <w:tbl>
      <w:tblPr>
        <w:tblW w:w="7085" w:type="dxa"/>
        <w:jc w:val="left"/>
        <w:tblInd w:w="0" w:type="dxa"/>
        <w:tblLayout w:type="fixed"/>
        <w:tblCellMar>
          <w:top w:w="28" w:type="dxa"/>
          <w:left w:w="28" w:type="dxa"/>
          <w:bottom w:w="28" w:type="dxa"/>
          <w:right w:w="28" w:type="dxa"/>
        </w:tblCellMar>
      </w:tblPr>
      <w:tblGrid>
        <w:gridCol w:w="4021"/>
        <w:gridCol w:w="146"/>
        <w:gridCol w:w="263"/>
        <w:gridCol w:w="712"/>
        <w:gridCol w:w="146"/>
        <w:gridCol w:w="146"/>
        <w:gridCol w:w="339"/>
        <w:gridCol w:w="921"/>
        <w:gridCol w:w="391"/>
      </w:tblGrid>
      <w:tr>
        <w:trPr/>
        <w:tc>
          <w:tcPr>
            <w:tcW w:w="4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right-of-use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2,704</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2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prepaid contract manufacturing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02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3"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12"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6,504</w:t>
            </w:r>
          </w:p>
        </w:tc>
        <w:tc>
          <w:tcPr>
            <w:tcW w:w="14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9"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6,994</w:t>
            </w:r>
          </w:p>
        </w:tc>
        <w:tc>
          <w:tcPr>
            <w:tcW w:w="3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Accrued Expenses and Other Current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components of accrued expenses and other current liabilities as of March 31, 2025 and December 31, 2024 (in thousands):</w:t>
      </w:r>
    </w:p>
    <w:tbl>
      <w:tblPr>
        <w:tblW w:w="7525" w:type="dxa"/>
        <w:jc w:val="left"/>
        <w:tblInd w:w="0" w:type="dxa"/>
        <w:tblLayout w:type="fixed"/>
        <w:tblCellMar>
          <w:top w:w="28" w:type="dxa"/>
          <w:left w:w="28" w:type="dxa"/>
          <w:bottom w:w="28" w:type="dxa"/>
          <w:right w:w="28" w:type="dxa"/>
        </w:tblCellMar>
      </w:tblPr>
      <w:tblGrid>
        <w:gridCol w:w="4461"/>
        <w:gridCol w:w="146"/>
        <w:gridCol w:w="232"/>
        <w:gridCol w:w="743"/>
        <w:gridCol w:w="146"/>
        <w:gridCol w:w="146"/>
        <w:gridCol w:w="299"/>
        <w:gridCol w:w="961"/>
        <w:gridCol w:w="391"/>
      </w:tblGrid>
      <w:tr>
        <w:trPr/>
        <w:tc>
          <w:tcPr>
            <w:tcW w:w="44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and nonclinical study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compensation and related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5,306</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2,573</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contract manufacturing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property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4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13,018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13,419</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(6)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non-cancelable operating leases for its offices located in the U.S. As of March 31, 2025, these leases expire on various dates between 2026 and 2030. Certain lease agreements include one or more options to renew, with renewal terms that can extend the lease up to two years after expiration. The Company has the right to exercise or forego the lease renewal options. The lease agreements do not contain any material residual value guarantees or material restrictive covenants.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maturities and balance sheet information of the Company’s operating lease liabilities as of March 31, 2025 (in thousands, except lease term and discount rate):</w:t>
      </w:r>
    </w:p>
    <w:tbl>
      <w:tblPr>
        <w:tblW w:w="7540" w:type="dxa"/>
        <w:jc w:val="left"/>
        <w:tblInd w:w="0" w:type="dxa"/>
        <w:tblLayout w:type="fixed"/>
        <w:tblCellMar>
          <w:top w:w="28" w:type="dxa"/>
          <w:left w:w="28" w:type="dxa"/>
          <w:bottom w:w="28" w:type="dxa"/>
          <w:right w:w="28" w:type="dxa"/>
        </w:tblCellMar>
      </w:tblPr>
      <w:tblGrid>
        <w:gridCol w:w="4111"/>
        <w:gridCol w:w="146"/>
        <w:gridCol w:w="367"/>
        <w:gridCol w:w="998"/>
        <w:gridCol w:w="271"/>
        <w:gridCol w:w="146"/>
        <w:gridCol w:w="320"/>
        <w:gridCol w:w="865"/>
        <w:gridCol w:w="316"/>
      </w:tblGrid>
      <w:tr>
        <w:trPr/>
        <w:tc>
          <w:tcPr>
            <w:tcW w:w="4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6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Operating Leases</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Finance Leases</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864</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1,152</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912</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672</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939</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Thereafter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payments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5,151</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2,688</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imputed 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(967</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current </w:t>
            </w:r>
            <w:r>
              <w:rPr>
                <w:rFonts w:ascii="Times New Roman" w:hAnsi="Times New Roman"/>
                <w:color w:val="000000"/>
                <w:sz w:val="13"/>
              </w:rPr>
              <w:t>(i)</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976</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Lease liabilities: non-current </w:t>
            </w:r>
            <w:r>
              <w:rPr>
                <w:rFonts w:ascii="Times New Roman" w:hAnsi="Times New Roman"/>
                <w:color w:val="000000"/>
                <w:sz w:val="13"/>
              </w:rPr>
              <w:t>(ii)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3,208</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1,447</w:t>
            </w:r>
          </w:p>
        </w:tc>
        <w:tc>
          <w:tcPr>
            <w:tcW w:w="3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4,184</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6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2,430</w:t>
            </w:r>
          </w:p>
        </w:tc>
        <w:tc>
          <w:tcPr>
            <w:tcW w:w="3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remaining lease term (in years)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discount rate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18"/>
        </w:rPr>
      </w:pPr>
      <w:r>
        <w:rPr>
          <w:rFonts w:ascii="Times New Roman" w:hAnsi="Times New Roman"/>
          <w:color w:val="000000"/>
          <w:sz w:val="18"/>
        </w:rPr>
        <w:t>(i)</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Current lease liabilities are presented within accrued expenses and other current liabilities on the condensed consolidated balance sheets.</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(ii)</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Non-current lease liabilities are presented within other non-current liabilities on the condensed consolidated balance sheets.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presents the components of lease costs for the three months ended March 31, 2025 and 2024 (in thousands): </w:t>
      </w:r>
    </w:p>
    <w:tbl>
      <w:tblPr>
        <w:tblW w:w="5522" w:type="dxa"/>
        <w:jc w:val="left"/>
        <w:tblInd w:w="0" w:type="dxa"/>
        <w:tblLayout w:type="fixed"/>
        <w:tblCellMar>
          <w:top w:w="28" w:type="dxa"/>
          <w:left w:w="28" w:type="dxa"/>
          <w:bottom w:w="28" w:type="dxa"/>
          <w:right w:w="28" w:type="dxa"/>
        </w:tblCellMar>
      </w:tblPr>
      <w:tblGrid>
        <w:gridCol w:w="3111"/>
        <w:gridCol w:w="146"/>
        <w:gridCol w:w="254"/>
        <w:gridCol w:w="507"/>
        <w:gridCol w:w="176"/>
        <w:gridCol w:w="176"/>
        <w:gridCol w:w="254"/>
        <w:gridCol w:w="507"/>
        <w:gridCol w:w="391"/>
      </w:tblGrid>
      <w:tr>
        <w:trPr/>
        <w:tc>
          <w:tcPr>
            <w:tcW w:w="31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311</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Variable lease cost and other, net </w:t>
            </w:r>
            <w:r>
              <w:rPr>
                <w:rFonts w:ascii="Times New Roman" w:hAnsi="Times New Roman"/>
                <w:color w:val="000000"/>
                <w:sz w:val="13"/>
              </w:rPr>
              <w:t>(i)</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lease cost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0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lease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color w:val="000000"/>
          <w:sz w:val="18"/>
        </w:rPr>
      </w:pPr>
      <w:r>
        <w:rPr>
          <w:rFonts w:ascii="Times New Roman" w:hAnsi="Times New Roman"/>
          <w:color w:val="000000"/>
          <w:sz w:val="18"/>
        </w:rPr>
        <w:t>(i)</w:t>
      </w:r>
    </w:p>
    <w:p>
      <w:pPr>
        <w:pStyle w:val="TextBody"/>
        <w:bidi w:val="0"/>
        <w:jc w:val="left"/>
        <w:rPr>
          <w:rFonts w:ascii="Times New Roman" w:hAnsi="Times New Roman"/>
          <w:color w:val="000000"/>
          <w:sz w:val="18"/>
        </w:rPr>
      </w:pPr>
      <w:r>
        <w:rPr>
          <w:rFonts w:ascii="Times New Roman" w:hAnsi="Times New Roman"/>
          <w:color w:val="000000"/>
          <w:sz w:val="18"/>
        </w:rPr>
        <w:t>The variable lease cost and other, net is comprised primarily of common area maintenance charges for the operating lease, which are dependent on usage. These costs are classified as operating lease expense due to the election to not separate lease and non-lease components. These costs were not included within the measurement of the Company’s operating lease ROU assets and operating lease liabilities.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the supplemental cash flow disclosures for cash paid for leases for the three months ended March 31, 2025 and 2024 (in thousands):</w:t>
      </w:r>
    </w:p>
    <w:tbl>
      <w:tblPr>
        <w:tblW w:w="8277" w:type="dxa"/>
        <w:jc w:val="left"/>
        <w:tblInd w:w="0" w:type="dxa"/>
        <w:tblLayout w:type="fixed"/>
        <w:tblCellMar>
          <w:top w:w="28" w:type="dxa"/>
          <w:left w:w="28" w:type="dxa"/>
          <w:bottom w:w="28" w:type="dxa"/>
          <w:right w:w="28" w:type="dxa"/>
        </w:tblCellMar>
      </w:tblPr>
      <w:tblGrid>
        <w:gridCol w:w="5866"/>
        <w:gridCol w:w="146"/>
        <w:gridCol w:w="254"/>
        <w:gridCol w:w="507"/>
        <w:gridCol w:w="176"/>
        <w:gridCol w:w="176"/>
        <w:gridCol w:w="254"/>
        <w:gridCol w:w="507"/>
        <w:gridCol w:w="391"/>
      </w:tblGrid>
      <w:tr>
        <w:trPr/>
        <w:tc>
          <w:tcPr>
            <w:tcW w:w="5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paid for amounts included in the measurement of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operating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cash flows from finance leases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8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cash flows from 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(7) TERM LOAN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Oxford Finance and Silicon Valley Bank Loan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2022, the Company entered into a loan and security agreement, as amended, the Loan Agreement, with Oxford Finance LLC, Oxford Finance Credit Fund II LP, and Silicon Valley Bank, or SVB, collectively the Lenders, for a secured term loan facility of up to $100.0 million. Pursuant to the Loan Agreement, the Company drew an initial loan of $10.0 million. Under the original terms of the Loan Agreement, the Company had the right to draw an additional $40.0 million through the end of June 2024. The original terms of the Loan Agreement provided for an additional $50.0 million over three tranches, with $12.5 million available in each of two tranches based upon the achievement of milestones related to the development of evorpacept and one preclinical product candidate, and $25.0 million at the Lenders’ sole discretion. The Company decided not to draw down on any portion of the $40.0 million available under the Loan Agreement by the deadline of June 30, 2024 and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as of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proceeds of the loans may be used by the Company for working capital and to fund its general business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 information regarding our indebtedness is included in our notes to our consolidated financial statements in our Annual Report on Form 10-K for the fiscal year ended December 31, 2024, which was filed with the SEC on March 6,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and 2024, interest expense incurred in connection with the Loan Agreement was $0.3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Company was in compliance with all financial reporting covenants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the future maturities under the Loan Agreement are as follows (in thousands):</w:t>
      </w:r>
    </w:p>
    <w:p>
      <w:pPr>
        <w:pStyle w:val="TextBody"/>
        <w:bidi w:val="0"/>
        <w:jc w:val="left"/>
        <w:rPr/>
      </w:pPr>
      <w:r>
        <w:rPr/>
        <w:t> </w:t>
      </w:r>
    </w:p>
    <w:tbl>
      <w:tblPr>
        <w:tblW w:w="4993" w:type="dxa"/>
        <w:jc w:val="left"/>
        <w:tblInd w:w="0" w:type="dxa"/>
        <w:tblLayout w:type="fixed"/>
        <w:tblCellMar>
          <w:top w:w="28" w:type="dxa"/>
          <w:left w:w="28" w:type="dxa"/>
          <w:bottom w:w="28" w:type="dxa"/>
          <w:right w:w="28" w:type="dxa"/>
        </w:tblCellMar>
      </w:tblPr>
      <w:tblGrid>
        <w:gridCol w:w="3196"/>
        <w:gridCol w:w="146"/>
        <w:gridCol w:w="342"/>
        <w:gridCol w:w="1098"/>
        <w:gridCol w:w="211"/>
      </w:tblGrid>
      <w:tr>
        <w:trPr/>
        <w:tc>
          <w:tcPr>
            <w:tcW w:w="31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435</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5,217</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4,948</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2029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future maturities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10,600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term loan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(1,739</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term loan,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8,861</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unamortized debt issuance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(502</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unaccreted final payment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Term loan, non-current,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8,232</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(8) STOCKHOLDERS’ EQUITY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21, 2020, the Company’s amended and restated certificate of incorporation became effective, authorizing 1,000,000,000 shares of common stock, $0.001 par value per share, and 100,000,000 shares of undesignated preferred stock, $0.001 par value per share. As of March 31, 2025 and December 31, 2024, the Company had 53,384,145 and 53,052,912 shares of common stock outstanding, respectively, and no shares of undesignated preferred stock outstanding, respectively.</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Common stock reserved for future issuance as of March 31, 2025 consists of the following:</w:t>
      </w:r>
    </w:p>
    <w:tbl>
      <w:tblPr>
        <w:tblW w:w="7442" w:type="dxa"/>
        <w:jc w:val="left"/>
        <w:tblInd w:w="0" w:type="dxa"/>
        <w:tblLayout w:type="fixed"/>
        <w:tblCellMar>
          <w:top w:w="28" w:type="dxa"/>
          <w:left w:w="28" w:type="dxa"/>
          <w:bottom w:w="28" w:type="dxa"/>
          <w:right w:w="28" w:type="dxa"/>
        </w:tblCellMar>
      </w:tblPr>
      <w:tblGrid>
        <w:gridCol w:w="5611"/>
        <w:gridCol w:w="177"/>
        <w:gridCol w:w="1263"/>
        <w:gridCol w:w="391"/>
      </w:tblGrid>
      <w:tr>
        <w:trPr/>
        <w:tc>
          <w:tcPr>
            <w:tcW w:w="561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263"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4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12,099,944</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594,552</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authorized for future issuance</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3,157,263</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shares authorized for future issuance</w:t>
            </w:r>
          </w:p>
        </w:tc>
        <w:tc>
          <w:tcPr>
            <w:tcW w:w="1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1,504,780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Pre-funded warrants issued and outstanding</w:t>
            </w:r>
          </w:p>
        </w:tc>
        <w:tc>
          <w:tcPr>
            <w:tcW w:w="17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1,250,000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5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7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6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18,678,539</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At-the-Market Equity Offering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the Company entered into a sales agreement (as amended, Sales Agreement) with Cantor Fitzgerald &amp; Co. and Credit Suisse Securities (USA) LLC (Credit Suisse), under which it may offer and sell shares of the Company’s common stock, having aggregate gross proceeds of up to $150.0 million, from time to time through them as the Company’s sales agents in its at-the-market (ATM) equity offering program. In August 2023, the Company entered into an amendment to the Sales Agreement to include UBS Securities LLC as an additional sales agent and to remove Credit Suisse as a sales agent. As of March 31, 2025, the Company had issued approximately 2,404,855 shares of common stock pursuant to the Sales Agreement for net proceeds of $30.0 million. The Company may terminate this ATM program at any time, pursuant to its terms.</w:t>
      </w:r>
    </w:p>
    <w:p>
      <w:pPr>
        <w:pStyle w:val="TextBody"/>
        <w:bidi w:val="0"/>
        <w:spacing w:before="120" w:after="283"/>
        <w:jc w:val="left"/>
        <w:rPr>
          <w:rFonts w:ascii="Times New Roman" w:hAnsi="Times New Roman"/>
          <w:sz w:val="20"/>
        </w:rPr>
      </w:pPr>
      <w:r>
        <w:rPr>
          <w:rFonts w:ascii="Times New Roman" w:hAnsi="Times New Roman"/>
          <w:b/>
          <w:i/>
          <w:color w:val="000000"/>
          <w:sz w:val="20"/>
        </w:rPr>
        <w:t>Pre-Funded Warrants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the Company completed an underwritten follow-on public offering (the October 2023 Offering) pursuant to a shelf registration statement, which provides for aggregate offerings of up to $450.0 million of the Company’s securities. As part of the October 2023 underwritten public offering, the Company issued pre-funded warrants to certain investors to purchase 1,250,000 shares of common stock in an underwritten public offering at a public offering price of $6.379 per pre-funded warrant. Each pre-funded warrant entitles the holder to purchase one share of common stock at an exercise price of $0.001 per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respectively, no shares underlying the pre-funded warrants had been exercised. All of the outstanding pre-funded warrants are included in the weighted-average number of shares of common stock used to calculate basic net loss per share attributable to common stockholders (see Note 11 “Net Loss Per Share”).</w:t>
      </w:r>
    </w:p>
    <w:p>
      <w:pPr>
        <w:pStyle w:val="TextBody"/>
        <w:bidi w:val="0"/>
        <w:spacing w:before="360" w:after="283"/>
        <w:jc w:val="left"/>
        <w:rPr>
          <w:rFonts w:ascii="Times New Roman" w:hAnsi="Times New Roman"/>
          <w:sz w:val="20"/>
        </w:rPr>
      </w:pPr>
      <w:r>
        <w:rPr>
          <w:rFonts w:ascii="Times New Roman" w:hAnsi="Times New Roman"/>
          <w:b/>
          <w:color w:val="000000"/>
          <w:sz w:val="20"/>
        </w:rPr>
        <w:t>(9) STOCK-BASED COMPENSATION</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Equity Incentive Plans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Amended and Restated 2020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Amended and Restated 2020 Equity Incentive Plan, or the 2020 Plan, serves as the successor to the Company’s 2020 Equity Incentive Plan and provides for the granting of incentive stock options, non-statutory stock options, stock appreciation rights, restricted stock, restricted stock units, performance units and performance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January 1, 2025, the number of shares available under the 2020 Plan was increased by 2,122,116 shares.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2025 Inducement Equity Incentive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January 2025, the Company adopted the 2025 Inducement Equity Incentive Plan, or the 2025 Plan. The 2025 Plan provides for the granting of equity-based awards, including non-statutory stock options, stock appreciation rights, restricted stock, restricted stock units, performance units and performance shares. A total of 1,500,000 shares were reserved under the 2025 Plan.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Performance-Based Restricted Stock Units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February 2024, the Company granted 365,000 performance-based restricted stock units, or PSUs, to certain employees under the 2020 Plan. The PSUs are subject to both performance-based and service-based vesting conditions with a fair value based on the closing price of the underlying common stock on the date of grant. Each PSU is split into two tranches with each tranche having performance goals based on the achievement of pre-determined clinical milestones that result in the shares attributable to such tranche being eligible for vesting, subject to the service-based vesting condition. The service-based vesting condition is satisfied on the one-year anniversary of the performance achievement date for each tranche and is subject to the employee’s continuous service through such vesting date. Upon vesting, each PSU will automatically convert into one share of the Company’s common stock. If the performance condition for a tranche is not met by March 31, 2025, the shares attributable to such tranche will be forfeited.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the Company determined that the performance conditions for one tranche of PSUs was achieved. As a result, compensation expense of $0.6 million has been recognized related to this tranche of PSUs as of and for the three months ended March 31, 2025. The performance conditions for the other tranche of PSUs was not achieved as of March 31, 2025, and therefore, these awards were forfeited. As of March 31, 2025, there were 72,000 PSUs outstanding and unvested.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Employee Stock Purchase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Company’s 2020 Employee Stock Purchase Plan, or the ESPP, eligible employees are entitled to purchase shares of common stock with accumulated payroll deductions.</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Stock-based Compensation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Total stock-based compensation expense recognized in the condensed consolidated statements of operations was as follows (in thousands):</w:t>
      </w:r>
    </w:p>
    <w:tbl>
      <w:tblPr>
        <w:tblW w:w="4704" w:type="dxa"/>
        <w:jc w:val="left"/>
        <w:tblInd w:w="0" w:type="dxa"/>
        <w:tblLayout w:type="fixed"/>
        <w:tblCellMar>
          <w:top w:w="28" w:type="dxa"/>
          <w:left w:w="28" w:type="dxa"/>
          <w:bottom w:w="28" w:type="dxa"/>
          <w:right w:w="28" w:type="dxa"/>
        </w:tblCellMar>
      </w:tblPr>
      <w:tblGrid>
        <w:gridCol w:w="2311"/>
        <w:gridCol w:w="146"/>
        <w:gridCol w:w="211"/>
        <w:gridCol w:w="571"/>
        <w:gridCol w:w="146"/>
        <w:gridCol w:w="146"/>
        <w:gridCol w:w="211"/>
        <w:gridCol w:w="571"/>
        <w:gridCol w:w="391"/>
      </w:tblGrid>
      <w:tr>
        <w:trPr/>
        <w:tc>
          <w:tcPr>
            <w:tcW w:w="23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3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7,031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(10) RELATED-PARTY TRANSACTIONS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several related-party agreements with Tallac Therapeutics, Inc., or Tallac, and with ScalmiBio, Inc., or ScalmiBio. The details of these agreements are described in our notes to our consolidated financial statements in our Annual Report on Form 10-K for the fiscal year ended December 31, 2024, which was filed with the SEC on March 6, 2025. During the three months ended March 31, 2025, there were no material changes to these agreements.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Tallac Service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2024, the Company recorded a nominal amount as research and development, or R&amp;D, costs in relation to the research and development services agreement with Tallac, or the Tallac Services Agreement. Per contractual terms, the Tallac Services Agreement terminated on July 1, 2024.</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Tallac Collaboration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and 2024, the Company recorded $48,000 and $0.4 million, respectively, as R&amp;D costs in relation to the collaboration agreement with Tallac, or the Tallac Collaboration Agreement.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and December 31, 2024, the Company had accrued expenses of $48,000 and $0.1 million, respectively, related to the Tallac Collaboration Agreement, which was presented within the payable and accrued liabilities due to related party on the condensed consolidated balance sheets.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ScalmiBio Milestone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agreed to pay up to $35.0 million, in aggregate, in certain milestones based on the clinical development of the acquired ScalmiBio technology and has also agreed to pay a low single digit royalty on net sales of any products developed from the ScalmiBio acquired technology for a defined term. The Company has the option to buy-out the royalty payment, prior to the first marketing approval of the developed product.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and 2024, the Company made no milestone payment and $1.0 million milestone payment, respectively, as a result of selecting a development candidate, to the stockholders of ScalmiBio, including 31.7%, or $0.3 million, to the Company’s former Chief Executive Officer and former Chief Scientific Officer and President, and 63.5%, or $0.6 million, to another employee of the Company. This milestone payment was recorded as R&amp;D costs within the condensed consolidated statements of operations.</w:t>
      </w:r>
    </w:p>
    <w:p>
      <w:pPr>
        <w:pStyle w:val="TextBody"/>
        <w:bidi w:val="0"/>
        <w:spacing w:before="360" w:after="283"/>
        <w:jc w:val="left"/>
        <w:rPr>
          <w:rFonts w:ascii="Times New Roman" w:hAnsi="Times New Roman"/>
          <w:sz w:val="20"/>
        </w:rPr>
      </w:pPr>
      <w:r>
        <w:rPr>
          <w:rFonts w:ascii="Times New Roman" w:hAnsi="Times New Roman"/>
          <w:b/>
          <w:color w:val="000000"/>
          <w:sz w:val="20"/>
        </w:rPr>
        <w:t>(11) NET LOSS PER SHARE</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sets forth the computation of the basic and diluted net loss per share for the three months ended March 31, 2025 and 2024 (in thousands, except share and per share data):</w:t>
      </w:r>
    </w:p>
    <w:tbl>
      <w:tblPr>
        <w:tblW w:w="9634" w:type="dxa"/>
        <w:jc w:val="left"/>
        <w:tblInd w:w="0" w:type="dxa"/>
        <w:tblLayout w:type="fixed"/>
        <w:tblCellMar>
          <w:top w:w="28" w:type="dxa"/>
          <w:left w:w="28" w:type="dxa"/>
          <w:bottom w:w="28" w:type="dxa"/>
          <w:right w:w="28" w:type="dxa"/>
        </w:tblCellMar>
      </w:tblPr>
      <w:tblGrid>
        <w:gridCol w:w="6291"/>
        <w:gridCol w:w="146"/>
        <w:gridCol w:w="211"/>
        <w:gridCol w:w="1036"/>
        <w:gridCol w:w="166"/>
        <w:gridCol w:w="146"/>
        <w:gridCol w:w="211"/>
        <w:gridCol w:w="1036"/>
        <w:gridCol w:w="391"/>
      </w:tblGrid>
      <w:tr>
        <w:trPr/>
        <w:tc>
          <w:tcPr>
            <w:tcW w:w="6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Weighted-average shares of common stock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53,359,338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50,120,758</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29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(0.58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Company was in a loss position for all periods presented, basic net loss per share is the same as diluted net loss per share for all periods presented as the inclusion of all potential common stock outstanding would have been anti-dilutive.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outstanding potentially dilutive securities were excluded from the computation of diluted net loss per share for the three months ended March 31, 2025 and 2024 because including them would have been anti-dilutive:</w:t>
      </w:r>
    </w:p>
    <w:tbl>
      <w:tblPr>
        <w:tblW w:w="7889" w:type="dxa"/>
        <w:jc w:val="left"/>
        <w:tblInd w:w="0" w:type="dxa"/>
        <w:tblLayout w:type="fixed"/>
        <w:tblCellMar>
          <w:top w:w="28" w:type="dxa"/>
          <w:left w:w="28" w:type="dxa"/>
          <w:bottom w:w="28" w:type="dxa"/>
          <w:right w:w="28" w:type="dxa"/>
        </w:tblCellMar>
      </w:tblPr>
      <w:tblGrid>
        <w:gridCol w:w="4696"/>
        <w:gridCol w:w="146"/>
        <w:gridCol w:w="146"/>
        <w:gridCol w:w="1036"/>
        <w:gridCol w:w="146"/>
        <w:gridCol w:w="146"/>
        <w:gridCol w:w="146"/>
        <w:gridCol w:w="1036"/>
        <w:gridCol w:w="391"/>
      </w:tblGrid>
      <w:tr>
        <w:trPr/>
        <w:tc>
          <w:tcPr>
            <w:tcW w:w="4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65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12,099,944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9,870,347</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RSUs issued and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594,552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1,263,321</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PSUs issued and outstanding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365,000</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Employee Stock Purchase Plan estimated shares issuable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37,684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6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12,804,180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11,499,814</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60" w:after="283"/>
        <w:jc w:val="left"/>
        <w:rPr>
          <w:rFonts w:ascii="Times New Roman" w:hAnsi="Times New Roman"/>
          <w:b/>
          <w:color w:val="000000"/>
          <w:sz w:val="20"/>
        </w:rPr>
      </w:pPr>
      <w:r>
        <w:rPr>
          <w:rFonts w:ascii="Times New Roman" w:hAnsi="Times New Roman"/>
          <w:b/>
          <w:color w:val="000000"/>
          <w:sz w:val="20"/>
        </w:rPr>
        <w:t>(12) COMMITMENTS AND CONTINGENCIES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Guarantees and Indemnifications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normal course of business, the Company enters into contracts and agreements that contain a variety of representations and warranties and provide for general indemnifications. The Company’s exposure under these agreements is unknown because it involves claims that may be made against the Company in the future but have not yet been made. To date, the Company has not paid any claims or been required to defend any action related to its indemnification obligations. However, the Company may record charges in the future as a result of these indemnification obligations. The Company also has indemnification obligations to its officers and directors for specified events or occurrences, subject to some limits, while they are serving at the Company’s request in such capacities. There have been no claims to date and the Company has director and officer insurance that may enable the Company to recover a portion of any amounts paid for future potential claims. The Company believes the fair value of these indemnification agreements is minimal. Accordingly, the Company has not recorded any liabilities for these agreements as of March 31,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Contingencies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the Company may be a party to various claims in the normal course of business. Legal fees and other costs associated with such actions will be expensed as incurred. The Company will assess, in conjunction with its legal counsel, the need to record a liability for litigation and contingencies. Reserve estimates will be recorded when and if it is determined that a loss related matter is both probable and reasonably estimable. As of March 31, 2025, the Company had no pending or threatened litigation.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Contractual Obligations and Other Commitments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other contractual obligations and other commitments from manufacturing and service contracts, which are presented as follows as of March 31, 2025 (in thousands):</w:t>
      </w:r>
    </w:p>
    <w:p>
      <w:pPr>
        <w:pStyle w:val="TextBody"/>
        <w:bidi w:val="0"/>
        <w:spacing w:before="120" w:after="283"/>
        <w:jc w:val="left"/>
        <w:rPr/>
      </w:pPr>
      <w:r>
        <w:rPr/>
        <w:t> </w:t>
      </w:r>
    </w:p>
    <w:tbl>
      <w:tblPr>
        <w:tblW w:w="10205" w:type="dxa"/>
        <w:jc w:val="left"/>
        <w:tblInd w:w="0" w:type="dxa"/>
        <w:tblLayout w:type="fixed"/>
        <w:tblCellMar>
          <w:top w:w="28" w:type="dxa"/>
          <w:left w:w="28" w:type="dxa"/>
          <w:bottom w:w="28" w:type="dxa"/>
          <w:right w:w="28" w:type="dxa"/>
        </w:tblCellMar>
      </w:tblPr>
      <w:tblGrid>
        <w:gridCol w:w="2807"/>
        <w:gridCol w:w="146"/>
        <w:gridCol w:w="211"/>
        <w:gridCol w:w="571"/>
        <w:gridCol w:w="146"/>
        <w:gridCol w:w="146"/>
        <w:gridCol w:w="538"/>
        <w:gridCol w:w="1463"/>
        <w:gridCol w:w="146"/>
        <w:gridCol w:w="146"/>
        <w:gridCol w:w="315"/>
        <w:gridCol w:w="631"/>
        <w:gridCol w:w="146"/>
        <w:gridCol w:w="146"/>
        <w:gridCol w:w="354"/>
        <w:gridCol w:w="585"/>
        <w:gridCol w:w="146"/>
        <w:gridCol w:w="146"/>
        <w:gridCol w:w="386"/>
        <w:gridCol w:w="635"/>
        <w:gridCol w:w="395"/>
      </w:tblGrid>
      <w:tr>
        <w:trPr/>
        <w:tc>
          <w:tcPr>
            <w:tcW w:w="28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4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58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r>
      <w:tr>
        <w:trPr/>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857" w:type="dxa"/>
            <w:gridSpan w:val="1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 2025</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0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br/>
              <w:t>(remaining nine months)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2026-2027</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2028-2029</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2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Thereafter</w:t>
            </w:r>
          </w:p>
        </w:tc>
        <w:tc>
          <w:tcPr>
            <w:tcW w:w="39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Manufacturing and service contracts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280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3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1,800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8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3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November 2015, the Company entered into a Master Service Agreement, or the MSA, with KBI Biopharma, Inc. relating to formulation development, process development and current good manufacturing practices, or cGMP, manufacturing of evorpacept for use in clinical trials on a project basis. The MSA had an initial term of three years with successive one-year renewal periods, which was extended an additional eight years until November 2026, is cancellable upon notice and is non-exclusive. Statements of work under the MSA commit the Company to certain future purchase obligations of approximately $0.9 million. In addition, the Company has commitments with three other pharmaceutical contract manufacturers, including certain future purchase obligations of approximately $1.3 million. These amounts are based on non-cancellable commitments and forecasts that include estimates of future market demand, quantity discounts and manufacturing efficiencies that may impact timing of 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enters into contracts in the normal course of business with various third parties for clinical trials, preclinical research studies and testing, manufacturing and other services and products for operating purposes. These contracts generally provide for termination upon notice. Payments due upon cancellation consist only of payments for services provided or expenses incurred, including non-cancellable obligations of the Company’s service providers, up to the date of cancellation.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r>
        <w:rPr>
          <w:rFonts w:ascii="Times New Roman" w:hAnsi="Times New Roman"/>
          <w:b/>
          <w:color w:val="000000"/>
          <w:sz w:val="20"/>
        </w:rPr>
        <w:t>(13) SUBSEQUENT EVENTS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Subsequent to March 31, 2025, the Company paid approximately $1.5 million in severance payments in connection with the Company’s reduction in workforce in connection with the Company’s pipeline prioritization, clinical development and cash preservation strategy approved by the Company’s Board of Directors on February 28, 2025. The Company may incur other charges due to events that may occur as a result of, or associated with, the pipeline prioritization, clinical development and cash preservation strategy, including (but not limited to) impairment charges relating to the balances of laboratory equipment, leasehold improvements, and operating lease right-of-use assets related to the Palo Alto facility of up to $5.7 million.</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Nasdaq Minimum Bid Price Compliance Notice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April 23, 2025, the Company received a written notice from the Listing Qualifications Department of The Nasdaq Stock Market LLC (Nasdaq) notifying the Company that, for the last 30 consecutive business days, the closing bid price of the Company’s common stock had closed below the minimum bid price requirement of $1.00 per share for continued listing on The Nasdaq Global Select Market. The Company was provided a compliance period of 180 calendar days, or until October 20, 2025, to regain compliance with the minimum bid price requirement subject to Nasdaq rules.</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1" w:name="part1_item2_mda"/>
      <w:bookmarkEnd w:id="11"/>
      <w:r>
        <w:rPr>
          <w:rFonts w:ascii="Times New Roman" w:hAnsi="Times New Roman"/>
          <w:b/>
          <w:color w:val="000000"/>
          <w:sz w:val="20"/>
        </w:rPr>
        <w:t>Item 2. Management’s Discussion and Analysis of 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of our financial condition and results of operations together with our unaudited condensed consolidated financial statements and related notes included elsewhere in this Quarterly Report on Form 10-Q. Some of the information contained in this discussion and analysis, including information with respect to our plans and strategy for our business, include forward-looking statements that involve risks and uncertainties. Our actual results could differ materially from those anticipated in these forward-looking statements as a result of various factors, including those set forth under “Risk Factors” and elsewhere in this Quarterly Report on Form 10-Q.</w:t>
      </w:r>
    </w:p>
    <w:p>
      <w:pPr>
        <w:pStyle w:val="TextBody"/>
        <w:bidi w:val="0"/>
        <w:spacing w:before="240" w:after="283"/>
        <w:jc w:val="left"/>
        <w:rPr>
          <w:rFonts w:ascii="Times New Roman" w:hAnsi="Times New Roman"/>
          <w:sz w:val="20"/>
        </w:rPr>
      </w:pPr>
      <w:r>
        <w:rPr>
          <w:rFonts w:ascii="Times New Roman" w:hAnsi="Times New Roman"/>
          <w:b/>
          <w:color w:val="000000"/>
          <w:sz w:val="20"/>
        </w:rPr>
        <w:t>Overview</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 clinical-stage immuno-oncology company focused on helping patients fight cancer. Our clinical pipeline includes two product candidates, the CD47 blocker evorpacept and an epidermal growth factor receptor (EGFR)-targeted antibody drug candidate (ADC) ALX2004. Our lead product evorpacept is currently in multiple Phase 1 and 2 clinical trials, while our product candidate ALX2004 is expected to enter human clinical trials in the near term. Cancer cells leverage CD47, a cell surface protein, as a “don’t eat me” signal to evade macrophage phagocytosis or as a “don’t activate T-cells” signal that prevents activation of T-cells by dendritic cells. We are developing evorpacept to be a next-generation checkpoint inhibitor designed to have a high affinity for CD47 and to avoid the limitations caused by hematologic toxicities inherent in other CD47 blocking approaches.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 is a next-generation CD47 blocking therapeutic that we believe has significantly enhanced properties compared to competing CD47 blocking approaches. Evorpacept is a fusion protein that combines a high-affinity CD47 binding domain with a proprietary inactivated Fc domain. The CD47 binding domain of evorpacept is an affinity enhanced extracellular domain of SIRPα, a protein that is the natural receptor to CD47 found on myeloid cells. We have engineered the Fc domain of evorpacept so that it does not provide a pro-phagocytic signal while still maintaining an antibody-like half-life for the molecule. We believe our inactive Fc approach improves tolerability when compared to other CD47 blocking approaches that have an Fc domain that engages activating receptors on macrophages, causing phagocytosis and death of healthy cells in addition to cancer cells.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Evorpacept’s design has several additional advantages that we believe will make it broadly applicable to treating a number of oncology indications. Due to the inactive Fc, evorpacept is specifically designed for use in combination with other anti-cancer agents that provide a positive immune-stimulating signal. We believe evorpacept has a favorable tolerability profile that may enable higher dosing levels and greater combination potential with other leading anti-cancer agents.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focused on evorpacept development with the standard-of-care agents, revolving around these two cell types: macrophages and dendritic cells. We initially pursued, and continue to pursue, development of evorpacept based on two well-validated mechanisms of action involving SIRP alpha expression on macrophages and dendritic cells as discussed below.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distinct mechanism of actions and examples of the combinations of priority are: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pPr>
      <w:r>
        <w:rPr>
          <w:rFonts w:ascii="Times New Roman" w:hAnsi="Times New Roman"/>
          <w:b/>
          <w:color w:val="000000"/>
          <w:sz w:val="20"/>
        </w:rPr>
        <w:t>Anti-cancer antibodies (the “</w:t>
      </w:r>
      <w:r>
        <w:rPr>
          <w:rFonts w:ascii="Times New Roman" w:hAnsi="Times New Roman"/>
          <w:b/>
          <w:i/>
          <w:color w:val="000000"/>
          <w:sz w:val="20"/>
        </w:rPr>
        <w:t>don’t eat me</w:t>
      </w:r>
      <w:r>
        <w:rPr>
          <w:color w:val="000000"/>
        </w:rPr>
        <w:t xml:space="preserve">” </w:t>
      </w:r>
      <w:r>
        <w:rPr>
          <w:rFonts w:ascii="Times New Roman" w:hAnsi="Times New Roman"/>
          <w:b/>
          <w:color w:val="000000"/>
          <w:sz w:val="20"/>
        </w:rPr>
        <w:t>signal)</w:t>
      </w:r>
      <w:r>
        <w:rPr>
          <w:rFonts w:ascii="Times New Roman" w:hAnsi="Times New Roman"/>
          <w:color w:val="000000"/>
          <w:sz w:val="20"/>
        </w:rPr>
        <w:t xml:space="preserve">: </w:t>
      </w:r>
      <w:r>
        <w:rPr>
          <w:rFonts w:ascii="Times New Roman" w:hAnsi="Times New Roman"/>
          <w:b/>
          <w:color w:val="000000"/>
          <w:sz w:val="20"/>
        </w:rPr>
        <w:t>Combining with anti-cancer targeted antibodies with an active Fc domain, where evorpacept enables the Fc-mediated antibody dependent phagocytosis that is impaired by the expression of CD47 on cancer cells</w:t>
      </w:r>
      <w:r>
        <w:rPr>
          <w:rFonts w:ascii="Times New Roman" w:hAnsi="Times New Roman"/>
          <w:color w:val="000000"/>
          <w:sz w:val="20"/>
        </w:rPr>
        <w:t xml:space="preserve">. </w:t>
        <w:br/>
        <w:t>Data from the randomized ASPEN-06 Phase 2 clinical trial supports the clinical validation of this mechanism of action. ASPEN-06 evaluates the contribution of evorpacept to HERCEPTIN</w:t>
      </w:r>
      <w:r>
        <w:rPr>
          <w:rFonts w:ascii="Times New Roman" w:hAnsi="Times New Roman"/>
          <w:color w:val="000000"/>
          <w:sz w:val="13"/>
        </w:rPr>
        <w:t xml:space="preserve">® </w:t>
      </w:r>
      <w:r>
        <w:rPr>
          <w:rFonts w:ascii="Times New Roman" w:hAnsi="Times New Roman"/>
          <w:color w:val="000000"/>
          <w:sz w:val="20"/>
        </w:rPr>
        <w:t>(trastuzumab) plus standard of care (CYRAMZA</w:t>
      </w:r>
      <w:r>
        <w:rPr>
          <w:rFonts w:ascii="Times New Roman" w:hAnsi="Times New Roman"/>
          <w:color w:val="000000"/>
          <w:sz w:val="13"/>
        </w:rPr>
        <w:t>®</w:t>
      </w:r>
      <w:r>
        <w:rPr>
          <w:color w:val="000000"/>
        </w:rPr>
        <w:t xml:space="preserve"> </w:t>
      </w:r>
      <w:r>
        <w:rPr>
          <w:rFonts w:ascii="Times New Roman" w:hAnsi="Times New Roman"/>
          <w:color w:val="000000"/>
          <w:sz w:val="20"/>
        </w:rPr>
        <w:t xml:space="preserve">(ramucirumab) + paclitaxel) (Evo-TRP), versus trastuzumab, ramucirumab, and paclitaxel (TRP) in second line or later human epidermal growth factor receptor 2 (HER2)-positive gastric/gastroesophageal junction (GEJ) cancer, where all patients had received an anti-HER2 agent in prior lines of therapy. Results from the December 2024 data cutoff were presented at an oral presentation at the 2025 American Society of Clinical Oncology (ASCO) Gastrointestinal Cancers Symposium: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pPr>
      <w:r>
        <w:rPr>
          <w:rFonts w:ascii="Times New Roman" w:hAnsi="Times New Roman"/>
          <w:b/>
          <w:color w:val="000000"/>
          <w:sz w:val="20"/>
        </w:rPr>
        <w:t>Primary endpoints</w:t>
      </w:r>
      <w:r>
        <w:rPr>
          <w:color w:val="000000"/>
        </w:rPr>
        <w:t xml:space="preserve"> </w:t>
      </w:r>
      <w:r>
        <w:rPr>
          <w:rFonts w:ascii="Times New Roman" w:hAnsi="Times New Roman"/>
          <w:color w:val="000000"/>
          <w:sz w:val="20"/>
        </w:rPr>
        <w:t>(December 2024 data cutoff):</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Intent-to-treat (ITT) patient population overall response rate (ORR) (n=127):</w:t>
      </w:r>
      <w:r>
        <w:rPr>
          <w:color w:val="000000"/>
        </w:rPr>
        <w:t xml:space="preserve"> </w:t>
      </w:r>
      <w:r>
        <w:rPr>
          <w:rFonts w:ascii="Times New Roman" w:hAnsi="Times New Roman"/>
          <w:color w:val="000000"/>
          <w:sz w:val="20"/>
        </w:rPr>
        <w:t>Evo-TRP demonstrated an ORR of 41.3% compared to 30% for ramucirumab and paclitaxel (RP) historical control and 26.6% for TRP control.</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b/>
          <w:color w:val="000000"/>
          <w:sz w:val="20"/>
        </w:rPr>
        <w:t>Fresh HER2-positive biopsy patient population ORR (n=48)</w:t>
      </w:r>
      <w:r>
        <w:rPr>
          <w:rFonts w:ascii="Times New Roman" w:hAnsi="Times New Roman"/>
          <w:color w:val="000000"/>
          <w:sz w:val="20"/>
        </w:rPr>
        <w:t>: Evo-TRP demonstrated an ORR of 59.1% compared to 30% for RP historical control and 23.1% for TRP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ITT population, Evo-TRP demonstrated a median duration of response (mDOR) of 15.7 months and a median progression-free survival (mPFS) of 7.5 months compared to an mDOR of 9.1 months and mPFS of 7.4 months in the TRP control group, with a PFS Hazard Ratio (PFS HR) in this population of 0.77.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patients with fresh HER2-positive biopsies, Evo-TRP demonstrated an mDOR of 15.7 months and mPFS of 9.5 months compared to an mDOR of 14.5 months and mPFS of 7.1 months in the TRP control group, with a PFS HR of 0.62.</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patients with confirmed HER2-positive expression as determined by either fresh biopsy or circulating tumor DNA (ctDNA) HER2-positivity (n=96), the addition of evorpacept to TRP resulted in a 48.9% ORR, an mDOR of 15.7 months and mPFS of 7.5 months, compared to a 24.5% ORR, an mDOR of 9.1 months and mPFS of 6.7 months in the TRP control group, with a PFS HR of 0.64.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Evo-TRP was generally well tolerated, with the incidence of adverse events in the evorpacept population consistent with those in TRP control.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earlier ASPEN-01 Phase 1 positive data in combination with rituximab in non-Hodgkin lymphoma (NHL) and the recent clinical data of our investigator-sponsored trial (IST) collaborator from the ongoing Phase 1/2 IST of evorpacept in combination with rituximab and lenalidomide patients with relapsed refractory B-cell NHL (R/R B-NHL) provide additional support for the clinical validation of this mechanism of action and support exploring combinations of evorpacept with other anti-cancer antibodies.</w:t>
      </w:r>
    </w:p>
    <w:p>
      <w:pPr>
        <w:pStyle w:val="TextBody"/>
        <w:bidi w:val="0"/>
        <w:spacing w:before="120" w:after="283"/>
        <w:jc w:val="left"/>
        <w:rPr>
          <w:rFonts w:ascii="Times New Roman" w:hAnsi="Times New Roman"/>
          <w:sz w:val="20"/>
        </w:rPr>
      </w:pPr>
      <w:r>
        <w:rPr>
          <w:rFonts w:ascii="Times New Roman" w:hAnsi="Times New Roman"/>
          <w:color w:val="000000"/>
          <w:sz w:val="20"/>
        </w:rPr>
        <w:t>This mechanism of action may also apply to antibody-drug conjugates (ADCs), which are being investigated in two separate Phase 1 trials: one in combination with PADCEV</w:t>
      </w:r>
      <w:r>
        <w:rPr>
          <w:rFonts w:ascii="Times New Roman" w:hAnsi="Times New Roman"/>
          <w:color w:val="000000"/>
          <w:sz w:val="13"/>
        </w:rPr>
        <w:t>®</w:t>
      </w:r>
      <w:r>
        <w:rPr>
          <w:rFonts w:ascii="Times New Roman" w:hAnsi="Times New Roman"/>
          <w:color w:val="000000"/>
          <w:sz w:val="20"/>
        </w:rPr>
        <w:t xml:space="preserve"> (enfortumab vedotin-ejfv) in patients with urothelial cancer (ASPEN-07), and the other in combination with ENHERTU</w:t>
      </w:r>
      <w:r>
        <w:rPr>
          <w:rFonts w:ascii="Times New Roman" w:hAnsi="Times New Roman"/>
          <w:color w:val="000000"/>
          <w:sz w:val="13"/>
        </w:rPr>
        <w:t>®</w:t>
      </w:r>
      <w:r>
        <w:rPr>
          <w:rFonts w:ascii="Times New Roman" w:hAnsi="Times New Roman"/>
          <w:color w:val="000000"/>
          <w:sz w:val="20"/>
        </w:rPr>
        <w:t xml:space="preserve"> (fam-trastuzumab deruxtecan-nxki) in patients with unresectable or metastatic HER2-positive and HER2-low breast cancer.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pPr>
      <w:r>
        <w:rPr>
          <w:rFonts w:ascii="Times New Roman" w:hAnsi="Times New Roman"/>
          <w:b/>
          <w:color w:val="000000"/>
          <w:sz w:val="20"/>
        </w:rPr>
        <w:t>PD-1/programmed death-ligand 1 (PD-L1) immune checkpoint inhibitors (the “</w:t>
      </w:r>
      <w:r>
        <w:rPr>
          <w:rFonts w:ascii="Times New Roman" w:hAnsi="Times New Roman"/>
          <w:b/>
          <w:i/>
          <w:color w:val="000000"/>
          <w:sz w:val="20"/>
        </w:rPr>
        <w:t>don’t activate T-cells</w:t>
      </w:r>
      <w:r>
        <w:rPr>
          <w:color w:val="000000"/>
        </w:rPr>
        <w:t xml:space="preserve">” </w:t>
      </w:r>
      <w:r>
        <w:rPr>
          <w:rFonts w:ascii="Times New Roman" w:hAnsi="Times New Roman"/>
          <w:b/>
          <w:color w:val="000000"/>
          <w:sz w:val="20"/>
        </w:rPr>
        <w:t>signal):</w:t>
      </w:r>
      <w:r>
        <w:rPr>
          <w:color w:val="000000"/>
        </w:rPr>
        <w:t xml:space="preserve"> </w:t>
      </w:r>
      <w:r>
        <w:rPr>
          <w:rFonts w:ascii="Times New Roman" w:hAnsi="Times New Roman"/>
          <w:b/>
          <w:color w:val="000000"/>
          <w:sz w:val="20"/>
        </w:rPr>
        <w:t>Combining with PD-1/PD-L1 checkpoint inhibitor, where evorpacept activates dendritic cells that are constitutively inhibited by the CD47/ SIRP alpha pathway.</w:t>
      </w:r>
      <w:r>
        <w:rPr>
          <w:color w:val="000000"/>
        </w:rPr>
        <w:t xml:space="preserve"> </w:t>
      </w:r>
      <w:r>
        <w:rPr>
          <w:rFonts w:ascii="Times New Roman" w:hAnsi="Times New Roman"/>
          <w:color w:val="000000"/>
          <w:sz w:val="20"/>
        </w:rPr>
        <w:br/>
        <w:t>Activated dendritic cells present neoantigens to T-cells that, once activated, will kill cancer cells when the PD-1/PD-L1 inhibitory interaction is blocked by T-cell checkpoint inhibitors. The combination with a PD-1/PD-L1 checkpoint inhibitor allows maximum activity of these newly activated T-cells. This mechanism of action is being investigated in our clinical trials, ASPEN-03 and ASPEN-04, two randomized Phase 2 studies in combination with KEYTRUDA</w:t>
      </w:r>
      <w:r>
        <w:rPr>
          <w:rFonts w:ascii="Times New Roman" w:hAnsi="Times New Roman"/>
          <w:color w:val="000000"/>
          <w:sz w:val="13"/>
        </w:rPr>
        <w:t>®</w:t>
      </w:r>
      <w:r>
        <w:rPr>
          <w:color w:val="000000"/>
        </w:rPr>
        <w:t xml:space="preserve"> </w:t>
      </w:r>
      <w:r>
        <w:rPr>
          <w:rFonts w:ascii="Times New Roman" w:hAnsi="Times New Roman"/>
          <w:color w:val="000000"/>
          <w:sz w:val="20"/>
        </w:rPr>
        <w:t xml:space="preserve">(pembrolizumab), without or with chemotherapy, respectively, comparing to the same treatments without evorpacept, in first line head and neck squamous cell carcinoma (HNSCC). Validation of this mechanism is supported by our Phase 1 data (n=23) in the same indications and combinations where we saw an improvement in overall survival (OS) at 12 months with respect to historical data.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second product candidate is ALX2004, a novel EGFR-targeted ADC. ALX2004 was created from our proprietary linker-payload platform and fully designed and developed in-house by our scientists. ALX2004 comprises an affinity-tuned anti-EGFR antibody backbone engineered for optimal activity as an ADC, a proprietary topoisomerase I inhibitor payload with enhanced bystander effect, and a linker with enhanced stability. EGFR is clinically validated as a therapeutic target with several U.S. Food and Drug Administration (FDA)-approved targeted antibodies and small molecules. However, there are currently no approved EGFR-targeted ADCs and early-generation attempts to develop EGFR-targeted ADCs were limited by drug design, on-target off-tumor toxicities and toxicity of older generation payloads.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We are pursuing the following clinical programs, collaborations, and investigator-sponsored trials:</w:t>
      </w:r>
    </w:p>
    <w:p>
      <w:pPr>
        <w:pStyle w:val="TextBody"/>
        <w:bidi w:val="0"/>
        <w:spacing w:before="180" w:after="120"/>
        <w:jc w:val="left"/>
        <w:rPr>
          <w:rFonts w:ascii="Times New Roman" w:hAnsi="Times New Roman"/>
          <w:b/>
          <w:i/>
          <w:color w:val="000000"/>
          <w:sz w:val="20"/>
        </w:rPr>
      </w:pPr>
      <w:r>
        <w:rPr>
          <w:rFonts w:ascii="Times New Roman" w:hAnsi="Times New Roman"/>
          <w:b/>
          <w:i/>
          <w:color w:val="000000"/>
          <w:sz w:val="20"/>
        </w:rPr>
        <w:t>Evorpacept</w:t>
      </w:r>
    </w:p>
    <w:p>
      <w:pPr>
        <w:pStyle w:val="TextBody"/>
        <w:bidi w:val="0"/>
        <w:jc w:val="left"/>
        <w:rPr>
          <w:rFonts w:ascii="Times New Roman" w:hAnsi="Times New Roman"/>
          <w:i/>
          <w:color w:val="000000"/>
          <w:sz w:val="20"/>
        </w:rPr>
      </w:pPr>
      <w:r>
        <w:rPr>
          <w:rFonts w:ascii="Times New Roman" w:hAnsi="Times New Roman"/>
          <w:i/>
          <w:color w:val="000000"/>
          <w:sz w:val="20"/>
        </w:rPr>
        <w:t>Combination with anti-cancer antibody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ASPEN-06 -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2020, the FDA granted Fast Track designation for evorpacept in combination with trastuzumab, ramucirumab and paclitaxel for the treatment of patients with HER2-overexpressing advanced gastric or GEJ adenocarcinoma with disease progression on or after prior trastuzumab and fluoropyrimidine or platinum containing chemotherapy.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2022, the FDA’s Office of Orphan Products Development granted Orphan Drug Designation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2022, we announced the dosing of the first patient in the multi-center, international ASPEN-06 trial, a randomized Phase 2/3 trial of evorpacept in combination with trastuzumab, ramucirumab and paclitaxel for the treatment of second- and third-line advanced HER2-overexpressing gastric/GEJ cancer, where all patients had received an anti-HER2 agent in prior lines of therapy.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2023, the European Commission granted ODD to evorpacept for the treatment of patients with gastric/GEJ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October 2023, we announced positive prespecified interim Phase 2 clinical data from our ASPEN-06 clinical trial. This prespecified interim analysis reported results from 54 randomized patients with second and third line gastric/GEJ cancer, including patients previously treated with fam-trastuzumab deruxtecan-nxki and checkpoint inhibitors. A confirmed ORR of 52% was demonstrated for the Evo-TRP treatment arm compared to 22% for the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TRP control arm. An mDOR was not reached for the Evo-TRP treatment arm compared to 7.4 months for the control group. The safety profile of evorpacept was consistent with previous clinical trials and was well-tolerated.</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2024, we announced the topline data from our ASPEN-06 Phase 2 clinical trial. This topline data reported results from 127 randomized patients with second and third line gastric/GEJ cancer and was generally well-balanced across arms based on prespecified stratification factors including line of therapy, prior ENHERTU use, Asia region, tumor location (GC or GEJ), HER2 expression level, and having HER2-positive disease based upon a tissue biopsy after anti-HER2 treatment. A confirmed ORR of 40.3% was demonstrated for the Evo-TRP treatment arm compared to 26.6% for the TRP control arm. The mDOR was 15.7 months for the Evo-TRP treatment arm and 7.6 months for the TRP control arm in the full trial population. In patients with fresh HER2-positive biopsies (n=48), Evo-TRP demonstrated an ORR of 54.8% compared to 23.1% for the TRP control.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January 2025, we presented updated results from the ASPEN-06 Phase 2 clinical trial in an oral presentation at the 2025 ASCO Gastrointestinal Cancers Symposium. A confirmed ORR of 41.3% was demonstrated for the Evo-TRP treatment arm compared to 26.6% for the TRP control arm in the ITT patient population. In patients with confirmed HER2-positive expression as determined by either fresh biopsy or ctDNA HER2-positivity (n=96), the addition of evorpacept to TRP resulted in a 48.9% ORR, an mDOR of 15.7 months and mPFS of 7.5 months, compared to a 24.5% ORR, an mDOR of 9.1 months and mPFS of 6.7 months in the TRP control group, with a PFS HR of 0.64.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2025, we received guidance from the FDA that the ASPEN-06 Phase 2 trial data evaluating Evo-TRP was not eligible for submission for accelerated approval given the availability of ENHERTU. A Phase 3 versus ENHERTU trial would be needed to pursue a regulatory approval of evorpacept in the second-line setting for HER2-positive gastric and GEJ. Given our disciplined focus and the allocation of our resources, we will not pursue a U.S. registrational path with a Phase 3 trial in gastric cancer and will consider exploring development partnerships to advance this program in gastric cancer.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ASPEN-Breast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randomized Phase 2 clinical trial evaluating evorpacept in combination with trastuzumab and chemotherapy for the treatment of patients with HER2-positive metastatic breast cancer after prior treatment with fam-trastuzumab deruxtecan-nxki.</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ASPEN-CRC - Colorectal Cancer (CRC)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announced intent to initiate a Phase 1b study evaluating evorpacept in combination with the EGFR-targeted antibody cetuximab and FOLFIRI for the treatment of patients with second-line metastatic CRC.</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antibody-drug conjugate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ASPEN-07 - Urothelial Cancer (UC)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2023, we announced the dosing of the first patient in the ASPEN-07 trial, a Phase 1 study evaluating evorpacept in combination with an ADC, enfortumab vedotin-ejfv (EV), for the second-line treatment of locally advanced or metastatic UC.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June 2024, interim Phase 1 data were presented in a poster presentation at the 2024 ASCO Annual Meeting. The ASCO poster presentation data-cut reported an unconfirmed ORR of 59% (n=22) with evorpacept plus EV (EV single agent ORR benchmark is 41%). Following the April data cut-off, four additional response evaluable patients yielded an unconfirmed ORR of 61% (n=26) including two confirmed complete responses and six confirmed partial responses. These findings represent the first evorpacept combination data with an ADC from ASPEN-07’s ongoing, open-label, single-arm, clinical trial of evorpacept in combination with EV in patients with locally advanced or metastatic urothelial cancer. Continued follow-up for patients who are EV-naïve on ASPEN-07 is ongoing.</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May 2025, we made the decision to discontinue evaluation of evorpacept in combination with EV in urothelial cancer based on the final data analysis showing that, in the ASPEN-07 trial, the addition of evorpacept to treatment with EV did not meet the bar for improved efficacy. </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ASPEN-03 -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May 2021, we announced the dosing of the first patient in the ASPEN-03 trial, a randomized Phase 2 trial of evorpacept in combination with pembrolizumab for the treatment of first-line advanced PD-L1 positive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2022, the FDA granted Fast Track designation for evorpacept in combination with pembrolizumab for first-line treatment of adult patients with metastatic or unresectable, recurrent HNSCC whose tumors express PD-L1.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2025, we announced topline data from the ASPEN-03 Phase 2 clinical trial. Evorpacept in combination with pembrolizumab did not meet the primary endpoints in the ASPEN-03 trial of improved ORR as compared to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historical controls of pembrolizumab alone, as a first-line treatment in patients with advanced HNSCC. The combination of evorpacept and pembrolizumab in ASPEN-03 demonstrated a manageable safety profile and was consistent with what has been previously reported for pembrolizumab. We will no longer pursue evorpacept in combination with pembrolizumab in HNSCC.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ASPEN-04 - Head and Neck Squamous Cell Carcinoma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2020, the FDA granted Fast Track designation for evorpacept in combination with pembrolizumab, platinum, and fluorouracil for the first-line treatment of adult patients with metastatic or unresectable, recurrent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July 2021, we announced the dosing of the first patient in the ASPEN-04 trial, a randomized Phase 2 trial of evorpacept in combination with pembrolizumab, platinum, and fluorouracil for the treatment of first-line advanced HNSCC.</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2025, we announced topline data from the ASPEN-04 Phase 2 clinical trial. Evorpacept in combination with pembrolizumab with chemotherapy did not meet the primary endpoints in the ASPEN-04 trial of improved ORR as compared to historical controls of pembrolizumab with chemotherapy, as a first-line treatment in patients with advanced HNSCC. The combination of evorpacept and pembrolizumab with chemotherapy in ASPEN-04 demonstrated a manageable safety profile and was consistent with what has been previously reported for pembrolizumab and chemotherapy in this setting. We will no longer pursue evorpacept in combination with pembrolizumab in HNSCC.</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Collaborations and Investigator-Sponsored Trials (ISTs)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Combination with anti-cancer antibody or ADC</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Jazz Pharmaceuticals plc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Jazz Pharmaceuticals plc (Jazz), is sponsoring and managing an ongoing Phase 1 trial of zanidatamab, a HER2-targeted anti-cancer antibody, for the treatment of advanced HER2-expressing breast cancer and other solid tumors in combination with evorpacept (Zanidatamab Trial). We announced the dosing of the first patient in this trial in October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initial collaborator for the Zanidatamab Trial was Zymeworks Inc. (Zymeworks), however in a series of transactions commencing in October 2022, Jazz assumed responsibility from Zymeworks for the development and commercialization of zanidatamab in the United States, Europe, Japan and certain other territories, including responsibility for the Zanidatamab Trial.</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December 2024, Phase 1b/2 data were presented in a poster presentation at the 2024 San Antonio Breast Cancer Symposium (SABCS). The SABCS poster presentation data-cut reported on efficacy findings from all three of the part-two trial cohorts: Cohort 1 (n=21) consisted of patients with HER2-positive breast cancer who had received prior ENHERTU and also a median of six prior systemic therapies in the metastatic setting. Patients were enrolled based on local assessment of tumor samples or central assessment. Of the 21 patients enrolled in Cohort 1, nine were found to be HER2-positive based on central assessment. Cohort 2 (n=15) consisted of patients with HER2-low breast cancer who had received a median of five prior systemic therapies. Cohort 3 (n=8) consisted of patients with other HER2-expressing cancers. Patients in Cohort 1 who were HER2-positive by central assessment (n=9) showed the greatest anti-tumor activity with a confirmed ORR of 55.6% and a median progression free survival (mPFS) of 7.4 months. Overall, patients in Cohort 1 (n=21) had a confirmed ORR and mPFS of 33.3% and 3.6 months, respectively. Patients in Cohort 2 had a confirmed ORR and mPFS of 20.0% and 1.9 months, respectively. As of the August 2024 data cutoff, median follow-up was 9.6 months, with six patients still on treatment. The median duration of response was not reached for Cohort 1 patients (range: 3.6-25.9 months) and was 5.5 months for Cohort 2 patients (range: 3.6-11.0 months), with responses ongoing, including the longest observed response, in each cohort.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Quantum Leap Healthcare Collaborative - I-SPY Trial - Breast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Our collaborator, Quantum Leap Healthcare Collaborative (Quantum Leap), is sponsoring and managing an ongoing Phase 1 trial (I-SPY) to evaluate evorpacept in combination with fam-trastuzumab deruxtecan-nxki for the treatment of patients with unresectable or metastatic HER2-positive and HER2-low breast cancer. We announced the dosing of the first patient in March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MD Anderson Cancer Center - Non-Hodgkin Lymphoma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2021, an IST of evorpacept was initiated in combination with rituximab and lenalidomide (R</w:t>
      </w:r>
      <w:r>
        <w:rPr>
          <w:rFonts w:ascii="Times New Roman" w:hAnsi="Times New Roman"/>
          <w:color w:val="000000"/>
          <w:sz w:val="13"/>
        </w:rPr>
        <w:t>2</w:t>
      </w:r>
      <w:r>
        <w:rPr>
          <w:rFonts w:ascii="Times New Roman" w:hAnsi="Times New Roman"/>
          <w:color w:val="000000"/>
          <w:sz w:val="20"/>
        </w:rPr>
        <w:t>) for the treatment of patients with indolent and aggressive NHL, sponsored by MD Anderson Cancer Center in Texas. We announced the dosing of the first patient in September 2021.</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2024, MD Anderson Cancer Center reported clinical data from the ongoing Phase 1/2 IST of evorpacept in combination with R2 in patients with R/R B-NHL. The new data were presented in an oral presentation at the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left"/>
        <w:rPr/>
      </w:pPr>
      <w:r>
        <w:rPr>
          <w:rFonts w:ascii="Times New Roman" w:hAnsi="Times New Roman"/>
          <w:color w:val="000000"/>
          <w:sz w:val="20"/>
        </w:rPr>
        <w:t>2024 American Association for Cancer Research (AACR) Annual Meeting. The Phase 1 part of the clinical trial enrolled a total of 20 patients with indolent (n=18) and aggressive (n=2) R/R B-NHL where all patients had received prior rituximab and 72% had received prior chemoimmunotherapy. Patients received evorpacept 30 mg/kg every two weeks (Q2W) (n=3) or 60 mg/kg every four weeks (Q4W) (n=17) in combination with standard R2 treatment. The regimen was well tolerated, and there were no dose-limiting toxicities. Patients with indolent R/R B-NHL (n=18) had a best ORR of 94% and a complete response rate of 83%. The median duration of response was not reached.</w:t>
      </w:r>
      <w:r>
        <w:rPr>
          <w:color w:val="000000"/>
        </w:rPr>
        <w:t xml:space="preserve">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April 2025, final data for the Phase 1 portion of the MD Anderson Cancer Center IST was presented at the 2025 AACR Annual Meeting. In the total population (n=20), after a median follow-up of 28 months (95% CI, 18-28 months) the two-year progression-free survival (PFS) rate was 69% and two-year OS rate was 84%. The Phase 2 portion of the clinical trial in patients with previously untreated indolent NHL is ongoing and has completed enrollment.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Sanofi - Multiple Myeloma</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pPr>
      <w:r>
        <w:rPr>
          <w:rFonts w:ascii="Times New Roman" w:hAnsi="Times New Roman"/>
          <w:color w:val="000000"/>
          <w:sz w:val="20"/>
        </w:rPr>
        <w:t>In April 2023, we announced a collaboration with Sanofi who will sponsor and manage a Phase 1/2 trial of SARCLISA</w:t>
      </w:r>
      <w:r>
        <w:rPr>
          <w:rFonts w:ascii="Times New Roman" w:hAnsi="Times New Roman"/>
          <w:color w:val="000000"/>
          <w:sz w:val="13"/>
        </w:rPr>
        <w:t>®</w:t>
      </w:r>
      <w:r>
        <w:rPr>
          <w:color w:val="000000"/>
        </w:rPr>
        <w:t xml:space="preserve"> </w:t>
      </w:r>
      <w:r>
        <w:rPr>
          <w:rFonts w:ascii="Times New Roman" w:hAnsi="Times New Roman"/>
          <w:color w:val="000000"/>
          <w:sz w:val="20"/>
        </w:rPr>
        <w:t>(isatuximab), an anti-cancer antibody, and dexamethasone in combination with evorpacept for the treatment of patients with relapsed or refractory multiple myeloma. We announced the dosing of the first patient in September 2024.</w:t>
      </w:r>
    </w:p>
    <w:p>
      <w:pPr>
        <w:pStyle w:val="TextBody"/>
        <w:bidi w:val="0"/>
        <w:spacing w:before="180" w:after="283"/>
        <w:jc w:val="left"/>
        <w:rPr>
          <w:rFonts w:ascii="Times New Roman" w:hAnsi="Times New Roman"/>
          <w:i/>
          <w:color w:val="000000"/>
          <w:sz w:val="20"/>
        </w:rPr>
      </w:pPr>
      <w:r>
        <w:rPr>
          <w:rFonts w:ascii="Times New Roman" w:hAnsi="Times New Roman"/>
          <w:i/>
          <w:color w:val="000000"/>
          <w:sz w:val="20"/>
        </w:rPr>
        <w:t>Combination with PD-1/PD-L1 immune checkpoint inhibitor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Pittsburgh - Ovarian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2023, a Phase 2 IST of evorpacept was initiated in combination with liposomal doxorubicin and pembrolizumab in patients with recurrent platinum-resistant ovarian cancer, sponsored by the University of Pittsburgh in Pennsylvania. We announced the dosing of the first patient in May 2023.</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University of California San Diego - Oropharyngeal Cancer</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xml:space="preserve">In April 2024, a Phase 2 IST of evorpacept was initiated in combination with neoadjuvant radiation and pembrolizumab in patients with previously untreated and early-stage locally advanced, resectable, human papillomavirus-mediated oropharyngeal cancer, sponsored by the University of California San Diego. </w:t>
      </w:r>
    </w:p>
    <w:p>
      <w:pPr>
        <w:pStyle w:val="TextBody"/>
        <w:bidi w:val="0"/>
        <w:spacing w:before="180" w:after="283"/>
        <w:jc w:val="left"/>
        <w:rPr>
          <w:rFonts w:ascii="Times New Roman" w:hAnsi="Times New Roman"/>
          <w:b/>
          <w:i/>
          <w:color w:val="000000"/>
          <w:sz w:val="20"/>
        </w:rPr>
      </w:pPr>
      <w:r>
        <w:rPr>
          <w:rFonts w:ascii="Times New Roman" w:hAnsi="Times New Roman"/>
          <w:b/>
          <w:i/>
          <w:color w:val="000000"/>
          <w:sz w:val="20"/>
        </w:rPr>
        <w:t>Early Pipeline Programs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Tallac Therapeutics - ALTA-002</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ALTA-002 is a collaboration between us and Tallac Therapeutics, Inc. (Tallac) that combines our company’s SIRPα antibody with Tallac’s toll-like receptor 9 (TLR9) agonist, resulting in a potent immune activator targeted to myeloid cells in the tumor to promote innate and adaptive anti-cancer immune responses. This novel Toll-like receptor agonist antibody conjugation platform (TRAAC) enables systemic delivery of targeted TLR9 activation.</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February 2024, we filed an investigative new drug (IND) application for ALTA-002 and in March 2024, the FDA cleared the IND to evaluate ALTA-002 in a Phase 1 clinical trial for patients with advanced solid tumors.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ADC Program - ALX2004</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ALX2004 is a novel EGFR-targeted ADC that was created from our proprietary linker-payload platform and fully designed and developed in-house by our scientists. ALX2004 comprises an affinity-tuned anti-EGFR antibody backbone engineered for optimal activity as an ADC, a proprietary topoisomerase I inhibitor payload with enhanced bystander effect, and a linker with enhanced stability.</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o</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In March 2025, we filed an IND application for our first ADC program, ALX2004 and in April 2025, the FDA cleared the IND to evaluate ALX2004 in a Phase 1 clinical trial for patients with epidermal growth factor receptor expressing solid tumors.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our founding, we have devoted substantially all of our resources to developing evorpacept, identifying and advancing preclinical programs, including the initiation and advancement of clinical trials of ALX2004, scaling up manufacturing, conducting clinical trials and providing general and administrative support for these operations. We have no products approved for marketing and we have never received any revenue from drug product sales.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inception through March 31, 2025, we have raised an aggregate of $643.5 million to fund our operations, of which $175.1 million were net proceeds from sales of our convertible preferred stock, $5.8 million were net proceeds from borrowings under a term loan, $169.5 million were net proceeds from our initial public offering, $194.9 million were net proceeds from our follow-on offering in December 2020, $9.3 million were net proceeds from borrowings under the Loan Agreement (as defined below), $58.9 million were net proceeds from our follow-on offering in October 2023, and $30.0 million were net proceeds from our at-the-market (ATM) offering. For more information on the funding of our operations since inception, see section titled “—Liquidity and Capital Resources; Plan of Operations—Funding Requirements” included elsewhere in this Quarterly Report on Form 10-Q.</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in each year since inception. Our net losses were $30.8 million and $35.6 million for the three months ended March 31, 2025 and 2024, respectively. As of March 31, 2025, we had an accumulated deficit of $651.9 million. Substantially all of our operating losses are a result of expenses incurred in connection with our research and development programs, primarily evorpacept, and from general and administrative expenses associated with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We expect our expenses will increase substantially in connection with our ongoing activities, as we: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evorpacept through multiple clinical trials in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pursue regulatory approval of evorpacept in solid tumors and hematological malignancies;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advance ALX2004 through a first-in-human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preclinical and clinical development efforts;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 and maintain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manufacture supplies for our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to add operational, financial and management information systems to support ongoing operations as a public company.</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Nasdaq Minimum Bid Price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April 23, 2025, we received a written notice (Notice), from the Listing Qualifications Staff (Staff) of The Nasdaq Stock Market LLC (Nasdaq) notifying us that we have not been in compliance with the minimum bid price requirement for continued listing on the Nasdaq Global Select Market set forth in Nasdaq Listing Rule 5450(a)(1) for a period of 30 consecutive business days. The Notice has no immediate effect on the listing of our common stock on the Nasdaq Global Select Market, subject to our compliance with the other listing requirements of Nasdaq.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accordance with Nasdaq Listing Rule 5810(c)(3)(A), we have been provided a compliance period of 180 calendar days from the date of the Notice, or until October 20, 2025, to regain compliance with the minimum bid price requirement. To regain compliance with Nasdaq’s minimum bid price requirement, the closing price per share of our common stock must be at least $1.00 per share for a minimum of ten consecutive business days during the 180-calendar day compliance period, unless the Staff exercises its discretion to extend this ten-business day period. If we do not regain compliance during the 180-calendar day compliance period, we may be afforded a second 180-calendar day compliance period to regain compliance if we elect to transfer to the Nasdaq Capital Market. To qualify, we must meet the continued listing requirement for market value of publicly-held shares and all other initial listing standards for the Nasdaq Capital Market (with the exception of the minimum bid price requirement) and notify Nasdaq of our intent to cure the deficiency. If we do not regain compliance within the allotted compliance periods, including any extensions that may be granted by Nasdaq, our common stock will be subject to delisting. There can be no assurance that we will be eligible for the second compliance period, if applicable, or that the Staff would grant our request for continued listing subsequent to any delisting notification. If, during any compliance period, our common stock has a closing bid price of $0.10 per share or less for ten consecutive trading days, the Staff will issue a delisting determination under Nasdaq Listing Rule 5810(c)(3)(A)(iii) with respect to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intend to actively monitor the closing bid price of our common stock and assess potential actions to regain compliance during the 180-calendar day compliance period, including effecting a reverse stock split, if necessary. While we are exercising diligent efforts to maintain the listing of our common stock on the Nasdaq Global Select Market, there can be no assurance that we will be able to regain or maintain compliance with the minimum bid price requirement or any other Nasdaq listing requirements.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Components of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Expenses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expenses consist primarily of costs incurred for the development of our lead product candidate, evorpacept, which include: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incurred in connection with preclinical and clinical development, including expenses incurred under collaboration agreements and under agreements with contract research organizations,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employee-related expenses, including salaries, related benefits, travel and stock-based compensation expenses for employees engaged in research and development functions;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expenses related to production of clinical materials, including fees paid to contract manufacturing organizations, or CMOs;</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laboratory, vendor expenses and third-party drugs related to the execution of preclinical studies and clinical trials;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facilities and other expenses, which include expenses for rent and maintenance of facilities, depreciation and amortization expense and other supplies.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expense research and development costs as incurred. Nonrefundable advance payments for goods or services to be received in future periods for use in research and development activities are deferred and capitalized. The capitalized amounts are then expensed as the related goods are delivered or as services are performed. We record accruals for estimated costs of research, preclinical studies, clinical trials and manufacturing development, which are a significant component of research and development expenses. We determine the estimated costs through discussions with internal personnel and external service providers as to the progress or stage of completion of the services and the agreed-upon fees to be paid for such services.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research and development expenses consist primarily of costs associated with the development of our lead product candidate, evorpacept, and include external costs, such as fees paid to consultants, central laboratories, contractors, collaborators, CMOs and CROs in connection with our preclinical and clinical development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Almost all of our research and development expenses to date have been related to the clinical development of our lead product candidate, evorpacept, and the initiation and advancement of ALX2004. We expect to incur significant research and development expenses in the foreseeable future as we continue to invest in research and development activities related to progress on our existing product candidates. As our product candidates advance into later stages of development, we begin to conduct larger clinical trials. The process of conducting the necessary clinical trials to obtain regulatory approval is costly and time-consuming, and the successful development of our product candidates is highly uncertain. As a result, we are unable to determine the duration and completion costs of our research and development projects or when and to what extent we will generate revenue from the commercialization and sale of any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successful development of our current and future product candidates is highly uncertain. This is due to numerous risks and uncertainties, including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completion of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delays in regulators or institutional review boards authorizing us or our investigators to commence our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negotiate agreements with clinical trial sites or CROs;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location of clinical sites included in the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raising additional funds necessary to complete clinical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obtaining and maintaining patent, trade secret and other intellectual property protection and regulatory exclusivity for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contracting with third-party manufacturers for clinical supplies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protecting and enforcing our rights in our intellectual property portfolio, including, if necessary, litigation;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maintaining a continued acceptable safety profile of the products following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variables with respect to the development of our product candidates may significantly impact the costs and timing associated with the development of our product candidates. We may never succeed in obtaining regulatory approval for any of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Research and development activities are essential to our business model. There are numerous factors associated with the successful commercialization of our product candidates, including future trial design and various regulatory requirements, many of which cannot be determined with accuracy at this time based on our stage of development. In addition, future regulatory factors beyond our control may impact the success, cost or timing of our clinical development programs.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primarily of personnel-related expenses, business development expenses, facilities expenses, depreciation and amortization expenses and professional services expenses, including legal, human resources, audit, accounting and tax-related services, and directors and officers liability insurance premiums. Personnel and related costs consist of salaries, benefits and stock-based compensation expenses. Facilities costs consist of rent and maintenance of facilities.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anticipate that our general and administrative expenses will continue to increase as a result of increased headcount, inflationary pressures, expanded infrastructure and higher costs of consulting, legal, tax and regulatory-related services associated with maintaining compliance with stock exchange listing and Securities and Exchange Commission (SEC) requirements, audit and investor relations costs, director and officer insurance premiums and other costs associated with being a public company.</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income consists primarily of interest income on cash, cash equivalents and short-term and long-term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interest expense consists primarily of interest expense on the term loan, amortization of deferred debt issuance costs, and interest related to finance leases.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other income (expense), net consists primarily of realized foreign currency transaction gains and losses.</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 and Net Loss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results of operations for the three months ended March 31, 2025 and 2024 (in thousands):</w:t>
      </w:r>
    </w:p>
    <w:tbl>
      <w:tblPr>
        <w:tblW w:w="7642" w:type="dxa"/>
        <w:jc w:val="left"/>
        <w:tblInd w:w="0" w:type="dxa"/>
        <w:tblLayout w:type="fixed"/>
        <w:tblCellMar>
          <w:top w:w="28" w:type="dxa"/>
          <w:left w:w="28" w:type="dxa"/>
          <w:bottom w:w="28" w:type="dxa"/>
          <w:right w:w="28" w:type="dxa"/>
        </w:tblCellMar>
      </w:tblPr>
      <w:tblGrid>
        <w:gridCol w:w="2586"/>
        <w:gridCol w:w="146"/>
        <w:gridCol w:w="211"/>
        <w:gridCol w:w="736"/>
        <w:gridCol w:w="166"/>
        <w:gridCol w:w="146"/>
        <w:gridCol w:w="211"/>
        <w:gridCol w:w="736"/>
        <w:gridCol w:w="166"/>
        <w:gridCol w:w="146"/>
        <w:gridCol w:w="211"/>
        <w:gridCol w:w="631"/>
        <w:gridCol w:w="166"/>
        <w:gridCol w:w="146"/>
        <w:gridCol w:w="146"/>
        <w:gridCol w:w="376"/>
        <w:gridCol w:w="716"/>
      </w:tblGrid>
      <w:tr>
        <w:trPr/>
        <w:tc>
          <w:tcPr>
            <w:tcW w:w="25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7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w:t>
            </w:r>
          </w:p>
        </w:tc>
        <w:tc>
          <w:tcPr>
            <w:tcW w:w="7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7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7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5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(30,754</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(35,581</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4,827</w:t>
            </w:r>
          </w:p>
        </w:tc>
        <w:tc>
          <w:tcPr>
            <w:tcW w:w="16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left"/>
              <w:rPr/>
            </w:pPr>
            <w:r>
              <w:rPr/>
              <w:t> </w:t>
            </w:r>
          </w:p>
        </w:tc>
        <w:tc>
          <w:tcPr>
            <w:tcW w:w="376" w:type="dxa"/>
            <w:tcBorders>
              <w:top w:val="single" w:sz="4" w:space="0" w:color="000000"/>
              <w:bottom w:val="double" w:sz="6" w:space="0" w:color="000000"/>
            </w:tcBorders>
            <w:shd w:fill="CFF0FC"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716"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Research and Development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research and development (R&amp;D) expenses incurred for the three months ended March 31, 2025 and 2024 (in thousands):</w:t>
      </w:r>
    </w:p>
    <w:tbl>
      <w:tblPr>
        <w:tblW w:w="8392" w:type="dxa"/>
        <w:jc w:val="left"/>
        <w:tblInd w:w="0" w:type="dxa"/>
        <w:tblLayout w:type="fixed"/>
        <w:tblCellMar>
          <w:top w:w="28" w:type="dxa"/>
          <w:left w:w="28" w:type="dxa"/>
          <w:bottom w:w="28" w:type="dxa"/>
          <w:right w:w="28" w:type="dxa"/>
        </w:tblCellMar>
      </w:tblPr>
      <w:tblGrid>
        <w:gridCol w:w="3696"/>
        <w:gridCol w:w="146"/>
        <w:gridCol w:w="211"/>
        <w:gridCol w:w="676"/>
        <w:gridCol w:w="146"/>
        <w:gridCol w:w="146"/>
        <w:gridCol w:w="211"/>
        <w:gridCol w:w="676"/>
        <w:gridCol w:w="146"/>
        <w:gridCol w:w="146"/>
        <w:gridCol w:w="211"/>
        <w:gridCol w:w="631"/>
        <w:gridCol w:w="166"/>
        <w:gridCol w:w="146"/>
        <w:gridCol w:w="146"/>
        <w:gridCol w:w="376"/>
        <w:gridCol w:w="516"/>
      </w:tblGrid>
      <w:tr>
        <w:trPr/>
        <w:tc>
          <w:tcPr>
            <w:tcW w:w="36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7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Clinical and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Preclinical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7,563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4,998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research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1,545</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2,467</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6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23,888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31,717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R&amp;D expenses decreased by $7.8 million during the three months ended March 31, 2025 compared to the three months ended March 31, 2024. The decrease was primarily attributable to a decrease of $7.0 million in clinical and development costs primarily due to manufacturing of clinical trial materials, the majority of which was completed in early 2024, to support active clinical trials for our lead product candidate, evorpacept, a decrease of $2.0 million in stock-based compensation expense due to terminations from the reduction in workforce as well as modification from the December 2024 option exchange, and a decrease of $0.9 million in other research costs due to absence of development milestone payment compared to the prior period. These decreases were offset by an increase of $1.7 million in personnel and related costs primarily driven by severance costs from the reduction in workforce and an increase of $0.4 million in preclinical costs for development of new targets.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General and Administrative Expenses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summarizes our general and administrative (G&amp;A) expenses incurred for the three months ended March 31, 2025 and 2024 (in thousands):</w:t>
      </w:r>
    </w:p>
    <w:tbl>
      <w:tblPr>
        <w:tblW w:w="8105" w:type="dxa"/>
        <w:jc w:val="left"/>
        <w:tblInd w:w="0" w:type="dxa"/>
        <w:tblLayout w:type="fixed"/>
        <w:tblCellMar>
          <w:top w:w="28" w:type="dxa"/>
          <w:left w:w="28" w:type="dxa"/>
          <w:bottom w:w="28" w:type="dxa"/>
          <w:right w:w="28" w:type="dxa"/>
        </w:tblCellMar>
      </w:tblPr>
      <w:tblGrid>
        <w:gridCol w:w="3741"/>
        <w:gridCol w:w="146"/>
        <w:gridCol w:w="213"/>
        <w:gridCol w:w="577"/>
        <w:gridCol w:w="147"/>
        <w:gridCol w:w="147"/>
        <w:gridCol w:w="213"/>
        <w:gridCol w:w="577"/>
        <w:gridCol w:w="146"/>
        <w:gridCol w:w="146"/>
        <w:gridCol w:w="211"/>
        <w:gridCol w:w="571"/>
        <w:gridCol w:w="146"/>
        <w:gridCol w:w="146"/>
        <w:gridCol w:w="146"/>
        <w:gridCol w:w="316"/>
        <w:gridCol w:w="516"/>
      </w:tblGrid>
      <w:tr>
        <w:trPr/>
        <w:tc>
          <w:tcPr>
            <w:tcW w:w="37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7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3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9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t>
            </w:r>
          </w:p>
        </w:tc>
        <w:tc>
          <w:tcPr>
            <w:tcW w:w="5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Personnel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2,825</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5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Stock-based compensation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2,211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general and administrative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2,896</w:t>
            </w:r>
          </w:p>
        </w:tc>
        <w:tc>
          <w:tcPr>
            <w:tcW w:w="1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2,400</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51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4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general and administrative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7,932</w:t>
            </w:r>
          </w:p>
        </w:tc>
        <w:tc>
          <w:tcPr>
            <w:tcW w:w="1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6,045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57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3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51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G&amp;A expenses increased by $1.9 million during the three months ended March 31, 2025 compared to the three months ended March 31, 2024. The increase was primarily attributable to an increase of $1.2 million in personnel and related costs primarily driven by severance costs from the reduction in workforce, an increase of $0.5 million in other G&amp;A costs from legal consulting costs, and an increase of $0.2 million in stock-based compensation expense.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Interest income decreased by $1.1 million for the three months ended March 31, 2025 compared to the three months ended March 31, 2024. The decrease was primarily attributable to lower cash and investment balances during 2025 as compared to 2024.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remained flat for the three months ended March 31, 2025 compared to the three months ended March 31, 2024 due to similar interest rates during the periods.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income (expense), net remained flat for the three months ended March 31, 2025 compared to the three months ended March 31, 2024.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Liquidity and Capital Resources; Plan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Sources of 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Since our inception, we have incurred significant operating losses and have not generated any product revenue. We have not yet commercialized any of our product candidates and we do not expect to generate revenue from sales of any product candidates for several years, if at all, subject to regulatory and marketing approval of any of our product candidates. To date, we have funded our operations with proceeds from the sales of shares of our common stock and convertible preferred stock and borrowings under our term loan. As of March 31, 2025, we had cash, cash equivalents and short-term and long-term investments of $107.0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Funding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losses and negative cash flows from operations since inception and anticipate that we will continue to incur net losses for the foreseeable future. As of March 31, 2025, we had an accumulated deficit of $651.9 million. We expect our expenses to increase substantially in connection with our ongoing activities, particularly as we advance the preclinical activities and clinical trials for our product candidates in development. In addition, we expect to incur additional costs associated with operating as a public company. Management recognizes the need to raise additional capital to fully implement its business plan. The timing and amount of such future capital requirements are difficult to forecast and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progress of preclinical and clinical development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successful enrollment in and completion of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agreements with third-party manufacturers for clinical supply for our clinical trials and, if any of our product candidates are approved, commercial manufacturing;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 and retention of key research and development personnel;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financial and information management systems, and hire additional personnel, including personnel to support development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and timing of future commercialization activities, including product manufacturing, marketing, sales and distribution, for any of our product candidates for which we obtain marketing approval;</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legal patent costs involved in prosecuting patent applications and enforcing patent claims and other intellectual property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terms and timing of any collaboration, license or other arrangement, including the terms and timing of any milestone and royalty payments thereunder;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maintain our listing on Nasdaq;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and global economic environment, such as inflation, interest rate changes, trade and other global disputes and interruptions, including related to tariffs and trade protection measures, economic downturns, bank failures or instability in the financial services sector, or geopolitical risks, disasters, and medical or public health crises, such as the COVID-19 pandemic, which may exacerbate the magnitude of the factors discussed above.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Until such time, if ever, as we can generate substantial product revenue, we expect to finance our operations through a combination of equity offerings, debt financings, collaborations, strategic alliances and marketing, distribution or licensing arrangements. Other than a loan and security agreement (as amended, the Loan Agreement) we entered into with Oxford Finance LLC, Oxford Finance Credit Fund II LP, and Silicon Valley Bank (SVB) (collectively, the Lenders), for a secured term loan facility of up to $100.0 million in October 2022, we do not have any committed external source of funds. Our ability to raise additional capital may be adversely impacted by potential worsening global economic conditions and the recent disruptions to and volatility in the credit and financial markets in the United States and worldwide. To the extent that we raise additional capital through the sale of equity or convertible debt securities, a stockholder’s ownership interest will be diluted, and the terms of these securities may include liquidation or other preferences that adversely affect one’s rights as a common stockholder.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drug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drug candidates that we would otherwise prefer to develop and market ourselves.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2020, we completed our initial public offering pursuant to a registration statement on Form S-1. In the initial public offering, we issued and sold an aggregate of 9,775,000 shares of common stock, including the underwriters’ exercise in full of their overallotment option, under the registration statement at a public offering price of $19.00 per share. Net proceeds were approximately $169.5 million, after deducting underwriting discounts and commissions of $13.0 million and offering-related expenses of $3.2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2020, we completed our follow-on public offering pursuant to a registration statement on Form S-1. In the follow-on public offering, we issued and sold an aggregate of 2,737,000 shares of common stock, including the underwriters’ exercise in full of their overallotment option, under the registration statement at a public offering price of $76.00 per share. Net proceeds were approximately $194.9 million, after deducting underwriting discounts and commissions of $12.5 million and offering-related expenses of $0.7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2021, we entered a sales agreement (as amended, Sales Agreement) with Cantor Fitzgerald &amp; Co. and Credit Suisse Securities (USA) LLC (Credit Suisse), under which we may offer and sell our common stock, having aggregate gross proceeds of up to $150.0 million, from time to time through them as our sales agents in our ATM offering program. In March 2022, we filed a universal shelf registration statement (2022 Shelf Registration Statement) with the SEC. In May 2022, we filed the amended 2022 Shelf Registration Statement, which was declared effective by the SEC on May 31, 2022. In August 2023, we entered into an amendment to the Sales Agreement to include UBS Securities LLC as an additional sales agent and to remove Credit Suisse as a sales agent. As of March 31, 2025, we sold an aggregate of 2,404,855 shares of common stock under our Sales Agreement for net proceeds of $30.0 million, after deducting commissions. We may terminate this ATM program and the Sales Agreement at any time, pursuant to its terms.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as described above. Upon closing of the Loan Agreement, we drew $10.0 million. Under the original terms of the Loan Agreement, we had the right to draw an additional $40.0 million through the end of 2023. A further $50.0 million was potentially available to us, $25.0 million upon the achievement of pre-determined development milestones and $25.0 million at the Lenders’ sole discretion. For a description of the terms of the Loan Agreement, see “Note 7. Term Loan” to our unaudited condensed consolidated financial statements included elsewhere in this Quarterly Report on Form 10-Q. On May 31, 2023, we entered into a second amendment to the Loan Agreement. The primary purpose of the second amendment was to reduce the percentage of the amount required to be held in our collateral account with SVB-First Citizens from 100% to not less than 50% of the aggregate dollar value of all our collateral accounts.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March 2023, SVB was closed by the California Department of Financial Protection and Innovation, which appointed the Federal Deposit Insurance Corporation (FDIC) to act as receiver. The FDIC created Silicon Valley Bridge Bank, N.A. (SVBB) as successor to SVB. First Citizens BancShares, Inc. (First Citizens Bank) acquired SVBB from the FDIC and operates SVBB as Silicon Valley Bank, a division of First Citizens Bank (SVB-First Citizens). While we have cash in operating accounts with SVB, the majority of our cash, cash equivalents and investments are deposited in custodial accounts held by U.S. Bank for which SVB Asset Management is the investment advisor. There has been no material negative impact to our cash liquidity as a result of the closure of SVB or the subsequent acquisition of SVBB by First Citizens Bank. Under the Loan Agreement, 50% of the funding comes from SVB, one of the three Lenders. Given the SVBB acquisition by First Citizens Bank, SVB-First Citizens will continue to fulfill SVB’s obligations under the Loan Agreement.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October 2023, we completed an underwritten follow-on public offering pursuant to the 2022 Shelf Registration Statement (the October 2023 Offering). In the follow-on public offering, we issued and sold an aggregate of 8,663,793 shares of common stock, including the underwriters’ exercise in full of their overallotment option of 1,293,103 shares of common stock, and, in lieu of common stock to certain investors, pre-funded warrants to purchase 1,250,000 shares of common stock at a public offering price of $6.38 per share and $6.379 per pre-funded warrant. Net proceeds were approximately $58.9 million, after deducting underwriting discounts and commissions of $3.8 million and offering-related expenses of $0.6 million. As of March 31, 2025, no shares underlying the pre-funded warrants had been exercised. On March 6, 2025, we filed a shelf registration statement with the SEC that became effective on April 24, 2025 (the 2025 Shelf Registration Statement). The 2025 Shelf Registration Statement replaced the 2022 Shelf Registration Statement and registered the unsold securities from the 2022 Shelf Registration Statement, including those available under the ATM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December 2023, we entered into a third amendment to the Loan Agreement. The primary purpose of the third amendment was to (i) extend the draw period for the first tranche loans from December 31, 2023 to June 30, 2024, (ii) add as a condition for the funding of any first tranche loans after the effective date of the amendment, requirement that the Phase 2 portion of the ASPEN-06 study in gastric/GEJ cancer either remains ongoing or the achievement of a milestone related to the development of the ASPEN-06 study, and (iii) add a contingency fee in the amount of $0.6 million to the Lenders if the Company prepays any of the loans under the Loan Agreement other than in connection with refinancing of the Loan Agreement with the Lenders and their affiliates.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decided not to draw down on any portion of the $40.0 million available to us under the Loan Agreement by the deadline of June 30, 2024. As a result of this decision, the $40.0 million was added to the $25.0 million available upon the achievement of pre-determined development milestones for a total of $65.0 million available, split equally between each of the two tranches. We did not achieve all of the requirements needed to gain access to each of the two tranches available upon the achievement of pre-determined development milestones by the deadline of December 31, 2024. As a result, only the $25.0 million tranche available at the Lenders’ sole discretion was available to us as of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our existing cash, cash equivalents and investments will enable us to fund our operating expenses and capital expenditure requirements into the fourth quarter of 2026. Additionally, the Company also has the ability to further utilize the ATM program. We have based these estimates on assumptions in which actuals may materially differ, and we could utilize our available capital resources sooner than we expect.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Cash Flows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 presents a summary of the net cash flow activity for the three months ended March 31, 2025 and 2024 (in thousands):</w:t>
      </w:r>
    </w:p>
    <w:tbl>
      <w:tblPr>
        <w:tblW w:w="8329" w:type="dxa"/>
        <w:jc w:val="left"/>
        <w:tblInd w:w="0" w:type="dxa"/>
        <w:tblLayout w:type="fixed"/>
        <w:tblCellMar>
          <w:top w:w="28" w:type="dxa"/>
          <w:left w:w="28" w:type="dxa"/>
          <w:bottom w:w="28" w:type="dxa"/>
          <w:right w:w="28" w:type="dxa"/>
        </w:tblCellMar>
      </w:tblPr>
      <w:tblGrid>
        <w:gridCol w:w="5566"/>
        <w:gridCol w:w="146"/>
        <w:gridCol w:w="211"/>
        <w:gridCol w:w="736"/>
        <w:gridCol w:w="166"/>
        <w:gridCol w:w="146"/>
        <w:gridCol w:w="211"/>
        <w:gridCol w:w="736"/>
        <w:gridCol w:w="411"/>
      </w:tblGrid>
      <w:tr>
        <w:trPr/>
        <w:tc>
          <w:tcPr>
            <w:tcW w:w="55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(24,663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(37,924</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27,645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26,473</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5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3,086</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5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increase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(8,365</w:t>
            </w:r>
          </w:p>
        </w:tc>
        <w:tc>
          <w:tcPr>
            <w:tcW w:w="4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Operating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months ended March 31, 2025, net cash used in operating activities of $24.7 million was attributable to a net loss of $30.8 million, offset by a change in our net operating assets and liabilities of $0.6 million and by non-cash charges of $5.4 million. The change in operating assets and liabilities was primarily due to (i) a decrease in accounts payable, payable and accrued liabilities due to related party, and accrued expenses and other current liabilities of $0.8 million primarily due to timing of invoices and payments, (ii) a decrease in prepaid and other current assets of $1.9 million and (iii) a decrease in other non-current liabilities of $0.5 million. Non-cash charges consisted primarily of stock-based compensation expense of $5.2 million, non-cash lease costs of $0.5 million, and depreciation and amortization costs of $0.2 million offset by net amortization of premiums and accretion of discounts on investments of $0.5 million.</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three months ended March 31, 2024, net cash used in operating activities of $37.9 million was attributable to a net loss of $35.6 million and a change in our net operating assets and liabilities of $8.6 million, offset by non-cash charges of $6.2 million. The change in operating assets and liabilities was primarily due to (i) a decrease in accounts payable and accrued expenses and other current liabilities of $3.6 million primarily due to timing of invoices and payments, (ii) a decrease in other assets of $0.1 million, (iii) an increase in prepaid and other current assets of $4.5 million and (iv) a decrease in other non-current liabilities of $0.6 million. Non-cash charges consisted primarily of stock-based compensation expense of $7.0 million, non-cash lease costs of $0.4 million, and depreciation and amortization costs of $0.2 million offset by net amortization of premiums and accretion of discounts on investments of $1.6 million.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months ended March 31, 2025, net cash provided by investing activities of $27.6 million was attributable to cash received for maturities of investments of $43.5 million offset by purchases of short-term and long-term investments of $15.8 million and purchases of property and equipment of $0.1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months ended March 31, 2024, net cash provided by investing activities of $26.5 million was attributable to cash received for maturities of investments of $57.9 million offset by purchases of short-term and long-term investments of $31.3 million and purchases of property and equipment of $0.1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months ended March 31, 2025, net cash provided by financing activities of $0.1 million was attributable to proceeds from our ATM offering program of $0.4 million offset by principal payments on finance leases of $0.3 million.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three months ended March 31, 2024, net cash provided by financing activities of $3.1 million was attributable to proceeds from our ATM offering program of $3.0 million and proceeds from the exercise of stock options under equity incentive plans of $0.2 million offset by principal payments on finance leases of $0.2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 presented, we did not have, nor do we currently have, any off-balance sheet arrangements, as defined in the rules and regulations of the SEC.</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Critical Accounting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management’s discussion and analysis of financial condition and results of operations is based on our condensed consolidated financial statements, which have been prepared in accordance with generally accepted accounting principles in the United States, or U.S. GAAP. The preparation of these condensed consolidated financial statements requires us to make estimates and assumptions that affect the reported amounts of assets and liabilities and the disclosure of contingent assets and liabilities at the date of the financial statements, as well as the reported expenses during the reporting periods. These items are monitored and analyzed by us for changes in facts and circumstances, and material changes in these estimates could occur in the future. We base our estimates on historical experience and on various other factors that we believe are reasonable under the circumstances, the results of which form the basis for making judgments about the carrying value of assets and liabilities that are not readily apparent from other sources. Changes in estimates are reflected in reported results for the period in which they become known. Actual results may differ significantly from these estimates under different assumptions or conditions.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significant accounting policies and critical accounting estimates are more fully described in the notes to our audited consolidated financial statements and in the section titled “Management’s Discussion and Analysis of Financial Condition and Results of Operations—Critical Accounting Estimates,” respectively, in the Company’s Annual Report on Form 10-K for the year ended December 31, 2024. During the three months ended March 31, 2025, there were no material changes to our critical accounting policies and estimates from those discussed in the Company’s Annual Report on Form 10-K for the year ended December 31, 2024 filed with the SEC on March 6, 2025.</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Recent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“Note 2. Significant Accounting Policies - Recent Accounting Pronouncements” to our condensed consolidated financial statements included elsewhere in this Quarterly Report on Form 10-Q for more information. </w:t>
      </w:r>
    </w:p>
    <w:p>
      <w:pPr>
        <w:pStyle w:val="TextBody"/>
        <w:bidi w:val="0"/>
        <w:spacing w:before="360" w:after="283"/>
        <w:jc w:val="left"/>
        <w:rPr>
          <w:rFonts w:ascii="Times New Roman" w:hAnsi="Times New Roman"/>
          <w:b/>
          <w:color w:val="000000"/>
          <w:sz w:val="20"/>
        </w:rPr>
      </w:pPr>
      <w:bookmarkStart w:id="12" w:name="part1_item3_risk"/>
      <w:bookmarkEnd w:id="12"/>
      <w:r>
        <w:rPr>
          <w:rFonts w:ascii="Times New Roman" w:hAnsi="Times New Roman"/>
          <w:b/>
          <w:color w:val="000000"/>
          <w:sz w:val="20"/>
        </w:rPr>
        <w:t>Item 3. Quantitative and Qualitative Disclosures About Market Risk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market risks in the ordinary course of our business. These risks primarily include interest rate sensitivities.</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cash, cash equivalents and investments of $107.0 million. We generally hold our cash and cash equivalents in interest-bearing bank accounts and money market funds. We have invested primarily in U.S. Treasury securities, U.S. government agency securities, corporate debt securities, commercial paper and asset-backed securities and all our investments are classified as available-for-sale. Our primary exposure to market risk is interest rate sensitivity, which is affected by changes in the general level of U.S. interest rates. An immediate 100 basis point change in interest rates would not have a material effect on the fair market value of our cash, cash equivalents and investments.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March 31, 2025, we had borrowings of $10.0 million outstanding under the Loan Agreement. Borrowings under the Loan Agreement bear interest at a floating rate per annum equal to the greater of (i) 1-month term SOFR, and (ii) 2.33%, plus 6.25%. An immediate 10% change in the 1-month term SOFR would not have a material impact on our debt-related obligations, financial position or results of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Credit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instruments that potentially subject the Company to concentration of credit risk consist of cash, cash equivalents and investments. The Company invests its cash equivalents in highly rated money market funds. The Company’s investments consist of debt securities issued by highly rated corporate entities, the U.S. federal government or state and local governments. The Company’s exposure to any individual corporate entity is limited by our investment policy. Deposits may exceed federally insured limits, and the Company is exposed to credit risk on deposits in the event of default by the financial institutions to the extent account balances exceed the amount insured by the FDIC.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is continuing to monitor any events involving limited liquidity, defaults, non-performance or other adverse developments that affect financial institutions or other companies in the financial services industry or the financial services industry generally.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periods presented, the Company has not experienced any realized losses on its deposits of cash, cash equivalents or investments.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Foreign Currency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expenses are generally denominated in U.S. dollars. However, we have entered into a limited number of contracts with vendors for services with payments denominated in foreign currencies, primarily the euro. We are subject to foreign currency transaction gains or losses on our contracts denominated in foreign currencies. To date, foreign currency transaction gains and losses have not been material to our condensed consolidated financial statements, and we have not had a formal hedging program with respect to foreign currency. A 10.0% increase or decrease in current exchange rates would not have a material impact on our financial results.</w:t>
      </w:r>
    </w:p>
    <w:p>
      <w:pPr>
        <w:pStyle w:val="TextBody"/>
        <w:bidi w:val="0"/>
        <w:spacing w:before="360" w:after="283"/>
        <w:jc w:val="left"/>
        <w:rPr>
          <w:rFonts w:ascii="Times New Roman" w:hAnsi="Times New Roman"/>
          <w:b/>
          <w:color w:val="000000"/>
          <w:sz w:val="20"/>
        </w:rPr>
      </w:pPr>
      <w:bookmarkStart w:id="13" w:name="part1_item4_controls"/>
      <w:bookmarkEnd w:id="13"/>
      <w:r>
        <w:rPr>
          <w:rFonts w:ascii="Times New Roman" w:hAnsi="Times New Roman"/>
          <w:b/>
          <w:color w:val="000000"/>
          <w:sz w:val="20"/>
        </w:rPr>
        <w:t>Item 4.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Evaluation of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carried out an evaluation, under the supervision and with the participation of our management, including our Chief Executive Officer and our Chief Financial Officer, of the effectiveness of our “disclosure controls and procedures” as of the end of the period covered by this report, pursuant to Rules 13a-15(e) and 15d-15(e) under the Exchange Act.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connection with that evaluation, our Chief Executive Officer and our Chief Financial Officer concluded that our disclosure controls and procedures were effective and designed to provide reasonable assurance that the information required to be disclosed is recorded, processed, summarized and reported within the time periods specified in the SEC’s rules and forms as of March 31, 2025. For the purpose of this evaluation, disclosure controls and procedures means controls and procedures designed to ensure that information required to be disclosed by us in the reports that we file or submit is recorded, processed, summarized and reported within the time periods specified in the SEC’s rules and forms. These disclosure controls and procedures include, without limitation, controls and procedures designed to ensure that information required to be disclosed by us in the reports that we file or submit is accumulated and communicated to management, including our Principal Executive Officer, Principal Financial Officer and Principal Accounting Officer, as appropriate to allow timely decisions regarding required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 and management necessarily applies its judgment in evaluating the cost-benefit relationship of possible controls and procedures.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were no changes in our internal control over financial reporting during the quarter ended March 31, 2025 that materially affected, or are reasonably likely to materially affect, our internal control over financial reporting.</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center"/>
        <w:rPr>
          <w:rFonts w:ascii="Times New Roman" w:hAnsi="Times New Roman"/>
          <w:b/>
          <w:color w:val="000000"/>
          <w:sz w:val="20"/>
        </w:rPr>
      </w:pPr>
      <w:bookmarkStart w:id="14" w:name="part2"/>
      <w:bookmarkEnd w:id="14"/>
      <w:r>
        <w:rPr>
          <w:rFonts w:ascii="Times New Roman" w:hAnsi="Times New Roman"/>
          <w:b/>
          <w:color w:val="000000"/>
          <w:sz w:val="20"/>
        </w:rPr>
        <w:t>PART II — OTHER INFORMATION</w:t>
      </w:r>
    </w:p>
    <w:p>
      <w:pPr>
        <w:pStyle w:val="TextBody"/>
        <w:bidi w:val="0"/>
        <w:spacing w:before="360" w:after="283"/>
        <w:jc w:val="left"/>
        <w:rPr>
          <w:rFonts w:ascii="Times New Roman" w:hAnsi="Times New Roman"/>
          <w:sz w:val="20"/>
        </w:rPr>
      </w:pPr>
      <w:bookmarkStart w:id="15" w:name="part2_item1_legal"/>
      <w:bookmarkEnd w:id="15"/>
      <w:r>
        <w:rPr>
          <w:rFonts w:ascii="Times New Roman" w:hAnsi="Times New Roman"/>
          <w:b/>
          <w:color w:val="000000"/>
          <w:sz w:val="20"/>
        </w:rPr>
        <w:t>Item 1. Legal 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not currently a party to any material legal proceedings. From time to time, we may become involved in legal proceedings arising in the ordinary course of our business. Regardless of outcome, litigation can have an adverse impact on us due to defense and settlement costs, diversion of management resources, negative publicity, reputational harm and other factors.</w:t>
      </w:r>
    </w:p>
    <w:p>
      <w:pPr>
        <w:pStyle w:val="TextBody"/>
        <w:bidi w:val="0"/>
        <w:spacing w:before="360" w:after="283"/>
        <w:jc w:val="left"/>
        <w:rPr>
          <w:rFonts w:ascii="Times New Roman" w:hAnsi="Times New Roman"/>
          <w:b/>
          <w:color w:val="000000"/>
          <w:sz w:val="20"/>
        </w:rPr>
      </w:pPr>
      <w:bookmarkStart w:id="16" w:name="part2_item1a_rf"/>
      <w:bookmarkEnd w:id="16"/>
      <w:r>
        <w:rPr>
          <w:rFonts w:ascii="Times New Roman" w:hAnsi="Times New Roman"/>
          <w:b/>
          <w:color w:val="000000"/>
          <w:sz w:val="20"/>
        </w:rPr>
        <w:t>Item 1A. Risk Factors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Investing in our common stock involves a high degree of risk. You should carefully consider the risks described below, together with the other information contained elsewhere in this Quarterly Report on Form 10-Q, including our unaudited condensed consolidated financial statements and the related notes, the section titled “Management’s Discussion and Analysis of Financial Condition and Results of Operations,” and our other filings with the Securities and Exchange Commission, or SEC, before deciding whether to invest in our common stock. The occurrence of any of the events or developments described below could harm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also may impair our business operations and the market price of our common stock.</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 Factors Summary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Investing in our common stock involves a high degree of risk because our business is subject to numerous risks and uncertainties, as fully described below. These risks include, but are not limited to,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since our inception, and we expect to continue to incur significant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substantial additional capital to finance our operations, such capital may not be available to us when needed or may only be available on terms that are unfavorable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 limited operating history, have no products approved for commercial sale, and have not generated any revenue from product sales, licenses or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substantially dependent on the success of our lead product candidate, evorpacept, also known as ALX 148, which is in clinical development and which has not completed a pivotal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outcome of preclinical testing and early clinical trials may not be predictive of the success of later clinical trials, and the results of our clinical trials may not satisfy the requirements of the U.S. Food and Drug Administration, or FDA, or other comparable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are expensive, time consuming and difficult to design and implement and may fail to demonstrate adequate safety, efficacy and potency of our product candidates or provide the basis for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cause significant adverse events or other undesirable side effects when used alone or in combination with other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and comparable foreign regulatory authorities are lengthy, time-consuming and inherently unpredictable, which could lead to our inability to generate product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maintain and enforce patent protection and other intellectual property for our product candidates and related technology, our business could be materially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highly dependent on our key personnel, and if we are not successful in attracting, motivating, and retaining highly qualified personnel, we may not be able to successfully implement our business strategy;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manufacturers for clinical supplies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levels of our debt and compliance with the terms of our loan agreement could restrict our ability to operate our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Macroeconomic conditions and global economic environment, such as inflation, interest rate changes, trade and other global disputes and interruptions, including related to tariffs and trade protection measures, economic downturns, bank failures or instability in the financial services sector, or geopolitical risks, disasters, and medical or public health crises, such as the COVID-19 pandemic, could adversely impact our business including our ongoing and planned clinical trials and preclinical research;</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common stock may be delisted from the Nasdaq Global Select Market, or Nasdaq, if the Company cannot maintain compliance with Nasdaq’s continued listing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price of our stock may be volatile, and you could lose all or part of your investment;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we have identified material weaknesses in our internal control over financial reporting, and if we are unable to implement and maintain effective internal control over financial reporting in the future, investors may lose confidence in our financial reports.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Financial Position and Need for Additional Capital</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have incurred significant net losses since our inception, and we expect to continue to incur significant net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significant net losses in each reporting period since our inception, have not generated any revenue from product sales, licenses or collaborations to date and have financed our operations principally through public offerings of our common stock and private placements of our convertible preferred stock. Our net losses were $30.8 million and $35.6 million for the three months ended March 31, 2025 and 2024, respectively. As of March 31, 2025, we had an accumulated deficit of $651.9 million. We have devoted substantially all of our resources and efforts to research and development. Our lead product candidate, evorpacept, is in early-stage clinical trials. Our other programs are in preclinical discovery and research stages. As a result, we expect that it will be several years, if ever, before we have a commercialized product and generate revenue from product sales. Even if we succeed in receiving marketing approval for and commercializing one or more of our product candidates, we expect that we will continue to incur substantial research and development and other expenses in order to discover, develop and market additional potential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continue to incur significant expenses and increasing operating losses for the foreseeable future. The net losses we incur may fluctuate significantly from quarter to quarter such that a period-to-period comparison of our results of operations may not be a good indication of our future performance. The size of our future net losses will depend, in part, on the rate of future growth of our expenses and our ability to generate revenue. Our prior losses and expected future losses have had and will continue to have an adverse effect on our working capital, our ability to fund the development of our product candidates and our ability to achieve and maintain profitability and the performance of our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will require substantial additional capital to finance our operations. If we are unable to raise such capital when needed, or on acceptable terms, we may be forced to delay, reduce and/or eliminate one or more of our research and drug development programs or future commercialization efforts.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Developing pharmaceutical products, including conducting preclinical studies and clinical trials, is a very time-consuming, expensive and uncertain process that takes years to complete. Our operations have consumed substantial amounts of cash since inception, and we expect our expenses to increase in connection with our ongoing activities, particularly as we conduct clinical trials of, and seek marketing approval for evorpacept and advance our other programs. Even though we recently announced a reduction in the Company’s workforce, or RIF, by approximately 30% of the Company’s employees in connection with the Company pipeline prioritization, clinical development and cash preservation strategy, there can be no assurances we will be successful at all, or realize the anticipated savings from the RIF. In addition, if we obtain marketing approval for any of our product candidates, we expect to incur significant commercialization expenses related to drug sales, marketing, manufacturing and distribution activities. Our expenses could increase beyond expectations if we are required by the FDA, the European Medicines Agency, or EMA, or other regulatory agencies to perform clinical trials or preclinical studies in addition to those that we currently anticipate. Other unanticipated costs may also arise. Because the design and outcome of our planned and anticipated clinical trials are highly uncertain, we cannot reasonably estimate the actual amount of resources and funding that will be necessary to successfully complete the development and commercialization of any product candidate we develop. We have incurred and expect to continue to incur additional costs associated with operating as a public company and compliance with legal, accounting and other regulatory requirements. Accordingly, we will need to obtain substantial additional funding in order to maintain our continuing operations. If we are unable to raise capital when needed or on acceptable terms, we may be forced to delay, reduce and/or eliminate one or more of our research and drug development programs or future commercialization efforts. Further, any decline in our stock price or perceived potential decline in our stock price that may be associated with stock market volatility generally, may negatively impact our ability to raise capital.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had cash, cash equivalents and investments of $107.0 million. Based on our current operating plan, we believe that our existing cash, cash equivalents, and investments will be sufficient to fund our operations into the fourth quarter of 2026. Our estimate as to how long we expect our existing cash, cash equivalents, investments and funds available from our term loan will be sufficient to continue to fund our operations is based on assumptions that may prove to be wrong, and we could use our available capital resources sooner than we currently expect. Changing circumstances, some of which may be beyond our control, such as periods of a rising rate of inflation or economic downturns, could cause us to consume capital significantly faster than we currently anticipate, and we may need to seek additional funds sooner than planned. </w:t>
      </w:r>
    </w:p>
    <w:p>
      <w:pPr>
        <w:pStyle w:val="TextBody"/>
        <w:bidi w:val="0"/>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use our cash, cash equivalents and investments to advance the clinical development of evorpacept, as well as for working capital and other general corporate purposes. This may include additional preclinical research, clinical development, hiring additional personnel, capital expenditures, the potential acquisition of businesses or assets and the costs of operating as a public company, as well as for working capital and other general corporate purposes. Advancing the development of evorpacept and our other programs will require a significant amount of capital. Our current cash, cash equivalents and investments on hand, may not be sufficient to fund all of the actions that are necessary to complete the development of evorpacept or our other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be required to obtain further funding through public or private equity offerings, debt financings, collaborations and licensing arrangements or other sources, which may dilute our stockholders or restrict our operating activities. Our ability to raise additional funds may be adversely impacted by market perceptions of our ability to maintain our listing on the Nasdaq. Other than the loan and security agreement, or Loan Agreement, we entered into with Oxford Finance LLC, Oxford Finance Credit Fund II LP and Silicon Valley Bank, or SVB, collectively, the Lenders, in the fourth quarter of 2022 and most recently amended in December 2023, we do not have any committed external source of funds. Under the Loan Agreement, $25.0 million is available for us to draw down at the Lenders’ sole discretion as of March 31, 2025. SVB was closed in March 2023, and the FDIC was appointed as receiver to SVB. The FDIC created Silicon Valley Bridge Bank, or SVBB, as successor to SVB, which was acquired by First Citizens Bank, and is now operated as a division of First Citizens Bank, or SVB-First Citizens. Adequate additional financing may not be available to us on acceptable terms, or at all. To the extent that we raise additional capital through the sale of equity or convertible debt securities, a stockholder’s ownership interest will be diluted, and the terms may include liquidation or other preferences that adversely affect one’s rights as a stockholder. Debt financing may result in imposition of debt covenants, increased fixed payment obligations or other restrictions that may affect our business. For example, our Loan Agreement restricts our ability to incur additional indebtedness without the consent of the Lenders. If we raise additional funds through upfront payments or milestone payments pursuant to strategic collaborations with third parties, we may have to relinquish valuable rights to our product candidates or grant licenses on terms that are not favorable to us.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raise capital as and when needed would have a negative impact on our financial condition and our ability to pursue our business strategy, and we may have to delay, reduce the scope of, suspend or eliminate one or more of our research-stage programs, clinical trials or future commercialization efforts.</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a limited operating history and have no products approved for commercial sale, which may make it difficult for you to evaluate our current business and likelihood of success and viability.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clinical-stage biopharmaceutical company with a limited operating history upon which you can evaluate our business and prospects. We were incorporated and commenced operations in 2015, have no products approved for commercial sale and have not generated any revenue from product sales, licenses or collaborations. Drug development is a highly uncertain undertaking and involves a substantial degree of risk. Our operations to date have been limited to organizing and staffing our company, business planning, raising capital, identifying and developing potential product candidates and conducting preclinical and clinical trials of our product candidates, including Phase 1 and Phase 2 clinical trials of evorpacept. We have not yet demonstrated our ability to successfully complete any large-scale, pivotal clinical trials, obtain marketing approvals, manufacture a commercial-scale drug or arrange for a third party to do so on our behalf or conduct sales and marketing activities. As a result, it may be more difficult for you to accurately predict our likelihood of success and viability than it could be if we had a longer operating history. In addition, as a business with a limited operating history, we may encounter unforeseen expenses, difficulties, complications, delays and other known and unknown factors and risks frequently experienced by early-stage biopharmaceutical companies in rapidly evolving fields. We also may need to transition from a company with a research focus to a company capable of supporting commercial activities. We have not yet demonstrated an ability to successfully overcome such risks and difficulties or to make such a transition. If we do not adequately address these risks and difficulties or successfully make such a transition, our business will suffer.</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generate revenue and achieve profitability depends significantly on our ability to achieve several objectives relating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depends entirely on the successful development and commercialization of our product candidates. We currently generate no revenue from any product sales, licenses or collaborations and do not expect to generate any revenue from the sale of product candidates in the foreseeable future. We have no products approved for commercial sale and do not anticipate generating any revenue from product sales for the next several years, if ever. Our ability to generate revenue and achieve profitability depends significantly on our ability to achieve a number of objectives,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and timely completion of preclinical and clinical development of our lead product candidate, evorpacept, the initiation and advancement of ALX2004,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relationships with contract research organizations, or CROs, and clinical sites for the clinical development of evorpacept and our other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timely receipt of marketing approvals from applicable regulatory authorities for any product candidates for which we successfully complete clinical development; </w:t>
      </w:r>
    </w:p>
    <w:p>
      <w:pPr>
        <w:pStyle w:val="TextBody"/>
        <w:bidi w:val="0"/>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of any required post-marketing approval commitments to applicable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 efficient and scalable manufacturing process for evorpacept and any future product candidates, including establishing and maintaining commercially viable supply and manufacturing relationships with third parties to obtain finished products that are appropriately packaged for sale;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establishing and maintaining commercially viable supply and manufacturing relationships with third parties that can provide adequate, in both amount and quality, products and services to support clinical development and meet the market demand for our product candidates, if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 commercial launch following any marketing approval, including the development of a commercial infrastructure, whether in-house or with one or more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continued acceptable safety profile following any marketing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commercial acceptance of evorpacept and any future product candidates as viable treatment options by patients, the medical community and third-party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favorable coverage and adequate reimbursement by third-party payors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therapies and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maintaining and expanding patent protection, trade secret protection and regulatory exclusivity, both in the United States and internationally;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protecting our rights in our intellectual property portfolio, including our licensed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third-party interference or infringement claims, if any;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entering into, on favorable terms, any collaboration, licensing or other arrangements that may be necessary or desirable to develop, manufacture or commercialize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that may be necessary to develop, manufacture or commercialize our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never be successful in achieving our objectives and, even if we do, we may never generate revenue that is significant or large enough to achieve profitability. If we do achieve profitability, we may not be able to sustain or increase profitability on a quarterly or annual basis. Our failure to become and remain profitable would decrease the value of our company and could impair our ability to maintain or further our research and development efforts, raise additional necessary capital, grow our business and/or continue our operations.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terms of our Loan Agreement require us to meet certain operating and financial covenants, place restrictions on our operating and financial flexibility, and may subject us to default.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October 2022, we entered into the Loan Agreement, most recently amended in December 2023, under which we have borrowed $10.0 million. Under the Loan Agreement, $25.0 million is available for us to draw at the Lenders’ sole discretion as of March 31, 2025. The proceeds of the loans may be used by us for working capital and to fund our general business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term loans under the Loan Agreement mature on October 1, 2027. We will begin to make principal payments in equal monthly installments beginning on December 1, 2025, and if either of the milestone related tranche term loans are funded, then we will begin to make principal payments in equal monthly installments beginning on December 1, 2026. The term loans accrue interest at a floating rate as described elsewhere in this report, and interest is payable monthly in arrears. The term loans once repaid or prepaid may not be reborrowed. The term loans may be prepaid in full or in part in increments of $10.0 million, with various prepayment premiums. Upon the earlier of prepayment or maturity of any term loan, we are required to pay a fee of 6.0% of the original principal amount of such funded term loan, and a contingency fee may apply in connection with a prepayment of such term loan under certain circumstances. We are also obligated to pay other customary fees for a loan facility of this type and size.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term loans under the Loan Agreement are secured by substantially all of our assets, except our intellectual property, which is the subject of a negative pledge, and will be guaranteed by our future subsidiaries, subject to certain limitations.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Loan Agreement contains customary affirmative and negative covenants, including covenants limiting our ability to, among other things, dispose of assets, effect certain mergers, incur debt, grant liens, pay dividends and distributions on our capital stock, make investments and acquisitions, and enter into transactions with affiliates, in each case subject to customary exceptions for a loan facility of this size and type.</w:t>
      </w:r>
    </w:p>
    <w:p>
      <w:pPr>
        <w:pStyle w:val="TextBody"/>
        <w:bidi w:val="0"/>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default under the Loan Agreement, the Lenders will be able to declare all obligations immediately due and payable and take control of our pledged assets, potentially requiring us to renegotiate our agreement on terms less favorable to us or to immediately cease operations. The events of default under the Loan Agreement include, among others, payment defaults, material misrepresentations, breaches of covenants, cross defaults with certain other material indebtedness, bankruptcy and insolvency events, and judgment defaults. The occurrence of an event of default could result in the acceleration of our obligations under the Loan Agreement, the termination of the Lenders’ commitments, a 5.0% increase in the applicable rate of interest and the exercise by the Lender of other rights and remedies provided for under the Loan Agreement. Any declaration by the Lenders of an event of default could significantly harm our business and prospects and could cause the price of our common stock to decline.</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the Discovery, Development and Commercialization of Our Product Candidates</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substantially dependent on the success of our lead product candidate, evorpacept, which is in clinical development and which has not completed a pivotal trial. If we do not obtain regulatory approval for and successfully commercialize evorpacept in one or more indications, or we experience significant delays in doing so, we may never generate any revenue or become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any products that have received regulatory approval and may never be able to develop marketable product candidates. We expect that a substantial portion of our efforts and expenses over the next several years will be devoted to the development of our lead product candidate, evorpacept, in our ongoing clinical trials, and the initiation and advancement of clinical trials of ALX2004. As a result, our business currently depends heavily on the successful development, regulatory approval and, if approved, commercialization of evorpacept in one or more of these indications, such as gastric/gastroesophageal junction, or GEJ, carcinoma, urothelial cancer, breast cancer, NHL, multiple myeloma, or colorectal cancer. We cannot be certain that evorpacept will receive regulatory approval or will be successfully commercialized even if it receives regulatory approval. The research, testing, manufacturing, safety, efficacy and potency, labeling, approval, sale, marketing and distribution of evorpacept is, and will remain, subject to comprehensive regulation by the FDA and comparable foreign regulatory authorities. Our failure to timely complete clinical trials, obtain regulatory approval or, if approved, commercialize evorpacept or any of our future product candidates, would materially harm our business, financial condition and results of operations. We are not permitted to market or promote evorpacept, or any other product candidate, before we receive marketing approval from the FDA and comparable foreign regulatory authorities, and we may never receive such marketing approvals. If we do not receive marketing approvals for evorpacept, we may not be able to continue our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The outcome of preclinical testing and early clinical trials may not be predictive of the success of later clinical trials, and the results of our clinical trials may not satisfy the requirements of the FDA or other comparable foreign regulatory authorities. The clinical trials of our product candidates may not produce positive results or demonstrate adequate safety, purity and efficacy and potency to the satisfaction of regulatory authorities.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complete preclinical development and then conduct extensive clinical trials to demonstrate the safety and efficacy/potency of our product candidates. Clinical testing is expensive, difficult to design and implement, can take many years to complete, and its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HNSCC. The outcome of preclinical studies and early-stage clinical trials may not be predictive of the success of later clinical trials. Moreover, preclinical and clinical data are often susceptible to varying interpretations and analyses, and many companies that have believed their product candidates performed satisfactorily in preclinical studies and clinical trials have nonetheless failed to obtain approval of their drugs.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Positive or timely results from preclinical or early-stage trials do not ensure positive or timely results in future clinical trials or registrational clinical trials because product candidates in later-stage clinical trials may fail to demonstrate sufficient safety, purity and efficacy and potency to the satisfaction of the FDA or comparable international regulatory authorities, despite having progressed through preclinical studies or initial clinical trials. In addition, the FDA or any comparable international regulatory authorities may conclude that the results from our clinical trials are insufficient to support any accelerated approval that we may seek with respect to evorpacept or any of our future product candidates in general or with respect to any specific indications. Product candidates that have shown promising results in early clinical trials may still suffer significant setbacks in subsequent clinical trials or registration clinical trials. For example, a number of companies in the pharmaceutical industry, including those with greater resources and experience than us, have suffered significant setbacks in advanced clinical trials, even after obtaining promising results in earlier clinical trials. Additionally, in March 2023, the FDA issued a draft guidance on clinical trial considerations for supporting accelerated approval of oncology therapeutics, noting that although single-arm trials have been commonly used to support accelerated approval, a randomized controlled trial is the preferred approach for providing a more robust efficacy and safety assessment, among other recommendations. To the extent the FDA requires us to collect additional data or to conduct additional clinical trials in accordance with the new guidance, our clinical timelines may be delayed.</w:t>
      </w:r>
    </w:p>
    <w:p>
      <w:pPr>
        <w:pStyle w:val="TextBody"/>
        <w:bidi w:val="0"/>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Clinical trials of our product candidates are expensive, time consuming and difficult to design and implement and may fail to demonstrate adequate safety, purity and efficacy and potency of our product candidates or provide the basis for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marketing approval from regulatory authorities for the sale of our product candidates, we must conduct preclinical development and then extensive clinical trials (including initiation of a pediatric study) to demonstrate their safety, purity and efficacy and potency. Clinical trials are expensive and difficult to design and implement. Clinical trials can take many years to complete, and their ultimate outcome is uncertain. A failure of one or more clinical trials can occur at any stage of the process. For example, in April 2025, we announced that topline data from our Phase 2 ASPEN-03 and ASPEN-04 clinical trials did not meet the primary endpoints, and we will no longer pursue evorpacept in combination with pembrolizumab in HNSCC. We will be required to demonstrate with substantial evidence through well-controlled clinical trials that our product candidates are safe, pure and effective or potent for use in a diverse patient population before we can seek regulatory approvals for their commercial sale. Our clinical trials may produce negative or inconclusive results and we may decide, or regulators may require us, to conduct additional and expansive preclinical or clinical testing.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our future clinical trials will begin or enroll subjects on time or whether our ongoing and/or future clinical trials will be completed on schedule or at all. Clinical trials can be delayed for a variety of reasons, including delays related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approval to commence a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reaching agreement on acceptable terms with prospective CROs and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institutional review board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adding necessary new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recruiting suitable subjects to participate in a trial;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noncompliance with clinical trial protocols;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investigational site or trial subjects withdrawing or dropping out of clinical trials at a higher rate than anticipated;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sufficient quantities of product candidate for use in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experience numerous unforeseen events during, or as a result of, clinical trials that could delay or prevent receipt of marketing approval or our ability to commercialize our product candidates,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receipt of feedback from regulatory authorities that requires us to modify the design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or inconclusive clinical trial results or interval changes to standards of care for the treatment of specific tumor types that may require us to conduct additional clinical trials or abandon certain drug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number of subjects required for clinical trials is larger than anticipated, enrollment in these clinical trials is slower than anticipated or subjects dropping out of these clinical trials at a higher rate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clinical trials due to outbreaks or public health crises, such as the COVID-19 pandemic, that impact both trial site operations, subject selection and participation;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contractors failing to comply with regulatory requirements or meet their contractual obligations to us in a timely manner, or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suspension or termination of our clinical trials for various reasons, including non-compliance with regulatory requirements, a finding that our product candidates have undesirable side effects or other unexpected characteristics or risks;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are greater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supply or quality of our product candidates or other materials necessary to conduct clinical trials of our product candidates being insufficient or inadequate;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regulators revising the requirements for approving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result of any of these delays or other circumstances, we may incur unplanned costs, not obtain or be delayed in obtaining marketing approval, receive more limited or restrictive marketing approval, be subject to additional post-marketing testing requirements or have our drug removed from the market after obtaining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know whether any clinical trials we may conduct will demonstrate consistent or adequate safety and efficacy sufficient to obtain marketing approval of our product candidates or to market our drugs after any such approval. </w:t>
      </w:r>
    </w:p>
    <w:p>
      <w:pPr>
        <w:pStyle w:val="TextBody"/>
        <w:bidi w:val="0"/>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experienced and, if we continue to experience delays or difficulties in the enrollment of subjects in clinical trials and/or retention of subjects in clinical trials in the future, our regulatory submissions or receipt of necessary marketing approvals could be delayed or prevented.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initiate or continue clinical trials for our product candidates if we are unable to locate and enroll a sufficient number of eligible subjects to participate in these trials as required by the FDA or comparable international regulatory authorities. Subject enrollment is a significant factor in the timing of clinical trials. In particular, because certain of our clinical trials of evorpacept are focused on indications with small patient populations, our ability to enroll eligible subjects may be limited or may result in slower enrollment than we anticipate.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past, clinical trial enrollment and data collection has been adversely impacted by staff shortages, site closures, travel limitations and physical distancing requirements and personal safety concerns resulting from and associated with the COVID-19 pandemic. Going forward we expect to continue to experience some of these clinical trial enrollment difficulties associated with the pandemic. For example, subjects who enroll in our clinical trials and then become infected with the COVID-19 virus may complicate the clinical trial data, procedures and analysis, which could delay the anticipated readouts from our clinical trials and our regulatory submissions and increase the costs associated with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Subject enrollment may also be affected if new standards of care become widely available or our competitors have ongoing competing clinical trials for product candidates that are under development for the same indications as our product candidates, and patients who would otherwise be eligible for our clinical trials instead enroll in clinical trials of our competitors’ product candidates. In addition, regulatory requirements governing clinical trials have changed and may continue to change in the future. The timing of our clinical trials depends on our ability to recruit subjects to participate in our studies and changes to regulatory requirements, if any, governing clinical trials may impede our ability to enroll subjects. Subject enrollment may also be affected by other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severity of the disease under investigation;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and efficacy or potency of current or newly approved drugs for the disease under investigation and other changes in standard of care that could make our clinical trials less attractive, including the drugs or other product candidates we use in our combination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eligibility criteria for the trial in question;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perceived risks and benefits of the product candidate under study;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efforts to facilitate timely enrollment in clinical trials by us and the clinical trial sites;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patient referral practices of physicians;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monitor subjects adequately during and after the clinical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proximity of clinical trial sites to prospective subjects;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 of subjects enrolled in clinical trials dropping out before completion;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inability or delay in enrollment of subjects due to a variety of reasons, including outbreaks and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 inability to appropriately enroll an ethnically and racially diverse patient population representative of the target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non-compliance with regulatory requirements;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subjects experiencing severe or unexpected adverse effects related to our product candidates.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inability to enroll a sufficient number of subjects in our clinical trials would result in significant delays or may require us to abandon one or more clinical trials altogether. Enrollment delays in our clinical trials may result in increased development costs for our product candidates and jeopardize our ability to obtain marketing approval for the sale of our drugs.</w:t>
      </w:r>
    </w:p>
    <w:p>
      <w:pPr>
        <w:pStyle w:val="TextBody"/>
        <w:bidi w:val="0"/>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Interim, topline and preliminary data from our clinical trials that we announce or publish from time to time may change as more subject data become available and are subject to audit and verification procedures that could result in material changes in the final data.</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we may publicly disclose preliminary, interim or topline data from our clinical trials such as our topline Phase 2 ASPEN-06 clinical trial results of evorpacept for the treatment of advanced HER2-Positive gastric cancer announced in July 2024 and the updated data from a December 2024 data cutoff announced in January 2025, as well as our topline Phase 2 ASPEN-03 and ASPEN-04 clinical trial results of evorpacept for the treatment of HNSCC announced in April 2025. These interim updates are based on a preliminary analysis of then-available data, and the results and related findings and conclusions are subject to change following a more comprehensive review of the data related to the particular study or trial. Further, interim, topline and preliminary data include certain assumptions, estimations, calculations and conclusions as part of our analyses of data available at that time, and we may not have received or had the opportunity to evaluate all data fully and carefully. As a result, the topline results that we report may differ from future results of the same trials, or different conclusions or considerations may qualify such results, once additional data have been received and fully evaluated. Topline data also remain subject to audit and verification procedures that may result in the final data being materially different from the preliminary data we previously published. Interim data from clinical trials that we may complete are subject to the risk that one or more of the clinical outcomes may materially change as subject enrollment continues and more subject data become available. Adverse changes between interim data and final data could significantly harm our business and prospects. Further, additional disclosure of interim data by us or by our competitors in the future could result in volatility in the price of our common stock. Some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preliminary or topline data that we report differ from late, final or actual results, or if others, including regulatory authorities, disagree with the conclusions reached, our ability to obtain approval for product candidates may be harmed, which could harm our business, financial condition, results of operations and prospects.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may cause significant adverse events, toxicities or other undesirable side effects when used alone or in combination with other approved products or investigational new drugs that may result in a safety profile that could prevent regulatory approval, prevent market acceptance,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evorpacept or any of our other product candidates are associated with undesirable side effects or have unexpected characteristics in preclinical studies or clinical trials when used alone or in combination with other approved products or investigational new drugs we may need to interrupt, delay or abandon their development or limit development to more narrow uses or subpopulations in which the undesirable side effects or other characteristics are less prevalent, less severe or more acceptable from a risk-benefit perspective. For example, in ALX-Oncology-sponsored clinical trials, the most common adverse events of any grade associated with evorpacept (frequency ≥20%) are fatigue, anemia, nausea, diarrhea, constipation, and neutrophil count decrease. These events have been reported across the program in patients administered evorpacept as a single agent, in combination with pembrolizumab, trastuzumab, rituximab, azacitidine, or enfortumab vedotin and as a multiproduct regimen in combination with pembrolizumab, platinum, and 5 FU, or in combination with trastuzumab, ramucirumab, and paclitaxel, or in combination with azacitidine + venetoclax. Such side effects could also affect subject recruitment or the ability of enrolled subjects to complete the trial or result in potential product liability claims. Any adverse events as a result of evorpacept or any of our future product candidates, including in combination with therapy, may prevent us from achieving or maintaining market acceptance of the affected product candidate and may harm our business, financial condition and prospects significantly.</w:t>
      </w:r>
    </w:p>
    <w:p>
      <w:pPr>
        <w:pStyle w:val="TextBody"/>
        <w:bidi w:val="0"/>
        <w:spacing w:before="120" w:after="283"/>
        <w:jc w:val="left"/>
        <w:rPr>
          <w:rFonts w:ascii="Times New Roman" w:hAnsi="Times New Roman"/>
          <w:sz w:val="20"/>
        </w:rPr>
      </w:pPr>
      <w:r>
        <w:rPr>
          <w:rFonts w:ascii="Times New Roman" w:hAnsi="Times New Roman"/>
          <w:b/>
          <w:i/>
          <w:color w:val="000000"/>
          <w:sz w:val="20"/>
        </w:rPr>
        <w:t>We face substantial competition which may result in others discovering, developing or commercializing products before or more successfully than we do.</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development and commercialization of new product candidates is highly competitive. We face competition with respect to evorpacept and will face competition with respect to any product candidates that we may seek to develop or commercialize in the future, from major pharmaceutical, specialty pharmaceutical and biotechnology companies among others. We compete in the segments of the pharmaceutical, biotechnology and other related markets that develop immuno-oncology therapies for the treatment of cancer. There are other companies working to develop immuno-oncology therapies for the treatment of cancer including divisions of large pharmaceutical and biotechnology companies of various sizes. Newly approved therapeutics could change the treatment paradigm or standard of care, which could negatively impact the design of our clinical trials and the prospects of our product candidates.</w:t>
      </w:r>
    </w:p>
    <w:p>
      <w:pPr>
        <w:pStyle w:val="TextBody"/>
        <w:bidi w:val="0"/>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of these competitive products and therapies are based on scientific approaches that are the same as or similar to our approach, including with respect to the targeting of the CD47 pathway and others are based on entirely different approaches. We are aware that Adagene, Akesobio, Bio-Thera Solutions, Boehringer Ingelheim, Bristol Myers Squibb, Byondis, Centessa, Conjupro Biotherapeutics, CTTQ (SinoBiological), Daiichi Sankyo, Exelixis, GenSci, Gilead Sciences (through its acquisition of Forty Seven), Hanchor Bio, Hisun, Hutchmed, I-Mab, Ichnos, ImmuneOncia Therapeutics, ImmuneOnco Biopharma, Innovent, Kahr, LaNova, Lightchain Bioscience, Mabwell Therapeutics, Mabworks, Novimmune, OSE Immunotherapeutics, Pfizer (through its acquisition of Trillium Therapeutics), Phanes, Pyxis Oncology (through its acquisition of Apexigen), Shandong New Time, Shattuck Labs, Sorrento Therapeutics, Sumgen, SunHo Pharmaceutical, TG Therapeutics, Waterstone, and Zai Lab, among others, are developing or have begun development of drugs targeting the CD47 pathway that may have utility for the treatment of indications that we are targeting.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already a variety of available drug therapies marketed for cancer and some of the currently approved drug therapies are branded and subject to patent protection and others are available on a generic basis. Many of these approved drugs are well established therapies and are widely accepted by physicians, patients and third-party payors. Insurers and other third-party payors may also encourage the use of generic products. We expect that if evorpacept and/or any of our other future product candidates are approved, they will be priced at a significant premium over competitive generic products. This may make it difficult for us to achieve our business strategy of using our product candidates in combination with existing therapies or replacing existing therapies with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drugs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in establishing clinical trial sites and enrolling subjects for our clinical trials and in acquiring technologies complementary to, or necessary for, our programs.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could see a reduction or elimination of our commercial opportunity if our competitors develop and commercialize products that are safer, more effective, more convenient or less expensive than any products that we or our collaborators may develop. Our competitors also may obtain FDA or foreign regulatory approval for their products more rapidly than we may obtain approval for ours, which could result in our competitors establishing a strong market position before we are able to enter the market. The key competitive factors affecting the success of all our product candidates, if approved, are likely to be their efficacy, safety, convenience, price, the level of biosimilar or generic competition and the availability of reimbursement from government and other third-party payors. The inability to compete with existing or subsequently introduced drugs would harm our business, financial condition and results of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our product candidates receive regulatory approval, they will be subject to significant post-marketing regulatory requirements and oversight.</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Even after approval, our manufacturing processes, labeling, packaging, distribution, adverse event reporting, storage, advertising, promotion, import, export and recordkeeping for our approved products will be subject to extensive and ongoing regulatory requirements. These requirements include submissions of safety and other post-marketing information and reports, registration, as well as on-going compliance with current good manufacturing practices, or cGMPs, and current good clinical practices, or cGCPs, for any clinical trials that we conduct post-approval. Regulatory approvals may contain significant limitations related to use restrictions for specific target population subsets, </w:t>
      </w:r>
      <w:r>
        <w:rPr>
          <w:rFonts w:ascii="Times New Roman" w:hAnsi="Times New Roman"/>
          <w:i/>
          <w:color w:val="000000"/>
          <w:sz w:val="20"/>
        </w:rPr>
        <w:t>e.g.</w:t>
      </w:r>
      <w:r>
        <w:rPr>
          <w:rFonts w:ascii="Times New Roman" w:hAnsi="Times New Roman"/>
          <w:color w:val="000000"/>
          <w:sz w:val="20"/>
        </w:rPr>
        <w:t xml:space="preserve">, age groups, warnings, precautions or contraindications, or may include costly and burdensome post-approval study or risk management requirements and regulatory inspection. For example, the FDA may require a risk evaluation and mitigation strategy, or REMS, as a condition for approval of our product candidates, which could entail requirements for a medication guide, physician training and communication plans or additional elements to ensure safe use, such as restricted distribution methods, patient registries and other risk mitigation tools.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manufacturers of drug products and their facilities are subject to continual review and periodic, unannounced inspections by the FDA and other regulatory authorities for compliance with cGMP regulations and standards. If we or a regulatory agency discover previously unknown problems with a product, such as adverse events of unanticipated severity or frequency, or problems with a contract supplier, vendor, or facility where the product is manufactured or processed, a regulatory agency may impose restrictions on that product, the manufacturing facility or contractor, or us, including requiring recall or withdrawal of the product from the market or suspension of manufacturing. In addition, failure to comply with FDA, EMA and other comparable foreign regulatory requirements may subject our company to administrative or judicially imposed sanctions or enforcement actions,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or the rejection of product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our ability to conduct clinical trials, including full or partial clinical holds on ongoing or planned trials; </w:t>
      </w:r>
    </w:p>
    <w:p>
      <w:pPr>
        <w:pStyle w:val="TextBody"/>
        <w:bidi w:val="0"/>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products, manufacturers or manufacturing process;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warning or untitled letters;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civil and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suspension or withdrawal of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seizures, detentions or import bans;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voluntary or mandatory product recalls and publicity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total or partial suspension of production;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restrictions on operations, including costly new manufacturing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occurrence of any of these sanctions, enforcement actions or penalties described above may inhibit our ability to commercialize our product candidates, even if approved, and generate revenue.</w:t>
      </w:r>
    </w:p>
    <w:p>
      <w:pPr>
        <w:pStyle w:val="TextBody"/>
        <w:bidi w:val="0"/>
        <w:spacing w:before="120" w:after="283"/>
        <w:jc w:val="left"/>
        <w:rPr>
          <w:rFonts w:ascii="Times New Roman" w:hAnsi="Times New Roman"/>
          <w:sz w:val="20"/>
        </w:rPr>
      </w:pPr>
      <w:r>
        <w:rPr>
          <w:rFonts w:ascii="Times New Roman" w:hAnsi="Times New Roman"/>
          <w:b/>
          <w:i/>
          <w:color w:val="000000"/>
          <w:sz w:val="20"/>
        </w:rPr>
        <w:t>We previously relied on Tallac Therapeutics Inc., a third-party service provider, to conduct substantially all of our preclinical research activities for evorpacept. If we are unable to successfully transition preclinical research activities in-house or identify an alternative provider as needed, there may be disruptions or delays to our evorpacept development pipeline and our business could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previously relied on a third-party service provider to conduct all of our preclinical research activities for evorpacept. Effective as of July 1, 2020, we transferred our preclinical research capabilities at such time and nine of our employees, including a former Chief Scientific Officer, to Tallac Therapeutics Inc., a third-party service provider, formerly known as Tollnine, Inc., or Tallac Therapeutics, and entered into a research and development services agreement, or the Tallac Services Agreement, with Tallac Therapeutics. Under the terms of the Tallac Services Agreement, Tallac Therapeutics provided preclinical research services to us for the cost of these services plus a mark-up equal to 10.0% of such costs. The Tallac Services Agreement terminated on July 1, 2024.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successfully transition preclinical research activities in-house, or identify an alternative provider as needed, our preclinical research efforts and studies may be extended or delayed, and there may be disruptions or delays to our evorpacept development pipeline. While we haven’t experienced any issue with transitioning preclinical research activities in-house, we recently announced the RIF in connection with the Company pipeline prioritization, clinical development and cash preservation strategy, which impacted a number of employees in research and preclinical development. As a result, our evorpacept product candidate research and development efforts may be delayed or harmed, and our costs could increase and our future ability to generate revenues could be delayed.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commercial success depends, in part, on our ability to conduct our research and develop our product pipeline without infringing the intellectual property and other proprietary rights of third parties. If we ever become involved in any dispute with Tallac Therapeutics over ownership of intellectual property or proprietary rights in the future because of the access that Tallac Therapeutics had to our intellectual property, including trade secrets, we may need to negotiate or engage in litigation to preserve our intellectual property rights, which may be time-consuming, expensive and ultimately unsuccessful. In addition, our former employees who are now employees of Tallac Therapeutics may possess our proprietary information. Although these former employees have signed confidentiality and invention assignment agreements with us, we cannot guarantee that they will not breach these agreements in the future. If these former employees disclose our proprietary information to Tallac Therapeutics or other third parties, we may not be able to obtain adequate remedies for such breaches.</w:t>
      </w:r>
    </w:p>
    <w:p>
      <w:pPr>
        <w:pStyle w:val="TextBody"/>
        <w:bidi w:val="0"/>
        <w:spacing w:before="120" w:after="283"/>
        <w:jc w:val="left"/>
        <w:rPr>
          <w:rFonts w:ascii="Times New Roman" w:hAnsi="Times New Roman"/>
          <w:sz w:val="20"/>
        </w:rPr>
      </w:pPr>
      <w:r>
        <w:rPr>
          <w:rFonts w:ascii="Times New Roman" w:hAnsi="Times New Roman"/>
          <w:b/>
          <w:i/>
          <w:color w:val="000000"/>
          <w:sz w:val="20"/>
        </w:rPr>
        <w:t>We contract with third parties for the manufacture of our product candidates for preclinical development and clinical trials, and we expect to continue to do so for commercialization. This reliance on third parties increases the risk that we will not have sufficient quantities of our product candidates or drugs or such quantities at an acceptable cost or quality,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currently own or operate, nor do we have any plans to establish in the future, any manufacturing facilities or personnel. We rely, and expect to continue to rely, on third parties for the manufacture of our product candidates for preclinical development and clinical testing, as well as for the commercial manufacture of our drugs if any of our product candidates receive marketing approval. No assurance can be given that long-term, scalable manufacturers can be identified or that they can make clinical and commercial supplies of our product candidates that meet the product specifications of previously manufactured batches, or are of a sufficient quality, or at an appropriate scale and cost to make it commercially feasible. Such third-party manufacturers may also be subject to delays due to circumstances outside of their control for a variety of reasons, including outbreaks and public health crises, such as the COVID-19 pandemic, that could shut down or cause limited staffing of their facilities. Our reliance on third parties increases the risk that we will not have sufficient quantities of our product candidates or drugs or such quantities at an acceptable cost or quality, which could delay, prevent or impair our development or commercialization efforts. If they are unable to do so, it could have a material adverse impact on our business. </w:t>
      </w:r>
    </w:p>
    <w:p>
      <w:pPr>
        <w:pStyle w:val="TextBody"/>
        <w:bidi w:val="0"/>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facilities used by contract manufacturers to manufacture our product candidates must be approved by the FDA or any applicable foreign regulatory authority pursuant to inspections that may be conducted after we submit our marketing applications to the FDA or any such foreign regulatory authority. We do not control the manufacturing process of, and will be completely dependent on, our contract manufacturers for compliance with cGMPs in connection with the manufacture of our product candidates. If our contract manufacturers cannot successfully manufacture material that conforms to our specifications and the strict regulatory requirements of the FDA or others, they will not be able to secure and/or maintain regulatory approval for their manufacturing facilities. In addition, we have no control over the ability of our contract manufacturers to maintain adequate quality control, quality assurance and qualified personnel. If the FDA or any applicable foreign regulatory authority does not approve these facilities for the manufacture of our product candidates or if it withdraws any such approval in the future, we may need to find alternative manufacturing facilities, which would significantly impact, including causing substantial delay in, our ability to develop, obtain regulatory approval for or market our product candidates. Further, our failure, or the failure of our third-party manufacturers, to comply with applicable regulations could result in sanctions being imposed on us, including clinical holds, fines, injunctions, civil penalties, delays, suspension or withdrawal of approvals, license revocation, seizures or recalls of drug candidates or drugs, operating restrictions and criminal prosecutions, any of which could significantly and adversely affect our business and supplies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and any drugs that we may develop may compete with other product candidates and approved drugs for access to manufacturing facilities. There are a limited number of manufacturers that operate under cGMP regulations and that might be capable of manufacturing for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label, package, store and distribute product candidate supplies for our clinical trials. Any performance failure on the part of our distributors could delay clinical development or marketing approval of any future product candidates or commercialization of our products, producing additional losses and depriving us of potential drug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marketing approval or commercial drug supply after marketing approval. If our current contract manufacturers cannot perform as agreed, we may be required to replace such manufacturers causing additional costs and delays in identifying and qualifying any such replacement. </w:t>
      </w:r>
    </w:p>
    <w:p>
      <w:pPr>
        <w:pStyle w:val="TextBody"/>
        <w:bidi w:val="0"/>
        <w:spacing w:before="120" w:after="283"/>
        <w:jc w:val="left"/>
        <w:rPr>
          <w:rFonts w:ascii="Times New Roman" w:hAnsi="Times New Roman"/>
          <w:sz w:val="20"/>
        </w:rPr>
      </w:pPr>
      <w:r>
        <w:rPr>
          <w:rFonts w:ascii="Times New Roman" w:hAnsi="Times New Roman"/>
          <w:b/>
          <w:i/>
          <w:color w:val="000000"/>
          <w:sz w:val="20"/>
        </w:rPr>
        <w:t>Material modifications in the methods of product candidate manufacturing or formulation may result in additional costs or delay.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manufacture of drugs is complex, and our third-party manufacturers may encounter difficulties in production. If any of our third-party manufacturers encounter such difficulties, our ability to provide adequate supply of our product candidates for clinical trials or our products for patients, if approved, could be delayed or prevented. We have previously encountered challenges in the production of a drug substance batch, and as a result incurred additional costs to address and rectify the manufacturing process. Also, as product candidates progress through preclinical and clinical trials to marketing approval and commercialization, it is common that various aspects of the development program, such as manufacturing, suppliers and formulation, are altered in an effort to optimize yield and manufacturing batch size, minimize costs and achieve consistent quality and results. Any of these changes could cause our product candidates to perform differently and affect the results of planned clinical trials or other future clinical trials conducted with the modified manufacturing, materials or process. This could delay completion of clinical trials, require the conduct of additional clinical trials, such as bridging studies to demonstrate the product is substantially equivalent to product used during earlier clinical trials or the repetition of one or more clinical trials, increase clinical trial costs, delay approval of our product candidates and jeopardize our ability to commercialize our product candidates, if approved, and generate revenue. </w:t>
      </w:r>
    </w:p>
    <w:p>
      <w:pPr>
        <w:pStyle w:val="TextBody"/>
        <w:bidi w:val="0"/>
        <w:spacing w:before="120" w:after="283"/>
        <w:jc w:val="left"/>
        <w:rPr>
          <w:rFonts w:ascii="Times New Roman" w:hAnsi="Times New Roman"/>
          <w:sz w:val="20"/>
        </w:rPr>
      </w:pPr>
      <w:r>
        <w:rPr>
          <w:rFonts w:ascii="Times New Roman" w:hAnsi="Times New Roman"/>
          <w:b/>
          <w:i/>
          <w:color w:val="000000"/>
          <w:sz w:val="20"/>
        </w:rPr>
        <w:t>Development of product candidates in combination with other therapies could expose us to additional risks. Lack of third-party combination drugs may materially and adversely affect demand for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were to receive marketing approval or be commercialized for use in combination with other existing therapies, we would continue to be subject to the risks that the FDA, EMA or other comparable foreign regulatory authorities could revoke approval of the therapy used in combination with any of our product candidates, or safety, efficacy, manufacturing or supply issues could arise with these existing therapies. In addition, it is possible that existing therapies with which our product candidates are approved for use could themselves fall out of favor or be relegated to later lines of treatment. This could result in the need to identify other combination therapies for our product candidates or our own products being less successful commercially. We may also evaluate our product candidates in combination with one or more other cancer therapies that have not yet been approved for marketing by the FDA, EMA or comparable foreign regulatory authorities. We will not be able to market and sell any product candidate in combination with any such unapproved cancer therapies that do not ultimately obtain marketing approval. If the FDA, EMA or other comparable foreign regulatory authorities do not approve or revoke their approval of these other therapies, or if safety, efficacy, commercial adoption, manufacturing or supply issues arise with the therapies we choose to evaluate in combination with any other product candidate, we may be unable to obtain approval of or successfully market any one or all of the product candidates we develop. </w:t>
      </w:r>
    </w:p>
    <w:p>
      <w:pPr>
        <w:pStyle w:val="TextBody"/>
        <w:bidi w:val="0"/>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to the extent the regulatory authorities require concurrent updates to the drug labeling of an approved drug product to include the combination use to allow approval of one of our product candidates, we will need to coordinate with the third-party manufacturer regarding such combination labeling changes, which could delay or impact the approval of our product candidate. Changes in standard of care and treatment paradigm can materially and adversely affect our business and results of operations, including the design of our clinical trials. Additionally, if the third-party providers of therapies or therapies in development used in combination with our product candidates are unable to produce sufficient quantities for clinical trials or for commercialization of our product candidates, or if the cost of combination therapies are prohibitive, our development and commercialization efforts would be impaired, which would have an adverse effect on our business, financial condition, results of operations and growth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may be administered in combination with drugs of other pharmaceutical companies as one regimen. In addition, we currently use, and plan to use in the future, third-party drugs in our development and clinical trials as controls for our studies, such as conducting Phase 2/3 clinical trials of evorpacept in combination with trastuzumab for gastric/GEJ carcinoma. As a result, the results of our clinical trials and the sales of our drugs may be affected by the availability of these third-party drugs. For instance, we entered into clinical trial collaboration and supply agreements with Eli Lilly, pursuant to which our collaboration counterparties will supply doses of ramucirumab for use in certain clinical trials. If the agreement with Eli Lilly is terminated before the trial is completed, we may need to find another source of ramucirumab in order to continue our trial.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other pharmaceutical companies discontinue these drugs for combination therapies in the future, regimens that use these combination drugs may no longer be prescribed, and we may not be able to introduce or find an alternative drug to be used in combination with our drugs at all or in a timely manner and on a cost-effective basis. Use of new combination drugs with our approved product candidates will require further regulatory approval before we can promote such new combination therapies. As a result, demand for our product candidates may be lowered, which would in turn materially and adversely affect our business and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obtain regulatory approval for our product candidates or commercialize any product candidates that may result from our development efforts, or may miss expected deadlines, if we are not able to maintain or secure agreements with the third parties that conduct the activities related to our clinical trials on acceptable terms, if these third parties do not perform their services as contractually required, or if these third parties fail to timely transfer any regulatory information held by them to us.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entities outside of our control, which may include academic institutions, CROs, hospitals, clinics and other third-party strategic partners, to monitor, support, conduct and oversee preclinical studies and clinical trials of our current and future product candidates. As a result, we have less control over the timing and cost of these studies and the ability to recruit trial subjects than if we conducted these trials with our own personnel. If we are unable to maintain or enter into agreements with these third parties on acceptable terms, or if any such engagement is terminated prematurely, we may be unable to enroll subjects on a timely basis or otherwise conduct our clinical trials as planned. In addition, there is no guarantee that these third parties will devote adequate time and resources to our clinical trials or perform as required by our contract or in accordance with regulatory requirements, including maintenance of clinical trial information regarding our product candidates. For example, these third parties may be adversely impacted by outbreaks and public health crises, such as the COVID-19 pandemic. If these third parties fail to meet expected deadlines, fail to transfer to us any regulatory information in a timely manner, fail to adhere to protocols or fail to act in accordance with regulatory requirements or our agreements with them, or if they otherwise perform in a substandard manner or in a way that compromises the quality or accuracy of their activities or the data they obtain, then clinical trials of our product candidates may be extended or delayed with additional costs incurred, or our data may be rejected by the FDA or other regulatory agencies. Ultimately, we are responsible for ensuring that each of our clinical trials is conducted in accordance with the applicable protocol, legal, regulatory and scientific standards, and our reliance on third parties does not relieve us of our regulatory responsibilities.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our CROs are required to comply with cGCPs, regulations and guidelines enforced by the FDA and comparable foreign regulatory authorities for products in clinical development. Regulatory authorities enforce these cGCPs through periodic inspections of clinical trial sponsors, principal investigators and clinical trial sites. If we or any of our CROs fail to comply with applicable cGCPs, the clinical data generated in our clinical trials may be deemed unreliable and our submission of marketing applications may be delayed, or the FDA or foreign regulatory authority may require us to perform additional clinical trials before approving our marketing applications. Upon inspection, the FDA or foreign regulatory authority could determine that any of our clinical trials fail or have failed to comply with applicable cGCPs.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also may be implicated if any of our CROs violates fraud and abuse or false claims laws and regulations or healthcare privacy and security laws. </w:t>
      </w:r>
    </w:p>
    <w:p>
      <w:pPr>
        <w:pStyle w:val="TextBody"/>
        <w:bidi w:val="0"/>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third-party clinical trial sites terminate for any reason, we may experience the loss of follow-up information on subjects enrolled in our ongoing clinical trials unless we are able to transfer the care of those subjects to another qualified clinical trial site. Further, our CROs are not required to work indefinitely or exclusively with us. Our existing agreements with our CROs may be subject to termination by the counterparty upon the occurrence of certain circumstances. If any CRO terminates its agreement with us, the research and development of the relevant product candidate would be suspended, and our ability to research, develop and license future product candidates would be impaired. We may be required to devote additional resources to the development of our product candidates or seek a new CRO partner, and the terms of any additional arrangements that we establish may not be favorable to us. Switching or adding CROs or other service providers can involve substantial cost and require extensive management time and focus. In addition, there is a natural transition period when a new CRO or service provider commences work. As a result, delays may occur, which can materially impact our ability to meet our desired clinical development timelines. If we are required to seek alternative arrangements, the resulting delays and potential inability to find suitable replacements could materially and adversely impact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marketing approval for any of our product candidates, we may not achieve market acceptance, which would limit the revenue that we can generate from sales of any of our approved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the FDA and applicable foreign regulatory authorities approve the marketing of any product candidates that we develop, physicians, patients, third-party payors or the medical community may not accept or use our product candidates. Efforts to educate the medical community and third-party payors on the benefits of our product candidates may require significant resources and may not be successful. Market acceptance of evorpacept and any other product candidates, if any are approved, will depend on a number of factors, including, among others: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evorpacept and our other product candidates to treat cancer or other applicable targeted diseases, as compared with other available drugs, treatments or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the product candidate as well as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a product candidate is approved;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of other new therapies for the same indications;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adverse side effects associated with evorpacept and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limitations or warnings contained in the labeling approved for evorpacept or our other product candidates by the FDA or foreign regulatory authorities;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availability of alternative treatments and the potential and perceived advantages of our product candidates over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target patient population and the willingness of the target patient population to try new therapies and of physicians to prescribe these therapies;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and effectiveness of marketing and distribution support and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for our product candidates and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pricing and cost-effectiveness in relation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relative convenience and ease of administration;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sufficient third-party coverage or reimbursement, and the willingness of patients to pay out-of-pocket in the absence of third-party coverage;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likelihood that the FDA or any foreign regulatory authority may impose additional requirements that limit the promotion, advertising, distribution or sales of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in clinical trials for our product candidates or in clinical trials of others developing similar products and the resulting publicity, as well as any other adverse events in the field of immuno-oncology that may occur in the future, could result in a decrease in demand for evorpacept or any other product candidate that we may develop. If public perception is influenced by claims that the use of cancer immunotherapies is unsafe, whether related to our therapies or those of our competitors, our products may not be accepted by the general public or the medical community. Future adverse events in immuno-oncology or the biopharmaceutical industry generally could also result in greater governmental regulation and stricter labeling requirements.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is approved but does not achieve an adequate level of acceptance by patients, physicians and/or third-party payors, we may not generate sufficient revenue to become or remain profitable and our business may be harmed. </w:t>
      </w:r>
    </w:p>
    <w:p>
      <w:pPr>
        <w:pStyle w:val="TextBody"/>
        <w:bidi w:val="0"/>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never commercialized a product candidate and we may lack the necessary expertise, personnel and resources to successfully commercialize any of our products that receive regulatory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have no marketing and sales organization and we have never commercialized a product candidate. To achieve commercial success of our product candidates, if any are approved, we will have to develop our own medical affairs, sales, marketing and supply capabilities or outsource these activities to a third party.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ultimately receives regulatory approval, we may choose to establish an internal marketing and sales organization with technical expertise and supporting distribution capabilities to commercialize each such product in major markets, which will be expensive and time consuming. We have no prior experience as a company in the marketing, sale and distribution of pharmaceutical products and there are significant risks involved in building and managing a sales organization. Factors that may affect our ability to commercialize our product candidates on our own include recruiting and retaining adequate numbers of effective sales and marketing personnel, obtaining access to or persuading adequate numbers of physicians to prescribe our product candidates and other unforeseen costs associated with creating an independent sales and marketing organization. Developing a sales and marketing organization requires significant investment, is time-consuming and could delay the launch of our product candidates. We may not be able to build an effective sales and marketing organization in the United States, the European Union or other key global markets. If we are unable to build our own distribution and marketing capabilities or to find suitable partners for the commercialization of our product candidates, we may have difficulties generating revenue from them.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 We have no internal sales, marketing or distribution capabilities. </w:t>
      </w:r>
    </w:p>
    <w:p>
      <w:pPr>
        <w:pStyle w:val="TextBody"/>
        <w:bidi w:val="0"/>
        <w:spacing w:before="120" w:after="283"/>
        <w:jc w:val="left"/>
        <w:rPr>
          <w:rFonts w:ascii="Times New Roman" w:hAnsi="Times New Roman"/>
          <w:sz w:val="20"/>
        </w:rPr>
      </w:pPr>
      <w:r>
        <w:rPr>
          <w:rFonts w:ascii="Times New Roman" w:hAnsi="Times New Roman"/>
          <w:b/>
          <w:i/>
          <w:color w:val="000000"/>
          <w:sz w:val="20"/>
        </w:rPr>
        <w:t>The market opportunities for the product candidates we develop, if approved, may be limited to certain smaller patient subsets.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is no guarantee that the product candidates we develop, even if approved, would be approved for the currently proposed indications. We may have to conduct additional clinical trials that may be costly, time-consuming and subject to risk. Regulators, like the FDA, may require us to narrow our indications to smaller patient subsets, and the number of patients in such subsets may turn out to be lower than expected. If this were to occur, it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current and future product candidates may have undesirable side effects that may delay or prevent marketing approval or, if approval is received, require them to be taken off the market, require them to include new safety warnings, contraindications or precautions, or otherwise limit their sales. No regulatory agency has made a determination that any of our product candidates are safe, pure, potent or effective for use by the target patient population for any indication.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lead product candidate, evorpacept, is at an early stage of clinical development and not all adverse effects can be predicted or anticipated. Unforeseen side effects from evorpacept or any of our future product candidates may arise at any time during clinical development or, if approved by regulatory authorities, after the approved drug product has been marketed. Any undesirable or unacceptable side effects of evorpacept or our future product candidates could interrupt, delay or halt clinical trials, and result in delay of, or failure to obtain, marketing approval from the FDA or comparable international regulatory authorities, or result in marketing approval from the FDA or comparable international regulatory authorities with restrictive label warnings or for limited patient populations. Ultimately, such side effects could result in product liability claims. No regulatory agency has made any determination that any of our product candidates or discovery programs is safe or effective for use by the general public for any indication.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any of our product candidates receive marketing approval, if we or others later identify undesirable or unacceptable side effects caused by such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us to take our approved product off the market;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the addition of labeling statements, specific warnings, contraindication, precaution or field alerts to physicians and pharmacies;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including changing the dose and/or schedule of administration, limit the patient population who can use the product or conduct additional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limitations on how we may promote the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the product may decrease significantly;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litigation or product liability claims; and </w:t>
      </w:r>
    </w:p>
    <w:p>
      <w:pPr>
        <w:pStyle w:val="TextBody"/>
        <w:bidi w:val="0"/>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affected product or could substantially increase commercialization costs and expenses, which in turn could delay or prevent us from generating revenue from the sale of any future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Failure to obtain or maintain adequate coverage and reimbursement for our product candidates, if approved, could limit our ability to market those products and decrease our ability to generate revenue.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and adequacy of coverage and reimbursement by governmental healthcare programs such as Medicare and Medicaid, private health insurers and other third-party payors are essential for most patients to be able to afford products such as our product candidates, if approved. Our ability to achieve and maintain acceptable levels of coverage and reimbursement for products by governmental authorities, private health insurers and other organizations will have an effect on our ability to successfully commercialize our product candidates. Coverage under certain government programs, such as Medicare, Medicaid and TRICARE, may not be available for certain of our product candidates. Assuming we obtain coverage for a given product by a third-party payor, the resulting reimbursement payment rates may not be adequate or may require co-payments that patients find unacceptably high. We cannot be sure that coverage and reimbursement in the United States, the European Union or elsewhere will be available for any product that we may develop, and any reimbursement that may become available may be decreased or eliminated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increasingly are challenging prices charged for pharmaceutical products and services, and many third-party payors may refuse to provide coverage and reimbursement for particular drugs when an equivalent generic drug, biosimilar or a less expensive therapy is available. It is possible that a third-party payor may consider our product candidates and other therapies as substitutable and only offer to reimburse patients for the less expensive product. Even if we show improved efficacy and potency or improved convenience of administration with our product candidates, pricing of existing drugs may limit the amount we will be able to charge for our product candidates. These payors may deny or revoke the reimbursement status of a given product or establish prices for new or existing marketed products at levels that are too low to enable us to realize an appropriate return on our investment in product development. If reimbursement is not available or is available only at limited levels, we may not be able to successfully commercialize our product candidates and may not be able to obtain a satisfactory financial return on products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reimbursement status is time-consuming and costly. No uniform policy for coverage and reimbursement for products exists among third-party payors in the United States. Therefore, coverage and reimbursement for products can differ significantly from payor to payor. As a result, the coverage determination process is often a time-consuming and costly process that will require us to provide scientific and clinical support for the use of our products to each payor separately, with no assurance that coverage and adequate reimbursement will be applied consistently or obtained in the first instance. Furthermore, rules and regulations regarding reimbursement change frequently, in some cases at short notice, and we believe that changes in these rules and regulations are likely.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increasing efforts by governmental and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We expect to experience pricing pressures in connection with the sale of any of our product candidates due to the trend toward managed healthcare, the increasing influence of health maintenance organizations and additional legislative changes. The downward pressure on healthcare costs in general, particularly prescription drugs, has become very intense. As a result, increasingly high barriers are being erected to the entry of new products. The continuing efforts of the government, insurance companies, managed care organizations and other payors of health care services to contain or reduce costs of health care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any products for which we may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coverage and adequate reimbursement for a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w:t>
      </w:r>
    </w:p>
    <w:p>
      <w:pPr>
        <w:pStyle w:val="TextBody"/>
        <w:bidi w:val="0"/>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FDA and other regulatory agencies actively enforce the laws and regulations prohibiting the promotion of off-label uses.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FDA strictly regulates manufacturers’ promotional claims of drug products. In particular, a product may not be promoted for uses that are not approved by the FDA as reflected in the FDA-approved labeling. The FDA, the Department of Justice, the Inspector General of the Department of Health and Human Services, or HHS, among other government agencies, actively enforce the laws and regulations prohibiting the promotion of off-label uses, and a company that is found to have improperly promoted off-label uses may be subject to significant liability, including large civil and criminal fines, penalties and enforcement actions. The FDA has also imposed consent decrees or permanent injunctions under which specified promotional conduct is changed or curtailed for companies that engaged in such prohibited activities. If we cannot successfully manage the promotion of our approved product candidates, we could become subject to significant liability, which would materially adversely affect our business and financial condition.</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Government Regulation</w:t>
      </w:r>
    </w:p>
    <w:p>
      <w:pPr>
        <w:pStyle w:val="TextBody"/>
        <w:bidi w:val="0"/>
        <w:spacing w:before="120" w:after="283"/>
        <w:jc w:val="left"/>
        <w:rPr>
          <w:rFonts w:ascii="Times New Roman" w:hAnsi="Times New Roman"/>
          <w:sz w:val="20"/>
        </w:rPr>
      </w:pPr>
      <w:r>
        <w:rPr>
          <w:rFonts w:ascii="Times New Roman" w:hAnsi="Times New Roman"/>
          <w:b/>
          <w:i/>
          <w:color w:val="000000"/>
          <w:sz w:val="20"/>
        </w:rPr>
        <w:t>Even if we receive regulatory approval to commercialize any of our product candidates, we will be subject to ongoing regulatory obligations and continued regulatory review with respect to our drugs, which will result in significant additional expense.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may be subject to limitations on the approved indicated uses for which the product may be marketed, or subject to certain conditions of approval and may contain requirements for potentially costly post-approval trials and surveillance to monitor the safety, purity and efficacy/potency of the marketed product. For any approved drug, we will be subject to ongoing regulatory obligations and extensive oversight by regulatory authorities, including with respect to manufacturing processes, labeling, packaging, distribution, adverse event reporting, storage, advertising, promotion and recordkeeping for the product. These requirements include submissions of safety and other post-approval information and reports, as well as continued compliance with cGMPs and cGCPs for any clinical trials that we conduct post-approval. Later discovery of previously unknown problems with a drug, including adverse events of unanticipated severity or frequency, or with third-party manufacturers or manufacturing processes, or failure to comply with regulatory requirements, may result in,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the marketing or manufacturing of the drug;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the drug from the market or voluntary or mandatory product recalls;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publicity, fines, warning letters or holds on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refusal by the FDA or any other applicable regulatory authority to approve pending applications or supplements to approved applications filed by us, or suspension or revocation of product license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product seizure or detention, or refusal to permit the import or export of product candidates;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injunctions or the imposition of civil or criminal penalties.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occurrence of any of the foregoing could have a material and adverse effect on our business and results of operations. Further, the policies of the FDA or other comparable foreign regulatory authorities may change, and additional government regulations may be enacted that could prevent, limit or delay regulatory approval of our product candidates or impact any already approved drugs. In June 2024, the U.S. Supreme Court overruled the </w:t>
      </w:r>
      <w:r>
        <w:rPr>
          <w:rFonts w:ascii="Times New Roman" w:hAnsi="Times New Roman"/>
          <w:i/>
          <w:color w:val="000000"/>
          <w:sz w:val="20"/>
        </w:rPr>
        <w:t>Chevron</w:t>
      </w:r>
      <w:r>
        <w:rPr>
          <w:rFonts w:ascii="Times New Roman" w:hAnsi="Times New Roman"/>
          <w:color w:val="000000"/>
          <w:sz w:val="20"/>
        </w:rPr>
        <w:t xml:space="preserve"> 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longstanding decisions and policies of the FDA, including FDA’s statutory interpretations of market exclusivities and the “substantial evidence” requirements for drug approvals, which could undermine the FDA’s authority, lead to uncertainties in the industry, and disrupt the FDA’s normal operations, any of which could delay the FDA’s review of our regulatory submissions. Further, changes in the leadership of the FDA and other federal agencies under the current U.S. presidential administration may lead to new policies and changes in the regulations that can increase our compliance costs or delay our clinical development and timelines. If we are slow or unable to adapt to changes in existing requirements or the adoption of new requirements or policies, or if we are not able to maintain regulatory compliance, we may lose any marketing approval that we may have obtained, which would adversely affect our business, prospects and ability to generate revenue or achieve or sustain profitability. </w:t>
      </w:r>
    </w:p>
    <w:p>
      <w:pPr>
        <w:pStyle w:val="TextBody"/>
        <w:bidi w:val="0"/>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and comparable foreign regulatory authorities are lengthy, time-consuming and inherently unpredictable, which could lead to our inability to generate product revenue. Even if we obtain FDA approval of any of our product candidates, we may never obtain approval or commercialize such products outside of the United States, which would limit our ability to realize their full market potential.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and comparable foreign regulatory authorities is unpredictable, typically takes many years following the commencement of clinical trials and depends upon numerous factors, including the type, complexity and novelty of the product candidates involved. Seeking foreign regulatory approvals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 candidates in those countries.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For example, the FDA’s Oncology Center of Excellence initiated Project Optimus to reform the dose optimization and dose selection paradigm in oncology drug development and Project FrontRunner to help develop and implement strategies to support approvals in the early clinical setting, among other goals. How the FDA plans to implement these goals and their impact on specific clinical programs and the industry are unclear. Regulatory authorities have substantial discretion in the approval process and may refuse to accept any application or may decide that our data are insufficient for approval and require additional preclinical, clinical or other data. Satisfying these and other regulatory requirements is costly, time consuming, uncertain and subject to unanticipated delays. Our failure to obtain regulatory approval in any country may delay or have negative effects on the process for regulatory approval in other countries. Even if we eventually complete clinical testing and receive approval of any regulatory filing for our product candidates, the FDA and comparable foreign regulatory authorities may approve our product candidates for a more limited indication or a narrower patient population than we originally requested. We have not submitted for or obtained regulatory approval for any product candidate and it is possible that we may never obtain regulatory approval for evorpacept, or any other product candidates we seek to develop in the future. If we fail to comply with regulatory requirements in international markets or to obtain and maintain required approvals, our target market will be reduced and our ability to realize the full market potential of our product candidates will be harmed.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the design, implementation or results of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potency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Biologics License Application, New Drug Application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or comparable international regulatory authorities that a product candidate’s risk-benefit ratio for its proposed indication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or comparable international regulatory authorities may fail to approve the manufacturing processes, test procedures and specifications or facilities of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or international foreign regulatory authorities may significantly change in a manner rendering our clinical data insufficient for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order to market any product candidates outside of the United States, we must establish and comply with numerous and varying regulatory requirements of other countries regarding safety and efficacy and potency and approval standards. Clinical trials conducted in one country may not be accepted by regulatory authorities in other countries, and regulatory approval in one country does not mean that regulatory approval will be obtained in any other country. </w:t>
      </w:r>
    </w:p>
    <w:p>
      <w:pPr>
        <w:pStyle w:val="TextBody"/>
        <w:bidi w:val="0"/>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of the FDA to review and approve new products can be affected by a variety of factors, including government budget and funding levels, ability to hire and retain key personnel and accept the payment of user fees, government shutdowns, return-to-office policy and other policies and executive actions under the current U.S. presidential administration, including as a result of budget delays or other circumstances like the COVID-19 pandemic, and statutory, regulatory and policy changes. Average review times at the agency have fluctuated in recent years as a result. 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under the new leadership at the HHS, reorganization of that department, departure of senior leadership at the FDA and other agencies under HHS, and mass layoffs at HHS may impact operations at the FDA as well as other federal agencies. The FDA may lack adequate staff and resources to meet current review, approval, and inspection schedules, which could delay our anticipated timelines. These new policies are also expected to lead to fewer agency guidance documents that could result in interference with FDA programs or lead to delays or refusals to approve products. It is unclear how our industry and our clinical programs will be impacted by policies or regulations implemented under the current presidential administration and the new FDA commissioner or other executive orders. To the extent the agency reorganization and other agency changes lead to disruptions in the FDA’s operations, our interactions, correspondence, and regulatory review processes with the FDA may be delayed.</w:t>
      </w:r>
    </w:p>
    <w:p>
      <w:pPr>
        <w:pStyle w:val="TextBody"/>
        <w:bidi w:val="0"/>
        <w:spacing w:before="120" w:after="283"/>
        <w:jc w:val="left"/>
        <w:rPr>
          <w:rFonts w:ascii="Times New Roman" w:hAnsi="Times New Roman"/>
          <w:sz w:val="20"/>
        </w:rPr>
      </w:pPr>
      <w:r>
        <w:rPr>
          <w:rFonts w:ascii="Times New Roman" w:hAnsi="Times New Roman"/>
          <w:b/>
          <w:i/>
          <w:color w:val="000000"/>
          <w:sz w:val="20"/>
        </w:rPr>
        <w:t>While we have received certain FDA Fast Track designations, such Fast Track designations may not lead to a faster development or regulatory review or approval process, and do not increase the likelihood that the drug will receive marketing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granted Fast Track designation for evorpacept in combination with pembrolizumab, platinum, and fluorouracil for the first-line treatment of adult patients with metastatic or unresectable, recurrent HNSCC in February 2020, for evorpacept in combination with trastuzumab, ramucirumab and paclitaxel for the treatment of patients with HER2-overexpressing advanced gastric or GEJ adenocarcinoma with disease progression on or after prior trastuzumab, and fluoropyrimidine or platinum-containing chemotherapy in January 2020, and for evorpacept in combination with pembrolizumab for first-line treatment of adult patients with metastatic or unresectable, recurrent HNSCC whose tumors express PD-L1 in July 2022. If a product candidate is intended for the treatment of a serious condition and preclinical or clinical data demonstrate the potential to address unmet medical need for such condition, a sponsor may apply for FDA Fast Track designation. Even though we received these Fast Track designations for evorpacept, Fast Track designation does not ensure that we will receive marketing approval or that approval will be granted within any particular timeframe. We may not experience a faster development or regulatory review or approval process with Fast Track designation compared to conventional FDA procedures. In addition, the FDA may withdraw Fast Track designation if it believes that the designation is no longer supported by data from our clinical development program. Fast Track designation alone does not guarantee qualification for the FDA’s priority review procedures.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have received certain orphan drug designations from the FDA and the European Commission, we may be unable to maintain the benefits associated with such orphan drug designation. If we decide to seek orphan drug designation for additional indications for our product candidates in the future, we may be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Orphan Drug Act, the FDA may designate a product candidate as an orphan drug if it is a drug intended to treat a rare disease or condition, which is generally defined as a patient population of fewer than 200,000 individuals annually in the United States. In January 2022, the FDA’s Office of Orphan Products Development granted Orphan Drug Designation, ODD, to evorpacept for treatment for gastric/GEJ cancer. We may seek ODD for certain additional indications for our product candidates in the future. ODD neither shortens the development time or regulatory review time of a product candidate nor gives the product candidate any advantage in the regulatory review or approval process. Generally, if a product candidate with ODD subsequently receives the first marketing approval for the indication for which it has such designation, the drug is entitled to a period of marketing exclusivity that precludes the FDA from approving another marketing application for the same drug for the same indication for seven years. Therefore, if our competitors are able to obtain orphan product exclusivity for their product candidates in the same indications we are pursuing, we may not be able to have competing product candidates approved in those indications by the FDA for a significant period of time. There are also limited circumstances where the FDA may reduce the seven-year exclusivity for a product candidate with an orphan drug designation where other product candidates show clinical superiority to the product with orphan exclusivity or if the FDA finds that the holder of the orphan exclusivity has not shown that it can assure the availability of sufficient quantities of the orphan product to meet the needs of patients with the disease or condition for which the drug was designated. However, even if one of our product candidates receives orphan exclusivity, the FDA can still approve other drugs that have a different active ingredient for use in treating the same indication or disease. Furthermore, the FDA can waive orphan exclusivity if we are unable to manufacture a sufficient supply of our product. In response to recent litigation, the FDA clarified in a January 2023 notice that the FDA will continue tying the scope of orphan-drug exclusivity to the uses or indications for which a drug is approved, which permits other sponsors to obtain approval of a drug for new uses or indications within the same orphan designated disease or condition that have not yet been approved. It is unclear how future litigation, legislation, agency decisions, and administrative actions will impact the scope of the orphan drug exclusivity. Further, in view of the overturn of the Chevron doctrine, this landmark Supreme Court decision may invite various stakeholders to bring lawsuits against the FDA to challenge longstanding decisions and policies, which could lead to uncertainties in the industry. Changes in the leadership of the FDA and other federal agencies under the current U.S. presidential administration may also lead to new policies and changes in the regulations and operations of the FDA, which may impact our clinical development plans.</w:t>
      </w:r>
    </w:p>
    <w:p>
      <w:pPr>
        <w:pStyle w:val="TextBody"/>
        <w:bidi w:val="0"/>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2023, the European Commission granted ODD to evorpacept for the treatment of patients with gastric/GEJ cancer. In the European Union approved orphan medicines are granted 10 years of market exclusivity, which can be extended to 12 years if a pediatric investigation plan is completed. The market exclusivity period can be shortened if the approved orphan drug becomes commercially successful. An orphan designation can also be revoked if, for example, the prevalence of the condition increased to more than 5 per 10,000 individuals of the total population, if additional therapies are introduced after the initial designation and have improved the morbidity or mortality of a condition so that it is no longer chronically debilitating and/or life-threatening, or if we are unable to demonstrate significant benefit over existing authorized products. We can provide no assurance that we will be able to maintain all the benefits associated with the designation or that we will be successful in commercializing our product if approved. </w:t>
      </w:r>
    </w:p>
    <w:p>
      <w:pPr>
        <w:pStyle w:val="TextBody"/>
        <w:bidi w:val="0"/>
        <w:spacing w:before="120" w:after="283"/>
        <w:jc w:val="left"/>
        <w:rPr>
          <w:rFonts w:ascii="Times New Roman" w:hAnsi="Times New Roman"/>
          <w:sz w:val="20"/>
        </w:rPr>
      </w:pPr>
      <w:r>
        <w:rPr>
          <w:rFonts w:ascii="Times New Roman" w:hAnsi="Times New Roman"/>
          <w:b/>
          <w:i/>
          <w:color w:val="000000"/>
          <w:sz w:val="20"/>
        </w:rPr>
        <w:t>Current and future legislation may increase the difficulty and cost for us to commercialize our products, if approved, and affect the prices we may obtain. We may face difficulties from changes to current regulations and future legislation.</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Existing regulatory policies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In June 2024, the U.S. Supreme Court overruled the </w:t>
      </w:r>
      <w:r>
        <w:rPr>
          <w:rFonts w:ascii="Times New Roman" w:hAnsi="Times New Roman"/>
          <w:i/>
          <w:color w:val="000000"/>
          <w:sz w:val="20"/>
        </w:rPr>
        <w:t xml:space="preserve">Chevron </w:t>
      </w:r>
      <w:r>
        <w:rPr>
          <w:rFonts w:ascii="Times New Roman" w:hAnsi="Times New Roman"/>
          <w:color w:val="000000"/>
          <w:sz w:val="20"/>
        </w:rPr>
        <w:t xml:space="preserve">doctrine, which may invite more companies and other stakeholders to bring lawsuits against the FDA to challenge longstanding decisions and policies of the FDA and other federal agencies, which could lead to uncertainties in the industry and disrupt the FDA’s normal operations, any of which could delay the FDA’s review of our regulatory submissions. We cannot predict the full impact of this decision, future judicial challenges brought against the FDA, or the nature or extent of government regulation that may arise from future legislation or administrative action.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foreign jurisdictions, 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drugs,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Protection and Affordable Care Act, as amended by the Health Care and Education Reconciliation Act, or collectively ACA, was enacted in 2010 and includes measures that have significantly changed the way healthcare is financed by both governmental and private insurers. The ACA continues to impact the U.S. pharmaceutical industry. Since its enactment, there have been judicial, executive and Congressional challenges to certain aspects of the ACA. In June 2021, the United States Supreme Court held that Texas and other challengers had no legal standing to challenge the ACA, dismissing the case without specifically ruling on the constitutionality of the ACA. Accordingly, the ACA remains in effect in its current form. It is possible that the ACA will be subject to judicial or Congressional challenges in the future. It is unclear how additional challenges and healthcare reform measures of the current U.S. presidential administration will impact the ACA. Complying with any new legislation or reversing changes implemented under the ACA could be time-intensive and expensive, resulting in a material adverse effect on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other legislative changes have been proposed and adopted since the ACA was enacted. These changes include aggregate reductions to Medicare payments to providers of up to 2% per fiscal year pursuant to the Budget Control Act of 2011, which began in 2013 and will remain in effect through 2032, with the exception of temporary suspension under COVID-19 relief legislation. </w:t>
      </w:r>
    </w:p>
    <w:p>
      <w:pPr>
        <w:pStyle w:val="TextBody"/>
        <w:bidi w:val="0"/>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also has recently been heightened governmental scrutiny over the manner in which drug manufacturers set prices for their drugs, which has resulted in several U.S.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drug products. For example, under the American Rescue Plan Act of 2021, effective January 1, 2024, the statutory cap on Medicaid Drug Rebate Programs rebates that manufacturers pay to state Medicaid programs was eliminated. Elimination of this cap may require pharmaceutical manufacturers to pay more in rebates than it receives on the sale of products, which could have material impact on our business. Further, in July 2021, the Biden administration released an executive order, “Promoting Competition in the American Economy,” with multiple provisions aimed at increasing competition for prescription drugs. Congress is considering legislation that, if passed, could have significant impact on prices of prescription drugs covered by Medicare, including limitations on drug price increases. In August 2022, Congress passed the Inflation Reduction Act of 2022, which includes prescription drug provisions that have significant implications for the pharmaceutical industry and Medicare beneficiaries, including allowing the federal government to negotiate a maximum fair price for certain high-priced single source Medicare drugs, imposing penalties and excise tax for manufacturers that fail to comply with the drug price negotiation requirements, requiring inflation rebates for all Medicare Part B and Part D drugs, with limited exceptions, if their drug prices increase faster than inflation, and redesigning Medicare Part D to reduce out-of-pocket prescription drug costs for beneficiaries, among other changes. Only high-expenditure single-source drugs that have been approved for at least seven years (11 years for single-source biologics) can qualify for negotiation, with the negotiated price taking effect two years after the selection year. For 2026, CMS selected 10 high-cost Medicare Part D drugs in 2023 and the negotiated maximum fair price for each drug has been announced. CMS has selected 15 additional Medicare Part D drugs for negotiated maximum fair pricing in 2027. For 2028, up to an additional 15 drugs, which may be covered under either Medicare Part B or Part D, will be selected, and for 2029 and subsequent years, up to 20 additional Part B or Part D drugs will be selected. Various industry stakeholders, including the U.S. Chamber of Commerce, the National Infusion Center Association, the Global Colon Cancer Association, and the Pharmaceutical Research and Manufacturers of America, have initiated lawsuits against the federal government asserting that the price negotiation provisions of the Inflation Reduction Act are unconstitutional. The impact of these judicial challenges as well as future judicial challenges in view of the U.S. Supreme Court’s overturn of the Chevron doctrine, and other legislative, executive, and administrative actions and agency rules implemented by the current U.S. presidential administration on us and the pharmaceutical industry as a whole is unclear. The implementation of cost containment measures or other healthcare reforms may prevent us from being able to generate revenue, attain profitability, or commercialize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 For example, a number of states are considering or have recently enacted state drug price transparency and reporting laws that could substantially increase our compliance burdens and expose us to greater liability under such state laws once we begin commercialization. FDA has authorized the state of Florida to develop Section 804 Importation Programs to import certain prescription drugs from Canada for a limited period to help reduce drug costs, provided that Florida’s Agency for Health Care Administration meets the requirements set forth by the FDA. Other states may follow Florida.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ACA, as well as other healthcare reform measures that may be adopted in the future, may result in additional reductions in Medicare and other healthcare funding, more rigorous coverage criteria, lower reimbursement and new payment methodologies. This could lower the price that we receive for any approved drug product. Any denial in coverage or reduction in reimbursement from Medicare or other government 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European Union, similar political, economic and regulatory developments may affect our ability to profitably commercialize our current or any future product candidates. In addition to continuing pressure on prices, price controls and cost containment measures, legislative developments at the European Union or member state level may result in significant additional requirements or obstacles that may increase our operating costs. In international markets, reimbursement and healthcare payment systems vary significantly by country, and many countries have instituted price ceilings on specific products and therapies. Our future product candidates, if any, might not be considered medically reasonable and necessary for a specific indication or cost-effective by third-party payors, an adequate level of reimbursement might not be available for such product candidates and third-party payors’ reimbursement policies might adversely affect our ability to sell any future product candidates profitably. </w:t>
      </w:r>
    </w:p>
    <w:p>
      <w:pPr>
        <w:pStyle w:val="TextBody"/>
        <w:bidi w:val="0"/>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candidate in a particular country, but then be subject to price regulations that delay the commercial launch of the product candidate, possibly for lengthy time periods, and negatively impact the revenue that are generated from the sale of the product in that country. If reimbursement of such product candidates is unavailable or limited in scope or amount, or if pricing is set at unsatisfactory levels, or if there is competition from lower-priced cross-border sales, our profitability will be negatively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our product candidates may lose any marketing approval that may have been obtained and we may not achieve or sustain profitability, which would adversely affect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operations and current and future relationships with investigators, health care professionals, consultants, third-party payors and customers will be subject, directly or indirectly, to federal and state healthcare fraud and abuse laws, false claims laws, health information privacy and security laws and other healthcare laws and regulations. If we are unable to comply, or have not fully complied, with such laws, we could face substantial penalties.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we do not currently have any products on the market, our operations may be directly, or indirectly through our prescribers, consultants, customers and third-party payors, subject to various U.S. federal and state healthcare laws and regulations, including, without limitation, the U.S. federal Anti-Kickback Statute, the U.S. federal civil and criminal false claims laws and the Physician Payments Sunshine Act and regulations. Healthcare providers and others play a primary role in the recommendation and prescription of any products for which we obtain marketing approval. These laws may impact, among other things, our current business operations, including our clinical research activities and proposed sales, marketing and education programs and constrain the business of financial arrangements and relationships with healthcare providers, physicians and other parties through which we market, sell and distribute our products for which we obtain marketing approval. In addition, we may be subject to patient data privacy and security regulation by both the U.S. federal government and the states in which we conduct our business. Finally, we may be subject to additional healthcare, statutory and regulatory requirements and enforcement by foreign regulatory authorities in jurisdictions in which we conduct our business. The laws that may affect our ability to operate are described in the following paragraphs: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Anti-Kickback Statute prohibits, among other things, persons or entities from knowingly and willfully soliciting, offering, receiving or paying any remuneration (including any kickback, bribe or certain rebates), directly or indirectly, overtly or covertly, in cash or in kind, to induce or reward either the referral of an individual for, or the purchase, lease, order or recommendation of, any good, facility, item or service, for which payment may be made, in whole or in part, under U.S. federal and state healthcare programs such as Medicare and Medicaid. Moreover, the ACA provides that the government may assert that a violation of the federal Anti-Kickback Statute also constitutes a false or fraudulent claim for purposes of the civil False Claims Act, or FCA.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civil and criminal false claims, including the civil FCA, that can be enforced by private citizens through civil whistleblower or qui tam actions,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 No specific intent to defraud is required under the civil FCA. The criminal FCA provides for criminal penalties for submitting false claims, including imprisonment and criminal fines.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Civil Monetary Penalty Act of 1981 and implementing regulations impose penalties against any person or entity that, among other things, is determined to have presented or caused to be presented a claim to a federal healthcare program that the person knows or should know is for an item or service that was not provided as claimed or is false or fraudulent, or offering or transferring remuneration to a federal healthcare beneficiary that a person knows or should know is likely to influence the beneficiary’s decision to order or receive items or services reimbursable by the government from a particular provider or supplier.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Health Insurance Portability and Accountability Act, or HIPAA, imposes criminal and civil liability for, among other things, knowingly and willfully executing, or attempting to execute, a scheme to defraud any healthcare benefit program or knowingly and willfully falsifying, concealing or covering up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 </w:t>
      </w:r>
    </w:p>
    <w:p>
      <w:pPr>
        <w:pStyle w:val="TextBody"/>
        <w:bidi w:val="0"/>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HIPAA, as amended by the Health Information Technology for Economic and Clinical Health Act of 2009, or HITECH, and its implementing regulations, as amended again by the Modifications to the HIPAA Privacy, Security, Enforcement and Breach Notification Rules Under HITECH and the Genetic Information Nondiscrimination Act and Other Modifications to the HIPAA Rules, commonly referred to as the Final HIPAA Omnibus Rule, published in January 2013, impose certain obligations, including mandatory contractual terms, on covered entities subject to the Final HIPAA Omnibus Rule, </w:t>
      </w:r>
      <w:r>
        <w:rPr>
          <w:rFonts w:ascii="Times New Roman" w:hAnsi="Times New Roman"/>
          <w:i/>
          <w:color w:val="000000"/>
          <w:sz w:val="20"/>
        </w:rPr>
        <w:t>i.e.</w:t>
      </w:r>
      <w:r>
        <w:rPr>
          <w:rFonts w:ascii="Times New Roman" w:hAnsi="Times New Roman"/>
          <w:color w:val="000000"/>
          <w:sz w:val="20"/>
        </w:rPr>
        <w:t xml:space="preserve">, health plans, healthcare clearinghouses and healthcare providers, and their business associates that perform certain services for or on their behalf involving the use or disclosure of individually identifiable health information as well as their covered subcontractors with respect to safeguarding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U.S. Federal Food, Drug and Cosmetic Act prohibits, among other things, the adulteration or misbranding of drugs, biologics and medical devices.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Physician Payments Sunshine Act requires applicable manufacturers of covered drugs, medical devices, biologics and medical supplies for which payment is available under Medicare, Medicaid or the Children’s Health Insurance Program, with specific exceptions, to annually report to Centers for Medicare &amp; Medicaid Services, or CMS, information regarding payments and other transfers of value made to covered recipients, including physicians (defined to include doctors, dentists, optometrists, podiatrists and chiropractors), certain non-physician healthcare professionals (such as physician assistants and nurse practitioners, among others), and teaching hospitals as well as information regarding ownership and investment interests held by physicians and their immediate family members.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distribution of pharmaceutical products is subject to additional requirements and regulations, including extensive record-keeping, licensing, price reporting, storage and security requirements intended to prevent the unauthorized sale of pharmaceutical products. Pricing and rebate programs must also comply with the Medicaid rebate requirements of the U.S. Omnibus Budget Reconciliation Act of 1990 and more recent requirements in the ACA. If products are made available to authorized users of the Federal Supply Schedule of the General Services Administration, additional laws and requirements apply. Manufacturing, sales, promotion and other activities also are potentially subject to federal and state consumer protection and unfair competition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laws and regulations impose additional obligations, including: state anti-kickback and false claims laws, which may apply to our business practices, including, but not limited to, research, distribution, sales and marketing arrangements and claims involving healthcare items or services reimbursed by any third-party payor, including private insurers; state laws that require pharmaceutical companies to comply with the pharmaceutical industry’s voluntary compliance guidelines and the relevant compliance guidance promulgated by the U.S. federal government, or otherwise restrict payments that may be made to healthcare providers and other potential referral sources; state laws and regulations that require drug manufacturers to file reports relating to pricing and marketing information, which requires tracking gifts and other remuneration and items of value provided to healthcare professionals and entities; state and local laws requiring the registration of pharmaceutical sales representatives; and state laws governing the privacy and security of health information in certain circumstances, many of which differ from each other in significant ways and often are not preempted by HIPAA, thus complicating compliance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European and other foreign law equivalents of each of the laws also impose legal requirements, including reporting requirements detailing interactions with and payments to healthcare providers.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Ensuring that our internal operations and future business arrangements with third parties comply with applicable healthcare laws and regulations will involve substantial costs. It is possible that governmental authorities will conclude that our business practices do not comply with current or future statutes, regulations, agency guidance or case law involving applicable fraud and abuse or other healthcare laws and regulations. If our operations are found to be in violation of any of the laws described above or any other governmental laws and regulations that may apply to us, we may be subject to significant penalties, including civil, criminal and administrative penalties, damages, fines, exclusion from U.S. government funded healthcare programs, such as Medicare and Medicaid, or similar programs in other countries or jurisdictions, disgorgement, imprisonment, contractual damages, reputational harm, diminished profits, additional reporting requirements and oversight, and the delay, reduction, termination or restructuring of our operations. Further, defending against any such actions can be costly and time-consuming, and may require significant financial and personnel resources. Therefore, even if we are successful in defending against any such actions that may be brought against us, our business may be impaired. If any of the physicians or other providers or entities with whom we expect to do business is found not to be in compliance with applicable laws, they may be subject to significant criminal, civil or administrative sanctions, including exclusions from government funded healthcare programs and imprisonment. If any of the above occur, it could adversely affect our ability to operate our business and our results of operations. </w:t>
      </w:r>
    </w:p>
    <w:p>
      <w:pPr>
        <w:pStyle w:val="TextBody"/>
        <w:bidi w:val="0"/>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our employees, independent contractors, principal investigators, consultants, vendors or agents acting on our behalf fail to comply with healthcare laws and regulatory requirements, we could be subject to fines, penalties or enforcement actions, or incur costs that could have a material adverse effect on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the risk of employee fraud or other misconduct as well as risks of noncompliance by contractors or agents acting on our behalf. Misconduct by employees and independent contractors, such as principal investigators, consultants and vendors, could include intentional failures to comply with FDA regulations, to provide accurate information to the FDA, to comply with health care fraud and abuse laws, to report financial information or data accurately or to disclose unauthorized activities to us. In particular, research, sales, marketing and business arrangements in the health care industry are subject to extensive laws intended to prevent fraud, misconduct, kickbacks, self-dealing and other abusive practices. These laws may restrict or prohibit a wide range of research, pricing, discounting, marketing and promotion, sales commission, customer incentive programs and other business arrangements. Employee and independent contractor misconduct could also involve the improper use of information obtained in the course of clinical trials, which could result in regulatory sanctions and serious harm to our reputation. We have adopted a written code of business conduct and ethics, but it is not always possible to identify and deter employee or independent contractor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exclusion from participation in government-funded healthcare programs, or other sanctions.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do not comply with laws regulating the protection of the environment and health and human safety,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numerous environmental, health and safety laws and regulations, including those governing laboratory procedures and the handling, use, storage, treatment and disposal of hazardous materials and wastes. Our research and development involve,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 of California to cover us for costs and expenses, we may incur costs and expenses due to injuries to our employees resulting from the use of these materials, as this insurance may not provide adequate coverage against potential liabilities. We do not maintain insurance for environmental liability or toxic tort claims that may be asserted against us. Additional laws and regulations affecting our operations may be adopted in the future. Current or future laws and regulations may impair our research, development or commercialization efforts. We may incur substantial costs to comply with, and substantial fines or penalties if we violate, any of these laws or regulations.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Disruptions at the FDA, SEC or other government agencies caused by funding shortages or global health concerns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to review and approve new products can be affected by a variety of factors, including government budget and funding levels, the ability to hire and retain key personnel, return-to-office policies and other executive actions by the current U.S. presidential administration, and changes in the leadership and operations of the FDA.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For example, the U.S. government has shut down in the past, forcing regulatory authorities such as the FDA and SEC to furlough employees, and in response to the COVID-19 pandemic, the FDA has postponed certain inspections. If global health concerns or other causes continue to prevent the FDA or other regulatory authorities from conducting their normal operations, such as regular inspections, reviews, or other regulatory activities in a timely manner, or if the FDA and other agencies experience other delays, backlogs or disruptions, it could significantly impact the ability of the FDA or other regulatory authorities to timely review and process our regulatory submissions, which could have a material adverse effect on our business.</w:t>
      </w:r>
    </w:p>
    <w:p>
      <w:pPr>
        <w:pStyle w:val="TextBody"/>
        <w:bidi w:val="0"/>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and similar anti-bribery and anti-corruption laws, as well as U.S. and certain foreign export controls, trade sanctions and import laws and regulations, all of which can subject us to criminal liability and other serious consequences for violations.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Foreign Corrupt Practices Act, or FCPA, and similar anti-bribery or anti-corruption laws, regulations or rules of other countries in which we operate. These laws generally prohibit companies and their employees and third party business partners, representatives and agents from engaging in corruption and bribery, including offering, promising, giving or authorizing the provision of anything of value, either directly or indirectly, to a government official or commercial party in order to influence official action, direct business to any person, gain any improper advantage, or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government officials, including officials of non-U.S. governments.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in many countries, healthcare providers are employed by the government, and the purchasers of biopharmaceuticals are government entities. As a result, our dealings with these providers and purchasers are subject to regulation and such healthcare providers and employees of such purchasers may be considered “foreign officials” as defined in the FCPA. In addition to our own employees, we leverage third parties to conduct our business abroad, such as obtaining government licenses and approvals. We and our third-party business partners, representatives and agents may have direct or indirect interactions with officials and employees of government agencies, state-owned or affiliated entities and we may be held liable for the corrupt or other illegal activities of our employees, our third-party business partners, representatives and agents, even if we do not explicitly authorize such activities. There is no certainty that our employees or the employees of our third-party business partners, representatives and agents will comply with all applicable laws and regulations, particularly given the high level of complexity of these laws. Violations of these laws and regulations could result in whistleblower complaints, adverse media coverage, investigations, loss of export privileges, debarment from U.S. government contracts, substantial diversion of management’s attention, significant legal fees and fines, severe criminal or civil sanctions against us, our officers or our employees, disgorgement and other penalties and remedial measures and prohibitions on the conduct of our business. Any such violations could include prohibitions on our ability to offer our products in one or more countries and could materially damage our reputation, our brand, our international expansion efforts, our ability to attract and retain employees, and our business, prospects, operating results, financial condition and stock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products may be subject to U.S. and foreign export controls, trade sanctions and import laws and regulations, including increased tariffs. Governmental regulation of the import or export of our products, including the potential negative impact of tariff increases, or our failure to obtain any required import or export authorization for our products, when applicable, could harm our business. Furthermore, U.S. export control laws and economic sanctions prohibit the provision of certain products and services to countries, governments and persons targeted by U.S. sanctions. If we fail to comply with export and import regulations and such economic sanctions, penalties could be imposed, including fines and/or denial of certain export privileges.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Data collection under European and U.S. laws is governed by restrictive regulations addressing the collection, use, processing and, in the case of Europe, cross-border transfer, of personal information (i.e., information that relates to an identified or identifiable individual).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collect, process, use or transfer personal information from individuals located in the European Economic Area, or EEA, Switzerland and the United Kingdom in connection with our business, including in connection with conducting clinical trials in these regions.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any of our product candidates are approved, we may seek to commercialize those products in the EEA or the United Kingdom or Switzerland. The collection and use of personal information (which includes health data) in the EEA is governed, in part, by the provisions of the General Data Protection Regulation (EU) 2016/679, or the GDPR, or its UK equivalent, the UK GDPR, or the new Swiss Federal Act on Data Protection, or FADP. These regulations impose requirements relating to having a legal basis for processing personal information and transferring such information outside of the EEA, the United Kingdom and Switzerland, respectively, as applicable, including to the United States, informing concerned individuals about the processing of their personal information, keeping personal information secure, having data processing agreements with third parties who process personal information on our behalf, responding to individuals’ requests to exercise their rights in respect of their personal information, reporting security breaches involving personal information to the competent national data protection authority and affected individuals, appointing data protection officers, conducting data protection impact assessments and record-keeping.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actual or alleged failure to comply with the GDPR, UK GDPR, FADP, or related data protection laws may result in regulatory inquiries and other proceedings, substantial fines, other administrative penalties and civil claims being brought against us, which could have a material adverse effect on our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GDPR, UK GDPR and FADP also restrict the transfer of personal information outside of the EEA, United Kingdom and Switzerland, respectively, unless appropriate safeguards are in place. </w:t>
      </w:r>
    </w:p>
    <w:p>
      <w:pPr>
        <w:pStyle w:val="TextBody"/>
        <w:bidi w:val="0"/>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primary set of safeguards, the Standard Contractual Clauses adopted by the European Commission, has been updated recently. With regard to data transfers outside of the EEA to the United States, in March 2022, the European Union and United States established a new framework for personal information transfers, the EU-U.S. Data Privacy Framework, or the EU-U.S. DPF. A related framework, the Swiss-U.S. Data Privacy Framework, or Swiss-U.S. DPF, also was established, and was the subject of an adequacy decision by the Swiss Federal Council on August 14, 2024. On July 10, 2023, the European Commission adopted an adequacy decision relating to the EU-U.S. DPF. Additionally, a UK Extension to the EU-U.S. DPF, became effective on October 12, 2023. We are evaluating whether to make use of the EU-U.S. DPF and the UK Extension to the EU-U.S. DPF to transfer personal information from the EEA to the United States.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Further, Brexit has created uncertainty with regard to data protection regulation in the United Kingdom. Although the European Commission granted “adequacy” status to the United Kingdom in June 2021, and personal information can flow from the European Union to the United Kingdom and back, the United Kingdom is expected to change its policy with respect to the export of personal information to third countries, such as the United States, and the European Commission’s adequacy determination for the United Kingdom requires renewal after four years and it may be modified or revoked in the interim. In addition, in February 2022, the United Kingdom’s Information Commissioner’s Office issued new Standard Contractual Clauses for the transfer of personal information outside of the United Kingdom. The data transfers enforcement landscape and the longer-term stability of the EU-U.S. DPF and related programs remain uncertain, which could increase our compliance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EU also has implemented new and revised laws and regulations relating to cybersecurity, including the Network and Information Security Directive II, or NIS2, adopted in 2023, which aims to enhance cybersecurity across critical infrastructure and essential services in the EU. NIS2 provides for all EU member states to have issued implementing legislation by October 2024; however, several EU member states have not finalized their respective legislation and guidance.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therefore, incur liabilities, expenses, costs, and other operational losses under the GDPR, UK GDPR, the FADP, and applicable laws and regulations of European Union member states in connection with any measures we take to comply with them.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U.S. states are adopting new laws or amending existing laws, requiring attention to frequently changing regulatory requirements related to personal information. For example, California enacted the California Consumer Privacy Act, or the CCPA, in 2018, which took effect on January 1, 2020 and has been dubbed the first “GDPR-like” law in the United States. The CCPA gives California residents expanded rights to access and delete their personal information, opt out of certain personal information sharing and receive detailed information about how their personal information is used by requiring covered companies to provide new disclosures to California consumers (as that term is broadly defined and which can include any of our current or future employees who may be California residents or any other California residents whose data we collect or process) and provide such residents new ways to opt out of certain sales of personal information. The CCPA provides for civil penalties for violations, as well as a private right of action for data breaches that is expected to increase data breach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the California Privacy Rights Act, or the CPRA, was approved by California voters in November 2020. The CPRA modified and augmented the CCPA significantly, effective as of January 1, 2023, resulting in further uncertainty and requiring us to incur additional costs and expenses in an effort to comply. Numerous other states have proposed, and in certain cases enacted similar laws, including comprehensive privacy laws similar to the CCPA enacted in Colorado, Connecticut, Delaware, Florida, Indiana, Iowa, Kentucky, Maryland, Minnesota, Montana, Nebraska, New Hampshire, New Jersey, Oregon, Rhode Island, Tennessee, Texas, Utah, and Virginia. Other states have proposed, and in certain cases enacted, legislation addressing privacy and cybersecurity in the context of specific subject matter such as biometrics and health-related personal information. As we expand our operations, preclinical studies and clinical trials, these new state laws and other state laws and regulations relating to privacy and data security may increase our compliance costs and potential liability. Privacy and data security laws and regulations are not consistent across jurisdictions, and they may impose conflicting or uncertain obligations. Compliance with these and any other applicable privacy and data security laws and regulations is a rigorous, costly and time-intensive process, and we may be required to put in place additional mechanisms ensuring compliance with new and changing data protection obligations under these laws and regulations. Actual or alleged noncompliance with any such laws and regulations may lead to regulatory investigations, enforcement actions, claims and litigation, and if we fail to comply with any such laws or regulations, we may face significant fines and penalties. Any of these could adversely affect our business, financial condition and results of operations.</w:t>
      </w:r>
    </w:p>
    <w:p>
      <w:pPr>
        <w:pStyle w:val="TextBody"/>
        <w:bidi w:val="0"/>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Intellectual Property</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maintain and enforce patent protection for our product candidates and related technology, our business could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strategy depends on our ability to identify, seek, obtain and maintain patent protection for our product candidates and other research and development discoveries. Our patent portfolio is relatively small compared to many large and more established pharmaceutical and biotechnology companies. As our patent portfolio grows, we expect patent protection will continue to be an important part of our strategy. The patent protection process is expensive and time-consuming, and we may not be able to file and prosecute all necessary or desirable patent applications or maintain and enforce any patents that may issue from such patent applications, at a reasonable cost or in a timely manner or in all jurisdictions where protection may be commercially advantageous. It is also possible that we will fail to identify patentable aspects of our research and development discoveries in a timely manner to obtain patent protection. Moreover, in some circumstances, we may not have the right to control the preparation, filing and prosecution of patent applications, or to maintain the patents, covering technology that we have licensed from third parties. Therefore, our in-licensed patents and patent applications may not be prosecuted and enforced in a manner consistent with the best interests of our business. Our patent applications cannot be enforced against third parties practicing the technology claimed in such applications unless, and until, patents issue from such applications, and then only to the extent the issued claims cover the technology. The patent applications that we own or in-license may fail to result in issued patents with claims that cover our current and future product candidates in the United States or in foreign countries or may fail to effectively prevent third parties from commercializing competitive product candidates.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The patent position of biotechnology companies generally is highly uncertain, involves complex legal and factual questions, and has in recent years been the subject of much litigation. We may be subject to a third-party pre-issuance submission of prior art to the U.S. Patent and Trademark Office, or USPTO, and such prior art may affect the scope of any allowable claims or it may prevent our patent applications from issuing as patents. Further, the issuance of a patent does not ensure that it is valid or enforceable, nor is the issuance conclusive as to inventorship or the scope of any claims. Third parties may challenge the validity, enforceability or scope of our issued patents or claim that they should be inventors on such patents, and such patents may be narrowed, invalidated, circumvented or deemed unenforceable and such third parties may gain rights to such patents. We could also become involved in reexamination, </w:t>
      </w:r>
      <w:r>
        <w:rPr>
          <w:rFonts w:ascii="Times New Roman" w:hAnsi="Times New Roman"/>
          <w:i/>
          <w:color w:val="000000"/>
          <w:sz w:val="20"/>
        </w:rPr>
        <w:t>inter partes</w:t>
      </w:r>
      <w:r>
        <w:rPr>
          <w:rFonts w:ascii="Times New Roman" w:hAnsi="Times New Roman"/>
          <w:color w:val="000000"/>
          <w:sz w:val="20"/>
        </w:rPr>
        <w:t xml:space="preserve"> review, post-grant review, opposition or derivation proceedings challenging our patent rights or the patent rights of others.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changes in law may introduce uncertainty in the enforceability or scope of patents we own. If our patents are narrowed, invalidated or held unenforceable, third parties may be able to commercialize our technology or products and compete directly with us without payment to us. There is no assurance that all potentially relevant prior art relating to our patents and patent applications has been found, and such prior art could potentially invalidate one or more of our patents or prevent a patent from issuing from one or more of our pending patent applications. There is also no assurance that there is no prior art that may ultimately be found to affect the validity or enforceability of a claim. Furthermore, even if our patents are unchallenged, they may not adequately protect our intellectual property, provide exclusivity for our product candidates, prevent others from designing around our claims or provide us with a competitive advantage. The legal systems of certain countries do not favor the aggressive enforcement of patents, and the laws of foreign countries may not allow us to protect our inventions with patents to the same extent as the laws of the United States. Because patent applications in the United States and many foreign jurisdictions are typically not published until 18 months after filing, or in some cases not at all, and because publications of discoveries in scientific literature lag behind actual discoveries,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all of the foregoing reasons, the issuance, validity, enforceability, scope and commercial value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are able to obtain patent protection, such patent protection may be of insufficient scope to achieve our business objectives. In addition, the issuance of a patent does not give us the right to practice the patented invention. Third parties may have blocking patents that could prevent us from marketing our own patented product and practicing our own patented technology. </w:t>
      </w:r>
    </w:p>
    <w:p>
      <w:pPr>
        <w:pStyle w:val="TextBody"/>
        <w:bidi w:val="0"/>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not be able to protect our intellectual property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to develop their own products in jurisdictions where we have not obtained patent protection and further, may export otherwise infringing products to territories where we have patent protection, but enforcement is not as strong as that in the United States. These products may compete with our current or future products, if any, and our patents or other intellectual property rights may not be valid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for us to stop the infringement of our patents or marketing of competing products in violation of our proprietary rights generally. Beginning June 1, 2023, European patent applications and patents may be subjected to the jurisdiction of the Unified Patent Court, or UPC. Also, European patent applications will have the option, upon grant of a patent, of becoming a Unitary Patent, which will be subject to the jurisdiction of the UPC. The UPC and Unitary Patent are significant changes in European patent practice. As the UPC is a new court system, there is no precedent for the court, increasing the uncertainty of any litigation in the UPC.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court proceedings to enforce our intellectual property rights, and the damages or other remedies awarded to us, if any, may not be commercially meaningful. Accordingly, our efforts to enforce our intellectual property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Geopolitical actions in the United States and in foreign countries could increase the uncertainties and costs surrounding the prosecution or maintenance of our patent applications or those of any current or future licensors and the maintenance, enforcement or defense of our issued patents or those of any current or future licensors.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the requirements for patentability may differ in certain countries. For example, in certain countries, there is no link between regulatory approval of a drug and its patent status, and patenting of medical uses of a claimed drug are prohibited. In addition, certain countries in Europe and other countries, including China, have compulsory licensing laws under which a patent owner may be compelled to grant licenses to third parties. In those countries, we and our licensors may have limited remedies if patents are infringed or if we or our licensors are compelled to grant a license to a third party, which could materially diminish the value of those patents. This could limit our potential revenue opportunities. Accordingly, our efforts to enforce intellectual property rights around the world may be inadequate to obtain a significant commercial advantage from the intellectual property that we own or license. </w:t>
      </w:r>
    </w:p>
    <w:p>
      <w:pPr>
        <w:pStyle w:val="TextBody"/>
        <w:bidi w:val="0"/>
        <w:spacing w:before="12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documentary, fee payment and other requirements imposed by regulations and governmental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governmental fees on patents or applications will be due to the USPTO and various foreign patent offices at various points over the lifetime of our patents or applications. We have systems in place to remind us to pay these fees, and we rely on our outside patent annuity service to pay these fees automatically when due, but we must notify the provider of any new patents or applications. Additionally, the USPTO and various foreign patent offices require compliance with many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patent laws or patent jurisprudence could diminish the value of patents in general, thereby impairing our ability to protect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patent positions of biotechnology companies can be highly uncertain and involve complex legal and factual questions for which important legal principles remain unresolved. Changes in either the patent laws or in the interpretations of patent laws in the United States and other countries may diminish the value of our intellectual property. We cannot predict the breadth of claims that may be allowed or found to be enforceable in our patents or in third-party patents. The United States has enacted and implemented wide-ranging patent reform legislation. Further, recent U.S. Supreme Court rulings have either narrowed the scope of patent protection available in certain circumstances or weakened the rights of patent owners in certain situations. In addition to increasing uncertainty with regard to our ability to obtain patents in the future, this combination of events has created uncertainty with respect to the validity, scope and value of patents, once obtained.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U.S. patent applications containing a priority claim after March 16, 2013, there is a higher level of uncertainty in the patent law. In September 2011, the Leahy-Smith America Invents Act, also known as the America Invents Act, or AIA, was signed into law. The AIA includes a number of significant changes to U.S. patent law, including provisions that affect the way patent applications are prosecuted and may also affect patent litigation. The AIA and its implementation may increase the uncertainties and costs surrounding the prosecution of our patent applications and the enforcement or defense of our issued patents, all of which could have an adverse effect on our business. An important change introduced by the AIA is that, as of March 16, 2013, the United States transitioned to a “first-to-file” system for deciding which party should be granted a patent when two or more patent applications are filed by different parties disclosing or claiming the same invention. A third party that has filed, or does file a patent application in the USPTO after March 16, 2013 but before us, could be awarded a patent covering a given invention, even if we had made the invention before it was made by the third party. This requires us to be cognizant going forward of the time from invention to filing of a patent application.</w:t>
      </w:r>
    </w:p>
    <w:p>
      <w:pPr>
        <w:pStyle w:val="TextBody"/>
        <w:bidi w:val="0"/>
        <w:spacing w:before="120" w:after="283"/>
        <w:jc w:val="left"/>
        <w:rPr>
          <w:rFonts w:ascii="Times New Roman" w:hAnsi="Times New Roman"/>
          <w:sz w:val="20"/>
        </w:rPr>
      </w:pPr>
      <w:r>
        <w:rPr>
          <w:rFonts w:ascii="Times New Roman" w:hAnsi="Times New Roman"/>
          <w:color w:val="000000"/>
          <w:sz w:val="20"/>
        </w:rPr>
        <w:t>Among some of the other changes introduced by the AIA are changes that limit where a patentee may file a patent infringement suit and providing opportunities for third parties to file third party submissions of prior art to the USPTO during patent prosecution and to challenge any issued patent in the USPTO (</w:t>
      </w:r>
      <w:r>
        <w:rPr>
          <w:rFonts w:ascii="Times New Roman" w:hAnsi="Times New Roman"/>
          <w:i/>
          <w:color w:val="000000"/>
          <w:sz w:val="20"/>
        </w:rPr>
        <w:t>e.g.</w:t>
      </w:r>
      <w:r>
        <w:rPr>
          <w:rFonts w:ascii="Times New Roman" w:hAnsi="Times New Roman"/>
          <w:color w:val="000000"/>
          <w:sz w:val="20"/>
        </w:rPr>
        <w:t xml:space="preserve">, via post-grant reviews or </w:t>
      </w:r>
      <w:r>
        <w:rPr>
          <w:rFonts w:ascii="Times New Roman" w:hAnsi="Times New Roman"/>
          <w:i/>
          <w:color w:val="000000"/>
          <w:sz w:val="20"/>
        </w:rPr>
        <w:t>inter partes</w:t>
      </w:r>
      <w:r>
        <w:rPr>
          <w:rFonts w:ascii="Times New Roman" w:hAnsi="Times New Roman"/>
          <w:color w:val="000000"/>
          <w:sz w:val="20"/>
        </w:rPr>
        <w:t xml:space="preserve"> reviews). Because of a lower evidentiary standard in USPTO proceedings compared to the evidentiary standard in U.S. federal court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Depending on decisions by the U.S. Congress, the U.S. federal courts, the USPTO or similar authorities in foreign jurisdictions, the laws and regulations governing patents could change in unpredictable ways that may weaken our and our licensors’ ability to obtain new patents or to enforce existing patents we and our licensors or partners may obtain in the future.</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patents covering one or more of our product candidates could be found invalid or unenforceable if challenged.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of our intellectual property rights could be challenged or invalidated despite measures we take to obtain patent and other intellectual property protection with respect to our product candidates and proprietary technology. For example, if we were to initiate legal proceedings against a third party to enforce a patent covering one of our product candidates, the defendant could counterclaim that our patent is invalid and/or unenforceable. In patent litigation in the United States and in some other jurisdictions, defendant counterclaims alleging invalidity and/or unenforceability are commonplace. Grounds for a validity challenge could be an alleged failure to meet any of several statutory requirements, for example, lack of novelty, obviousness or non-enablement. Grounds for an unenforceability assertion could be an allegation that someone connected with prosecution of the patent withheld material information from the USPTO, or the applicable foreign counterpart, or made a misleading statement, during prosecution. A litigant or the USPTO itself could challenge our patents on this basis even if we believe that we have conducted our patent prosecution in accordance with the duty of candor and in good faith. The outcome following such a challenge is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respect to challenges to the validity of our patents, for example, there might be invalidating prior art, of which the patent examiner and we were unaware during prosecution. If a defendant were to prevail on a legal assertion of invalidity and/or unenforceability, we would lose at least part, and perhaps all, of the patent protection on a product candidate. Even if a defendant does not prevail on a legal assertion of invalidity and/or unenforceability, our patent claims may be construed in a manner that would limit our ability to enforce such claims against the defendant and others. The cost of defending such a challenge, particularly in a foreign jurisdiction, and any resulting loss of patent protection could have a material adverse impact on one or more of our product candidates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our intellectual property rights against third parties may also cause such third parties to file other counterclaims against us, which could be costly to defend, particularly in a foreign jurisdiction, and could require us to pay substantial damages, cease the sale of certain products or enter into a license agreement and pay royalties (which may not be possible on commercially reasonable terms or at all). Any efforts to enforce our intellectual property rights are also likely to be costly and may divert the efforts of our scientific and management personnel. </w:t>
      </w:r>
    </w:p>
    <w:p>
      <w:pPr>
        <w:pStyle w:val="TextBody"/>
        <w:bidi w:val="0"/>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terms may be inadequate to protect our competitive position on our product candidates for an adequate amount of time.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Patents have a limited lifespan. In the United States, if all maintenance fees are timely paid, the natural expiration of a patent is generally 20 years from its earliest U.S. non-provisional filing date. Various extensions may be available, but the life of a patent, and the protection it affords, is limited. Even if patents covering our product candidates are obtained, once the patent life has expired, we may be open to competition from competitive products, including biosimilars. Given the amount of time required for the development, testing and regulatory review of new product candidates, patents protecting such candidates might expire before or shortly after such candidates are commercialized. As a result, our owned and licensed patent portfolio may not provide us with sufficient rights to exclude others from commercializing products similar or identical to ours. </w:t>
      </w:r>
    </w:p>
    <w:p>
      <w:pPr>
        <w:pStyle w:val="TextBody"/>
        <w:bidi w:val="0"/>
        <w:spacing w:before="120" w:after="283"/>
        <w:jc w:val="left"/>
        <w:rPr>
          <w:rFonts w:ascii="Times New Roman" w:hAnsi="Times New Roman"/>
          <w:sz w:val="20"/>
        </w:rPr>
      </w:pPr>
      <w:r>
        <w:rPr>
          <w:rFonts w:ascii="Times New Roman" w:hAnsi="Times New Roman"/>
          <w:b/>
          <w:i/>
          <w:color w:val="000000"/>
          <w:sz w:val="20"/>
        </w:rPr>
        <w:t>Patent protection, prosecution, assertion and defense for some of our product candidates may be dependent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times in the future when certain patents that relate to our product candidates or any approved products are controlled by our licensees or licensors, such as with respect to our license agreements. Although we may, under such arrangements, have rights to consult with our strategic partners on actions taken as well as back-up rights of prosecution and enforcement, we have in the past and may in the future relinquish rights to prosecute and maintain patents and patent applications within our portfolio as well as the ability to assert such patents against infringers. If any current or future licensee or licensor with rights to prosecute, assert or defend patents related to our product candidates fails to appropriately prosecute and maintain patent protection for patents covering any of our product candidates, or if patents covering any of our product candidates are asserted against infringers or defended against claims of invalidity or unenforceability in a manner which adversely affects such coverage, our ability to develop and commercialize any such product candidate may be adversely affected and we may not be able to prevent competitors from making, using and selling competing products.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protect the confidentiality of our trade secrets and proprietary information or obtain proper assignment of such intellectual property, the value of our technology and products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patent protection, we also rely on other proprietary rights, including protection of trade secrets and other proprietary information. Trade secrets and know-how can be difficult to protect. Trade secrets and know-how can also in some instances be independently derived or reverse-engineered by a third party. We maintain the confidentiality of trade secrets and proprietary information in part by entering into confidentiality agreements with our employees, consultants, other service providers, including former service provider Tallac Therapeutics, strategic partners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in addition to our service provider agreements, such as the Tallac Services Agreement, also provide that any inventions conceived by the individual in the course of rendering services to us shall be our exclusive property. However, we may not obtain these agreements in all circumstances, and even when we obtain these agreements, individuals with whom we have these agreements may not comply with their terms. Any of the parties to these agreements may breach such agreements and disclose our proprietary information, including our trade secrets, and we may not be able to obtain adequate remedies for such breaches. In the event of unauthorized use or disclosure of our trade secrets or proprietary information, these agreements, even if obtained, may not provide meaningful protection, particularly for our trade secrets or other confidential information. We may also become involved in inventorship disputes relating to inventions and patents developed by our employees, consultants, contractors and other service providers, including former service provider Tallac Therapeutics, under such agreements. To the extent that our employees, consultants, contractors or other service providers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Enforcing a claim that a party illegally disclosed or misappropriated a trade secret is difficult, expensive and time-consuming and the outcome is unpredictable. In addition, some courts in the United States and certain foreign jurisdictions are less willing or unwilling to protect trade secrets.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if any of our trade secrets were to be lawfully obtained or independently developed by a competitor, we would have no right to prevent such third party, or those to whom they communicate such technology or information, from using that technology or information to compete with us. If any of our trade secrets were to be disclosed to or independently developed by a competitor or if we otherwise lose protection for our trade secrets or proprietary know-how, the value of this information may be greatly reduced, and our business and competitive position could be harmed. Adequate remedies may not exist in the event of unauthorized use or disclosure of our proprietary information. </w:t>
      </w:r>
    </w:p>
    <w:p>
      <w:pPr>
        <w:pStyle w:val="TextBody"/>
        <w:bidi w:val="0"/>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involved in lawsuits to protect or enforce our patents and trade secrets, which could be expensive, time-consuming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their own products similar to or otherwise competitive with our product candidates or biosimilar versions of any approved product candidates. In these circumstances, we may need to defend or assert our patents, including by filing lawsuits alleging patent infringement. If we were to initiate legal proceedings against a third party to enforce a patent covering our product candidates, the defendant could counterclaim that the patent covering our product candidate is invalid and/or unenforceable. In patent litigation in the United States, defendant counterclaims alleging invalidity and/or unenforceability are commonplace. Grounds for an invalidity challenge could be an alleged failure to meet any of several statutory requirements, including lack of novelty, obviousness, written description or enablement. Grounds for an unenforceability assertion could be an allegation that someone connected with prosecution of the patent withheld relevant information from the USPTO, or made a misleading statement, during prosecution. The outcome following legal assertions of invalidity and unenforceability is unpredictable. In any of these types of proceedings, a court or agency with jurisdiction may find our patents invalid or unenforceable. Even if we have valid and enforceable patents, these patents still may not provide protection against competing products sufficient to achieve our business objectives.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after they have issued, our patents and any patents that we license may be challenged, narrowed, invalidated or circumvented. If our patents are invalidated or otherwise limited or will expire prior to the commercialization of our product candidates, other companies may be better able to develop products that compete with ours, which could adversely affect our competitive business position, business prospects and financial condition. In addition, if the breadth or strength of protection provided by our patents and patent applications is threatened, it could dissuade companies from collaborating with us to license, develop or commercialize current or future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are examples of litigation and other adversarial proceedings or disputes that we could become a party to involving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initiate litigation or other proceedings against third parties to enforce our patent and trade secret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litigation or other proceedings seeking to invalidate patents owned by or licensed to us or to obtain a declaratory judgment that their product or technology does not infringe our patents or patents licensed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initiate opposition or other proceedings challenging the validity or scope of our patent rights, requiring us and/or licensors to participate in such proceedings to defend the validity and scope of our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a challenge or dispute regarding inventorship or ownership of patents or trade secrets currently identified as being owned by or licensed to us, including disputes that may arise from our previous reliance on Tallac Therapeutics as the sole provider of our preclinical research services and the intellectual property generated under the Tallac Services Agreement;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seek approval to market biosimilar versions of our future approved products prior to the expiration of relevant patents owned by or licensed to us under the Biologics Price Competition and Innovation Act of 2009, requiring us to defend our patents, including by filing lawsuits alleging patent infringement.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or other proceedings would be costly and could affect our results of operations and divert the attention of our management and scientific personnel. Some of our competitors may be able to sustain the cost of such litigation and proceedings more effectively than we can because of their substantially greater resources. There is a risk that a court would decide that we are infringing the third party’s patents and would order us to stop the activities covered by the patents. In that event, we may not have a viable alternative to the technology protected by the patent and may need to halt work on the affected product candidate or cease commercialization of an approved drug. In addition, there is a risk that a court will order us to pay third party damages or some other monetary award, depending upon the jurisdiction. An adverse outcome in any litigation or other proceeding could subject us to significant liabilities to third parties, potentially including treble damages and attorneys’ fees if we are found to have willfully infringed, and we may be required to cease using the technology that is at issue or to license the technology from third parties. We may not be able to obtain any required licenses on commercially acceptable terms or at all. We may not be able to prevent, alone or with our licensors, infringement or misappropriation of our intellectual property rights, particularly in countries where the laws may not protect those rights as fully as in the United States. Any litigation or other proceedings to enforce our intellectual property rights may fail, and even if successful, may result in substantial costs and distract our management and other employees.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because of the substantial amount of discovery required in connection with intellectual property litigation, there is a risk that some of our confidential information could be compromised by disclosure during this type of litigation. There could also be public announcements of the results of hearings, motions or other interim proceedings or developments. If securities analysts or investors perceive these results to be negative, it could have an adverse effect on the price of our common stock. In addition, any uncertainties resulting from the initiation and continuation of any litigation could have a material adverse effect on our ability to raise additional funds or on our business, results of operations, financial condition and prospects. Any of these outcomes could have a material adverse effect on our business. </w:t>
      </w:r>
    </w:p>
    <w:p>
      <w:pPr>
        <w:pStyle w:val="TextBody"/>
        <w:bidi w:val="0"/>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claims that we or our employees or consultants have wrongfully used or disclosed alleged trade secrets or other proprietary information of our employees’ or consultants’ former employers or their clients.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If we fail in defending such claims, in addition to paying monetary damages, trade secrets or other proprietary information could be awarded to a third party, and we could be required to obtain a license from such third party to commercialize our technology or products. Such license may not be available on commercially reasonable terms or at all. A loss of key research personnel or their work product could limit our ability to commercialize, or prevent us from commercializing, our current or future technologies or product candidates, which could materially harm our business. Even if we are successful in defending against these claims, litigation would expose us to the risk described above under “We may become involved in lawsuits to protect or enforce our patents and trade secrets, which could be expensive, time-consuming and unsuccessful.” </w:t>
      </w:r>
    </w:p>
    <w:p>
      <w:pPr>
        <w:pStyle w:val="TextBody"/>
        <w:bidi w:val="0"/>
        <w:spacing w:before="120" w:after="283"/>
        <w:jc w:val="left"/>
        <w:rPr>
          <w:rFonts w:ascii="Times New Roman" w:hAnsi="Times New Roman"/>
          <w:sz w:val="20"/>
        </w:rPr>
      </w:pPr>
      <w:r>
        <w:rPr>
          <w:rFonts w:ascii="Times New Roman" w:hAnsi="Times New Roman"/>
          <w:b/>
          <w:i/>
          <w:color w:val="000000"/>
          <w:sz w:val="20"/>
        </w:rPr>
        <w:t>Our commercial success depends in part on our ability to operate without infringing the patents and other proprietary rights of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will depend in part on our ability to operate without infringing the proprietary rights of third parties. Other entities may have or obtain patents or proprietary rights that could limit our ability to make, use, sell, offer for sale or import our future approved products or impair our competitive position. Our research, development and commercialization activities may be subject to claims that we infringe or otherwise violate patents or other intellectual property rights owned or controlled by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aware of third-party patents and patent applications containing claims in the immuno-oncology field based on scientific approaches that are the same as or similar to our approach, including with respect to the targeting of the CD47 and signal regulatory protein alpha, or SIRPα, pathways, and others that are based on entirely different approaches. These patents and applications could potentially be construed to cover our product candidates and their use. For example, we are aware of U.S. patent 10,907,209 and U.S. patent application 16/118,038 (now abandoned in favor of a divisional application 18/518,353, which has claims that are not related to polypeptides comprising soluble human SIRPα) owned by University Health Network, or UHN, and The Hospital for Sick Children that may encompass certain therapies for the treatment of cancer using polypeptides comprising soluble human SIRPα, as well as related applications in other jurisdictions. This patent and patent application relate to the treatment of cancer with polypeptides comprising soluble human SIRPα. Pfizer, through its acquisition of Trillium Therapeutics, has an exclusive license to the U.S. patent and application. The European counterpart patent (EP 2 429 574) was revoked by the Opposition Division of the European Patent Office (Opposition Division) on November 6, 2017. The revocation was appealed by UHN and The Hospital for Sick Children, and on October 18, 2022, the Board of Appeal of the European Patent Office (Board of Appeal) ruled in favor of UHN with respect to the matter on appeal, but remanded the case back to the Opposition Division for consideration of a further ground of invalidity (sufficiency of disclosure). On December 8, 2023, the Opposition Board held that the disclosure in EP 2 429 574 was sufficient and upheld the patent in amended form. On February 15, 2024, the Board of Appeal announced that it had received a notice of appeal with respect to the Opposition Board’s ruling regarding sufficiency of disclosure. The hearing before the Board of Appeal has been scheduled for December 9, 2025. Additionally, on December 27, 2023, a second European Patent (EP 2 995 315), a divisional of European patent (EP 2 429 574), was granted to UHN and The Hospital for Sick Children. This patent relates to the eradication of hematological CD47+ cancer cells and tumors with polypeptides comprising soluble human SIRPα, or a CD47-binding fragment thereof. On February 27, 2024, the Opposition Division announced that it had received a notice of opposition with respect to EP 2 995 315. A date for the opposition hearing has been scheduled for November 28, 2025. The patent claims of both EP 2 429 574 and EP 2 995 315, if not revoked or otherwise limited by the European Patent Office, could potentially limit our ability to pursue evorpacept in certain indications in certain geographies in the future. With respect to U.S. patent 10,907,209, we believe that we do not infringe claims listed in this U.S. patent. As the biotechnology industry expands and more patents are issued, the risk increases that we may be subject to claims of infringement of the patent rights of third parties. There is no assurance that there are not third-party patents or patent applications of which we are aware, but which we do not believe are relevant to our business, which may, nonetheless, ultimately be found to limit our ability to make, use, sell, offer for sale or import our future approved products or impair our competitive position.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or obtain valid and enforceable patents or proprietary rights that could block us from developing product candidates. These patents may not expire before we receive any marketing approval for our product candidates, and they could delay the commercial launch of one or more future product candidates. If our product candidates were to be found to infringe any such patents, and we were unable to invalidate those patents, or if licenses for them are not available on commercially reasonable terms or at all, our business, financial condition and results of operations could be materially harmed. Furthermore, even if a license is available, it may be non-exclusive, which could result in our competitors gaining access to the same intellectual property. Our failure to maintain a license to any technology that we require may also materially harm our business, financial condition and results of operations, and we would be exposed to a threat of litigation. </w:t>
      </w:r>
    </w:p>
    <w:p>
      <w:pPr>
        <w:pStyle w:val="TextBody"/>
        <w:bidi w:val="0"/>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litigation resulting from claims of infringement or failure to license patents and proprietary rights of others would expose us to the risk described above under “We may become involved in lawsuits to protect or enforce our patents and trade secrets, which could be expensive, time consuming and unsuccessful.” 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intellectual property rights will not necessarily provide us with competitive advantages.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The following examples are illustrative: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but that are not covered by the claims of the patents that we own or have exclusively licensed;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without infringing our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own or have exclusively licensed may not provide us with competitive advantages, or may be held invalid or unenforceable, as a result of legal challenges by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obtain patents for product candidates many years before we obtain marketing approval for such product candidates and because patents have a limited life, which may begin to run prior to the commercial sale of the related product, the commercial value of our patents may be limited;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fail to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laws of certain foreign countries may not protect our intellectual property rights to the same extent as the laws of the United States, or we may fail to apply for or obtain adequate intellectual property protection in all the jurisdictions in which we operate;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have an adverse effect on our business, for example by preventing us from marketing one or more of our product candidates for one or more indications.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 aforementioned threats to our competitive advantage could have a material adverse effect on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will need to obtain FDA approval for any proposed product candidate names, and any failure or delay associated with product candidate name approval may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proprietary name or trademark we intend to use for our product candidates will require approval from the FDA regardless of whether we have secured a formal trademark registration from the USPTO. The FDA typically conducts a review of proposed product candidate names, including an evaluation of the potential for confusion with other product names and potential pharmacy dispensing errors. The FDA may also object to a product name if it believes the name inappropriately implies certain medical claims or contributes to an overstatement of efficacy. If the FDA objects to any product candidate names we propose, we may be required to adopt an alternative name for our product candidates. If we adopt an alternative name, we will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 </w:t>
      </w:r>
    </w:p>
    <w:p>
      <w:pPr>
        <w:pStyle w:val="TextBody"/>
        <w:bidi w:val="0"/>
        <w:spacing w:before="120" w:after="283"/>
        <w:jc w:val="left"/>
        <w:rPr>
          <w:rFonts w:ascii="Times New Roman" w:hAnsi="Times New Roman"/>
          <w:sz w:val="20"/>
        </w:rPr>
      </w:pPr>
      <w:r>
        <w:rPr>
          <w:rFonts w:ascii="Times New Roman" w:hAnsi="Times New Roman"/>
          <w:b/>
          <w:i/>
          <w:color w:val="000000"/>
          <w:sz w:val="20"/>
        </w:rPr>
        <w:t>Our rights to develop and commercialize our product candidates may be subject, in part, to the terms and conditions of agreements with others.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not, and future agreements we may enter into in the future may not, provide exclusive rights to use certain intellectual property and technology retained by a collaborator in all relevant fields of use and in all territories in which we may wish to develop or commercialize our technology and products in the future. As a result, we may not be able to prevent competitors or other third parties from developing and commercializing competitive products that utilize technology retained by such collaborators to the extent such products are not also covered by our intellectual property. </w:t>
      </w:r>
    </w:p>
    <w:p>
      <w:pPr>
        <w:pStyle w:val="TextBody"/>
        <w:bidi w:val="0"/>
        <w:jc w:val="center"/>
        <w:rPr>
          <w:rFonts w:ascii="Times New Roman" w:hAnsi="Times New Roman"/>
          <w:color w:val="000000"/>
          <w:sz w:val="20"/>
        </w:rPr>
      </w:pPr>
      <w:r>
        <w:rPr>
          <w:rFonts w:ascii="Times New Roman" w:hAnsi="Times New Roman"/>
          <w:color w:val="000000"/>
          <w:sz w:val="20"/>
        </w:rPr>
        <w:t>65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to obtain additional intellectual property rights from others to advance our research or allow commercialization of product candidates we may develop. We may be unable to obtain additional intellectual property rights at a reasonable cost or on reasonable terms, if at all. In that event, we may be required to expend significant time and resources to redesign our technology, product candidates or the methods for manufacturing them or to develop or license replacement technology, all of which may not be feasible on a technical or commercial basis. If we are unable to do so, we may be unable to develop or commercialize the affected product candidates, which could harm our business, financial condition, results of operations and prospects significantly. We cannot provide any assurances that third-party patents do not exist which might be enforced against our current technology, manufacturing methods, product candidates or future methods or products resulting in either an injunction prohibiting our manufacture or future sales, or, with respect to our future sales, an obligation on our part to pay royalties and/or other forms of compensation to third parties, which could be significant.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current or our future collaborators’ patents may be subject to a reservation of rights by one or more third parties. The U.S. government may have certain rights to resulting intellectual property.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march-in rights to use or allow third parties to use the technology developed using U.S. government funding. The U.S. government may exercise its march-in rights if it determines that action is necessary because we fail to achieve the practical application of the government funded technology, or because action is necessary to alleviate health or safety needs, to meet requirements of federal regulations, or to give preference to U.S. industry. In addition, our rights in such inventions may be subject to certain requirements to manufacture products embodying such inventions in facilities in the United States in certain circumstances and if this requirement is not waived. Any exercise by the U.S. government of such rights or by any third-party of its reserved rights could have a material adverse effect on our competitive position, business, financial condition, results of operations and prospects.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comply with our obligations in agreements under which we option or license intellectual property rights from collaborators or licensors or otherwise experience disruptions to our business relationships with future collaborators or licensors, we could lose intellectual property rights that are important to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agreements do, and our future agreements may, impose various economic, development, diligence, commercialization and other obligations on us. Such agreements may also require us to meet development timelines, or to exercise commercially reasonable efforts to develop and commercialize licensed products. It might be concluded that we have materially breached our obligations under such agreements and licensors or collaborators might therefore terminate or seek damages under the agreements, thereby removing or limiting our ability to develop and commercialize products and technology covered by these agreements. Termination of these agreements could cause us to lose the rights to certain patents or other intellectual property, or the underlying patents could fail to provide the intended exclusivity, and competitors or other third parties may have the freedom to seek regulatory approval of, and to market, products similar to or identical to ours and we may be required to cease our development and commercialization of certain of our product candidates. Any of the foregoing could have a material adverse effect on our competitive position, business, financial conditions, results of operations and growth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disputes may arise regarding intellectual property subject to a collaboration agreement,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of the option or license rights granted under the agreement and other interpretation-related issues;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our technology and processes infringe on intellectual property of the collaborator that is not subject to the option or license rights granted under the agreement;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sublicensing of patent and other rights under our collaborative development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diligence obligations under the agreement and what activities satisfy those diligence obligations;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inventorship and ownership of inventions and know-how resulting from the joint creation or use of intellectual property by our collaborators and us and our other partners;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priority of invention of patented technology.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enter into agreements to option or license intellectual property or technology from third parties that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growth prospects. Moreover, if disputes over intellectual property that we have optioned or licensed prevent or impair our ability to maintain such arrangements on commercially acceptable terms, we may be unable to successfully develop and commercialize the affected product candidates, which could have a material adverse effect on our business, financial conditions, results of operations and growth prospects.</w:t>
      </w:r>
    </w:p>
    <w:p>
      <w:pPr>
        <w:pStyle w:val="TextBody"/>
        <w:bidi w:val="0"/>
        <w:jc w:val="center"/>
        <w:rPr>
          <w:rFonts w:ascii="Times New Roman" w:hAnsi="Times New Roman"/>
          <w:color w:val="000000"/>
          <w:sz w:val="20"/>
        </w:rPr>
      </w:pPr>
      <w:r>
        <w:rPr>
          <w:rFonts w:ascii="Times New Roman" w:hAnsi="Times New Roman"/>
          <w:color w:val="000000"/>
          <w:sz w:val="20"/>
        </w:rPr>
        <w:t>66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Our Operations</w:t>
      </w:r>
    </w:p>
    <w:p>
      <w:pPr>
        <w:pStyle w:val="TextBody"/>
        <w:bidi w:val="0"/>
        <w:spacing w:before="120" w:after="283"/>
        <w:jc w:val="left"/>
        <w:rPr>
          <w:rFonts w:ascii="Times New Roman" w:hAnsi="Times New Roman"/>
          <w:sz w:val="20"/>
        </w:rPr>
      </w:pPr>
      <w:r>
        <w:rPr>
          <w:rFonts w:ascii="Times New Roman" w:hAnsi="Times New Roman"/>
          <w:b/>
          <w:i/>
          <w:color w:val="000000"/>
          <w:sz w:val="20"/>
        </w:rPr>
        <w:t>In order to successfully implement our plans and strategies, we will need to grow the size of our organization, and we may experience difficulties in managing this growth.</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had 65 employees, including 50 employees engaged in research and development. In order to successfully implement our development and commercialization plans and strategies, and as we continue to operate as a public company, we expect we will need additional managerial, scientific, technical, medical, operational, sales, marketing, financial and other personnel. Future growth may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evorpacept and any other future product candidates, while complying with applicable contractual obligations to contractors and other third parties;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and updating our operational, financial and management controls, reporting systems and procedures.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successfully develop and, if approved, commercialize evorpacept and any other future product candidates will depend, in part, on our ability to effectively manage any future growth, which may require our management team to divert its attention away from day-to-day activities of the business and devote a substantial amount of time to the added responsibilities associated with managing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specific independent organizations, advisors and consultants to provide certain services, including substantially all aspects of clinical management and manufacturing. We cannot assure you that the services of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third-party service providers is compromised for any reason, our clinical trials may be extended, delayed or terminated, and we may not be able to obtain marketing approval of evorpacept and any other future product candidates or otherwise advance our business. We cannot assure you that we will be able to manage our existing third-party service providers or find other qualified outside contractors and consultants on economically reasonable terms, or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are not able to effectively maintain our organization by retaining employees or expand our organization by hiring new employees and/or engaging additional third-party service providers, we may not be able to successfully implement the tasks necessary to further develop and commercialize evorpacept and other future product candidates and, accordingly, may not achieve our research, development and commercialization goals.</w:t>
      </w:r>
    </w:p>
    <w:p>
      <w:pPr>
        <w:pStyle w:val="TextBody"/>
        <w:bidi w:val="0"/>
        <w:spacing w:before="120" w:after="283"/>
        <w:jc w:val="left"/>
        <w:rPr>
          <w:rFonts w:ascii="Times New Roman" w:hAnsi="Times New Roman"/>
          <w:sz w:val="20"/>
        </w:rPr>
      </w:pPr>
      <w:r>
        <w:rPr>
          <w:rFonts w:ascii="Times New Roman" w:hAnsi="Times New Roman"/>
          <w:b/>
          <w:i/>
          <w:color w:val="000000"/>
          <w:sz w:val="20"/>
        </w:rPr>
        <w:t>Our product candidates are based on a novel technology, which makes it difficult to predict the time and cost of product candidate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concentrated our product research and development efforts on our novel immuno-oncology approach, and our future success depends on the successful development of our lead product candidate, evorpacept, and any future product candidates that we develop. There can be no assurance that any development problems we experience in the future related to our novel immuno-oncology approach will not cause significant delays or unanticipated costs or that such development problems can be solved. We may also experience delays in developing a sustainable, reproducible and scalable manufacturing process or transferring that process to commercial partners, which may prevent us from completing our clinical trials or commercializing our product candidates on a timely or profitable basis, if at all.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life science industries depends upon our ability to attract, motivate and retain highly qualified managerial, scientific and medical personnel. We are highly dependent on our management and our scientific, technical, business and medical personnel. The loss of the services provided by any of our executive officers, other key employees and other scientific and medical advisors, our inability to find suitable replacements, and the impacts of any executive officer changes, could result in delays in the development of our product candidates and harm our business. Additionally, layoffs or furloughs, including the recently announced RIF, pausing recruiting efforts, or employee attrition could also create delays in the development of our product candidates, yield unintended consequences and costs, such as the loss of institutional knowledge and expertise, attrition beyond the intended reduction in force, the distraction of employees and reduced employee morale, which could all adversely affect our reputation as an employer, making it more difficult for us to hire new employees in the future and harm our business. </w:t>
      </w:r>
    </w:p>
    <w:p>
      <w:pPr>
        <w:pStyle w:val="TextBody"/>
        <w:bidi w:val="0"/>
        <w:jc w:val="center"/>
        <w:rPr>
          <w:rFonts w:ascii="Times New Roman" w:hAnsi="Times New Roman"/>
          <w:color w:val="000000"/>
          <w:sz w:val="20"/>
        </w:rPr>
      </w:pPr>
      <w:r>
        <w:rPr>
          <w:rFonts w:ascii="Times New Roman" w:hAnsi="Times New Roman"/>
          <w:color w:val="000000"/>
          <w:sz w:val="20"/>
        </w:rPr>
        <w:t>67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operations at our facility in the San Francisco Bay Area of California, a region that is headquarters to many other biopharmaceutical companies and many academic and research institutions. To succeed, we must recruit, retain, manage and motivate qualified clinical, scientific, manufacturing and sales and marketing personnel, and we face significant competition for experienced personnel. We expect that we may need to recruit talent from outside of our region and doing so may be costly and difficult. In addition, we will need to expand and effectively manage our managerial, operational, financial, development and other resources in order to successfully pursue our research, development and commercialization efforts for our existing and future product candidates. Furthermore, replacing executive officers and key employees may be difficult and may take an extended period of time because of the limited talent pool in our industry due to the breadth of skills and experience required to successfully develop, gain regulatory approval of and commercialize products. Competition for skilled personnel is intense and the turnover rate can be high, which may limit our ability to hire and retain highly qualified personnel on acceptable terms or at all. Additionally, the U.S. has recently experienced historically high levels of inflation and an acute workforce shortage generally, which has created a hyper-competitive wage environment that may increase our operating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the other biotechnology companies that we compete against for qualified personnel have considerably more financial and other resources, different risk profiles and a more extended history in the industry than we do. They also may provide more diverse opportunities and better prospects for career advancement. Some of these characteristics may be more appealing to high-quality candidates than what we can offer. We also experience competition for the hiring of scientific and clinical personnel from universities and research institutions. In addition to competition for personnel, the San Francisco Bay Area in particular is characterized by a high cost of living. We could in the future have difficulty attracting experienced personnel to our company and may be required to expend significant financial resources in our employee recruitment and retention efforts. To induce valuable employees to remain at our company, in addition to salary and cash incentives, we have provided equity grants that vest over time. The value to employees of these equity grants that vest over time may be significantly affected by movements in our stock price that are beyond our control and therefore any declining value in our equity grants could negatively impact our ability to successfully retain existing employees or effectively recruit new employees. Although we have employment agreements with our key employees, these employment agreements provide for at-will employment, which means that any of our employees could leave our employment at any time, with or without notice. If we are unable to attract and incentivize quality personnel on acceptable terms, or at all, it may cause our business and operating results to suffer. </w:t>
      </w:r>
    </w:p>
    <w:p>
      <w:pPr>
        <w:pStyle w:val="TextBody"/>
        <w:bidi w:val="0"/>
        <w:spacing w:before="120" w:after="283"/>
        <w:jc w:val="left"/>
        <w:rPr>
          <w:rFonts w:ascii="Times New Roman" w:hAnsi="Times New Roman"/>
          <w:sz w:val="20"/>
        </w:rPr>
      </w:pPr>
      <w:r>
        <w:rPr>
          <w:rFonts w:ascii="Times New Roman" w:hAnsi="Times New Roman"/>
          <w:b/>
          <w:i/>
          <w:color w:val="000000"/>
          <w:sz w:val="20"/>
        </w:rPr>
        <w:t>Our international operations may expose us to business, regulatory, political, operational, financial, pricing and reimbursement risks associated with doing business outside of the United States.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predecessor company, which after our internal reorganization is now our wholly-owned subsidiary, was an Irish private company limited by shares. Our business is subject to risks associated with conducting business internationally. Some of our subsidiaries and operations, in addition to suppliers, industry partners and clinical study centers, are located outside of the United States. Furthermore, our business strategy incorporates potential international expansion as we seek to obtain regulatory approval for, and commercialize, our product candidates in patient populations outside the United States. If approved, we expect to hire sales representatives and conduct physician and patient association outreach activities outside of the United States. Doing business internationally involves a number of risks and complexities,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multiple, conflicting and changing laws and regulations such as privacy regulations, tax laws, export and import restrictions, including changes in tariff and trade policies, employment laws, regulatory requirements and other governmental approvals, permits and licenses, including within the European Union and in the United Kingdom as a result of Brexit;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obtain and maintain regulatory approvals for the use of our products in various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rejection or qualification of foreign clinical trial data by the competent authorities of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and difficulties in obtaining, maintaining, protecting and enforcing our intellectual property, including as a result of potentially relevant third-party patent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staffing and managing foreign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complexities associated with managing multiple payor reimbursement regimes, government payors or patient self-pay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limits in our ability to penetrate international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financial risks, such as longer payment cycles, difficulty collecting accounts receivable, the impact of local and regional financial crises on demand and payment for our drugs;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exposure to foreign currency exchange rate fluctuations;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political and economic instability, such as the geopolitical unrest and regional economic disruptions caused by Russia’s war with Ukraine, and war and instability in Israel and the surrounding region, and including wars, terrorism and political unrest, boycotts, curtailment of trade and other business restrictions; </w:t>
      </w:r>
    </w:p>
    <w:p>
      <w:pPr>
        <w:pStyle w:val="TextBody"/>
        <w:bidi w:val="0"/>
        <w:jc w:val="center"/>
        <w:rPr>
          <w:rFonts w:ascii="Times New Roman" w:hAnsi="Times New Roman"/>
          <w:color w:val="000000"/>
          <w:sz w:val="20"/>
        </w:rPr>
      </w:pPr>
      <w:r>
        <w:rPr>
          <w:rFonts w:ascii="Times New Roman" w:hAnsi="Times New Roman"/>
          <w:color w:val="000000"/>
          <w:sz w:val="20"/>
        </w:rPr>
        <w:t>68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natural disasters, such as a fire, an earthquake or a flood, or outbreaks or public health crises, such as the COVID-19 pandemic;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security breach or incident or a related breach of our information systems or data;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certain expenses including, among others, expenses for travel, translation and insurance;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and compliance risks that relate to anti-corruption compliance and record-keeping that may fall within the purview of the FCPA, its accounting provisions or its anti-bribery provisions, or provisions of anti-corruption or anti-bribery laws in other countries.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factors could harm our future international expansion and operations and, consequently, our results of operations. </w:t>
      </w:r>
    </w:p>
    <w:p>
      <w:pPr>
        <w:pStyle w:val="TextBody"/>
        <w:bidi w:val="0"/>
        <w:spacing w:before="120" w:after="283"/>
        <w:jc w:val="left"/>
        <w:rPr>
          <w:rFonts w:ascii="Times New Roman" w:hAnsi="Times New Roman"/>
          <w:sz w:val="20"/>
        </w:rPr>
      </w:pPr>
      <w:r>
        <w:rPr>
          <w:rFonts w:ascii="Times New Roman" w:hAnsi="Times New Roman"/>
          <w:b/>
          <w:i/>
          <w:color w:val="000000"/>
          <w:sz w:val="20"/>
        </w:rPr>
        <w:t>If any of the third parties that we rely on for various operational and administrative aspects of our business fail to provide timely, accurate and ongoing service or if the technology systems and infrastructure suffer outages that we are unable to mitigate,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upon third-party consultants and contractors to provide specific operational and administrative services, including research and clinical consultation and management. The failure of any of these third parties to provide accurate and timely service may adversely impact our business operations. In addition, if such third-party service providers were to cease operations, temporarily or permanently, face financial distress or other business disruption, increase their fees or if our relationships with these providers deteriorate, we could suffer increased costs until an equivalent provider could be found, if at all, or we could develop internal capabilities, if ever. In addition, if we are unsuccessful in choosing or finding high-quality partners, if we fail to negotiate cost-effective relationships with them, or if we ineffectively manage these relationships, it could have an adverse impact on our business and financial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our operations depend on the continuing and efficient operation of our information technology, communications systems and infrastructure, and on cloud-based platforms. Any of these systems and infrastructure are vulnerable to damage or interruption from earthquakes, vandalism, sabotage, terrorist attacks, floods, fires, power outages, telecommunications failures, computer viruses or other deliberate attempts to harm the systems. The occurrence of a natural or intentional disaster, any decision to close a facility we are using without adequate notice, or particularly an unanticipated problem at a cloud-based virtual server facility, could result in harmful interruptions in our service, resulting in adverse effects to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become exposed to costly and damaging product liability claims, either when testing our product candidates in the clinic or at the commercial stage, and our product liability insurance may not cover all damages from such claims.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exposed to potential product liability and professional indemnity risks that are inherent in the research, development, manufacturing, marketing and use of pharmaceutical products. We currently have no products that have been approved for commercial sale. However, the current and future use of product candidates by us in clinical trials and the sale of any approved products in the future, may expose us to liability claims. These claims might be made by patients that use the product, healthcare providers, pharmaceutical companies or others selling such products. In addition, we have agreed to indemnify various counterparties related to our product candidates against certain liability claims and any agreements or collaborations in the future may include such indemnification obligations. Any claims against us, or with respect to which we are obligated to provide indemnification, regardless of their merit, could be difficult and costly to defend or settle and could compromise the market acceptance of our product candidates or any prospects for commercialization of our product candidates, if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Although the clinical trial process is designed to identify and assess potential side effects, it is always possible that a drug, even after regulatory approval, may exhibit unforeseen side effects. If any of our product candidates were to cause adverse side effects during clinical trials or after approval of the product candidate, we may be exposed to substantial liabilities. Physicians and patients may not comply with any warnings that identify known potential adverse effects or that certain patients should not use our drugs for various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Although we maintain product liability insurance coverage, such insurance may not be adequate to cover all liabilities that we may incur. We may need to increase our insurance coverage each time we commence a clinical trial and if we successfully commercialize any product candidate. As the expense of insurance coverage is increasing, we may not be able to maintain insurance coverage at a reasonable cost or in an amount adequate to satisfy any liability that may arise. If a successful product liability claim or series of claims is brought against us for uninsured liabilities or in excess of insured liabilities, our assets may not be sufficient to cover such claims and our business operations could be impaired.</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expend our limited resources to pursue a particular product candidate or indication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we have limited financial and managerial resources, we focus on research programs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therapies or profitable market opportunities. </w:t>
      </w:r>
    </w:p>
    <w:p>
      <w:pPr>
        <w:pStyle w:val="TextBody"/>
        <w:bidi w:val="0"/>
        <w:jc w:val="center"/>
        <w:rPr>
          <w:rFonts w:ascii="Times New Roman" w:hAnsi="Times New Roman"/>
          <w:color w:val="000000"/>
          <w:sz w:val="20"/>
        </w:rPr>
      </w:pPr>
      <w:r>
        <w:rPr>
          <w:rFonts w:ascii="Times New Roman" w:hAnsi="Times New Roman"/>
          <w:color w:val="000000"/>
          <w:sz w:val="20"/>
        </w:rPr>
        <w:t>69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spending on current and future research and development programs, such as evorpacept,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 For example, we entered into clinical trial collaborations with our collaborators, including I-SPY, Sanofi, Jazz and the ISTs, to supply evorpacept for clinical trials to advance new combination therapies. We have limited control over the amount and timing of resources that our collaborators dedicate to the development of our products. Any termination or disruption of collaborations could result in delays in the development of products, increases in our costs to develop the products or the termination of development of a product.</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seek to enter into collaborations, including strategic collaborations, licenses and other similar arrangements related to our product candidates and may not be successful in doing so, and even if we are, we may not be able to maintain or realize the benefits of such relationships. If we are not able to establish future collaborations, we may have to alter some of our future development and commercialization plans and our business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to enter into collaborations, licenses and other similar arrangements for the development or commercialization of our product candidates, due to strategic advantages to partnering with third parties and capital costs required to develop or commercialize the product candidate in such markets. For instance, we entered into a collaboration agreement with Tallac Therapeutics pursuant to which we expect to jointly develop, manufacture, and commercialize a novel cancer immunotherapy. We may not be successful in our efforts to establish such collaborations for our product candidates because our product candidates may be deemed to be at too early of a stage of development for collaborative effort or third parties may not view our product candidates as having the requisite potential to demonstrate safety and efficacy or significant commercial opportunity. Further, any future collaboration agreements may restrict us from entering into additional agreements with potential collaborators. We cannot be certain that, following a strategic transaction or license, we will achieve an economic benefit that justifies such transaction.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successful in our efforts to establish such collaborations, the terms that we agree upon may not be favorable to us, and we may not be able to maintain such collaborations if, for example, development of a product candidate is delayed, the safety of a product candidate is questioned or sales of an approved product are unsatisfactory. We also may not be able to realize the benefit of such collaborations if we are unable to successfully integrate them with our existing operations and company culture. In any such collaborations, we may likely have limited control over the amount and timing of resources that our collaborators dedicate to the development or commercialization of any product candidates we may seek to develop with them. We cannot predict the success of any collaboration that we may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seeking appropriate collaborators and a number of more established companies may also be pursuing strategies to license or acquire third-party intellectual property rights that we may consider attractive. These established companies may have a competitive advantage over us due to their size, financial resources and greater clinical development and commercialization capabilities. In addition, companies that perceive us to be a competitor may be unwilling to assign or license rights to us. Whether we reach a definitive agreement for a collaboration will depend, among other things, upon our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comparable foreign regulatory authorities, the potential market for the subject product candidate, the costs and complexities of manufacturing and delivering such product candidate to patients,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a collaboration could be more attractive than the one with us for our product candidate. Collaborations are complex and time-consuming to negotiate and document. In addition, there have been a significant number of recent business combinations among large pharmaceutical companies that have resulted in a reduced number of potential future collaborators.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be able to negotiate further collaborations on a timely basis, on acceptable terms, or at all. We also may find that our programs require the use of proprietary rights held by third parties, and the growth of our business may depend in part on our ability to acquire, in-license or use these proprietary rights. Even if we are able to obtain a license to intellectual property of interest, we may not be able to secure exclusive rights, in which case others could use the same rights and compete with us. Our future collaboration partners may not prioritize our product candidates or otherwise not effectively pursue the development of our product candidates which may delay, reduce or terminate the development of such product candidate, reduce or delay its development program, or delay its potential commercialization. Further, if we are unable to successfully obtain rights to required third-party intellectual property rights or maintain the existing intellectual property rights we have, we may have to delay, reduce or terminate the development of such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Any of the foregoing factors would likely harm our ability to execute our business plans.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product revenue. </w:t>
      </w:r>
    </w:p>
    <w:p>
      <w:pPr>
        <w:pStyle w:val="TextBody"/>
        <w:bidi w:val="0"/>
        <w:jc w:val="center"/>
        <w:rPr>
          <w:rFonts w:ascii="Times New Roman" w:hAnsi="Times New Roman"/>
          <w:color w:val="000000"/>
          <w:sz w:val="20"/>
        </w:rPr>
      </w:pPr>
      <w:r>
        <w:rPr>
          <w:rFonts w:ascii="Times New Roman" w:hAnsi="Times New Roman"/>
          <w:color w:val="000000"/>
          <w:sz w:val="20"/>
        </w:rPr>
        <w:t>70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acquire businesses or assets and we may not realize the benefits of such acquisitions.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acquire businesses or assets or create joint ventures with third parties that we believe may complement our existing product candidates. For example, in October 2021, we acquired ScalmiBio, Inc., or ScalmiBio. We are developing new anti-cancer drug candidates based on ScalmiBio’s platform, and the acquisition of ScalmiBio enhanced our internal research and development capabilities. In order to realize the continuing benefits of the ScalmiBio acquisition, we will need to continue to make a substantial investment of time and resources to support research and development efforts. Additionally, we may not be able to realize the benefit of acquiring businesses or assets or joint ventures if we are not able to successfully integrate them with our existing operations and company culture. We may encounter difficulties in developing, manufacturing and marketing any new product candidates resulting from an acquisition, which may delay or prevent us from realizing their expected benefits.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the anticipated benefit of any joint venture or acquisition may not materialize, and any potential or future joint venture or acquisition may be prohibited. Additionally, future acquisitions or dispositions could result in potentially dilutive issuances of our equity securities, the incurrence of debt, contingent liabilities or amortization expenses or write-offs of goodwill, any of which could harm our financial condition. We cannot predict the number, timing or size of future joint ventures or acquisitions, or the effect that any such transactions might have on our operating results.</w:t>
      </w:r>
    </w:p>
    <w:p>
      <w:pPr>
        <w:pStyle w:val="TextBody"/>
        <w:bidi w:val="0"/>
        <w:spacing w:before="120" w:after="283"/>
        <w:jc w:val="left"/>
        <w:rPr>
          <w:rFonts w:ascii="Times New Roman" w:hAnsi="Times New Roman"/>
          <w:sz w:val="20"/>
        </w:rPr>
      </w:pPr>
      <w:r>
        <w:rPr>
          <w:rFonts w:ascii="Times New Roman" w:hAnsi="Times New Roman"/>
          <w:b/>
          <w:i/>
          <w:color w:val="000000"/>
          <w:sz w:val="20"/>
        </w:rPr>
        <w:t>Our ability to utilize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Under the U.S. Internal Revenue Code of 1986, as amended, if a corporation undergoes an “ownership change” (generally defined as a greater than 50% change (by value) in the ownership of its equity by its shareholders holding 5% or more over a rolling three-year period), the corporation’s ability to use its pre-change net operating loss carryforwards and other pre-change tax attributes to offset its post-change income and taxes may be limited. We may have experienced such ownership changes in the past, and we may experience ownership changes in the future, in either case as a result of shifts in our stock ownership, some of which are outside our control. As of December 31, 2024, we had net operating loss carryforwards of approximately $162.6 million and $69.0 million for U.S. federal and state income tax purposes, respectively. Our ability to utilize those net operating loss carryforwards could be limited by an “ownership change” as described above, which could result in increased tax liability to our company. The federal net operating losses carry forward indefinitely and may only offset 80% of taxable income in periods of future utilization. The state net operating loss carryforwards will begin to expire beginning in 2038. Other limitations may apply under state law. For example, in June 2024, California enacted legislation suspending the use of state net operating losses by taxpayers with net business income or modified adjusted gross income of $1 million or more for tax years beginning on or after January 1, 2024 and before January 1, 2027.</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December 31, 2024, we had Irish net operating loss carryforwards of approximately $5.5 million. These Irish net operating loss carryforwards do not expire but may not be fully utilized unless we generate sufficient income in Ireland. We may also be limited in the amount of net operating loss carryforwards that we can use in the future to offset taxable income for Irish corporation tax purposes if we experience ownership changes in the future as a result of subsequent movements in our share ownership, some of which are outside of our control, or if we experience a major change in the nature or conduct of our trade or our trade becomes small or negligible. Furthermore, in the event we incur net income in certain jurisdictions but incur losses (or have net operating loss carryforwards) in other jurisdictions, we cannot offset the income from one jurisdiction with the loss from another, which could increase our effective tax rate.</w:t>
      </w:r>
    </w:p>
    <w:p>
      <w:pPr>
        <w:pStyle w:val="TextBody"/>
        <w:bidi w:val="0"/>
        <w:spacing w:before="120" w:after="283"/>
        <w:jc w:val="left"/>
        <w:rPr>
          <w:rFonts w:ascii="Times New Roman" w:hAnsi="Times New Roman"/>
          <w:sz w:val="20"/>
        </w:rPr>
      </w:pPr>
      <w:r>
        <w:rPr>
          <w:rFonts w:ascii="Times New Roman" w:hAnsi="Times New Roman"/>
          <w:b/>
          <w:i/>
          <w:color w:val="000000"/>
          <w:sz w:val="20"/>
        </w:rPr>
        <w:t>Changes in tax laws</w:t>
      </w:r>
      <w:r>
        <w:rPr>
          <w:rFonts w:ascii="Times New Roman" w:hAnsi="Times New Roman"/>
          <w:color w:val="000000"/>
          <w:sz w:val="20"/>
        </w:rPr>
        <w:t xml:space="preserve"> </w:t>
      </w:r>
      <w:r>
        <w:rPr>
          <w:rFonts w:ascii="Times New Roman" w:hAnsi="Times New Roman"/>
          <w:b/>
          <w:i/>
          <w:color w:val="000000"/>
          <w:sz w:val="20"/>
        </w:rPr>
        <w:t>or in their implementation or interpretation may adversely affect our business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or may become subject to income and non-income taxes in the United States under federal, state and local jurisdictions and in certain foreign jurisdictions in which we operate. Tax laws, regulations and administrative practices in these jurisdictions may be subject to significant change, with or without advance notice. For example, on January 1, 2022, a provision of the Tax Cuts and Jobs Act of 2017 went into effect that eliminated the option to deduct domestic research and development costs in the year incurred and instead requires taxpayers to amortize such costs over five or fifteen years. The United States has also enacted the Inflation Reduction Act of 2022, which introduced, among other provisions, a 1% excise tax on certain stock buybacks by U.S. publicly-traded corporations on or after January 1, 2023. The Organisation for Economic Co-operation and Development has proposed implementing a global minimum tax of 15%, or Pillar Two, which has been implemented into the domestic laws of European Union member countries and is being considered for implementation by other countries. We continue to assess the effect of the Pillar Two rules in all jurisdictions and do not currently expect Pillar Two to have a material impact on our financial position. Changes in tax laws, regulations, or rulings, changes in interpretations of existing laws and regulations, or changes in accounting principles could negatively and materially affect our financial position, cash flows, and results of operations.</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Risks Related to Ownership of Our Common Stock</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know whether an active, liquid and orderly trading market will be sustained for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Prior to our initial public offering, no market for shares of our common stock existed. Although our common stock is listed on the Nasdaq Global Select Market, the market for our shares has demonstrated varying levels of trading activity. It is possible that in one or more future periods our results of operations and progression of our product pipeline may not meet the expectations of public market analysts and investors, and, as a result of these and other factors, the price of our common stock may fall.</w:t>
      </w:r>
    </w:p>
    <w:p>
      <w:pPr>
        <w:pStyle w:val="TextBody"/>
        <w:bidi w:val="0"/>
        <w:jc w:val="center"/>
        <w:rPr>
          <w:rFonts w:ascii="Times New Roman" w:hAnsi="Times New Roman"/>
          <w:color w:val="000000"/>
          <w:sz w:val="20"/>
        </w:rPr>
      </w:pPr>
      <w:r>
        <w:rPr>
          <w:rFonts w:ascii="Times New Roman" w:hAnsi="Times New Roman"/>
          <w:color w:val="000000"/>
          <w:sz w:val="20"/>
        </w:rPr>
        <w:t>71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sell shares of our common stock in future financings, stockholders may experience immediate dilution and, as a result, our stock price may decline.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from time to time issue additional shares of common stock at a discount from the current trading price of our common stock. As a result, our stockholders would experience immediate dilution upon the purchase of any shares of our common stock sold at such discount. In addition, as opportunities present themselves, we may enter into financing or similar arrangements in the future, including the issuance of debt securities, preferred stock or common stock. For example, our 2025 Shelf Registration Statement provides for aggregate offerings of up to $364.1 million of the Company’s securities inclusive of up to $119.1 million of shares of our common stock through the at-the-market (ATM) offering. As of March 31, 2025, we sold an aggregate of 2,404,855 shares of common stock under our ATM offering. On October 10, 2023, we completed the October 2023 Offering for the issuance and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As of March 31, 2025, no shares underlying the pre-funded warrants had been exercised. If we issue common stock or securities convertible into common stock, our stockholders will experience additional dilution and our stock price may decline.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price of our stock may be volatile, and you could lose all or part of your investment.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price of our common stock has been and may be highly volatile and subject to wide fluctuations in response to various factors, some of which are beyond our control. In addition to those discussed in this “Risk Factors” section and elsewhere in this Quarterly Report on Form 10-Q, the following factors may cause the market price of our common stock to fluctuate: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and timing of our preclinical studies and clinical trials and studies and trials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development programs;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issues in manufacturing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developments or enforcement in the United States and foreign countries with respect to our product candidates or our competitors’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products or new products that may emerge;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our growth and development relative to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introduction of new product candidates or technological innovations by us or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by us, our future strategic partners or our competitors of significant acquisitions, strategic partnerships, joint ventures or capital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or recommendations by securities analysts, if any cover our common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fluctuations in the valuation of companies perceived by investors to be comparable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 concern over our product candidates or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sales of our common stock by us, our insiders or our other stockholders including pursuant to the existing primary and secondary shelf registration statements that we have filed with the SEC;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expiration of market stand-off or lock-up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 price and volume fluctuations attributable to inconsistent trading volume levels of our shares;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perceptions of our ability to maintain our listing on Nasdaq;</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additions or departures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announcement of actual or anticipated reduction in force, including the RIF;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 care payment systems in the United States or overseas;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of any of our product candidates, if approved, to achieve commercial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macroeconomic conditions and global economic environment, such as inflation, interest rate changes, trade and other global disputes and interruptions, including related to tariffs and trade protection measures, economic downturns, bank failures or instability in the financial services sector, or geopolitical risks, disasters, and medical or public health crises, such as the COVID-19 pandemic; </w:t>
      </w:r>
    </w:p>
    <w:p>
      <w:pPr>
        <w:pStyle w:val="TextBody"/>
        <w:bidi w:val="0"/>
        <w:jc w:val="center"/>
        <w:rPr>
          <w:rFonts w:ascii="Times New Roman" w:hAnsi="Times New Roman"/>
          <w:color w:val="000000"/>
          <w:sz w:val="20"/>
        </w:rPr>
      </w:pPr>
      <w:r>
        <w:rPr>
          <w:rFonts w:ascii="Times New Roman" w:hAnsi="Times New Roman"/>
          <w:color w:val="000000"/>
          <w:sz w:val="20"/>
        </w:rPr>
        <w:t>72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period-to-period fluctuations in our financial condition and results of operations, including the timing of payment or receipt of any future milestone or other payments under commercialization or licensing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announcements or expectations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overall fluctuations in U.S. equity markets, general market conditions and market conditions for biotechnology stocks;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 factors that may be unanticipated or out of our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the stock market has recently experienced significant volatility, particularly with respect to biotechnology and other life sciences company stocks. The volatility of biotechnology and other life sciences company stock often does not relate to the operating performance of the companies presented by the stock. In addition, in the past, when the market price of a stock has been volatile, holders of that stock have instituted securities class action litigation against the company that issued the stock. If any of our stockholders brought a lawsuit against us, we could incur substantial costs defending the lawsuit and divert the time and attention of our management, which could seriously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the trading price of our common stock does not increase, it may cause our common stock to no longer satisfy the continued listing standards of Nasdaq. If we are not able to maintain the requirements for listing on Nasdaq, we could be delisted, which could have a materially adverse effect on our ability to raise additional funds as well as on the price and liquidity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realization of any of the above risks or any of a broad range of other risks, including those described in this “Risk Factors” section, could have a dramatic and adverse impact on the market price of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If we are unable to maintain listing of our securities on the Nasdaq Global Select Market or another reputable stock exchange, it may be more difficult for our stockholders to sell their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Nasdaq requires listing issuers to comply with certain standards in order to remain listed on its exchange. If, for any reason, Nasdaq should delist our securities from trading on its exchange and we are unable to obtain listing on another reputable national securities exchange, it could have a materially adverse effect on our ability to raise additional funds as well as on the price and liquidity of our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if at any time the bid price of our common stock closes below $1.00 per share for more than 30 consecutive business days, we may be subject to delisting from the Nasdaq Global Select Market. On April 23, 2025, we received a notice from Nasdaq notifying us that we have not been in compliance with the minimum bid price requirement for continued listing on the Nasdaq Global Select Market set forth in Nasdaq Listing Rule 5450(a)(1) for a period of 30 consecutive business days. In accordance with Nasdaq Listing Rule 5810(c)(3)(A), we have been provided a compliance period of 180 calendar days from the date of the Notice, or until October 20, 2025, to regain compliance (subject to any additional 180-day compliance period which may be available to us). To regain compliance with Nasdaq’s minimum bid price requirement, the closing price per share of our common stock must be at least $1.00 per share for a minimum of ten consecutive business days during the 180-calendar day compliance period, unless the Staff exercises its discretion to extend this ten-business day period. During this 180-day period, we will be reviewing our options to regain compliance with the minimum bid price requirements. To the extent that we are unable to resolve any listing deficiency, there is a risk that our common stock may be delisted from Nasdaq, which would adversely impact liquidity of our common stock and potentially result in even lower bid prices for our common stock. Additionally, if during any compliance period, our common stock has a closing bid price of $0.10 per share or less for ten consecutive trading days, the Staff will issue a delisting determination under Nasdaq Listing Rule 5810(c)(3)(A)(iii) with respect to our common stock. As of the date of filing this report, our stock has closed below $1.00 per share on every trading day since March 10, 2025. On April 30, 2025, the closing price of our common stock was $0.54 per share.</w:t>
      </w:r>
    </w:p>
    <w:p>
      <w:pPr>
        <w:pStyle w:val="TextBody"/>
        <w:bidi w:val="0"/>
        <w:spacing w:before="120" w:after="283"/>
        <w:jc w:val="left"/>
        <w:rPr>
          <w:rFonts w:ascii="Times New Roman" w:hAnsi="Times New Roman"/>
          <w:sz w:val="20"/>
        </w:rPr>
      </w:pPr>
      <w:r>
        <w:rPr>
          <w:rFonts w:ascii="Times New Roman" w:hAnsi="Times New Roman"/>
          <w:b/>
          <w:i/>
          <w:color w:val="000000"/>
          <w:sz w:val="20"/>
        </w:rPr>
        <w:t>Our operating results may fluctuate significantly, which makes our future operating results difficult to predict and could cause our operating results to fall below expectations or our guidance.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quarterly and annual operating results may fluctuate significantly in the future, which makes it difficult for us to predict our future operating results. From time to time, we may enter into license or collaboration agreements or strategic partnerships with other companies that include development funding and significant upfront and milestone payments and/or royalties, which may become an important source of our revenue. These upfront and milestone payments may vary significantly from period to period and any such variance could cause a significant fluctuation in our operating results from one period to the next.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w:t>
      </w:r>
    </w:p>
    <w:p>
      <w:pPr>
        <w:pStyle w:val="TextBody"/>
        <w:bidi w:val="0"/>
        <w:jc w:val="center"/>
        <w:rPr>
          <w:rFonts w:ascii="Times New Roman" w:hAnsi="Times New Roman"/>
          <w:color w:val="000000"/>
          <w:sz w:val="20"/>
        </w:rPr>
      </w:pPr>
      <w:r>
        <w:rPr>
          <w:rFonts w:ascii="Times New Roman" w:hAnsi="Times New Roman"/>
          <w:color w:val="000000"/>
          <w:sz w:val="20"/>
        </w:rPr>
        <w:t>73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Furthermore, our operating results may fluctuate due to a variety of other factors, many of which are outside of our control and may be difficult to predict,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cost of, and level of investment in, research and development activities relating to our current product candidates and any future product candidates and research-stage programs, which will change from time to time. For example, inflationary pressures have increased and we expect will continue to increase costs for our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enroll subjects in clinical trials and the timing of enrollment;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manufacturing our current product candidates and any future product candidates, which may vary depending on FDA, EMA or other comparable foreign regulatory authority guidelines and requirements, the quantity of production and the terms of our agreements with manufacturers;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expenditures that we will or may incur to acquire or develop additional product candidates and technologies or other assets;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outcomes of clinical trials for evorpacept, and any of our other product candidates, or competing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need to conduct unanticipated clinical trials or trials that are larger or more complex than anticipated;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competition from existing and potential future products that compete with evorpacept and any of our other product candidates, and changes in the competitive landscape of our industry, including consolidation among our competitors or partners;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delays in regulatory review or approval of evorpacept or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demand for evorpacept and any of our other product candidates, if approved, which may fluctuate significantly and be difficult to predict;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risk/benefit profile, cost and reimbursement policies with respect to our product candidates, if approved, and existing and potential future products that compete with evorpacept and any of our other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commercialize evorpacept and any of our other product candidates, if approved, inside and outside of the United States, either independently or working with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establish and maintain collaborations, licensing or other arrangements;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adequately support future growth;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increase in interest expense due to an increase in the floating rate under the Loan Agreement as described elsewhere in this Quarterly Report on Form 10-Q;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unforeseen business disruptions that increase our costs or expenses;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future accounting pronouncements or changes in our accounting policies;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weak or declining economy resulting from adverse macroeconomic conditions such as inflation, interest rate changes, uncertainty in the financial services industry, trade and other global disputes and interruptions, including related to tariffs and trade protection measures, and any U.S. federal government debt default due to a failure to increase the debt ceiling;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outbreaks or public health crises, such as the COVID-19 pandemic, geopolitical unrest related to Russia’s conflict with Ukraine, war and instability in Israel and the surrounding region, and bank failures or instability in the financial services sector on the global economy.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cumulative effect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guidance we may provide.</w:t>
      </w:r>
    </w:p>
    <w:p>
      <w:pPr>
        <w:pStyle w:val="TextBody"/>
        <w:bidi w:val="0"/>
        <w:jc w:val="center"/>
        <w:rPr>
          <w:rFonts w:ascii="Times New Roman" w:hAnsi="Times New Roman"/>
          <w:color w:val="000000"/>
          <w:sz w:val="20"/>
        </w:rPr>
      </w:pPr>
      <w:r>
        <w:rPr>
          <w:rFonts w:ascii="Times New Roman" w:hAnsi="Times New Roman"/>
          <w:color w:val="000000"/>
          <w:sz w:val="20"/>
        </w:rPr>
        <w:t>74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and other risks associated with our planned international operations may materially adversely affect our ability to attain profitable operations. Further, there is currently significant uncertainty about the future relationship between the United States and various other countries, most significantly China, with respect to trade policies, treaties, tariffs, taxes, and other limitations on cross-border operations. For example, legislation has been introduced in Congress to limit certain U.S. biotechnology companies from using equipment or services produced or provided by select Chinese biotechnology companies. In February and April 2025, the current U.S. presidential administration imposed new tariffs on China and China responded with tariffs on select U.S. goods. While we cannot predict what actions may ultimately be taken with respect to trade relations between the United States and China or other countries, if we are unable to obtain or use services or products from existing service providers, including those of contract development and manufacturing organizations, or if alternative service providers cannot be secured at an acceptable cost or at all, or if such actions cause broader disruption in drug manufacturing and related industries that impact drug product availability or pricing, our business, liquidity, financial condition, and/or results of operations would be materially and adversely affected.</w:t>
      </w:r>
    </w:p>
    <w:p>
      <w:pPr>
        <w:pStyle w:val="TextBody"/>
        <w:bidi w:val="0"/>
        <w:spacing w:before="120" w:after="283"/>
        <w:jc w:val="left"/>
        <w:rPr>
          <w:rFonts w:ascii="Times New Roman" w:hAnsi="Times New Roman"/>
          <w:sz w:val="20"/>
        </w:rPr>
      </w:pPr>
      <w:r>
        <w:rPr>
          <w:rFonts w:ascii="Times New Roman" w:hAnsi="Times New Roman"/>
          <w:b/>
          <w:i/>
          <w:color w:val="000000"/>
          <w:sz w:val="20"/>
        </w:rPr>
        <w:t>Sales of a substantial number of shares of our common stock in the public market could cause our stock price to fall.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Sales of a substantial number of shares of our common stock in the public market could occur at any time. If our stockholders sell, or the market perceives that our stockholders intend to sell, a substantial amount of our common stock in the public market, the market price of our common stock could decline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Shares issued upon the exercise of stock options outstanding under our equity incentive plans or pursuant to future awards granted under those plans will become available for sale in the public market to the extent permitted by the provisions of applicable vesting schedules and Rule 144 and Rule 701 under the Securities Act of 1933, as amended, or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October 10, 2023, we completed the October 2023 Offering for the sale of an aggregate of 8,663,793 shares of common stock and pre-funded warrants to purchase 1,250,000 shares of common stock at a public offering price of $6.38 per share and $6.379 per pre-funded warrant. Our stockholders may be further diluted by the exercise of the pre-funded warrants issued in the October 2023 Offering. As of March 31, 2025, no shares underlying the pre-funded warrants had been exercised. Furthermore, we currently have an effective resale shelf registration statement which enables the selling stockholders thereunder, three of our largest stockholders, to sell shares in the public market which could cause our stock price to decline. In addition, any future sales of shares of common stock or other securities under our 2025 Shelf Registration Statement, including pursuant to our ATM facility, could put downward pressure on our stock price. Moreover, certain holders of our common stock have rights, subject to conditions, to require us to file registration statements covering their shares or to include their shares in registration statements that we may file for ourselves or other stockholders. Registration of these shares under the Securities Act would result in the shares becoming freely tradeable in the public market, subject to the restrictions of Rule 144 in the case of our affiliates. If any of these additional shares are sold, or if it is perceived that they will be sold, in the public market, the market price of our common stock could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If securities or industry analysts do not publish research or publish inaccurate or unfavorable research about our business, our share price and trading volume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depends on the research and reports that securities or industry analysts publish about us or our business. We do not have any control over these analysts. We cannot assure you that analysts will cover us or provide favorable coverage. If no or few securities or industry analysts commence coverage of us, the trading price for our stock would be negatively impacted. If one or more of the analysts who cover us downgrade our stock or change their opinion of our common stock, our share price would likely decline. If one or more of these analysts cease coverage of our company or fail to publish reports on us regularly, we could lose visibility in the financial markets, which could cause our share price or trading volume to decline. </w:t>
      </w:r>
    </w:p>
    <w:p>
      <w:pPr>
        <w:pStyle w:val="TextBody"/>
        <w:bidi w:val="0"/>
        <w:spacing w:before="120" w:after="283"/>
        <w:jc w:val="left"/>
        <w:rPr>
          <w:rFonts w:ascii="Times New Roman" w:hAnsi="Times New Roman"/>
          <w:sz w:val="20"/>
        </w:rPr>
      </w:pPr>
      <w:r>
        <w:rPr>
          <w:rFonts w:ascii="Times New Roman" w:hAnsi="Times New Roman"/>
          <w:b/>
          <w:i/>
          <w:color w:val="000000"/>
          <w:sz w:val="20"/>
        </w:rPr>
        <w:t>We have incurred and will continue to incur significant increased costs and management resources as a result of operating as a public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and will continue to incur significant legal, accounting, compliance and other expenses as a public company. Our management and other personnel need to devote a substantial amount of time and incur significant expense in connection with compliance initiatives. For example, as a public company, we must maintain additional internal controls and disclosure controls and procedures and have retained a transfer agent and adopted an insider trading policy. As a public company, we bear all of the internal and external costs of preparing and distributing periodic public reports in compliance with our obligations under the securities laws.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maintain an enterprise resource planning, or ERP, system, which is designed to combine and streamline the management of our financial, accounting, human resources, sales and marketing and other functions, enabling us to manage operations and track performance more effectively. The ERP system has and will continue to require the investment of significant financial and human resources in order to ensure effective use of the system. Additionally, in the future, we may be limited in our ability to convert any business that we acquire to the ERP. Any disruptions or difficulties in using an ERP system could adversely affect our internal controls and harm our business, including our ability to forecast or make sales and collect our receivables. Moreover, such disruption or difficulties could result in unanticipated costs and diversion of management attention. </w:t>
      </w:r>
    </w:p>
    <w:p>
      <w:pPr>
        <w:pStyle w:val="TextBody"/>
        <w:bidi w:val="0"/>
        <w:jc w:val="center"/>
        <w:rPr>
          <w:rFonts w:ascii="Times New Roman" w:hAnsi="Times New Roman"/>
          <w:color w:val="000000"/>
          <w:sz w:val="20"/>
        </w:rPr>
      </w:pPr>
      <w:r>
        <w:rPr>
          <w:rFonts w:ascii="Times New Roman" w:hAnsi="Times New Roman"/>
          <w:color w:val="000000"/>
          <w:sz w:val="20"/>
        </w:rPr>
        <w:t>75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regulations and standards relating to corporate governance and public disclosure, including the Sarbanes-Oxley Act, or SOX, and the related rules and regulations implemented by the SEC and the Nasdaq Stock Market LLC, or Nasdaq, have and will continue to increase legal and financial compliance costs and make some compliance activities more time-consuming. We have invested and will continue to invest additional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As a public company, we maintain directors’ and officers’ insurance coverage, which has significantly increased in recent years.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While we were a large-accelerated filer for fiscal year 2022, we were a “non-accelerated filer” for fiscal year 2023 and 2024 and we anticipate we will continue to be one throughout fiscal year 2025. This status could make our common stock less attractive to investors.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Each year, we re-evaluate our SEC filing status. Accordingly, we were a non-accelerated filer for fiscal year 2023 and 2024, and due to our public float as of June 30, 2024, we anticipate we will be a non-accelerated filer throughout fiscal year 2025. This will be re-evaluated each June 30. Pursuant to Section 404(a) of SOX, we are required to furnish a report by our management on our internal control over financial reporting. However, while we remain a non-accelerated filer, we will not be required to include an attestation report issued by our independent registered public accounting firm on the effectiveness of our internal control over financial reporting. If, after our next June 30 re-evaluation, we are no longer a non-accelerated filer, we would be required to include an attestation report on internal control over financial reporting issued by our independent registered public accounting firm and adhere to earlier filing dates based on our determined status beginning with our Form 10-K for the fiscal year. We cannot predict if investors will find our common stock less attractive if we choose to rely on this exemption. If some investors find our common stock less attractive as a result of our non-accelerated filer status, there may be a less active trading market for our common stock and our stock price may be more volatile and may decline.</w:t>
      </w:r>
    </w:p>
    <w:p>
      <w:pPr>
        <w:pStyle w:val="TextBody"/>
        <w:bidi w:val="0"/>
        <w:spacing w:before="120" w:after="283"/>
        <w:jc w:val="left"/>
        <w:rPr>
          <w:rFonts w:ascii="Times New Roman" w:hAnsi="Times New Roman"/>
          <w:sz w:val="20"/>
        </w:rPr>
      </w:pPr>
      <w:r>
        <w:rPr>
          <w:rFonts w:ascii="Times New Roman" w:hAnsi="Times New Roman"/>
          <w:b/>
          <w:i/>
          <w:color w:val="000000"/>
          <w:sz w:val="20"/>
        </w:rPr>
        <w:t>Our affiliated principal stockholders and management own a significant percentage of our stock and will be able to exert significant control over matters subject to stockholder approval.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our executive officers, directors, and affiliated holders of 5% or more of our capital stock and their respective affiliates beneficially owned approximately 24.3% of our outstanding voting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Therefore, this group of stockholders, if they act together, will have the ability to control us through this ownership position. These stockholders may be able to determine all matters requiring stockholder approval. For example, these stockholders may be able to control elections of directors, amendments of our organizational documents or approval of any merger, sale of assets or other material corporate transaction. This may prevent or discourage unsolicited acquisition proposals or offers for our common stock that you may feel are in your best interest as one of our stockholders. The interests of this group of stockholders may not always coincide with your interests or the interests of other stockholders and they may act in a manner that advances their best interests and not necessarily those of other stockholders, including seeking a premium value for their common stock, and might affect the prevailing market price for our common stock.</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Market conditions and changing circumstances could impair our ability to access our existing cash, cash equivalents and investments and to timely pay key vendors and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Market conditions and changing circumstances, some of which may be beyond our control, could impair our ability to access our existing cash, cash equivalents and investments and to timely pay key vendors and others. For example, in March 2023, SVB, where we maintain certain immaterial accounts, was placed into receivership with the FDIC, and all funds held at SVB were temporarily inaccessible to SVB’s customers. If other banks and financial institutions with whom we have banking relationships enter receivership or become insolvent in the future, we may be unable to access, or we may lose, some or all of our existing cash, cash equivalents and investments, to the extent those funds are not insured or otherwise protected by the FDIC. In addition, in such circumstances we might not be able to timely pay key vendors, employees, and others. We regularly maintain cash balances that are not insured or are in excess of the FDIC’s insurance limit. In addition, any U.S. federal government debt default due to a failure to increase the debt ceiling may lead to lack of access to our investments in U.S. treasury securities or losses or lower returns on such investments, in addition to broader macroeconomic risk that would follow any such default. Any delay in our ability to access our cash, cash equivalents and investments, or the loss of some or all of such funds, or inability to pay key vendors and others timely, could have a material adverse effect on our operations and cause us to seek additional capital sooner than planned.</w:t>
      </w:r>
    </w:p>
    <w:p>
      <w:pPr>
        <w:pStyle w:val="TextBody"/>
        <w:bidi w:val="0"/>
        <w:jc w:val="center"/>
        <w:rPr>
          <w:rFonts w:ascii="Times New Roman" w:hAnsi="Times New Roman"/>
          <w:color w:val="000000"/>
          <w:sz w:val="20"/>
        </w:rPr>
      </w:pPr>
      <w:r>
        <w:rPr>
          <w:rFonts w:ascii="Times New Roman" w:hAnsi="Times New Roman"/>
          <w:color w:val="000000"/>
          <w:sz w:val="20"/>
        </w:rPr>
        <w:t>76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do not anticipate paying cash dividends and, accordingly, stockholders must rely on share appreciation for any return on their investment.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never paid any dividends on our capital stock. We currently intend to retain our future earnings, if any, to fund the development and growth of our businesses and do not anticipate that we will declare or pay any cash dividends on our capital stock in the foreseeable future. As a result, capital appreciation, if any, of our common stock will be your sole source of gain on your investment for the foreseeable future. Investors seeking cash dividends should not invest in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Raising additional capital may cause dilution to our stockholders, restrict our operations or require us to relinquish substantial rights.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that we raise additional capital through the sale of equity or convertible debt securities, a stockholder’s ownership interest will be diluted, and the terms of these new securities may include liquidation or other preferences that adversely affect one’s rights as a common stockholder. Sales of equity securities may be made under our 2025 Shelf Registration Statement and pursuant to our related ATM facility described therein. Additionally, our stockholders may be further diluted by the exercise of the pre-funded warrants issued in the follow-on public offering. As of March 31, 2025, no shares underlying the pre-funded warrants had been exercised. Debt financing, if available, may involve fixed payment obligations or agreements that include covenants limiting or restricting our ability to take specific actions such as incurring additional debt, making capital expenditures or declaring dividends. Our Loan Agreement with the Lenders restricts our ability to incur additional indebtedness without the consent of the Lenders. If we raise additional funds through partnerships,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clinical or discovery programs or grant rights to develop and market product candidates that we would otherwise prefer to develop and market ourselves. In addition, we may seek additional capital due to favorable market conditions or strategic considerations even if we believe we have sufficient funds for our current or future operating plans. </w:t>
      </w:r>
    </w:p>
    <w:p>
      <w:pPr>
        <w:pStyle w:val="TextBody"/>
        <w:bidi w:val="0"/>
        <w:spacing w:before="120" w:after="283"/>
        <w:jc w:val="left"/>
        <w:rPr>
          <w:rFonts w:ascii="Times New Roman" w:hAnsi="Times New Roman"/>
          <w:sz w:val="20"/>
        </w:rPr>
      </w:pPr>
      <w:r>
        <w:rPr>
          <w:rFonts w:ascii="Times New Roman" w:hAnsi="Times New Roman"/>
          <w:b/>
          <w:i/>
          <w:color w:val="000000"/>
          <w:sz w:val="20"/>
        </w:rPr>
        <w:t>Delaware law and provisions in our amended and restated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amended and restated certificate of incorporation and amended and restated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that our board of directors is divided into three classes, with each class serving staggered three-year terms;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our directors may only be removed for cause;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convertible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prohibits a publicly-held Delaware corporation from engaging in a business combination with an interested stockholder, generally a person who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jc w:val="center"/>
        <w:rPr>
          <w:rFonts w:ascii="Times New Roman" w:hAnsi="Times New Roman"/>
          <w:color w:val="000000"/>
          <w:sz w:val="20"/>
        </w:rPr>
      </w:pPr>
      <w:r>
        <w:rPr>
          <w:rFonts w:ascii="Times New Roman" w:hAnsi="Times New Roman"/>
          <w:color w:val="000000"/>
          <w:sz w:val="20"/>
        </w:rPr>
        <w:t>77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amended and restated certificate of incorporation, amended and restated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120" w:after="283"/>
        <w:jc w:val="left"/>
        <w:rPr>
          <w:rFonts w:ascii="Times New Roman" w:hAnsi="Times New Roman"/>
          <w:sz w:val="20"/>
        </w:rPr>
      </w:pPr>
      <w:r>
        <w:rPr>
          <w:rFonts w:ascii="Times New Roman" w:hAnsi="Times New Roman"/>
          <w:b/>
          <w:i/>
          <w:color w:val="000000"/>
          <w:sz w:val="20"/>
        </w:rPr>
        <w:t>Our amended and restated bylaws provide that the Court of Chancery of the State of Delaware and the federal district courts of the United States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provide that the Court of Chancery of the State of Delaware (or, if the Court of Chancery does not have jurisdiction, another State court in Delaware or the federal district court for the District of Delaware) is the exclusive forum for the following (except for any claim as to which such court determines that there is an indispensable party not subject to the jurisdiction of such court (and the indispensable party does not consent to the personal jurisdiction of such court within ten days following such determination), which is vested in the exclusive jurisdiction of a court or forum other than such court or for which such court does not have subject matter jurisdiction):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behalf of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a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Delaware General Corporation Law, or DGCL, our amended and restated certificate of incorporation or our amended and restated bylaws, as either may be amended from time to time;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 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provision would not apply to suits brought to enforce a duty or liability created by the Securities Exchange Act of 1934, as amended, or Exchange Act, or any other claim for which the U.S. federal courts have exclusive jurisdiction.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amended and restated bylaws further provide that the federal district courts of the United States will be the exclusive forum for resolving any complaint asserting a cause of action arising under the Securities Act.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Any person or entity purchasing or otherwise acquiring any interest in any of our securities shall be deemed to have notice of and consented to these provisions.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either exclusive-forum provision in our amended and restated bylaws to be inapplicable or unenforceable in an action, we may incur additional costs associated with resolving the dispute in other jurisdictions, which could seriously harm our business. </w:t>
      </w:r>
    </w:p>
    <w:p>
      <w:pPr>
        <w:pStyle w:val="TextBody"/>
        <w:bidi w:val="0"/>
        <w:spacing w:before="120" w:after="283"/>
        <w:jc w:val="left"/>
        <w:rPr>
          <w:rFonts w:ascii="Times New Roman" w:hAnsi="Times New Roman"/>
          <w:sz w:val="20"/>
        </w:rPr>
      </w:pPr>
      <w:r>
        <w:rPr>
          <w:rFonts w:ascii="Times New Roman" w:hAnsi="Times New Roman"/>
          <w:b/>
          <w:i/>
          <w:color w:val="000000"/>
          <w:sz w:val="20"/>
        </w:rPr>
        <w:t>In the past, we have identified material weaknesses in our internal control over financial reporting, and if we are unable to maintain effective internal control over financial reporting in the future, investors may lose confidence in the accuracy and completeness of our financial reports, and the market price of our common stock may be materially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past, we and our independent registered public accounting firm identified two material weaknesses in our internal control over financial reporting, both of which have since been remediated. We did not identify any material weakness for the fiscal years ended December 31, 2024 and 2023.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in the future, we have a material weakness in our internal controls over financial reporting, we may not be able to prevent or detect errors on a timely basis and our consolidated financial statements may be materially misstated. We or our independent registered public accounting firm, if required, may not be able to conclude on an ongoing basis that we have effective internal control over financial reporting, which could harm our operating results, cause investors to lose confidence in our reported financial information and cause the trading price of our stock to fall. In addition, as a public company we are required to file accurate and timely quarterly and annual reports with the SEC under the Exchange Act. Any failure to report our financial results on an accurate and timely basis could result in sanctions, lawsuits, delisting of our shares from The Nasdaq Global Select Market or other adverse consequences that would materially harm our business. In addition, we could become subject to investigations by the stock exchange on which our securities are listed, the SEC, and other regulatory authorities, and become subject to litigation from investors and stockholders, which could harm our reputation and our financial condition, or divert financial and management resources from our core business.</w:t>
      </w:r>
    </w:p>
    <w:p>
      <w:pPr>
        <w:pStyle w:val="TextBody"/>
        <w:bidi w:val="0"/>
        <w:jc w:val="center"/>
        <w:rPr>
          <w:rFonts w:ascii="Times New Roman" w:hAnsi="Times New Roman"/>
          <w:color w:val="000000"/>
          <w:sz w:val="20"/>
        </w:rPr>
      </w:pPr>
      <w:r>
        <w:rPr>
          <w:rFonts w:ascii="Times New Roman" w:hAnsi="Times New Roman"/>
          <w:color w:val="000000"/>
          <w:sz w:val="20"/>
        </w:rPr>
        <w:t>78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fail to maintain an effective system of internal control over financial reporting, we may not be able to accurately report our financial results or prevent fraud, which would harm our business and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our independent registered public accounting firm in connection with Section 404(b) of SOX, as long as such attestation report is required pursuant to such section by our independent registered public accounting firm, may reveal deficiencies in our internal controls over financial reporting that are deemed to be significant deficiencies or material weaknesses or that may require prospective or retroactive changes to our consolidated financial statements or identify other areas for further attention or improvement. As discussed above, we have identified material weaknesses in the past which have since been remediated. However, our remediation of previous material weaknesses may not prevent any future deficiency in our internal control over financial reporting. Inferior internal controls could also cause investors to lose confidence in our reported financial information, which could have a negative effect on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failure to maintain effective internal control over financial reporting could have a material adverse effect on our business, financial condition and results of operations and the trading price of our common stock.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required to disclose material changes made in our internal controls over financing reporting and procedures on a quarterly basis and our management are required to assess the effectiveness of these controls annually. We were no longer an “emerging growth company” as of December 31, 2021 and as such, pursuant to Section 404(b) of SOX, our independent registered public accounting firm attested to the effectiveness of our internal control over financial reporting as of December 31, 2021. However, we became a “non-accelerated filer” for fiscal year 2023. While we remain a non-accelerated filer, we will not be required to include an attestation report issued by our independent registered public accounting firm on the effectiveness of our internal control over financial reporting. Upon a change in status to an accelerated or large-accelerated filer, our independent registered public accounting firm would be required to attest to the effectiveness of our internal control over financial reporting as of the filing of the Form 10-K of that year. An independent assessment of the effectiveness of our internal controls could detect problems that our management’s assessment might not and therefore we may be less likely to detect deficiencies in our internal controls over financial reporting in the future and during any fiscal year for which we remain a non-accelerated filer.</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organized in a holding company structure and we are, and will be, dependent upon the results of operations and cash flows of our subsidiaries and distributions we receive from our subsidiaries.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ALX Oncology Holdings Inc. is a holding company that currently has no material assets other than cash and our ownership of all of the equity issued by ALX Oncology Limited. As such, ALX Oncology Holdings Inc. will have no independent means of generating revenue or cash flow, and our ability to pay our taxes and operating expenses or declare and pay dividends in the future, if any, will be dependent upon the results of operations and cash flows of ALX Oncology Limited and its consolidated subsidiaries, including any distributions we receive from ALX Oncology Limited. There can be no assurance that our direct and indirect subsidiaries will generate sufficient cash flow to distribute funds to us or that applicable law and contractual restrictions, such as negative covenants in any debt instruments, will permit such distributions. In addition, in the event that the board of directors and stockholders of ALX Oncology Holdings Inc. were to approve a sale of all of our equity in ALX Oncology Limited or any of our other indirect subsidiaries, your equity interest would be in a holding company with no material assets other than those assets and other consideration received in such transaction. </w:t>
      </w:r>
    </w:p>
    <w:p>
      <w:pPr>
        <w:pStyle w:val="TextBody"/>
        <w:bidi w:val="0"/>
        <w:spacing w:before="240" w:after="283"/>
        <w:jc w:val="left"/>
        <w:rPr>
          <w:rFonts w:ascii="Times New Roman" w:hAnsi="Times New Roman"/>
          <w:sz w:val="20"/>
        </w:rPr>
      </w:pPr>
      <w:r>
        <w:rPr>
          <w:rFonts w:ascii="Times New Roman" w:hAnsi="Times New Roman"/>
          <w:b/>
          <w:color w:val="000000"/>
          <w:sz w:val="20"/>
        </w:rPr>
        <w:t>General Risks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Business disruptions could seriously harm our future revenue and financial condition and increase our costs and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and those of our service providers and suppliers and other contractors and consultants, could be subject to earthquakes, power shortages, telecommunications failures, water shortages, floods, hurricanes, typhoons, fires, extreme weather conditions, medical or public health crises, such as the COVID-19 pandemic, and other natural or man-made disasters such as the ongoing geopolitical unrest related to Russia’s war with Ukraine, war and instability in Israel and the surrounding region, or business interruptions, for which we are partly uninsured.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majority of our operations including our corporate headquarters are located in the San Francisco Bay Area in California.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jc w:val="center"/>
        <w:rPr>
          <w:rFonts w:ascii="Times New Roman" w:hAnsi="Times New Roman"/>
          <w:color w:val="000000"/>
          <w:sz w:val="20"/>
        </w:rPr>
      </w:pPr>
      <w:r>
        <w:rPr>
          <w:rFonts w:ascii="Times New Roman" w:hAnsi="Times New Roman"/>
          <w:color w:val="000000"/>
          <w:sz w:val="20"/>
        </w:rPr>
        <w:t>79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experience disruptions and delays or incur financial damages as a result of system failures or security breaches or incidents.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Despite our implementation of security measures, any of the computer systems and networks belonging to or used by us or our employees and our CROs and other third-party service providers are vulnerable to damage and disruption from computer viruses, ransomware and other malicious code, unauthorized access, natural disasters, terrorism, war and telecommunication and electrical failure, as well as security breaches and incidents from inadvertent or intentional actions, or from cyber-attacks by malicious third parties (including supply chain cyber-attacks, denial-of-service attacks, social engineering and other means to affect service reliability and threaten the confidentiality, integrity and availability of information), which may compromise system infrastructure or lead to the loss, destruction, alteration, prevention of access to, disclosure, or dissemination of, or damage or unauthorized access to, our data (including trade secrets or other confidential information, intellectual property, proprietary business information, and personal information) or data that is processed or maintained on our behalf, or other assets, which could result in financial, legal, business and reputational harm to us. Any system failure, accident or security breach or incident that causes interruptions in our own or in our CROs’ or other third-party service providers’ operations could result in a material disruption of our drug discovery and development programs or other aspects of our operations. We may be more susceptible to security breaches and other security incidents while a large percentage of our employees continue to work from home for some portion of time because we and our service providers have less capability to monitor and enforce policies for those employees. Also, ongoing geopolitical unrest and related events such as Russia’s war with Ukraine may subject us and our CROs and other third-party service providers to heightened risks of cyber-attacks and security breaches and incidents, any of which could materially disrupt our drug discovery and development programs or other aspects of our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system failure or security breach or incident that leads to the loss, corruption or unavailability of clinical trial data from completed, ongoing, or future clinical trials could result in delays in our regulatory approval efforts and significantly increase our costs in order to recover or reproduce the lost, corrupted, or unavailable data. In addition, if any disruption or security breach or incident results in loss, destruction, alteration, or unavailability of, or damage or unauthorized access to, our data or applications or unauthorized access to, disclosure, dissemination or other processing of confidential or proprietary information that we or our third-party service providers process, including personal information related to the subjects in our clinical trials, we may incur liability as a result, our drug discovery programs and competitive position may be adversely affected and further development of our product candidates may be delayed. Any such disruption, failure or security breach or incident could also cause us to incur additional costs to remedy the damages that arise from such disruption, failure or security breach or incident. Additionally, in the event of any such disruption, failure or security breach or incident, or any perception that one has occurred, we could be exposed to claims, demands, and litigation and governmental investigations and other proceedings, the further development and commercialization of our product candidates could be delayed, and we could be subject to significant liabilities, including fines or penalties for any noncompliance with certain state, federal and/or international privacy and security laws. We expect to incur significant costs in an effort to detect and prevent security breaches and incidents, and we may face increased costs and requirements to expend substantial resources in the event of an actual or perceived security breach or incident.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insurance policies may not be adequate to compensate us for the potential losses arising from any such disruption, failure or security breach or incident. In addition, such insurance may not be available to us in the future on economically reasonable terms, or at all. Further, our insurance may not cover all claims made against us and could have high deductibles in any event, and defending a suit, regardless of its merit, could be costly and divert management attention. </w:t>
      </w:r>
    </w:p>
    <w:p>
      <w:pPr>
        <w:pStyle w:val="TextBody"/>
        <w:bidi w:val="0"/>
        <w:spacing w:before="120" w:after="283"/>
        <w:jc w:val="left"/>
        <w:rPr>
          <w:rFonts w:ascii="Times New Roman" w:hAnsi="Times New Roman"/>
          <w:sz w:val="20"/>
        </w:rPr>
      </w:pPr>
      <w:r>
        <w:rPr>
          <w:rFonts w:ascii="Times New Roman" w:hAnsi="Times New Roman"/>
          <w:b/>
          <w:i/>
          <w:color w:val="000000"/>
          <w:sz w:val="20"/>
        </w:rPr>
        <w:t>Our disclosure controls and procedures may not prevent or detect all errors or acts of fraud.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subject to the periodic reporting requirements of the Exchange Act. We designed our disclosure controls and procedures to reasonably assure that information we must disclose in reports we file or submit under the Exchange Act is accumulated and communicated to management, and recorded, processed, summarized and reported within the time periods specified by SEC rules and regulations. We believe that any disclosure controls and procedures or internal controls and procedures, no matter how well-conceived and operated, can provide only reasonable, not absolute, assurance that the objectives of the control system are met.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These inherent limitations include the facts that judgments in decision-making can be faulty and that breakdowns can occur because of simple error or mistake. Additionally, controls can be circumvented by the individual acts of some persons, by the collusion of two or more people or by an unauthorized override of the controls. Accordingly, because of the inherent limitations in our control system, misstatements due to error or fraud may occur and not be detected. </w:t>
      </w:r>
    </w:p>
    <w:p>
      <w:pPr>
        <w:pStyle w:val="TextBody"/>
        <w:bidi w:val="0"/>
        <w:spacing w:before="120" w:after="283"/>
        <w:jc w:val="left"/>
        <w:rPr>
          <w:rFonts w:ascii="Times New Roman" w:hAnsi="Times New Roman"/>
          <w:sz w:val="20"/>
        </w:rPr>
      </w:pPr>
      <w:r>
        <w:rPr>
          <w:rFonts w:ascii="Times New Roman" w:hAnsi="Times New Roman"/>
          <w:b/>
          <w:i/>
          <w:color w:val="000000"/>
          <w:sz w:val="20"/>
        </w:rPr>
        <w:t>We may be subject to securities litigation, which is expensive and could divert management attention.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has experienced significant fluctuations in the past year and may be volatile in the future.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the business, which could seriously harm our business. </w:t>
      </w:r>
    </w:p>
    <w:p>
      <w:pPr>
        <w:pStyle w:val="TextBody"/>
        <w:bidi w:val="0"/>
        <w:jc w:val="center"/>
        <w:rPr>
          <w:rFonts w:ascii="Times New Roman" w:hAnsi="Times New Roman"/>
          <w:color w:val="000000"/>
          <w:sz w:val="20"/>
        </w:rPr>
      </w:pPr>
      <w:r>
        <w:rPr>
          <w:rFonts w:ascii="Times New Roman" w:hAnsi="Times New Roman"/>
          <w:color w:val="000000"/>
          <w:sz w:val="20"/>
        </w:rPr>
        <w:t>80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17" w:name="part2_item2_unreg"/>
      <w:bookmarkEnd w:id="17"/>
      <w:r>
        <w:rPr>
          <w:rFonts w:ascii="Times New Roman" w:hAnsi="Times New Roman"/>
          <w:b/>
          <w:color w:val="000000"/>
          <w:sz w:val="20"/>
        </w:rPr>
        <w:t>Item 2. Unregistered Sales of Equity Securities and Use of Proceeds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Use of Proceeds from Initial Public Offering of Common Stock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has been no material change in the planned use of proceeds from our initial public offering as described in our final prospectus filed with the SEC on July 17, 2020 pursuant to Rule 424(b)(4). We invested the funds received in accordance with our investment policy. None of such payments were direct or indirect payments to any of our directors or officers (or their associates), to persons owning ten percent or more of our common stock or to any other affiliates.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Unregistered Sales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Issuer Purchases of Equity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360" w:after="283"/>
        <w:jc w:val="left"/>
        <w:rPr>
          <w:rFonts w:ascii="Times New Roman" w:hAnsi="Times New Roman"/>
          <w:b/>
          <w:color w:val="000000"/>
          <w:sz w:val="20"/>
        </w:rPr>
      </w:pPr>
      <w:bookmarkStart w:id="18" w:name="part2_item3_defaults"/>
      <w:bookmarkEnd w:id="18"/>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Not applicable.</w:t>
      </w:r>
    </w:p>
    <w:p>
      <w:pPr>
        <w:pStyle w:val="TextBody"/>
        <w:bidi w:val="0"/>
        <w:spacing w:before="360" w:after="283"/>
        <w:jc w:val="left"/>
        <w:rPr>
          <w:rFonts w:ascii="Times New Roman" w:hAnsi="Times New Roman"/>
          <w:b/>
          <w:color w:val="000000"/>
          <w:sz w:val="20"/>
        </w:rPr>
      </w:pPr>
      <w:bookmarkStart w:id="19" w:name="part2_item4_mine"/>
      <w:bookmarkEnd w:id="19"/>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Not applicable. </w:t>
      </w:r>
    </w:p>
    <w:p>
      <w:pPr>
        <w:pStyle w:val="TextBody"/>
        <w:bidi w:val="0"/>
        <w:spacing w:before="360" w:after="283"/>
        <w:jc w:val="left"/>
        <w:rPr>
          <w:rFonts w:ascii="Times New Roman" w:hAnsi="Times New Roman"/>
          <w:b/>
          <w:color w:val="000000"/>
          <w:sz w:val="20"/>
        </w:rPr>
      </w:pPr>
      <w:bookmarkStart w:id="20" w:name="part2_item5_other"/>
      <w:bookmarkEnd w:id="20"/>
      <w:r>
        <w:rPr>
          <w:rFonts w:ascii="Times New Roman" w:hAnsi="Times New Roman"/>
          <w:b/>
          <w:color w:val="000000"/>
          <w:sz w:val="20"/>
        </w:rPr>
        <w:t>Item 5. Other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our last fiscal quarter, none of our officers or directors, as defined in Rule 16a-1(f), adopted and/or terminated a “Rule 10b5-1 trading arrangement” or a “non-Rule 10b5-1 trading arrangement,” as defined in Regulation S-K Item 408.</w:t>
      </w:r>
    </w:p>
    <w:p>
      <w:pPr>
        <w:pStyle w:val="TextBody"/>
        <w:bidi w:val="0"/>
        <w:spacing w:before="120" w:after="283"/>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283"/>
        <w:jc w:val="left"/>
        <w:rPr>
          <w:rFonts w:ascii="Times New Roman" w:hAnsi="Times New Roman"/>
          <w:b/>
          <w:color w:val="000000"/>
          <w:sz w:val="20"/>
        </w:rPr>
      </w:pPr>
      <w:bookmarkStart w:id="21" w:name="part2_item6_exhibits"/>
      <w:bookmarkEnd w:id="21"/>
      <w:r>
        <w:rPr>
          <w:rFonts w:ascii="Times New Roman" w:hAnsi="Times New Roman"/>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844"/>
        <w:gridCol w:w="146"/>
        <w:gridCol w:w="4742"/>
        <w:gridCol w:w="146"/>
        <w:gridCol w:w="616"/>
        <w:gridCol w:w="146"/>
        <w:gridCol w:w="557"/>
        <w:gridCol w:w="146"/>
        <w:gridCol w:w="796"/>
        <w:gridCol w:w="146"/>
        <w:gridCol w:w="691"/>
        <w:gridCol w:w="146"/>
        <w:gridCol w:w="1083"/>
      </w:tblGrid>
      <w:tr>
        <w:trPr/>
        <w:tc>
          <w:tcPr>
            <w:tcW w:w="8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7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r>
      <w:tr>
        <w:trPr/>
        <w:tc>
          <w:tcPr>
            <w:tcW w:w="844"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7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098" w:type="dxa"/>
            <w:gridSpan w:val="7"/>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4742"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6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w:t>
              <w:br/>
              <w:t>DATE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FILED</w:t>
              <w:br/>
              <w:t>HEREWITH</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79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691"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46" w:type="dxa"/>
            <w:tcBorders>
              <w:top w:val="single" w:sz="4" w:space="0" w:color="000000"/>
            </w:tcBorders>
            <w:tcMar>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hyperlink w:anchor="alxo-ex10_1.htm">
              <w:r>
                <w:rPr>
                  <w:rStyle w:val="InternetLink"/>
                  <w:rFonts w:ascii="Times New Roman" w:hAnsi="Times New Roman"/>
                  <w:color w:val="0000FF"/>
                  <w:sz w:val="20"/>
                  <w:u w:val="single"/>
                </w:rPr>
                <w:t>Separation Agreement and Release between the Registrant and Jaume Pons, Ph.D.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hyperlink w:anchor="alxo-ex10_2.htm">
              <w:r>
                <w:rPr>
                  <w:rStyle w:val="InternetLink"/>
                  <w:rFonts w:ascii="Times New Roman" w:hAnsi="Times New Roman"/>
                  <w:color w:val="0000FF"/>
                  <w:sz w:val="20"/>
                  <w:u w:val="single"/>
                </w:rPr>
                <w:t>Confirmatory Offer Letter between the Registrant and Alan Sandler, M.D.</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hyperlink w:anchor="alxo-ex10_3.htm">
              <w:r>
                <w:rPr>
                  <w:rStyle w:val="InternetLink"/>
                  <w:rFonts w:ascii="Times New Roman" w:hAnsi="Times New Roman"/>
                  <w:color w:val="0000FF"/>
                  <w:sz w:val="20"/>
                  <w:u w:val="single"/>
                </w:rPr>
                <w:t>Outside Director Compensation Policy.</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hyperlink w:anchor="alxo-ex31_1.htm">
              <w:r>
                <w:rPr>
                  <w:rStyle w:val="InternetLink"/>
                  <w:rFonts w:ascii="Times New Roman" w:hAnsi="Times New Roman"/>
                  <w:color w:val="0000EE"/>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hyperlink w:anchor="alxo-ex31_2.htm">
              <w:r>
                <w:rPr>
                  <w:rStyle w:val="InternetLink"/>
                  <w:rFonts w:ascii="Times New Roman" w:hAnsi="Times New Roman"/>
                  <w:color w:val="0000EE"/>
                  <w:sz w:val="20"/>
                  <w:u w:val="single"/>
                </w:rPr>
                <w:t>Certification of Principal Financial Officer Pursuant to Rules 13a-14(a) and 15d-14(a) under the Securities Exchange Act of 1934, as Adopted Pursuant to Section 302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hyperlink w:anchor="alxo-ex32_1.htm">
              <w:r>
                <w:rPr>
                  <w:rStyle w:val="InternetLink"/>
                  <w:rFonts w:ascii="Times New Roman" w:hAnsi="Times New Roman"/>
                  <w:color w:val="0000EE"/>
                  <w:sz w:val="20"/>
                  <w:u w:val="single"/>
                </w:rPr>
                <w:t>Certification of Principal Executive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hyperlink w:anchor="alxo-ex32_2.htm">
              <w:r>
                <w:rPr>
                  <w:rStyle w:val="InternetLink"/>
                  <w:rFonts w:ascii="Times New Roman" w:hAnsi="Times New Roman"/>
                  <w:color w:val="0000EE"/>
                  <w:sz w:val="20"/>
                  <w:u w:val="single"/>
                </w:rPr>
                <w:t>Certification of Principal Financial Officer Pursuant to 18 U.S.C. Section 1350, as Adopted Pursuant to Section 906 of the Sarbanes-Oxley Act of 2002.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r>
        <w:trPr/>
        <w:tc>
          <w:tcPr>
            <w:tcW w:w="844"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844"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742"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and included in exhibit 101)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557"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9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691"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083"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X</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 Certain exhibits and schedules have been omitted in accordance with Item 601(a)(5) of Regulation S-K. The registrant agrees to furnish supplementally a copy of any omitted exhibit or schedule to the SEC upon its request.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Indicates management contract or compensatory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The certifications attached as Exhibit 32.1 and 32.2 that accompany this Quarterly Report on Form 10-Q are deemed furnished and not filed with the Securities and Exchange Commission and are not to be incorporated by reference into any filing of the registrant under the Securities Act of 1933, as amended, or the Securities Exchange Act of 1934, as amended, whether made before or after the date of this Quarterly Report on Form 10-Q, irrespective of any general incorporation language contained in such filing.</w:t>
      </w:r>
    </w:p>
    <w:p>
      <w:pPr>
        <w:pStyle w:val="TextBody"/>
        <w:bidi w:val="0"/>
        <w:jc w:val="center"/>
        <w:rPr>
          <w:rFonts w:ascii="Times New Roman" w:hAnsi="Times New Roman"/>
          <w:color w:val="000000"/>
          <w:sz w:val="20"/>
        </w:rPr>
      </w:pPr>
      <w:r>
        <w:rPr>
          <w:rFonts w:ascii="Times New Roman" w:hAnsi="Times New Roman"/>
          <w:color w:val="000000"/>
          <w:sz w:val="20"/>
        </w:rPr>
        <w:t>82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2" w:name="signatures"/>
      <w:bookmarkEnd w:id="22"/>
      <w:r>
        <w:rPr>
          <w:rFonts w:ascii="Times New Roman" w:hAnsi="Times New Roman"/>
          <w:b/>
          <w:color w:val="000000"/>
          <w:sz w:val="20"/>
        </w:rPr>
        <w:t>SIGNATURES</w:t>
      </w:r>
    </w:p>
    <w:p>
      <w:pPr>
        <w:pStyle w:val="TextBody"/>
        <w:bidi w:val="0"/>
        <w:spacing w:before="240" w:after="283"/>
        <w:jc w:val="left"/>
        <w:rPr>
          <w:rFonts w:ascii="Times New Roman" w:hAnsi="Times New Roman"/>
          <w:sz w:val="20"/>
        </w:rPr>
      </w:pPr>
      <w:r>
        <w:rPr>
          <w:rFonts w:ascii="Times New Roman" w:hAnsi="Times New Roman"/>
          <w:color w:val="000000"/>
          <w:sz w:val="20"/>
        </w:rPr>
        <w:t>Pursuant to the requirements of the Securities Exchange Act of 1934, this report has been signed below by the following persons on behalf of the registrant and in the capacities and on the dates indicated</w:t>
      </w:r>
      <w:r>
        <w:rPr>
          <w:rFonts w:ascii="Times New Roman" w:hAnsi="Times New Roman"/>
          <w:b/>
          <w:color w:val="000000"/>
          <w:sz w:val="20"/>
        </w:rPr>
        <w:t>.</w:t>
      </w:r>
    </w:p>
    <w:p>
      <w:pPr>
        <w:pStyle w:val="TextBody"/>
        <w:bidi w:val="0"/>
        <w:jc w:val="left"/>
        <w:rPr/>
      </w:pPr>
      <w:r>
        <w:rPr/>
        <w:t> </w:t>
      </w:r>
    </w:p>
    <w:tbl>
      <w:tblPr>
        <w:tblW w:w="5264" w:type="dxa"/>
        <w:jc w:val="left"/>
        <w:tblInd w:w="0" w:type="dxa"/>
        <w:tblLayout w:type="fixed"/>
        <w:tblCellMar>
          <w:top w:w="28" w:type="dxa"/>
          <w:left w:w="28" w:type="dxa"/>
          <w:bottom w:w="28" w:type="dxa"/>
          <w:right w:w="28" w:type="dxa"/>
        </w:tblCellMar>
      </w:tblPr>
      <w:tblGrid>
        <w:gridCol w:w="1636"/>
        <w:gridCol w:w="146"/>
        <w:gridCol w:w="406"/>
        <w:gridCol w:w="307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07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ALX ONCOLOGY HOLDINGS INC.</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07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tbl>
      <w:tblPr>
        <w:tblW w:w="4754" w:type="dxa"/>
        <w:jc w:val="left"/>
        <w:tblInd w:w="0" w:type="dxa"/>
        <w:tblLayout w:type="fixed"/>
        <w:tblCellMar>
          <w:top w:w="28" w:type="dxa"/>
          <w:left w:w="28" w:type="dxa"/>
          <w:bottom w:w="28" w:type="dxa"/>
          <w:right w:w="28" w:type="dxa"/>
        </w:tblCellMar>
      </w:tblPr>
      <w:tblGrid>
        <w:gridCol w:w="1636"/>
        <w:gridCol w:w="146"/>
        <w:gridCol w:w="406"/>
        <w:gridCol w:w="25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tbl>
      <w:tblPr>
        <w:tblW w:w="7424" w:type="dxa"/>
        <w:jc w:val="left"/>
        <w:tblInd w:w="0" w:type="dxa"/>
        <w:tblLayout w:type="fixed"/>
        <w:tblCellMar>
          <w:top w:w="28" w:type="dxa"/>
          <w:left w:w="28" w:type="dxa"/>
          <w:bottom w:w="28" w:type="dxa"/>
          <w:right w:w="28" w:type="dxa"/>
        </w:tblCellMar>
      </w:tblPr>
      <w:tblGrid>
        <w:gridCol w:w="1636"/>
        <w:gridCol w:w="146"/>
        <w:gridCol w:w="406"/>
        <w:gridCol w:w="523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523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523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Shelly Pinto</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Shelly Pinto</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3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Senior Vice President, Finance and Chief Accounting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Officer)</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83</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23" w:name="alxo-ex10_1.htm"/>
      <w:bookmarkStart w:id="24" w:name="ksalxoex10_1"/>
      <w:bookmarkEnd w:id="23"/>
      <w:bookmarkEnd w:id="24"/>
      <w:r>
        <w:rPr>
          <w:rFonts w:ascii="Times New Roman" w:hAnsi="Times New Roman"/>
          <w:b/>
          <w:color w:val="000000"/>
          <w:sz w:val="20"/>
        </w:rPr>
        <w:t>Exhibit 10.1</w:t>
      </w:r>
      <w:r>
        <w:br w:type="page"/>
      </w:r>
    </w:p>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Certain exhibits and schedules have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ALX ONCOLOGY HOLDINGS INC.</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SEPARATION AGREEMENT AND RELEASE</w:t>
      </w:r>
    </w:p>
    <w:p>
      <w:pPr>
        <w:pStyle w:val="TextBody"/>
        <w:bidi w:val="0"/>
        <w:jc w:val="left"/>
        <w:rPr/>
      </w:pPr>
      <w:r>
        <w:rPr/>
        <w:t> </w:t>
      </w:r>
    </w:p>
    <w:p>
      <w:pPr>
        <w:pStyle w:val="TextBody"/>
        <w:bidi w:val="0"/>
        <w:jc w:val="both"/>
        <w:rPr>
          <w:rFonts w:ascii="Times New Roman" w:hAnsi="Times New Roman"/>
          <w:sz w:val="20"/>
        </w:rPr>
      </w:pPr>
      <w:r>
        <w:rPr>
          <w:rFonts w:ascii="Times New Roman" w:hAnsi="Times New Roman"/>
          <w:color w:val="000000"/>
          <w:sz w:val="22"/>
        </w:rPr>
        <w:t xml:space="preserve">This Separation Agreement and Release (“Agreement”) is made by and between </w:t>
      </w:r>
      <w:r>
        <w:rPr>
          <w:rFonts w:ascii="Times New Roman" w:hAnsi="Times New Roman"/>
          <w:b/>
          <w:color w:val="000000"/>
          <w:sz w:val="22"/>
        </w:rPr>
        <w:t>Jaume Pons, Ph.D.</w:t>
      </w:r>
      <w:r>
        <w:rPr>
          <w:rFonts w:ascii="Times New Roman" w:hAnsi="Times New Roman"/>
          <w:color w:val="000000"/>
          <w:sz w:val="20"/>
        </w:rPr>
        <w:t xml:space="preserve"> </w:t>
      </w:r>
      <w:r>
        <w:rPr>
          <w:rFonts w:ascii="Times New Roman" w:hAnsi="Times New Roman"/>
          <w:color w:val="000000"/>
          <w:sz w:val="22"/>
        </w:rPr>
        <w:t xml:space="preserve">(“Employee”) and </w:t>
      </w:r>
      <w:r>
        <w:rPr>
          <w:rFonts w:ascii="Times New Roman" w:hAnsi="Times New Roman"/>
          <w:b/>
          <w:color w:val="000000"/>
          <w:sz w:val="22"/>
        </w:rPr>
        <w:t>ALX Oncology Holdings Inc.</w:t>
      </w:r>
      <w:r>
        <w:rPr>
          <w:rFonts w:ascii="Times New Roman" w:hAnsi="Times New Roman"/>
          <w:color w:val="000000"/>
          <w:sz w:val="20"/>
        </w:rPr>
        <w:t xml:space="preserve"> </w:t>
      </w:r>
      <w:r>
        <w:rPr>
          <w:rFonts w:ascii="Times New Roman" w:hAnsi="Times New Roman"/>
          <w:color w:val="000000"/>
          <w:sz w:val="22"/>
        </w:rPr>
        <w:t>(the “Company”) (collectively referred to as the “Parties” or individually referred to as a “Party”).</w:t>
      </w:r>
    </w:p>
    <w:p>
      <w:pPr>
        <w:pStyle w:val="TextBody"/>
        <w:bidi w:val="0"/>
        <w:jc w:val="left"/>
        <w:rPr/>
      </w:pPr>
      <w:r>
        <w:rPr/>
        <w:t> </w:t>
      </w:r>
    </w:p>
    <w:p>
      <w:pPr>
        <w:pStyle w:val="TextBody"/>
        <w:bidi w:val="0"/>
        <w:jc w:val="center"/>
        <w:rPr>
          <w:rFonts w:ascii="Times New Roman" w:hAnsi="Times New Roman"/>
          <w:b/>
          <w:color w:val="000000"/>
          <w:sz w:val="22"/>
        </w:rPr>
      </w:pPr>
      <w:bookmarkStart w:id="25" w:name="ole_link27"/>
      <w:bookmarkStart w:id="26" w:name="ole_link28"/>
      <w:bookmarkEnd w:id="25"/>
      <w:bookmarkEnd w:id="26"/>
      <w:r>
        <w:rPr>
          <w:rFonts w:ascii="Times New Roman" w:hAnsi="Times New Roman"/>
          <w:b/>
          <w:color w:val="000000"/>
          <w:sz w:val="22"/>
        </w:rPr>
        <w:t>RECITALS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Employee was employed by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Employee entered into a confirmatory employment letter with the Company dated September 5, 2023 (the “Employment Letter”);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Employee signed a confidentiality agreement with ALX Oncology Holdings Inc. (the “Confidentiality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WHEREAS, Employee is party to a Change in Control and Severance Agreement with the Company executed by the parties on July 9, 2020 (the “CIC Agreement”), and Employee’s separation from employment is a Qualifying Termination as defined in the CIC Agreement;</w:t>
      </w:r>
    </w:p>
    <w:p>
      <w:pPr>
        <w:pStyle w:val="TextBody"/>
        <w:bidi w:val="0"/>
        <w:spacing w:before="240" w:after="283"/>
        <w:jc w:val="both"/>
        <w:rPr>
          <w:rFonts w:ascii="Times New Roman" w:hAnsi="Times New Roman"/>
          <w:sz w:val="20"/>
        </w:rPr>
      </w:pPr>
      <w:bookmarkStart w:id="27" w:name="ole_link65"/>
      <w:bookmarkStart w:id="28" w:name="ole_link64"/>
      <w:bookmarkEnd w:id="27"/>
      <w:bookmarkEnd w:id="28"/>
      <w:r>
        <w:rPr>
          <w:rFonts w:ascii="Times New Roman" w:hAnsi="Times New Roman"/>
          <w:color w:val="000000"/>
          <w:sz w:val="22"/>
        </w:rPr>
        <w:t xml:space="preserve">WHEREAS, the Company granted Employee certain awards of stock options (“Options”) to purchase shares of the Company’s common stock (“Shares”) and restricted stock units (“RSUs”) covering Shares (each, an “Award,” and collectively, the “Awards”), under the Company’s Amended and Restated 2020 Equity Incentive Plan, as amended from time to time (the “Plan”), and applicable award agreements thereunder including any amendments thereto, as set forth in </w:t>
      </w:r>
      <w:r>
        <w:rPr>
          <w:rFonts w:ascii="Times New Roman" w:hAnsi="Times New Roman"/>
          <w:color w:val="000000"/>
          <w:sz w:val="22"/>
          <w:u w:val="single"/>
        </w:rPr>
        <w:t>Schedule I</w:t>
      </w:r>
      <w:r>
        <w:rPr>
          <w:rFonts w:ascii="Times New Roman" w:hAnsi="Times New Roman"/>
          <w:color w:val="000000"/>
          <w:sz w:val="20"/>
        </w:rPr>
        <w:t xml:space="preserve"> </w:t>
      </w:r>
      <w:r>
        <w:rPr>
          <w:rFonts w:ascii="Times New Roman" w:hAnsi="Times New Roman"/>
          <w:color w:val="000000"/>
          <w:sz w:val="22"/>
        </w:rPr>
        <w:t>attached hereto (such award agreements and any amendments thereto, together with the Plan, the “Award Documents”);</w:t>
      </w:r>
    </w:p>
    <w:p>
      <w:pPr>
        <w:pStyle w:val="TextBody"/>
        <w:bidi w:val="0"/>
        <w:spacing w:before="240" w:after="283"/>
        <w:jc w:val="both"/>
        <w:rPr>
          <w:rFonts w:ascii="Times New Roman" w:hAnsi="Times New Roman"/>
          <w:sz w:val="20"/>
        </w:rPr>
      </w:pPr>
      <w:r>
        <w:rPr>
          <w:rFonts w:ascii="Times New Roman" w:hAnsi="Times New Roman"/>
          <w:color w:val="000000"/>
          <w:sz w:val="22"/>
        </w:rPr>
        <w:t>WHEREAS, the Company terminated Employee’s employment with the Company effective April 15, 2025 (the “Termination Date”); and</w:t>
      </w:r>
      <w:r>
        <w:rPr>
          <w:rFonts w:ascii="Times New Roman" w:hAnsi="Times New Roman"/>
          <w:color w:val="000000"/>
          <w:sz w:val="20"/>
        </w:rPr>
        <w:t xml:space="preserve"> </w:t>
      </w:r>
    </w:p>
    <w:p>
      <w:pPr>
        <w:pStyle w:val="TextBody"/>
        <w:bidi w:val="0"/>
        <w:spacing w:before="240" w:after="283"/>
        <w:jc w:val="both"/>
        <w:rPr>
          <w:rFonts w:ascii="Times New Roman" w:hAnsi="Times New Roman"/>
          <w:sz w:val="20"/>
        </w:rPr>
      </w:pPr>
      <w:bookmarkStart w:id="29" w:name="ole_link52"/>
      <w:bookmarkEnd w:id="29"/>
      <w:r>
        <w:rPr>
          <w:rFonts w:ascii="Times New Roman" w:hAnsi="Times New Roman"/>
          <w:color w:val="000000"/>
          <w:sz w:val="22"/>
        </w:rPr>
        <w:t xml:space="preserve">WHEREAS, the Parties </w:t>
      </w:r>
      <w:bookmarkStart w:id="30" w:name="ole_link51"/>
      <w:bookmarkEnd w:id="30"/>
      <w:r>
        <w:rPr>
          <w:rFonts w:ascii="Times New Roman" w:hAnsi="Times New Roman"/>
          <w:color w:val="000000"/>
          <w:sz w:val="22"/>
        </w:rPr>
        <w:t>wish to resolve any and all disputes, claims, complaints, grievances, charges, actions, petitions, and demands that the Employee may have against the Company and any of the Releasees as defined below, including, but not limited to, any and all claims arising out of or in any way related to Employee’s employment with or separation from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NOW, THEREFORE, in consideration of the mutual promises made herein, the Company and Employee hereby agree as follows:</w:t>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COVENANTS</w:t>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1.</w:t>
      </w:r>
    </w:p>
    <w:p>
      <w:pPr>
        <w:pStyle w:val="TextBody"/>
        <w:bidi w:val="0"/>
        <w:spacing w:before="0" w:after="0"/>
        <w:jc w:val="left"/>
        <w:rPr/>
      </w:pPr>
      <w:r>
        <w:rPr>
          <w:rFonts w:ascii="Times New Roman" w:hAnsi="Times New Roman"/>
          <w:color w:val="000000"/>
          <w:sz w:val="22"/>
          <w:u w:val="single"/>
        </w:rPr>
        <w:t>Consideration</w:t>
      </w:r>
      <w:r>
        <w:rPr>
          <w:rFonts w:ascii="Times New Roman" w:hAnsi="Times New Roman"/>
          <w:color w:val="000000"/>
          <w:sz w:val="22"/>
        </w:rPr>
        <w: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w:t>
      </w:r>
    </w:p>
    <w:p>
      <w:pPr>
        <w:pStyle w:val="TextBody"/>
        <w:bidi w:val="0"/>
        <w:spacing w:before="240" w:after="283"/>
        <w:jc w:val="both"/>
        <w:rPr/>
      </w:pPr>
      <w:r>
        <w:rPr>
          <w:rFonts w:ascii="Times New Roman" w:hAnsi="Times New Roman"/>
          <w:i/>
          <w:color w:val="000000"/>
          <w:sz w:val="22"/>
        </w:rPr>
        <w:t>Payment.</w:t>
      </w:r>
      <w:r>
        <w:rPr>
          <w:color w:val="000000"/>
        </w:rPr>
        <w:t xml:space="preserve"> </w:t>
      </w:r>
      <w:r>
        <w:rPr>
          <w:rFonts w:ascii="Times New Roman" w:hAnsi="Times New Roman"/>
          <w:color w:val="000000"/>
          <w:sz w:val="22"/>
        </w:rPr>
        <w:t>The Company agrees to pay Employee a total of $650,000, less applicable withholdings, within ten (10) business days after the Effective Date (as defined further below).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w:t>
      </w:r>
    </w:p>
    <w:p>
      <w:pPr>
        <w:pStyle w:val="TextBody"/>
        <w:bidi w:val="0"/>
        <w:spacing w:before="240" w:after="283"/>
        <w:jc w:val="both"/>
        <w:rPr/>
      </w:pPr>
      <w:r>
        <w:rPr>
          <w:rFonts w:ascii="Times New Roman" w:hAnsi="Times New Roman"/>
          <w:i/>
          <w:color w:val="000000"/>
          <w:sz w:val="22"/>
        </w:rPr>
        <w:t xml:space="preserve">COBRA. </w:t>
      </w:r>
      <w:r>
        <w:rPr>
          <w:rFonts w:ascii="Times New Roman" w:hAnsi="Times New Roman"/>
          <w:color w:val="000000"/>
          <w:sz w:val="22"/>
        </w:rPr>
        <w:t xml:space="preserve">Subject to Employee timely electing continuation coverage under the Consolidated Omnibus Budget Reconciliation Act of 1985, as amended (“COBRA”), the Company will make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direct payments of the COBRA premiums for continued coverage under the Company’s group health, dental and vision coverage for Employee and any of Employee’s eligible dependents, as applicable, following the Termination Date until the earliest of: (i) twelve (12) months following the Termination Date, (ii) the date on which Employee and Employee’s eligible dependents (as applicable) become covered under similar plans, or (iii) the expiration of Employee’s (and any of Employee’s eligible dependents’, as applicable) eligibility for continuation coverage under COBRA. Employee agrees Employee will notify the Company in writing immediately upon Employee and any of Employee’s eligible dependents, as applicable, becoming covered under such similar plans. Notwithstanding the preceding, if the Company determines in its sole discretion that it cannot provide such Company-paid COBRA benefits without potentially violating, or being subject to an excise tax under, applicable law (including, without limitation, Section 2716 of the Public Health Service Act), then in lieu of such benefits, the Company will provide Employee a taxable monthly payment payable on the last day of a given month (except as provided by the immediately following sentence) in an amount equal to the monthly COBRA premium that Employee would be required to pay to continue Employee’s group health coverage in effect on the Termination Date (which amount will be based on the premium rates applicable for the first month of COBRA coverage for Employee and Employee’s eligible dependents, if any), which payments will be made regardless of whether Employee elects COBRA continuation coverage, will commence in the month following the month of the Termination Date and continue until the month that is twelve (12) months following the month of the Termination Date, and will be subject to any applicable withholdings. Notwithstanding anything to the contrary under this Agreement, if the Company determines in its sole discretion at any time that it cannot provide such COBRA benefits described in this subsection b. without violating applicable law or being subject to an excise tax under applicable law (including without limitation Section 2716 of the Public Health Service Act), Employee will not receive any such benefits under this subsection b.</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c.</w:t>
      </w:r>
    </w:p>
    <w:p>
      <w:pPr>
        <w:pStyle w:val="TextBody"/>
        <w:bidi w:val="0"/>
        <w:spacing w:before="240" w:after="283"/>
        <w:jc w:val="both"/>
        <w:rPr/>
      </w:pPr>
      <w:r>
        <w:rPr>
          <w:rFonts w:ascii="Times New Roman" w:hAnsi="Times New Roman"/>
          <w:i/>
          <w:color w:val="000000"/>
          <w:sz w:val="22"/>
        </w:rPr>
        <w:t>Vesting Acceleration</w:t>
      </w:r>
      <w:r>
        <w:rPr>
          <w:rFonts w:ascii="Times New Roman" w:hAnsi="Times New Roman"/>
          <w:color w:val="000000"/>
          <w:sz w:val="22"/>
        </w:rPr>
        <w:t>. Employee and the Company acknowledge and agree that as of the Termination Date, Employee will have vested as to only that portion of the Awards as set forth in Schedule I attached hereto under the column titled “Number of Shares subject to Award vested through Termination Date.”. As of the Effective Date, a portion of the Awards shall become immediately vested as to such number of Shares as set forth in Schedule I attached hereto under the column titled “Number of Shares subject to Award that accelerate vesting pursuant to Section 1.c. of Agreement” (which is intended to reflect the number of Shares that would have vested under the applicable Awards that vest based on continued service (and for clarity, not based on any performance-based metrics) had Employee remained employed with the Company through April 15, 2026). For purposes of clarity, such RSUs will be subject to any applicable tax withholdings and, unless determined otherwise by the administrator of the Plan in accordance with the applicable Award Documents, any applicable tax withholdings will be satisfied by withholding otherwise deliverable Shares under such RSUs having a fair market value equal to the amount necessary to meet such withholding obligations with respect to the RSUs. The exercise of Employee’s vested Options shall continue to be governed by the terms and conditions of the applicable Award Documents except as otherwise expressly set forth in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d.</w:t>
      </w:r>
    </w:p>
    <w:p>
      <w:pPr>
        <w:pStyle w:val="TextBody"/>
        <w:bidi w:val="0"/>
        <w:spacing w:before="240" w:after="283"/>
        <w:jc w:val="both"/>
        <w:rPr/>
      </w:pPr>
      <w:r>
        <w:rPr>
          <w:rFonts w:ascii="Times New Roman" w:hAnsi="Times New Roman"/>
          <w:i/>
          <w:color w:val="000000"/>
          <w:sz w:val="22"/>
        </w:rPr>
        <w:t>Option Post-Termination Exercise Period Extension</w:t>
      </w:r>
      <w:r>
        <w:rPr>
          <w:rFonts w:ascii="Times New Roman" w:hAnsi="Times New Roman"/>
          <w:color w:val="000000"/>
          <w:sz w:val="22"/>
        </w:rPr>
        <w:t xml:space="preserve">. As of the Effective Date, each Option, to the extent vested as of the Termination Date or subject to or eligible for vesting acceleration in accordance with subsection c. above or subsection e. below, shall be amended to provide that such Option shall be exercisable, to the extent such Option is or becomes vested, until April 15, 2026, subject to earlier termination in accordance with the Award Documents and provided that in no event may any Option be exercised beyond the maximum term applicable to such Option. Employee acknowledges and agrees that the foregoing is an amendment of the Options that constitutes a “modification” of the Options, resulting in the deemed re-grant of the Options for purposes of the rules governing incentive stock options (“ISOs”) under Section 422 of the Internal Revenue Code (the “Code”). Employee further acknowledges and agrees that amending any Options that are intended to qualify as ISOs pursuant to this amendment will result in such Options being converted into non-statutory stock options for tax purposes as of the Effective Date (“NSOs”)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to the extent the Options do not satisfy all of the qualification requirements for ISO status as of such amendment date. Upon the exercise of any NSOs, Employee will be treated as having received compensation income from the Company (taxable at ordinary income tax rates) equal to the excess, if any, of the aggregate fair market value of the exercised Shares on the date of exercise over their aggregate exercise price. In that case, in addition to the payment of the aggregate exercise price, Employee’s exercise of the NSOs is conditioned on payment to the Company of any applicable federal, state, and/or local withholding obligations arising in connection with such exercise. Employee acknowledges and agrees that Employee remains solely responsible for all employee-related withholdings associated with the exercise of any Options. Employee further acknowledges that the Company has advised Employee to consult with Employee’s own tax adviser regarding the tax status of the Options and the tax consequences to Employee of Employee’s exercise of the Options and disposition of any Shares acquired upon such exercise.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w:t>
      </w:r>
    </w:p>
    <w:p>
      <w:pPr>
        <w:pStyle w:val="TextBody"/>
        <w:bidi w:val="0"/>
        <w:spacing w:before="240" w:after="283"/>
        <w:jc w:val="both"/>
        <w:rPr/>
      </w:pPr>
      <w:r>
        <w:rPr>
          <w:rFonts w:ascii="Times New Roman" w:hAnsi="Times New Roman"/>
          <w:i/>
          <w:color w:val="000000"/>
          <w:sz w:val="22"/>
        </w:rPr>
        <w:t>Change in Control</w:t>
      </w:r>
      <w:r>
        <w:rPr>
          <w:rFonts w:ascii="Times New Roman" w:hAnsi="Times New Roman"/>
          <w:color w:val="000000"/>
          <w:sz w:val="22"/>
        </w:rPr>
        <w:t>. If a Change in Control (as defined in the CIC Agreement) occurs within three (3) months following the Termination Date, then the Company will provide Executive an additional lump sum cash payment in an amount equal to $861,250, less any applicable withholdings, which will be paid on or within thirty (30) days following the date of the Change in Control. Further, any Awards that are outstanding and unvested as of the Termination Date and that do not vest pursuant to subsection c. above (the “Unvested Awards”) will remain outstanding and unvested until the earlier of (x) a Change in Control or (y) the date three (3) months following the Termination Date (the “3-Month Deadline Date”); provided that in no event will any Unvested Awards that are options (“Unvested Options”) remain outstanding beyond its maximum term to expiration. If a Change in Control occurs by the 3-Month Deadline Date, then as of immediately prior to such Change in Control, any then outstanding Unvested Awards that constitute Time Awards will accelerate vesting in full, and the post-termination exercise period provided under subsection d. above will apply to any such Unvested Options that vest. For purposes of this subsection e., “Time Award” means any Unvested Award (or portion thereof) that as of immediately prior to the Change in Control, is not subject to the achievement of any performance-based or other similar vesting criteria (for clarity, which thus includes any performance-based RSUs or portion thereof that has become eligible to vest upon a certification thereunder of performance in connection with the Change in Control but excludes any performance-based RSUs or portion thereof for which performance has been deemed not met pursuant to such certification, which instead will be forfeited without having vested). If no Change in Control occurs by the 3-Month Deadline Date, the Unvested Awards automatically and permanently will be forfeited as of the end of the 3-Month Deadline Date without having vested. For purposes of clarity, except as provided in subsection c. above and this subsection e., all Awards will cease vesting as of the Termination Date, and no additional vesting will occur with respect to any Unvested Awards, including without limitation, notwithstanding any other continued service with the Company or any applicable affiliates thereof. Any RSUs that accelerate vesting in accordance with this subsection e. will be settled by the Company no later than the sixtieth (60th) day following the Termination Date, or if later, on a date on or before the completion of a Change in Control. For purposes of clarity, such RSUs will be subject to any applicable tax withholdings and, unless determined otherwise by the administrator of the Plan in accordance with the applicable Award Documents, any applicable tax withholdings will be satisfied by having the Company withhold otherwise deliverable Shares under such RSUs having a fair market value equal to the amount necessary to meet such withholding obligations with respect to the RSUs. Section 7 of the CIC Agreement is incorporated herein by reference and made a part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w:t>
      </w:r>
    </w:p>
    <w:p>
      <w:pPr>
        <w:pStyle w:val="TextBody"/>
        <w:bidi w:val="0"/>
        <w:spacing w:before="240" w:after="283"/>
        <w:jc w:val="both"/>
        <w:rPr/>
      </w:pPr>
      <w:r>
        <w:rPr>
          <w:rFonts w:ascii="Times New Roman" w:hAnsi="Times New Roman"/>
          <w:i/>
          <w:color w:val="000000"/>
          <w:sz w:val="22"/>
        </w:rPr>
        <w:t>Acknowledgement</w:t>
      </w:r>
      <w:r>
        <w:rPr>
          <w:rFonts w:ascii="Times New Roman" w:hAnsi="Times New Roman"/>
          <w:color w:val="000000"/>
          <w:sz w:val="22"/>
        </w:rPr>
        <w:t>. Employee acknowledges that without this Agreement, Employee is otherwise not entitled to the consideration listed in this Section 1. Employee further acknowledges and agrees that this Agreement is a negotiated separation agreement for which consideration does not constitute, in whole or in part, a raise, bonus, employment, or continued employment. Employee further acknowledges and agrees that, notwithstanding anything to the contrary in any other agreement by and between the Company and Employee, Employee has no right, title, or interest in any severance benefits not set forth in this Section 1.</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w:t>
      </w:r>
    </w:p>
    <w:p>
      <w:pPr>
        <w:pStyle w:val="TextBody"/>
        <w:bidi w:val="0"/>
        <w:spacing w:before="240" w:after="283"/>
        <w:jc w:val="both"/>
        <w:rPr/>
      </w:pPr>
      <w:r>
        <w:rPr>
          <w:rFonts w:ascii="Times New Roman" w:hAnsi="Times New Roman"/>
          <w:color w:val="000000"/>
          <w:sz w:val="22"/>
          <w:u w:val="single"/>
        </w:rPr>
        <w:t>Benefits</w:t>
      </w:r>
      <w:r>
        <w:rPr>
          <w:rFonts w:ascii="Times New Roman" w:hAnsi="Times New Roman"/>
          <w:color w:val="000000"/>
          <w:sz w:val="22"/>
        </w:rPr>
        <w:t>. Employee’s health insurance benefits shall cease on the last day of the calendar month in which the Termination Date occurred, subject to Employee’s right to continue Employee’s health insurance under COBRA. Employee’s participation in all benefits and incidents of employment, including, but not limited to, the accrual of bonuses, vacation, and paid time off ceased as of the Termination Date.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3.</w:t>
      </w:r>
    </w:p>
    <w:p>
      <w:pPr>
        <w:pStyle w:val="TextBody"/>
        <w:bidi w:val="0"/>
        <w:spacing w:before="240" w:after="283"/>
        <w:jc w:val="both"/>
        <w:rPr/>
      </w:pPr>
      <w:r>
        <w:rPr>
          <w:rFonts w:ascii="Times New Roman" w:hAnsi="Times New Roman"/>
          <w:color w:val="000000"/>
          <w:sz w:val="22"/>
          <w:u w:val="single"/>
        </w:rPr>
        <w:t>Payment of Salary and Receipt of All Benefits</w:t>
      </w:r>
      <w:r>
        <w:rPr>
          <w:rFonts w:ascii="Times New Roman" w:hAnsi="Times New Roman"/>
          <w:color w:val="000000"/>
          <w:sz w:val="22"/>
        </w:rPr>
        <w:t>. Employee acknowledges and represents that, other than the consideration set forth in this Agreement, the Company has (to the extent applicable) paid or provided all salary, wages, bonuses, vacation/paid time off, premiums, leaves, housing allowances, relocation costs, interest, severance, outplacement costs, fees, reimbursable expenses, commissions, stock, stock options, equity-based awards, vesting, and any and all other benefits and compensation due to Employee.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4.</w:t>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Release of Claims</w:t>
      </w:r>
      <w:r>
        <w:rPr>
          <w:rFonts w:ascii="Times New Roman" w:hAnsi="Times New Roman"/>
          <w:color w:val="000000"/>
          <w:sz w:val="22"/>
        </w:rPr>
        <w:t xml:space="preserve">. </w:t>
      </w:r>
      <w:bookmarkStart w:id="31" w:name="ole_link78"/>
      <w:bookmarkEnd w:id="31"/>
      <w:r>
        <w:rPr>
          <w:rFonts w:ascii="Times New Roman" w:hAnsi="Times New Roman"/>
          <w:color w:val="000000"/>
          <w:sz w:val="22"/>
        </w:rPr>
        <w:t>Employee agrees that the foregoing consideration represents settlement in full of all outstanding obligations owed to Employee by the Company, its parents, subsidiaries, and affiliates, and each of their respective current and former officers, directors, employees, agents, investors, attorneys, shareholders, administrators, benefit plans, plan administrators, professional employer organization or co-employer,</w:t>
      </w:r>
      <w:r>
        <w:rPr>
          <w:color w:val="000000"/>
        </w:rPr>
        <w:t xml:space="preserve"> </w:t>
      </w:r>
      <w:r>
        <w:rPr>
          <w:rFonts w:ascii="Times New Roman" w:hAnsi="Times New Roman"/>
          <w:color w:val="000000"/>
          <w:sz w:val="22"/>
        </w:rPr>
        <w:t xml:space="preserve">insurers, trustees, divisions, predecessor and successor corporations, and assigns (collectively, the “Releasees”). Employee, on Employee’s own behalf and on behalf of Employee’s respective heirs, family members, executors, agents, and assigns, hereby and forever releases the Releasees </w:t>
      </w:r>
      <w:bookmarkStart w:id="32" w:name="ole_link10"/>
      <w:bookmarkStart w:id="33" w:name="ole_link9"/>
      <w:bookmarkEnd w:id="32"/>
      <w:bookmarkEnd w:id="33"/>
      <w:r>
        <w:rPr>
          <w:rFonts w:ascii="Times New Roman" w:hAnsi="Times New Roman"/>
          <w:color w:val="000000"/>
          <w:sz w:val="22"/>
        </w:rPr>
        <w:t>from, and agrees not to sue concerning, or in any manner to institute, prosecute, or pursue, any claim, complaint, charge, duty, obligation, demand, or cause of action relating to any matters of any kind, whether presently known or unknown, suspected or unsuspected, that Employee may possess against any of the Releasees arising from any omissions, acts, facts, or damages that have occurred up until and including the date Employee signs this Agreement, including, without limitation: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a. any and all claims relating to or arising from Employee’s employment relationship with the Company and the termination of that relationship;</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b. any and all claims relating to, or arising from, Employee’s right to purchase, or actual purchase of shares of stock of the Company, including, without limitation, any claims for fraud, misrepresentation, breach of fiduciary duty, breach of duty under applicable state corporate law, and securities fraud under any state or federal law;</w:t>
      </w:r>
    </w:p>
    <w:p>
      <w:pPr>
        <w:pStyle w:val="TextBody"/>
        <w:bidi w:val="0"/>
        <w:spacing w:before="240" w:after="283"/>
        <w:jc w:val="both"/>
        <w:rPr>
          <w:rFonts w:ascii="Times New Roman" w:hAnsi="Times New Roman"/>
          <w:sz w:val="20"/>
        </w:rPr>
      </w:pPr>
      <w:bookmarkStart w:id="34" w:name="ole_link35"/>
      <w:bookmarkEnd w:id="34"/>
      <w:r>
        <w:rPr>
          <w:rFonts w:ascii="Times New Roman" w:hAnsi="Times New Roman"/>
          <w:color w:val="000000"/>
          <w:sz w:val="22"/>
        </w:rPr>
        <w:t xml:space="preserve">c. 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w:t>
      </w:r>
      <w:bookmarkStart w:id="35" w:name="ole_link36"/>
      <w:bookmarkEnd w:id="35"/>
      <w:r>
        <w:rPr>
          <w:rFonts w:ascii="Times New Roman" w:hAnsi="Times New Roman"/>
          <w:color w:val="000000"/>
          <w:sz w:val="22"/>
        </w:rPr>
        <w:t>conversion, and disability benefits;</w:t>
      </w:r>
    </w:p>
    <w:p>
      <w:pPr>
        <w:pStyle w:val="TextBody"/>
        <w:bidi w:val="0"/>
        <w:spacing w:before="240" w:after="283"/>
        <w:jc w:val="both"/>
        <w:rPr>
          <w:rFonts w:ascii="Times New Roman" w:hAnsi="Times New Roman"/>
          <w:sz w:val="20"/>
        </w:rPr>
      </w:pPr>
      <w:bookmarkStart w:id="36" w:name="ole_link11"/>
      <w:bookmarkEnd w:id="36"/>
      <w:r>
        <w:rPr>
          <w:rFonts w:ascii="Times New Roman" w:hAnsi="Times New Roman"/>
          <w:color w:val="000000"/>
          <w:sz w:val="22"/>
        </w:rPr>
        <w:t xml:space="preserve">d. any and </w:t>
      </w:r>
      <w:bookmarkStart w:id="37" w:name="ole_link12"/>
      <w:bookmarkEnd w:id="37"/>
      <w:r>
        <w:rPr>
          <w:rFonts w:ascii="Times New Roman" w:hAnsi="Times New Roman"/>
          <w:color w:val="000000"/>
          <w:sz w:val="22"/>
        </w:rPr>
        <w:t xml:space="preserve">all claims for violation of any federal, state, or municipal statute, including, but not limited to, Title VII of the Civil Rights Act of 1964, the Civil Rights Act of 1991, the Rehabilitation Act of 1973, the Americans with Disabilities Act of 1990, the Equal Pay Act, the Fair Labor Standards Act, </w:t>
      </w:r>
      <w:bookmarkStart w:id="38" w:name="ole_link49"/>
      <w:bookmarkStart w:id="39" w:name="ole_link50"/>
      <w:bookmarkEnd w:id="38"/>
      <w:bookmarkEnd w:id="39"/>
      <w:r>
        <w:rPr>
          <w:rFonts w:ascii="Times New Roman" w:hAnsi="Times New Roman"/>
          <w:color w:val="000000"/>
          <w:sz w:val="22"/>
        </w:rPr>
        <w:t xml:space="preserve">the Fair Credit Reporting Act, the Age Discrimination in Employment Act of 1967, the Older Workers Benefit Protection Act, the Employee Retirement Income Security Act of 1974, the Worker Adjustment and Retraining Notification Act, </w:t>
      </w:r>
      <w:bookmarkStart w:id="40" w:name="ole_link85"/>
      <w:bookmarkStart w:id="41" w:name="ole_link84"/>
      <w:bookmarkEnd w:id="40"/>
      <w:bookmarkEnd w:id="41"/>
      <w:r>
        <w:rPr>
          <w:rFonts w:ascii="Times New Roman" w:hAnsi="Times New Roman"/>
          <w:color w:val="000000"/>
          <w:sz w:val="22"/>
        </w:rPr>
        <w:t xml:space="preserve">the Family and Medical Leave Act, </w:t>
      </w:r>
      <w:bookmarkStart w:id="42" w:name="ole_link56"/>
      <w:bookmarkStart w:id="43" w:name="ole_link55"/>
      <w:bookmarkEnd w:id="42"/>
      <w:bookmarkEnd w:id="43"/>
      <w:r>
        <w:rPr>
          <w:rFonts w:ascii="Times New Roman" w:hAnsi="Times New Roman"/>
          <w:color w:val="000000"/>
          <w:sz w:val="22"/>
        </w:rPr>
        <w:t>the Immigration Reform and Control Act, the California Family Rights Act, the California Labor Code, the California Workers’ Compensation Act, and the California Fair Employment and Housing Act;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e. any and all claims for violation of the federal or any state constitution;</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f. any and all claims arising out of any other laws and regulations relating to employment or employment discrimination;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g. any claim for any loss, cost, damage, or expense arising out of any dispute over the nonwithholding or other tax treatment of any proceeds received by Employee from the Company; and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h. any and all claims for attorneys’ fees and costs.</w:t>
      </w:r>
    </w:p>
    <w:p>
      <w:pPr>
        <w:pStyle w:val="TextBody"/>
        <w:bidi w:val="0"/>
        <w:spacing w:before="240" w:after="283"/>
        <w:jc w:val="both"/>
        <w:rPr>
          <w:rFonts w:ascii="Times New Roman" w:hAnsi="Times New Roman"/>
          <w:sz w:val="20"/>
        </w:rPr>
      </w:pPr>
      <w:bookmarkStart w:id="44" w:name="ole_link31"/>
      <w:bookmarkStart w:id="45" w:name="ole_link32"/>
      <w:bookmarkEnd w:id="44"/>
      <w:bookmarkEnd w:id="45"/>
      <w:r>
        <w:rPr>
          <w:rFonts w:ascii="Times New Roman" w:hAnsi="Times New Roman"/>
          <w:color w:val="000000"/>
          <w:sz w:val="22"/>
        </w:rPr>
        <w:t xml:space="preserve">Employee agrees that the release set forth in this Section shall be and remain in effect in all respects as a complete general release as to the matters released. This release does not extend to any obligations incurred under this Agreement. </w:t>
      </w:r>
      <w:bookmarkStart w:id="46" w:name="ole_link29"/>
      <w:bookmarkStart w:id="47" w:name="ole_link62"/>
      <w:bookmarkStart w:id="48" w:name="ole_link30"/>
      <w:bookmarkStart w:id="49" w:name="ole_link63"/>
      <w:bookmarkEnd w:id="46"/>
      <w:bookmarkEnd w:id="47"/>
      <w:bookmarkEnd w:id="48"/>
      <w:bookmarkEnd w:id="49"/>
      <w:r>
        <w:rPr>
          <w:rFonts w:ascii="Times New Roman" w:hAnsi="Times New Roman"/>
          <w:color w:val="000000"/>
          <w:sz w:val="22"/>
        </w:rPr>
        <w:t xml:space="preserve">This release </w:t>
      </w:r>
      <w:bookmarkStart w:id="50" w:name="ole_link8"/>
      <w:bookmarkStart w:id="51" w:name="ole_link7"/>
      <w:bookmarkEnd w:id="50"/>
      <w:bookmarkEnd w:id="51"/>
      <w:r>
        <w:rPr>
          <w:rFonts w:ascii="Times New Roman" w:hAnsi="Times New Roman"/>
          <w:color w:val="000000"/>
          <w:sz w:val="22"/>
        </w:rPr>
        <w:t>does not release claims that cannot be released as a matter of law. Any</w:t>
      </w:r>
      <w:r>
        <w:rPr>
          <w:rFonts w:ascii="Times New Roman" w:hAnsi="Times New Roman"/>
          <w:color w:val="000000"/>
          <w:sz w:val="20"/>
        </w:rPr>
        <w:t xml:space="preserve"> </w:t>
      </w:r>
      <w:r>
        <w:rPr>
          <w:rFonts w:ascii="Times New Roman" w:hAnsi="Times New Roman"/>
          <w:color w:val="000000"/>
          <w:sz w:val="22"/>
        </w:rPr>
        <w:t>and all disputed wage claims that are released herein shall be subject to binding arbitration in accordance with this Agreement, except as required by applicable law. This release does not extend to any right Employee may have to unemployment compensation benefits.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5.</w:t>
      </w:r>
    </w:p>
    <w:p>
      <w:pPr>
        <w:pStyle w:val="TextBody"/>
        <w:bidi w:val="0"/>
        <w:spacing w:before="240" w:after="283"/>
        <w:jc w:val="both"/>
        <w:rPr/>
      </w:pPr>
      <w:r>
        <w:rPr>
          <w:rFonts w:ascii="Times New Roman" w:hAnsi="Times New Roman"/>
          <w:color w:val="000000"/>
          <w:sz w:val="22"/>
          <w:u w:val="single"/>
        </w:rPr>
        <w:t>Acknowledgment of Waiver of Claims under ADEA</w:t>
      </w:r>
      <w:r>
        <w:rPr>
          <w:rFonts w:ascii="Times New Roman" w:hAnsi="Times New Roman"/>
          <w:color w:val="000000"/>
          <w:sz w:val="22"/>
        </w:rPr>
        <w:t xml:space="preserve">. Employee understands and acknowledges that Employee is waiving and releasing any rights Employee may have under the Age Discrimination in Employment Act of 1967 (“ADEA”), and that this waiver and release is knowing and voluntary. Employee understands and agrees that this waiver and release does not apply to any rights or claims that may arise under the ADEA after the Effective Date of this Agreement. Employee understands and acknowledges that the consideration given for this waiver and release is in addition to anything of value to which Employee was already entitled. Employee further understands and acknowledges that Employee has been advised by this writing that: (a) Employee should consult with an attorney </w:t>
      </w:r>
      <w:r>
        <w:rPr>
          <w:rFonts w:ascii="Times New Roman" w:hAnsi="Times New Roman"/>
          <w:color w:val="000000"/>
          <w:sz w:val="22"/>
          <w:u w:val="single"/>
        </w:rPr>
        <w:t>prior</w:t>
      </w:r>
      <w:r>
        <w:rPr>
          <w:color w:val="000000"/>
        </w:rPr>
        <w:t xml:space="preserve"> </w:t>
      </w:r>
      <w:r>
        <w:rPr>
          <w:rFonts w:ascii="Times New Roman" w:hAnsi="Times New Roman"/>
          <w:color w:val="000000"/>
          <w:sz w:val="22"/>
        </w:rPr>
        <w:t>to executing this Agreement; (b) Employee has forty-five (45) days within which to consider this Agreement; (c) as set forth in Exhibits A, B, and C herein, Employee has been advised in writing by the Company of the class, unit, or group of individuals covered by the reduction in force, the eligibility factors for the reduction in force, and the job titles and ages of all individuals who were and were not selected; (d) Employee has seven (7) days following Employee’s execution of this Agreement to revoke this Agreement; (e) this Agreement shall not be effective until after the revocation period has expired; and (f) nothing in this Agreement prevents or precludes Employee from challenging or seeking a determination in good faith of the validity of this waiver under the ADEA, nor does it impose any condition precedent, penalties, or costs for doing so, unless specifically authorized by federal law. In the event Employee signs this Agreement and returns it to the Company in less than the 45-day period identified above, Employee hereby acknowledges that Employee has freely and voluntarily chosen to waive the time period allotted for considering this Agreement. Employee acknowledges and understands that revocation must be accomplished by a written notification to the person executing this Agreement on the Company’s behalf that is received prior to the Effective Date. The Parties agree that changes, whether material or immaterial, do not restart the running of the 45-day period.</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California Civil Code Section 1542</w:t>
      </w:r>
      <w:r>
        <w:rPr>
          <w:rFonts w:ascii="Times New Roman" w:hAnsi="Times New Roman"/>
          <w:color w:val="000000"/>
          <w:sz w:val="22"/>
        </w:rPr>
        <w:t xml:space="preserve">. </w:t>
      </w:r>
      <w:bookmarkStart w:id="52" w:name="ole_link4"/>
      <w:bookmarkEnd w:id="52"/>
      <w:r>
        <w:rPr>
          <w:rFonts w:ascii="Times New Roman" w:hAnsi="Times New Roman"/>
          <w:color w:val="000000"/>
          <w:sz w:val="22"/>
        </w:rPr>
        <w:t>Employee acknowledges that Employee has been advised to consult with legal counsel and is familiar with the provisions of California Civil Code Section 1542, a statute that otherwise prohibits the release of unknown claims, which provides as follows:</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aps/>
          <w:color w:val="000000"/>
          <w:sz w:val="22"/>
        </w:rPr>
      </w:pPr>
      <w:r>
        <w:rPr>
          <w:rFonts w:ascii="Times New Roman" w:hAnsi="Times New Roman"/>
          <w:caps/>
          <w:color w:val="000000"/>
          <w:sz w:val="22"/>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pStyle w:val="TextBody"/>
        <w:bidi w:val="0"/>
        <w:spacing w:before="240" w:after="283"/>
        <w:jc w:val="both"/>
        <w:rPr>
          <w:rFonts w:ascii="Times New Roman" w:hAnsi="Times New Roman"/>
          <w:sz w:val="20"/>
        </w:rPr>
      </w:pPr>
      <w:bookmarkStart w:id="53" w:name="ole_link21"/>
      <w:bookmarkEnd w:id="53"/>
      <w:r>
        <w:rPr>
          <w:rFonts w:ascii="Times New Roman" w:hAnsi="Times New Roman"/>
          <w:color w:val="000000"/>
          <w:sz w:val="22"/>
        </w:rPr>
        <w:t xml:space="preserve">Employee, being aware of said code section, agrees to expressly waive any rights </w:t>
      </w:r>
      <w:bookmarkStart w:id="54" w:name="ole_link22"/>
      <w:bookmarkEnd w:id="54"/>
      <w:r>
        <w:rPr>
          <w:rFonts w:ascii="Times New Roman" w:hAnsi="Times New Roman"/>
          <w:color w:val="000000"/>
          <w:sz w:val="22"/>
        </w:rPr>
        <w:t>Employee may have thereunder, as well as under any other statute or common law principles of similar effect.</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7.</w:t>
      </w:r>
    </w:p>
    <w:p>
      <w:pPr>
        <w:pStyle w:val="TextBody"/>
        <w:bidi w:val="0"/>
        <w:spacing w:before="240" w:after="283"/>
        <w:jc w:val="both"/>
        <w:rPr/>
      </w:pPr>
      <w:r>
        <w:rPr>
          <w:rFonts w:ascii="Times New Roman" w:hAnsi="Times New Roman"/>
          <w:color w:val="000000"/>
          <w:sz w:val="22"/>
          <w:u w:val="single"/>
        </w:rPr>
        <w:t>No Pending or Future Lawsuits</w:t>
      </w:r>
      <w:r>
        <w:rPr>
          <w:rFonts w:ascii="Times New Roman" w:hAnsi="Times New Roman"/>
          <w:color w:val="000000"/>
          <w:sz w:val="22"/>
        </w:rPr>
        <w:t>. Employee represents that Employee has no lawsuits, claims, or actions pending in Employee’s name, or on behalf of any other person or entity, against the Company or any of the other Releasees. Employee also represents that Employee does not intend to bring any claims on Employee’s own behalf or on behalf of any other person or entity against the Company or any of the other Releasees.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8.</w:t>
      </w:r>
    </w:p>
    <w:p>
      <w:pPr>
        <w:pStyle w:val="TextBody"/>
        <w:bidi w:val="0"/>
        <w:spacing w:before="240" w:after="283"/>
        <w:jc w:val="both"/>
        <w:rPr/>
      </w:pPr>
      <w:r>
        <w:rPr>
          <w:rFonts w:ascii="Times New Roman" w:hAnsi="Times New Roman"/>
          <w:color w:val="000000"/>
          <w:sz w:val="22"/>
          <w:u w:val="single"/>
        </w:rPr>
        <w:t>Application for Employment</w:t>
      </w:r>
      <w:r>
        <w:rPr>
          <w:rFonts w:ascii="Times New Roman" w:hAnsi="Times New Roman"/>
          <w:color w:val="000000"/>
          <w:sz w:val="22"/>
        </w:rPr>
        <w:t>. Employee understands and agrees that, as a condition of this Agreement, Employee shall not be entitled to any employment with the Company, and Employee hereby waives any right, or alleged right, of employment or re-employment with the Company. Employee further agrees not to apply for employment with the Company and not otherwise pursue an independent contractor or vendor relationship with the Company.</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9.</w:t>
      </w:r>
    </w:p>
    <w:p>
      <w:pPr>
        <w:pStyle w:val="TextBody"/>
        <w:bidi w:val="0"/>
        <w:spacing w:before="240" w:after="283"/>
        <w:jc w:val="both"/>
        <w:rPr/>
      </w:pPr>
      <w:r>
        <w:rPr>
          <w:rFonts w:ascii="Times New Roman" w:hAnsi="Times New Roman"/>
          <w:color w:val="000000"/>
          <w:sz w:val="22"/>
          <w:u w:val="single"/>
        </w:rPr>
        <w:t>Trade Secrets and Confidential Information/Company Property</w:t>
      </w:r>
      <w:r>
        <w:rPr>
          <w:rFonts w:ascii="Times New Roman" w:hAnsi="Times New Roman"/>
          <w:color w:val="000000"/>
          <w:sz w:val="22"/>
        </w:rPr>
        <w:t>. Employee acknowledges that, separate from this Agreement, Employee remains under continuing obligations to the Company under the Confidentiality Agreement, including the provisions therein regarding nondisclosure of the Company’s trade secrets and confidential and proprietary information. Employee agrees at all times hereafter to hold in the strictest confidence, and not to use or disclose to any person or entity, any Confidential Information of the Company, subject to the “Protected Activity Not Prohibited” Section below. Employee understands that “Confidential Information” means any Company or associated third party proprietary information, technical data, trade secrets or know-how, including, but not limited to, research, product plans, products, services, customer lists and customers (including, but not limited to, customers of the Company on whom Employee has called or with whom Employee became acquainted during the term of Employee’s employment), markets, software, developments, inventions, processes, formulas, technology, designs, drawings, engineering, hardware configuration information, marketing, finances, or other business information disclosed to Employee by the Company either directly or indirectly, in writing, orally, or by drawings or observation of parts or equipment. Employee further understands that Confidential Information does not include any of the foregoing items that have become publicly known and made generally available through no wrongful act of Employee’s or of others who were under confidentiality obligations as to the item or items involved or improvements or new versions thereof. Further, Confidential Information does not include general knowledge, skill, and experience Employee has acquired during the course of or in connection with Employee’s employment with the Company or a former employer. Employee hereby grants consent to notification by the Company to any new employer about Employee’s obligations under this Section. Employee represents that Employee has not to date misused or disclosed Confidential Information to any unauthorized party. Employee’s signature below constitutes Employee’s certification under penalty of perjury that Employee has returned all documents and other items provided to Employee by the Company, developed or obtained by Employee in connection with Employee’s employment with the Company, or otherwise belonging to the Company (with the exception of a copy of the employee handbook and personnel documents specifically relating to Employee).</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No Cooperation</w:t>
      </w:r>
      <w:r>
        <w:rPr>
          <w:rFonts w:ascii="Times New Roman" w:hAnsi="Times New Roman"/>
          <w:color w:val="000000"/>
          <w:sz w:val="22"/>
        </w:rPr>
        <w:t xml:space="preserve">. </w:t>
      </w:r>
      <w:bookmarkStart w:id="55" w:name="ole_link67"/>
      <w:bookmarkEnd w:id="55"/>
      <w:r>
        <w:rPr>
          <w:rFonts w:ascii="Times New Roman" w:hAnsi="Times New Roman"/>
          <w:color w:val="000000"/>
          <w:sz w:val="22"/>
        </w:rPr>
        <w:t>Subject to the “Protected Activity Not Prohibited” Section below, Employee agrees that Employee will not knowingly encourage, counsel, or assist any attorneys or their clients in the presentation or prosecution of any disputes, differences, grievances, claims, charges, or complaints by any third party against any of the Releasees, unless under a subpoena or other court order to do so or upon written request from an administrative agency or the legislature or as related directly to the ADEA waiver in this Agreement. Employee agrees both to immediately notify the Company upon receipt of any such subpoena or court order or written request from an administrative agency or the legislature, and to furnish, within three (3) business days of its receipt, a copy of such subpoena or other court order or written request from an administrative agency or the legislature. Subject to the “Protected Activity Not Prohibited” Section below, if approached by anyone for counsel or assistance in the presentation or prosecution of any disputes, differences, grievances, claims, charges, or complaints against any of the Releasees, Employee shall state no more than that Employee cannot provide counsel or assistance.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Nondisparagement</w:t>
      </w:r>
      <w:r>
        <w:rPr>
          <w:rFonts w:ascii="Times New Roman" w:hAnsi="Times New Roman"/>
          <w:color w:val="000000"/>
          <w:sz w:val="22"/>
        </w:rPr>
        <w:t>. Subject to the “Protected Activity Not Prohibited” Section below, Employee agrees to refrain from any disparagement, defamation, libel, or slander of any of the Releasees, and agrees to refrain from any tortious interference with the contracts and relationships of any of the Releasees. Employee shall direct any inquiries by potential future employers to the Company’s human resources department.</w:t>
      </w:r>
      <w:bookmarkStart w:id="56" w:name="ole_link2"/>
      <w:bookmarkEnd w:id="56"/>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12.</w:t>
      </w:r>
    </w:p>
    <w:p>
      <w:pPr>
        <w:pStyle w:val="TextBody"/>
        <w:bidi w:val="0"/>
        <w:spacing w:before="240" w:after="283"/>
        <w:jc w:val="both"/>
        <w:rPr/>
      </w:pPr>
      <w:r>
        <w:rPr>
          <w:rFonts w:ascii="Times New Roman" w:hAnsi="Times New Roman"/>
          <w:color w:val="000000"/>
          <w:sz w:val="22"/>
          <w:u w:val="single"/>
        </w:rPr>
        <w:t>Protected Activity Not Prohibited</w:t>
      </w:r>
      <w:r>
        <w:rPr>
          <w:rFonts w:ascii="Times New Roman" w:hAnsi="Times New Roman"/>
          <w:color w:val="000000"/>
          <w:sz w:val="22"/>
        </w:rPr>
        <w:t xml:space="preserve">. Employee understands that nothing in this Agreement shall in any way limit or prohibit Employee from engaging in any Protected Activity. Protected Activity includes: (i) filing and/or pursuing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(“Government Agencies”); and/or (ii) discussing or disclosing information about unlawful acts in the workplace, such as harassment or discrimination or any other conduct that Employee has reason to believe is unlawful. Notwithstanding the foregoing, Employee agrees to take all reasonable precautions to prevent any unauthorized use or disclosure of any Company trade secrets, proprietary information, or confidential information that does not involve unlawful acts in the workplace or the activity otherwise protected herein. Employee further understands that Protected Activity does not include the disclosure of any Company attorney-client privileged communications or attorney work product. Any language in the Confidentiality Agreement regarding Employee’s right to engage in protected conduct that conflicts with, or is contrary to, this Section is superseded by this Agreement. In addition, pursuant to the Defend Trade Secrets Act of 2016, Employee is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hAnsi="Times New Roman"/>
          <w:i/>
          <w:color w:val="000000"/>
          <w:sz w:val="22"/>
        </w:rPr>
        <w:t>solely</w:t>
      </w:r>
      <w:r>
        <w:rPr>
          <w:color w:val="000000"/>
        </w:rPr>
        <w:t xml:space="preserve"> </w:t>
      </w:r>
      <w:r>
        <w:rPr>
          <w:rFonts w:ascii="Times New Roman" w:hAnsi="Times New Roman"/>
          <w:color w:val="000000"/>
          <w:sz w:val="22"/>
        </w:rPr>
        <w:t>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 Finally, nothing in this Agreement constitutes a waiver of any rights Employee may have under the Sarbanes-Oxley Act or Section 7 of the National Labor Relations Act (“NLRA”). For purposes of clarity, nothing in this Agreement shall be interpreted to impair or limit Employee’s participation in any legally protected activities, such as (i) forming, joining, or supporting labor unions, (ii) bargaining collectively through representatives of employees’ choosing, (iii) discussing wages, benefits, or terms and conditions of employment, and (iv) discussing, or raising complaints about, working conditions for the purpose of mutual aid or protection of Employee or the Company’s other current or former employees, to the extent such activities are protected by Section 7 of the NLRA.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13.</w:t>
      </w:r>
    </w:p>
    <w:p>
      <w:pPr>
        <w:pStyle w:val="TextBody"/>
        <w:bidi w:val="0"/>
        <w:spacing w:before="240" w:after="283"/>
        <w:jc w:val="both"/>
        <w:rPr/>
      </w:pPr>
      <w:r>
        <w:rPr>
          <w:rFonts w:ascii="Times New Roman" w:hAnsi="Times New Roman"/>
          <w:color w:val="000000"/>
          <w:sz w:val="22"/>
          <w:u w:val="single"/>
        </w:rPr>
        <w:t>Breach</w:t>
      </w:r>
      <w:r>
        <w:rPr>
          <w:rFonts w:ascii="Times New Roman" w:hAnsi="Times New Roman"/>
          <w:color w:val="000000"/>
          <w:sz w:val="22"/>
        </w:rPr>
        <w:t>. In addition to the rights provided in the “Attorneys’ Fees” Section below, Employee acknowledges and agrees that any material breach of this Agreement, unless such breach constitutes a legal action by Employee challenging or seeking a determination in good faith of the validity of the waiver herein under the ADEA, shall entitle the Company immediately to recover and/or cease providing the consideration provided to Employee under this Agreement and to obtain damages, except as provided by law.</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14.</w:t>
      </w:r>
    </w:p>
    <w:p>
      <w:pPr>
        <w:pStyle w:val="TextBody"/>
        <w:bidi w:val="0"/>
        <w:spacing w:before="240" w:after="283"/>
        <w:jc w:val="both"/>
        <w:rPr/>
      </w:pPr>
      <w:r>
        <w:rPr>
          <w:rFonts w:ascii="Times New Roman" w:hAnsi="Times New Roman"/>
          <w:color w:val="000000"/>
          <w:sz w:val="22"/>
          <w:u w:val="single"/>
        </w:rPr>
        <w:t>No Admission of Liability</w:t>
      </w:r>
      <w:r>
        <w:rPr>
          <w:rFonts w:ascii="Times New Roman" w:hAnsi="Times New Roman"/>
          <w:color w:val="000000"/>
          <w:sz w:val="22"/>
        </w:rPr>
        <w:t>. Employee understands and acknowledges that with respect to all claims released herein, this Agreement constitutes a compromise and settlement of any and all actual or potential disputed claims by Employee unless such claims were explicitly not released by the release in this Agreement. No action taken by the Company hereto, either previously or in connection with this Agreement, shall be deemed or construed to be (a) an admission of the truth or falsity of any actual or potential claims or (b) an acknowledgment or admission by the Company of any fault or liability whatsoever to Employee or to any third party.</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15.</w:t>
      </w:r>
    </w:p>
    <w:p>
      <w:pPr>
        <w:pStyle w:val="TextBody"/>
        <w:bidi w:val="0"/>
        <w:spacing w:before="240" w:after="283"/>
        <w:jc w:val="both"/>
        <w:rPr/>
      </w:pPr>
      <w:r>
        <w:rPr>
          <w:rFonts w:ascii="Times New Roman" w:hAnsi="Times New Roman"/>
          <w:color w:val="000000"/>
          <w:sz w:val="22"/>
          <w:u w:val="single"/>
        </w:rPr>
        <w:t>Costs</w:t>
      </w:r>
      <w:r>
        <w:rPr>
          <w:rFonts w:ascii="Times New Roman" w:hAnsi="Times New Roman"/>
          <w:color w:val="000000"/>
          <w:sz w:val="22"/>
        </w:rPr>
        <w:t>. The Parties shall each bear their own costs, attorneys’ fees, and other fees incurred in connection with the preparation of this Agreement.</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bookmarkStart w:id="57" w:name="ole_link60"/>
      <w:bookmarkEnd w:id="57"/>
      <w:r>
        <w:rPr>
          <w:rFonts w:ascii="Times New Roman" w:hAnsi="Times New Roman"/>
          <w:color w:val="000000"/>
          <w:sz w:val="22"/>
          <w:u w:val="single"/>
        </w:rPr>
        <w:t>ARBITRATION</w:t>
      </w:r>
      <w:r>
        <w:rPr>
          <w:rFonts w:ascii="Times New Roman" w:hAnsi="Times New Roman"/>
          <w:color w:val="000000"/>
          <w:sz w:val="22"/>
        </w:rPr>
        <w:t>. EXCEPT AS PROHIBITED BY LAW, THE PARTIES AGREE THAT ANY AND ALL DISPUTES ARISING OUT OF THE TERMS OF THIS AGREEMENT, THEIR INTERPRETATION, EMPLOYEE’S EMPLOYMENT WITH THE COMPANY OR THE TERMS THEREOF, OR ANY OF THE MATTERS HEREIN RELEASED, SHALL BE SUBJECT TO ARBITRATION UNDER THE FEDERAL ARBITRATION ACT (THE “FAA”) AND THAT THE FAA SHALL GOVERN AND APPLY TO THIS ARBITRATION AGREEMENT WITH FULL FORCE AND EFFECT; HOWEVER, WITHOUT LIMITING ANY PROVISIONS OF THE FAA, A MOTION OR PETITION OR ACTION TO COMPEL ARBITRATION MAY ALSO BE BROUGHT IN STATE COURT UNDER THE PROCEDURAL PROVISIONS OF SUCH STATE’S LAWS RELATING TO MOTIONS OR PETITIONS OR ACTIONS TO COMPEL ARBITRATION. EMPLOYEE AGREES THAT, TO THE FULLEST EXTENT PERMITTED BY LAW, EMPLOYEE MAY BRING ANY SUCH ARBITRATION PROCEEDING ONLY IN EMPLOYEE’S INDIVIDUAL CAPACITY. ANY CLAIMS EMPLOYEE MAY BRING PURSUANT TO THE PRIVATE ATTORNEYS GENERAL ACT (“PAGA”) ON BEHALF OF THE LABOR AND WORKFORCE DEVELOPMENT AGENCY MUST BE ARBITRATED ONLY IN EMPLOYEE’S INDIVIDUAL CAPACITY WITHOUT ANY JOINDER OR REPRESENTATION OF ANY CALIFORNIA LABOR CODE VIOLATIONS THAT WERE OR COULD BE ASSERTED BY OR ON BEHALF OF ANY OTHER EMPLOYEES. ANY ARBITRATION WILL OCCUR IN SAN FRANCISCO COUNTY, CALIFORNIA, BEFORE JAMS, PURSUANT TO ITS EMPLOYMENT ARBITRATION RULES &amp; PROCEDURES (“JAMS RULES”), EXCEPT AS EXPRESSLY PROVIDED IN THIS SECTION. THE PARTIES AGREE THAT THE ARBITRATOR SHALL HAVE THE POWER TO DECIDE ANY MOTIONS BROUGHT BY ANY PARTY TO THE ARBITRATION, INCLUDING MOTIONS FOR SUMMARY JUDGMENT AND/OR ADJUDICATION, AND MOTIONS TO DISMISS AND DEMURRERS, APPLYING THE STANDARDS SET FORTH UNDER THE CALIFORNIA CODE OF CIVIL PROCEDURE. THE PARTIES AGREE THAT THE ARBITRATOR SHALL ISSUE A WRITTEN DECISION ON THE MERITS</w:t>
      </w:r>
      <w:r>
        <w:rPr>
          <w:rFonts w:ascii="Times New Roman" w:hAnsi="Times New Roman"/>
          <w:caps/>
          <w:color w:val="000000"/>
          <w:sz w:val="22"/>
        </w:rPr>
        <w:t xml:space="preserve">. </w:t>
      </w:r>
      <w:r>
        <w:rPr>
          <w:rFonts w:ascii="Times New Roman" w:hAnsi="Times New Roman"/>
          <w:color w:val="000000"/>
          <w:sz w:val="22"/>
        </w:rPr>
        <w:t>THE PARTIES ALSO AGREE THAT THE ARBITRATOR SHALL HAVE THE POWER TO AWARD ANY REMEDIES AVAILABLE UNDER APPLICABLE LAW. THE ARBITRATOR MAY GRANT INJUNCTIONS AND OTHER RELIEF IN SUCH DISPUTES. THE DECISION OF THE ARBITRATOR SHALL BE FINAL, CONCLUSIVE, AND BINDING ON THE PARTIES TO THE ARBITRATION. THE PARTIES AGREE THAT THE PREVAILING PARTY IN ANY ARBITRATION SHALL BE ENTITLED TO INJUNCTIVE RELIEF IN ANY COURT OF COMPETENT JURISDICTION TO ENFORCE THE ARBITRATION AWARD. THE PARTIES TO THE ARBITRATION SHALL EACH PAY AN EQUAL SHARE OF THE COSTS AND EXPENSES OF SUCH ARBITRATION, AND EACH PARTY SHALL SEPARATELY PAY FOR ITS RESPECTIVE COUNSEL FEES AND EXPENSES; PROVIDED, HOWEVER, THAT THE ARBITRATOR MAY AWARD ATTORNEYS’ FEES AND COSTS TO THE PREVAILING PARTY, EXCEPT AS PROHIBITED BY LAW. THE PARTIES HEREBY AGREE TO WAIVE THEIR RIGHT TO HAVE ANY DISPUTE BETWEEN THEM RESOLVED IN A COURT OF LAW BY A JUDGE OR JURY. NOTWITHSTANDING THE FOREGOING, THIS SECTION WILL NOT PREVENT EITHER PARTY FROM SEEKING INJUNCTIVE RELIEF (OR ANY OTHER PROVISIONAL REMEDY) FROM ANY COURT HAVING JURISDICTION OVER THE PARTIES AND THE SUBJECT MATTER OF THEIR DISPUTE RELATING TO THIS AGREEMENT AND THE AGREEMENTS INCORPORATED HEREIN BY REFERENCE. SHOULD ANY PART OF THE ARBITRATION AGREEMENT CONTAINED IN THIS SECTION CONFLICT WITH ANY OTHER ARBITRATION AGREEMENT BETWEEN THE PARTIES, INCLUDING, BUT NOT LIMITED TO THE ARBITRATION SECTION OF THE CONFIDENTIALITY AGREEMENT, THE PARTIES AGREE THAT THIS ARBITRATION AGREEMENT IN THIS SECTION SHALL GOVERN.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17.</w:t>
      </w:r>
    </w:p>
    <w:p>
      <w:pPr>
        <w:pStyle w:val="TextBody"/>
        <w:bidi w:val="0"/>
        <w:spacing w:before="240" w:after="283"/>
        <w:jc w:val="both"/>
        <w:rPr/>
      </w:pPr>
      <w:r>
        <w:rPr>
          <w:rFonts w:ascii="Times New Roman" w:hAnsi="Times New Roman"/>
          <w:color w:val="000000"/>
          <w:sz w:val="22"/>
          <w:u w:val="single"/>
        </w:rPr>
        <w:t>Tax Consequences</w:t>
      </w:r>
      <w:r>
        <w:rPr>
          <w:rFonts w:ascii="Times New Roman" w:hAnsi="Times New Roman"/>
          <w:color w:val="000000"/>
          <w:sz w:val="22"/>
        </w:rPr>
        <w:t xml:space="preserve">. The Company makes no representations or warranties with respect to the tax consequences of the consideration provided to Employee or made on Employee’s behalf under the terms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of this Agreement. Employee agrees and understands that Employee is responsible for payment, if any, of local, state, and/or federal taxes on the consideration provided hereunder by the Company and any penalties or assessments thereon. Employee further agrees to indemnify and hold the Releasees harmless from any claims, demands, deficiencies, penalties, interest, assessments, executions, judgments, or recoveries by any government agency against the Company for any amounts claimed due on account of (a) Employee’s failure to pay or delayed payment of federal or state taxes, or (b) damages sustained by the Company by reason of any such claims, including attorneys’ fees and costs.</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18.</w:t>
      </w:r>
    </w:p>
    <w:p>
      <w:pPr>
        <w:pStyle w:val="TextBody"/>
        <w:bidi w:val="0"/>
        <w:spacing w:before="240" w:after="283"/>
        <w:jc w:val="both"/>
        <w:rPr/>
      </w:pPr>
      <w:r>
        <w:rPr>
          <w:rFonts w:ascii="Times New Roman" w:hAnsi="Times New Roman"/>
          <w:color w:val="000000"/>
          <w:sz w:val="22"/>
          <w:u w:val="single"/>
        </w:rPr>
        <w:t>Section 409A.</w:t>
      </w:r>
      <w:r>
        <w:rPr>
          <w:color w:val="000000"/>
        </w:rPr>
        <w:t xml:space="preserve"> </w:t>
      </w:r>
      <w:r>
        <w:rPr>
          <w:rFonts w:ascii="Times New Roman" w:hAnsi="Times New Roman"/>
          <w:color w:val="000000"/>
          <w:sz w:val="22"/>
        </w:rPr>
        <w:t>It is intended that this Agreement comply with, or be exempt from, Code Section 409A and the final Treasury Regulations and formal guidance thereunder, and any applicable state law equivalent, as each may be promulgated, amended or modified from time to time (“Section 409A”) and any ambiguities or ambiguous terms herein will be interpreted to so comply and/or be exempt from Section 409A. Each payment and benefit to be paid or provided under this Agreement is intended to constitute a series of separate payments for purposes of Section 1.409A-2(b)(2) of the Treasury Regulations. Payments under Section 1.a. of this Agreement will be made no later than December 31, 2025. Any RSUs that accelerate vesting under this Agreement will be settled no later than ten (10) days following the Effective Date, or if accelerated later than the Effective Date as a result of a Qualifying Termination that occurs prior to a Change in Control, on a date on or before the date of completion of the Change in Control, subject to any delay as may be required under the applicable Award Document or Section 6(d) of the CIC Agreement. Section 6(d) of the CIC Agreement is incorporated herein by reference and made a part of this Agreement. The Company and Employee will work together in good faith to consider either (i) amendments to this Agreement; or (ii) revisions to this Agreement with respect to any payments or benefits, which are necessary or appropriate to avoid imposition of any additional tax or income recognition prior to the actual payment to Employee under Section 409A. In no event will Employee have any discretion to choose Employee’s taxable year in which any payments or benefits are provided under this Agreement. In no event will the Releasees have any responsibility, liability or obligation to reimburse, indemnify or hold harmless Employee for any taxes imposed, or other costs incurred, as a result of Section 409A.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19.</w:t>
      </w:r>
    </w:p>
    <w:p>
      <w:pPr>
        <w:pStyle w:val="TextBody"/>
        <w:bidi w:val="0"/>
        <w:spacing w:before="240" w:after="283"/>
        <w:jc w:val="both"/>
        <w:rPr/>
      </w:pPr>
      <w:r>
        <w:rPr>
          <w:rFonts w:ascii="Times New Roman" w:hAnsi="Times New Roman"/>
          <w:color w:val="000000"/>
          <w:sz w:val="22"/>
          <w:u w:val="single"/>
        </w:rPr>
        <w:t>Authority</w:t>
      </w:r>
      <w:r>
        <w:rPr>
          <w:rFonts w:ascii="Times New Roman" w:hAnsi="Times New Roman"/>
          <w:color w:val="000000"/>
          <w:sz w:val="22"/>
        </w:rPr>
        <w:t>. The Company represents and warrants that the undersigned has the authority to act on behalf of the Company and to bind the Company and all who may claim through it to the terms and conditions of this Agreement. Employee represents and warrants that Employee has the capacity to act on Employee’s own behalf and on behalf of all who might claim through Employee to bind them to the terms and conditions of this Agreement. Each Party warrants and represents that there are no liens or claims of lien or assignments in law or equity or otherwise of or against any of the claims or causes of action released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20.</w:t>
      </w:r>
    </w:p>
    <w:p>
      <w:pPr>
        <w:pStyle w:val="TextBody"/>
        <w:bidi w:val="0"/>
        <w:spacing w:before="240" w:after="283"/>
        <w:jc w:val="both"/>
        <w:rPr/>
      </w:pPr>
      <w:r>
        <w:rPr>
          <w:rFonts w:ascii="Times New Roman" w:hAnsi="Times New Roman"/>
          <w:color w:val="000000"/>
          <w:sz w:val="22"/>
          <w:u w:val="single"/>
        </w:rPr>
        <w:t>Severability</w:t>
      </w:r>
      <w:r>
        <w:rPr>
          <w:rFonts w:ascii="Times New Roman" w:hAnsi="Times New Roman"/>
          <w:color w:val="000000"/>
          <w:sz w:val="22"/>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Attorneys’ Fees</w:t>
      </w:r>
      <w:r>
        <w:rPr>
          <w:rFonts w:ascii="Times New Roman" w:hAnsi="Times New Roman"/>
          <w:color w:val="000000"/>
          <w:sz w:val="22"/>
        </w:rPr>
        <w:t xml:space="preserve">. </w:t>
      </w:r>
      <w:bookmarkStart w:id="58" w:name="ole_link53"/>
      <w:bookmarkEnd w:id="58"/>
      <w:r>
        <w:rPr>
          <w:rFonts w:ascii="Times New Roman" w:hAnsi="Times New Roman"/>
          <w:color w:val="000000"/>
          <w:sz w:val="22"/>
        </w:rPr>
        <w:t>Except with regard to a legal action challenging or seeking a determination in good faith of the validity of the waiver herein under the ADEA, in the event that either Party brings an action to enforce or effect its rights under this Agreement, the prevailing Party shall be entitled to recover its costs and expenses, including the costs of mediation, arbitration, litigation, court fees, and reasonable attorneys’ fees incurred in connection with such an action.</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22.</w:t>
      </w:r>
    </w:p>
    <w:p>
      <w:pPr>
        <w:pStyle w:val="TextBody"/>
        <w:bidi w:val="0"/>
        <w:spacing w:before="240" w:after="283"/>
        <w:jc w:val="both"/>
        <w:rPr/>
      </w:pPr>
      <w:r>
        <w:rPr>
          <w:rFonts w:ascii="Times New Roman" w:hAnsi="Times New Roman"/>
          <w:color w:val="000000"/>
          <w:sz w:val="22"/>
          <w:u w:val="single"/>
        </w:rPr>
        <w:t>Entire Agreement</w:t>
      </w:r>
      <w:r>
        <w:rPr>
          <w:rFonts w:ascii="Times New Roman" w:hAnsi="Times New Roman"/>
          <w:color w:val="000000"/>
          <w:sz w:val="22"/>
        </w:rPr>
        <w:t xml:space="preserve">. This Agreement represents the entire agreement and understanding between the Company and Employee concerning the subject matter of this Agreement and Employee’s employment with and separation from the Company and the events leading thereto and associated therewith, and supersedes and replaces any and all prior agreements and understandings concerning the subject matter of this Agreement and Employee’s relationship with the Company, including without limitation the Employment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Letter and CIC Agreement (except as expressly provided otherwise herein), but excluding the Confidentiality Agreement and the Award Documents except as otherwise modified or superseded herein.</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23.</w:t>
      </w:r>
    </w:p>
    <w:p>
      <w:pPr>
        <w:pStyle w:val="TextBody"/>
        <w:bidi w:val="0"/>
        <w:spacing w:before="240" w:after="283"/>
        <w:jc w:val="both"/>
        <w:rPr/>
      </w:pPr>
      <w:r>
        <w:rPr>
          <w:rFonts w:ascii="Times New Roman" w:hAnsi="Times New Roman"/>
          <w:color w:val="000000"/>
          <w:sz w:val="22"/>
          <w:u w:val="single"/>
        </w:rPr>
        <w:t>No Oral Modification</w:t>
      </w:r>
      <w:r>
        <w:rPr>
          <w:rFonts w:ascii="Times New Roman" w:hAnsi="Times New Roman"/>
          <w:color w:val="000000"/>
          <w:sz w:val="22"/>
        </w:rPr>
        <w:t>. This Agreement may only be amended in a writing signed by Employee and the Company’s Chief Executive Officer.</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24.</w:t>
      </w:r>
    </w:p>
    <w:p>
      <w:pPr>
        <w:pStyle w:val="TextBody"/>
        <w:bidi w:val="0"/>
        <w:spacing w:before="240" w:after="283"/>
        <w:jc w:val="both"/>
        <w:rPr/>
      </w:pPr>
      <w:r>
        <w:rPr>
          <w:rFonts w:ascii="Times New Roman" w:hAnsi="Times New Roman"/>
          <w:color w:val="000000"/>
          <w:sz w:val="22"/>
          <w:u w:val="single"/>
        </w:rPr>
        <w:t>Governing Law</w:t>
      </w:r>
      <w:r>
        <w:rPr>
          <w:rFonts w:ascii="Times New Roman" w:hAnsi="Times New Roman"/>
          <w:color w:val="000000"/>
          <w:sz w:val="22"/>
        </w:rPr>
        <w:t>. This Agreement shall be governed by the laws of the State of California, without regard for choice-of-law provisions, except that any dispute regarding the enforceability of the “Arbitration” Section of this Agreement shall be governed by the FAA. Employee consents to personal and exclusive jurisdiction and venue in the State of California.</w:t>
      </w: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40" w:after="283"/>
        <w:jc w:val="both"/>
        <w:rPr/>
      </w:pPr>
      <w:r>
        <w:rPr>
          <w:rFonts w:ascii="Times New Roman" w:hAnsi="Times New Roman"/>
          <w:color w:val="000000"/>
          <w:sz w:val="22"/>
          <w:u w:val="single"/>
        </w:rPr>
        <w:t>Effective Date</w:t>
      </w:r>
      <w:r>
        <w:rPr>
          <w:rFonts w:ascii="Times New Roman" w:hAnsi="Times New Roman"/>
          <w:color w:val="000000"/>
          <w:sz w:val="22"/>
        </w:rPr>
        <w:t xml:space="preserve">. </w:t>
      </w:r>
      <w:bookmarkStart w:id="59" w:name="ole_link72"/>
      <w:bookmarkEnd w:id="59"/>
      <w:r>
        <w:rPr>
          <w:rFonts w:ascii="Times New Roman" w:hAnsi="Times New Roman"/>
          <w:color w:val="000000"/>
          <w:sz w:val="22"/>
        </w:rPr>
        <w:t>Employee understands that this Agreement shall be null and void if not executed by Employee within forty-five (45) days. Each Party has seven (7) days after that Party signs this Agreement to revoke it. This Agreement will become effective on the eighth (8th) day after Employee signed this Agreement, so long as it has been signed by the Parties and has not been revoked by either Party before that date (the “Effective Date”).</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283"/>
        <w:jc w:val="both"/>
        <w:rPr>
          <w:rFonts w:ascii="Times New Roman" w:hAnsi="Times New Roman"/>
          <w:color w:val="000000"/>
          <w:sz w:val="22"/>
        </w:rPr>
      </w:pPr>
      <w:r>
        <w:rPr>
          <w:rFonts w:ascii="Times New Roman" w:hAnsi="Times New Roman"/>
          <w:color w:val="000000"/>
          <w:sz w:val="22"/>
        </w:rPr>
        <w:t>26.</w:t>
      </w:r>
    </w:p>
    <w:p>
      <w:pPr>
        <w:pStyle w:val="TextBody"/>
        <w:bidi w:val="0"/>
        <w:spacing w:before="240" w:after="283"/>
        <w:jc w:val="both"/>
        <w:rPr/>
      </w:pPr>
      <w:r>
        <w:rPr>
          <w:rFonts w:ascii="Times New Roman" w:hAnsi="Times New Roman"/>
          <w:color w:val="000000"/>
          <w:sz w:val="22"/>
          <w:u w:val="single"/>
        </w:rPr>
        <w:t>Counterparts</w:t>
      </w:r>
      <w:r>
        <w:rPr>
          <w:rFonts w:ascii="Times New Roman" w:hAnsi="Times New Roman"/>
          <w:color w:val="000000"/>
          <w:sz w:val="22"/>
        </w:rPr>
        <w:t>. This Agreement may be executed in counterparts and each counterpart shall be deemed an original and all of which counterparts taken together shall have the same force and effect as an original and shall constitute an effective, binding agreement on the part of each of the undersigned. The counterparts of this Agreement may be executed and delivered by facsimile, photo, email PDF, or other electronic transmission or signature.</w:t>
      </w:r>
    </w:p>
    <w:p>
      <w:pPr>
        <w:pStyle w:val="TextBody"/>
        <w:bidi w:val="0"/>
        <w:jc w:val="left"/>
        <w:rPr/>
      </w:pPr>
      <w:r>
        <w:rPr/>
        <w:t> </w:t>
      </w:r>
    </w:p>
    <w:p>
      <w:pPr>
        <w:pStyle w:val="TextBody"/>
        <w:bidi w:val="0"/>
        <w:jc w:val="center"/>
        <w:rPr>
          <w:rFonts w:ascii="Times New Roman" w:hAnsi="Times New Roman"/>
          <w:color w:val="000000"/>
          <w:sz w:val="22"/>
        </w:rPr>
      </w:pPr>
      <w:r>
        <w:rPr>
          <w:rFonts w:ascii="Times New Roman" w:hAnsi="Times New Roman"/>
          <w:color w:val="000000"/>
          <w:sz w:val="22"/>
        </w:rPr>
        <w:t>[THE REMAINDER OF THIS PAGE IS INTENTIONALLY LEFT BLANK; SIGNATURE PAGE FOLLOWS]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both"/>
        <w:rPr>
          <w:rFonts w:ascii="Times New Roman" w:hAnsi="Times New Roman"/>
          <w:color w:val="000000"/>
          <w:sz w:val="22"/>
        </w:rPr>
      </w:pPr>
      <w:r>
        <w:rPr>
          <w:rFonts w:ascii="Times New Roman" w:hAnsi="Times New Roman"/>
          <w:color w:val="000000"/>
          <w:sz w:val="22"/>
        </w:rPr>
        <w:t>27.</w:t>
      </w:r>
    </w:p>
    <w:p>
      <w:pPr>
        <w:pStyle w:val="TextBody"/>
        <w:bidi w:val="0"/>
        <w:jc w:val="both"/>
        <w:rPr/>
      </w:pPr>
      <w:r>
        <w:rPr>
          <w:rFonts w:ascii="Times New Roman" w:hAnsi="Times New Roman"/>
          <w:color w:val="000000"/>
          <w:sz w:val="22"/>
          <w:u w:val="single"/>
        </w:rPr>
        <w:t>Voluntary Execution of Agreement</w:t>
      </w:r>
      <w:r>
        <w:rPr>
          <w:rFonts w:ascii="Times New Roman" w:hAnsi="Times New Roman"/>
          <w:color w:val="000000"/>
          <w:sz w:val="22"/>
        </w:rPr>
        <w:t>. Employee understands and agrees that Employee executed this Agreement voluntarily and without any duress or undue influence on the part or behalf of the Company or any third party, with the full intent of releasing all of Employee’s claims against the Company and any of the other Releasees. Employee acknowledges that:</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(a) Employee has read this Agreement;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(b) Employee has a right to consult with an attorney regarding this Agreement, and has been represented in the preparation, negotiation, and execution of this Agreement by an attorney of Employee’s own choice or has elected not to retain an attorney;</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(c) Employee understands the terms and consequences of this Agreement and of the releases it contains;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(d) Employee is fully aware of the legal and binding effect of this Agreement;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(e) Employee has not relied upon any representations or statements made by the Company that are not specifically set forth in this Agreement.</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both"/>
        <w:rPr/>
      </w:pPr>
      <w:r>
        <w:rPr/>
        <w:t> </w:t>
      </w:r>
    </w:p>
    <w:p>
      <w:pPr>
        <w:pStyle w:val="TextBody"/>
        <w:bidi w:val="0"/>
        <w:jc w:val="left"/>
        <w:rPr>
          <w:rFonts w:ascii="Times New Roman" w:hAnsi="Times New Roman"/>
          <w:color w:val="000000"/>
          <w:sz w:val="22"/>
        </w:rPr>
      </w:pPr>
      <w:r>
        <w:rPr>
          <w:rFonts w:ascii="Times New Roman" w:hAnsi="Times New Roman"/>
          <w:color w:val="000000"/>
          <w:sz w:val="22"/>
        </w:rPr>
        <w:t>IN WITNESS WHEREOF, the Parties have executed this Agreement on the respective dates set forth below.</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Jaume Pons, Ph.D., an individual</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Dated: </w:t>
      </w:r>
      <w:r>
        <w:rPr>
          <w:rFonts w:ascii="Times New Roman" w:hAnsi="Times New Roman"/>
          <w:color w:val="000000"/>
          <w:sz w:val="22"/>
          <w:u w:val="single"/>
        </w:rPr>
        <w:t xml:space="preserve">April 16, 2025 /s/ Jaume Pons </w:t>
      </w:r>
    </w:p>
    <w:p>
      <w:pPr>
        <w:pStyle w:val="TextBody"/>
        <w:bidi w:val="0"/>
        <w:jc w:val="left"/>
        <w:rPr>
          <w:rFonts w:ascii="Times New Roman" w:hAnsi="Times New Roman"/>
          <w:color w:val="000000"/>
          <w:sz w:val="22"/>
        </w:rPr>
      </w:pPr>
      <w:r>
        <w:rPr>
          <w:rFonts w:ascii="Times New Roman" w:hAnsi="Times New Roman"/>
          <w:color w:val="000000"/>
          <w:sz w:val="22"/>
        </w:rPr>
        <w:t>Jaume Pons</w:t>
      </w:r>
    </w:p>
    <w:p>
      <w:pPr>
        <w:pStyle w:val="TextBody"/>
        <w:bidi w:val="0"/>
        <w:jc w:val="left"/>
        <w:rPr/>
      </w:pPr>
      <w:r>
        <w:rPr/>
        <w:t> </w:t>
      </w:r>
    </w:p>
    <w:p>
      <w:pPr>
        <w:pStyle w:val="TextBody"/>
        <w:bidi w:val="0"/>
        <w:jc w:val="left"/>
        <w:rPr/>
      </w:pPr>
      <w:r>
        <w:rPr/>
        <w:t> </w:t>
      </w:r>
    </w:p>
    <w:p>
      <w:pPr>
        <w:pStyle w:val="TextBody"/>
        <w:bidi w:val="0"/>
        <w:jc w:val="left"/>
        <w:rPr/>
      </w:pPr>
      <w:r>
        <w:rPr/>
        <w:t> </w:t>
      </w:r>
    </w:p>
    <w:p>
      <w:pPr>
        <w:pStyle w:val="TextBody"/>
        <w:bidi w:val="0"/>
        <w:spacing w:before="240" w:after="283"/>
        <w:jc w:val="left"/>
        <w:rPr>
          <w:rFonts w:ascii="Times New Roman" w:hAnsi="Times New Roman"/>
          <w:color w:val="000000"/>
          <w:sz w:val="22"/>
        </w:rPr>
      </w:pPr>
      <w:bookmarkStart w:id="60" w:name="ole_link15"/>
      <w:bookmarkStart w:id="61" w:name="ole_link16"/>
      <w:bookmarkEnd w:id="60"/>
      <w:bookmarkEnd w:id="61"/>
      <w:r>
        <w:rPr>
          <w:rFonts w:ascii="Times New Roman" w:hAnsi="Times New Roman"/>
          <w:color w:val="000000"/>
          <w:sz w:val="22"/>
        </w:rPr>
        <w:t>ALX Oncology Holdings Inc.</w:t>
      </w:r>
    </w:p>
    <w:p>
      <w:pPr>
        <w:pStyle w:val="TextBody"/>
        <w:bidi w:val="0"/>
        <w:spacing w:before="240" w:after="283"/>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Dated: </w:t>
      </w:r>
      <w:r>
        <w:rPr>
          <w:rFonts w:ascii="Times New Roman" w:hAnsi="Times New Roman"/>
          <w:color w:val="000000"/>
          <w:sz w:val="22"/>
          <w:u w:val="single"/>
        </w:rPr>
        <w:t xml:space="preserve">April 16, 2025 </w:t>
      </w:r>
      <w:r>
        <w:rPr>
          <w:rFonts w:ascii="Times New Roman" w:hAnsi="Times New Roman"/>
          <w:color w:val="000000"/>
          <w:sz w:val="22"/>
        </w:rPr>
        <w:t xml:space="preserve">By </w:t>
      </w:r>
      <w:r>
        <w:rPr>
          <w:rFonts w:ascii="Times New Roman" w:hAnsi="Times New Roman"/>
          <w:color w:val="000000"/>
          <w:sz w:val="22"/>
          <w:u w:val="single"/>
        </w:rPr>
        <w:t xml:space="preserve">/s/ Jason Lettmann </w:t>
      </w:r>
    </w:p>
    <w:p>
      <w:pPr>
        <w:pStyle w:val="TextBody"/>
        <w:bidi w:val="0"/>
        <w:jc w:val="left"/>
        <w:rPr>
          <w:rFonts w:ascii="Times New Roman" w:hAnsi="Times New Roman"/>
          <w:color w:val="000000"/>
          <w:sz w:val="22"/>
        </w:rPr>
      </w:pPr>
      <w:r>
        <w:rPr>
          <w:rFonts w:ascii="Times New Roman" w:hAnsi="Times New Roman"/>
          <w:color w:val="000000"/>
          <w:sz w:val="22"/>
        </w:rPr>
        <w:t>Jason Lettmann</w:t>
      </w:r>
    </w:p>
    <w:p>
      <w:pPr>
        <w:pStyle w:val="TextBody"/>
        <w:bidi w:val="0"/>
        <w:jc w:val="left"/>
        <w:rPr>
          <w:rFonts w:ascii="Times New Roman" w:hAnsi="Times New Roman"/>
          <w:color w:val="000000"/>
          <w:sz w:val="22"/>
        </w:rPr>
      </w:pPr>
      <w:r>
        <w:rPr>
          <w:rFonts w:ascii="Times New Roman" w:hAnsi="Times New Roman"/>
          <w:color w:val="000000"/>
          <w:sz w:val="22"/>
        </w:rPr>
        <w:t>Chief Executive Officer</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EXHIBIT A</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DECISIONAL UNIT INFORMATION</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[Exhibit A has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left"/>
        <w:rPr>
          <w:rFonts w:ascii="Times New Roman" w:hAnsi="Times New Roman"/>
          <w:color w:val="000000"/>
          <w:sz w:val="22"/>
        </w:rPr>
      </w:pPr>
      <w:r>
        <w:rPr>
          <w:rFonts w:ascii="Times New Roman" w:hAnsi="Times New Roman"/>
          <w:color w:val="000000"/>
          <w:sz w:val="22"/>
        </w:rPr>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Data Sheet by Age</w:t>
      </w:r>
    </w:p>
    <w:p>
      <w:pPr>
        <w:pStyle w:val="TextBody"/>
        <w:bidi w:val="0"/>
        <w:jc w:val="center"/>
        <w:rPr>
          <w:rFonts w:ascii="Times New Roman" w:hAnsi="Times New Roman"/>
          <w:color w:val="000000"/>
          <w:sz w:val="22"/>
        </w:rPr>
      </w:pPr>
      <w:r>
        <w:rPr>
          <w:rFonts w:ascii="Times New Roman" w:hAnsi="Times New Roman"/>
          <w:color w:val="000000"/>
          <w:sz w:val="22"/>
        </w:rPr>
        <w:t>March 4, 2025</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EXHIBIT B</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[Exhibit B has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spacing w:before="11" w:after="283"/>
        <w:jc w:val="left"/>
        <w:rPr/>
      </w:pPr>
      <w:r>
        <w:rPr/>
        <w:t> </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75" w:after="283"/>
        <w:jc w:val="center"/>
        <w:rPr>
          <w:rFonts w:ascii="Times New Roman" w:hAnsi="Times New Roman"/>
          <w:b/>
          <w:color w:val="000000"/>
          <w:sz w:val="22"/>
        </w:rPr>
      </w:pPr>
      <w:r>
        <w:rPr>
          <w:rFonts w:ascii="Times New Roman" w:hAnsi="Times New Roman"/>
          <w:b/>
          <w:color w:val="000000"/>
          <w:sz w:val="22"/>
        </w:rPr>
        <w:t>Data Sheet by Age</w:t>
      </w:r>
    </w:p>
    <w:p>
      <w:pPr>
        <w:pStyle w:val="TextBody"/>
        <w:bidi w:val="0"/>
        <w:jc w:val="center"/>
        <w:rPr>
          <w:rFonts w:ascii="Times New Roman" w:hAnsi="Times New Roman"/>
          <w:color w:val="000000"/>
          <w:sz w:val="22"/>
        </w:rPr>
      </w:pPr>
      <w:r>
        <w:rPr>
          <w:rFonts w:ascii="Times New Roman" w:hAnsi="Times New Roman"/>
          <w:color w:val="000000"/>
          <w:sz w:val="22"/>
        </w:rPr>
        <w:t>March 4, 2025</w:t>
      </w:r>
    </w:p>
    <w:p>
      <w:pPr>
        <w:pStyle w:val="TextBody"/>
        <w:bidi w:val="0"/>
        <w:spacing w:before="240" w:after="283"/>
        <w:jc w:val="center"/>
        <w:rPr>
          <w:rFonts w:ascii="Times New Roman" w:hAnsi="Times New Roman"/>
          <w:b/>
          <w:color w:val="000000"/>
          <w:sz w:val="22"/>
        </w:rPr>
      </w:pPr>
      <w:r>
        <w:rPr>
          <w:rFonts w:ascii="Times New Roman" w:hAnsi="Times New Roman"/>
          <w:b/>
          <w:color w:val="000000"/>
          <w:sz w:val="22"/>
        </w:rPr>
        <w:t>EXHIBIT C</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[Exhibit C has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2"/>
          <w:u w:val="single"/>
        </w:rPr>
      </w:pPr>
      <w:r>
        <w:rPr>
          <w:rFonts w:ascii="Times New Roman" w:hAnsi="Times New Roman"/>
          <w:b/>
          <w:color w:val="000000"/>
          <w:sz w:val="22"/>
          <w:u w:val="single"/>
        </w:rPr>
        <w:t>SCHEDULE I</w:t>
      </w:r>
    </w:p>
    <w:p>
      <w:pPr>
        <w:pStyle w:val="TextBody"/>
        <w:bidi w:val="0"/>
        <w:jc w:val="center"/>
        <w:rPr/>
      </w:pPr>
      <w:r>
        <w:rPr/>
        <w:t> </w:t>
      </w:r>
    </w:p>
    <w:p>
      <w:pPr>
        <w:pStyle w:val="TextBody"/>
        <w:bidi w:val="0"/>
        <w:jc w:val="center"/>
        <w:rPr>
          <w:rFonts w:ascii="Times New Roman" w:hAnsi="Times New Roman"/>
          <w:b/>
          <w:color w:val="000000"/>
          <w:sz w:val="22"/>
        </w:rPr>
      </w:pPr>
      <w:r>
        <w:rPr>
          <w:rFonts w:ascii="Times New Roman" w:hAnsi="Times New Roman"/>
          <w:b/>
          <w:color w:val="000000"/>
          <w:sz w:val="22"/>
        </w:rPr>
        <w:t>EMPLOYEE AWARDS</w:t>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[Schedule I has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15</w:t>
      </w:r>
    </w:p>
    <w:p>
      <w:pPr>
        <w:pStyle w:val="HorizontalLine"/>
        <w:pBdr>
          <w:bottom w:val="double" w:sz="2" w:space="0" w:color="808080"/>
        </w:pBdr>
        <w:bidi w:val="0"/>
        <w:spacing w:before="0" w:after="283"/>
        <w:jc w:val="left"/>
        <w:rPr/>
      </w:pPr>
      <w:r>
        <w:rPr/>
      </w:r>
    </w:p>
    <w:p>
      <w:pPr>
        <w:pStyle w:val="TextBody"/>
        <w:bidi w:val="0"/>
        <w:spacing w:before="360" w:after="240"/>
        <w:jc w:val="right"/>
        <w:rPr>
          <w:rFonts w:ascii="Times New Roman" w:hAnsi="Times New Roman"/>
          <w:b/>
          <w:color w:val="000000"/>
          <w:sz w:val="20"/>
        </w:rPr>
      </w:pPr>
      <w:bookmarkStart w:id="62" w:name="alxo-ex10_2.htm"/>
      <w:bookmarkStart w:id="63" w:name="ksalxoex10_2"/>
      <w:bookmarkEnd w:id="62"/>
      <w:bookmarkEnd w:id="63"/>
      <w:r>
        <w:rPr>
          <w:rFonts w:ascii="Times New Roman" w:hAnsi="Times New Roman"/>
          <w:b/>
          <w:color w:val="000000"/>
          <w:sz w:val="20"/>
        </w:rPr>
        <w:t>Exhibit 10.2</w:t>
      </w:r>
      <w:r>
        <w:br w:type="page"/>
      </w:r>
    </w:p>
    <w:p>
      <w:pPr>
        <w:pStyle w:val="TextBody"/>
        <w:bidi w:val="0"/>
        <w:jc w:val="left"/>
        <w:rPr>
          <w:rFonts w:ascii="Times New Roman" w:hAnsi="Times New Roman"/>
          <w:b/>
          <w:color w:val="000000"/>
          <w:sz w:val="20"/>
        </w:rPr>
      </w:pPr>
      <w:r>
        <w:rPr>
          <w:rFonts w:ascii="Times New Roman" w:hAnsi="Times New Roman"/>
          <w:b/>
          <w:color w:val="000000"/>
          <w:sz w:val="20"/>
        </w:rPr>
        <w:t>Certain exhibits and schedules have been omitted in accordance with Regulation S-K Item 601(a)(5). The registrant agrees to furnish supplementally a copy of any omitted exhibit or schedule to the SEC upon its request, however the registrant may request confidential treatment of omitted items.</w:t>
      </w:r>
    </w:p>
    <w:p>
      <w:pPr>
        <w:pStyle w:val="TextBody"/>
        <w:bidi w:val="0"/>
        <w:jc w:val="center"/>
        <w:rPr/>
      </w:pPr>
      <w:r>
        <w:rPr/>
        <w:t> </w:t>
      </w:r>
    </w:p>
    <w:p>
      <w:pPr>
        <w:pStyle w:val="TextBody"/>
        <w:bidi w:val="0"/>
        <w:jc w:val="left"/>
        <w:rPr>
          <w:rFonts w:ascii="Times New Roman" w:hAnsi="Times New Roman"/>
          <w:color w:val="000000"/>
          <w:sz w:val="24"/>
        </w:rPr>
      </w:pPr>
      <w:r>
        <w:rPr>
          <w:rFonts w:ascii="Times New Roman" w:hAnsi="Times New Roman"/>
          <w:color w:val="000000"/>
          <w:sz w:val="24"/>
        </w:rPr>
        <w:t>November 10, 2024</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Alan Sandler, M.D.</w:t>
      </w:r>
    </w:p>
    <w:p>
      <w:pPr>
        <w:pStyle w:val="TextBody"/>
        <w:bidi w:val="0"/>
        <w:jc w:val="left"/>
        <w:rPr>
          <w:rFonts w:ascii="Times New Roman" w:hAnsi="Times New Roman"/>
          <w:i/>
          <w:color w:val="000000"/>
          <w:sz w:val="24"/>
        </w:rPr>
      </w:pPr>
      <w:r>
        <w:rPr>
          <w:rFonts w:ascii="Times New Roman" w:hAnsi="Times New Roman"/>
          <w:i/>
          <w:color w:val="000000"/>
          <w:sz w:val="24"/>
        </w:rPr>
        <w:t>Via Email</w:t>
      </w:r>
    </w:p>
    <w:p>
      <w:pPr>
        <w:pStyle w:val="TextBody"/>
        <w:bidi w:val="0"/>
        <w:jc w:val="left"/>
        <w:rPr/>
      </w:pPr>
      <w:r>
        <w:rPr/>
        <w:t> </w:t>
      </w:r>
    </w:p>
    <w:p>
      <w:pPr>
        <w:pStyle w:val="TextBody"/>
        <w:bidi w:val="0"/>
        <w:spacing w:before="5" w:after="283"/>
        <w:jc w:val="left"/>
        <w:rPr/>
      </w:pPr>
      <w:r>
        <w:rPr/>
        <w:t> </w:t>
      </w:r>
    </w:p>
    <w:p>
      <w:pPr>
        <w:pStyle w:val="TextBody"/>
        <w:bidi w:val="0"/>
        <w:jc w:val="left"/>
        <w:rPr>
          <w:rFonts w:ascii="Times New Roman" w:hAnsi="Times New Roman"/>
          <w:b/>
          <w:color w:val="000000"/>
          <w:sz w:val="24"/>
        </w:rPr>
      </w:pPr>
      <w:r>
        <w:rPr>
          <w:rFonts w:ascii="Times New Roman" w:hAnsi="Times New Roman"/>
          <w:b/>
          <w:color w:val="000000"/>
          <w:sz w:val="24"/>
        </w:rPr>
        <w:t>Re: Offer of Employment</w:t>
      </w:r>
    </w:p>
    <w:p>
      <w:pPr>
        <w:pStyle w:val="TextBody"/>
        <w:bidi w:val="0"/>
        <w:spacing w:before="236" w:after="283"/>
        <w:jc w:val="left"/>
        <w:rPr>
          <w:rFonts w:ascii="Times New Roman" w:hAnsi="Times New Roman"/>
          <w:color w:val="000000"/>
          <w:sz w:val="24"/>
        </w:rPr>
      </w:pPr>
      <w:r>
        <w:rPr>
          <w:rFonts w:ascii="Times New Roman" w:hAnsi="Times New Roman"/>
          <w:color w:val="000000"/>
          <w:sz w:val="24"/>
        </w:rPr>
        <w:t>Dear Alan:</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4"/>
        </w:rPr>
        <w:t>I am pleased to offer you a position with ALX Oncology Holdings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in accordance with the terms of this Offer of Employment letter agreement (the “</w:t>
      </w:r>
      <w:r>
        <w:rPr>
          <w:rFonts w:ascii="Times New Roman" w:hAnsi="Times New Roman"/>
          <w:color w:val="000000"/>
          <w:sz w:val="24"/>
          <w:u w:val="single"/>
        </w:rPr>
        <w:t>Agreement</w:t>
      </w:r>
      <w:r>
        <w:rPr>
          <w:rFonts w:ascii="Times New Roman" w:hAnsi="Times New Roman"/>
          <w:color w:val="000000"/>
          <w:sz w:val="20"/>
        </w:rPr>
        <w:t>”</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w:t>
      </w:r>
    </w:p>
    <w:p>
      <w:pPr>
        <w:pStyle w:val="TextBody"/>
        <w:bidi w:val="0"/>
        <w:spacing w:before="240" w:after="283"/>
        <w:jc w:val="left"/>
        <w:rPr/>
      </w:pPr>
      <w:r>
        <w:rPr>
          <w:rFonts w:ascii="Times New Roman" w:hAnsi="Times New Roman"/>
          <w:color w:val="000000"/>
          <w:sz w:val="24"/>
          <w:u w:val="single"/>
        </w:rPr>
        <w:t>Title; Position; Location</w:t>
      </w:r>
      <w:r>
        <w:rPr>
          <w:rFonts w:ascii="Times New Roman" w:hAnsi="Times New Roman"/>
          <w:color w:val="000000"/>
          <w:sz w:val="24"/>
        </w:rPr>
        <w:t>. If you accept this offer of employment, you will serve as the Company’s Chief Medical Officer (“</w:t>
      </w:r>
      <w:r>
        <w:rPr>
          <w:rFonts w:ascii="Times New Roman" w:hAnsi="Times New Roman"/>
          <w:color w:val="000000"/>
          <w:sz w:val="24"/>
          <w:u w:val="single"/>
        </w:rPr>
        <w:t>CMO</w:t>
      </w:r>
      <w:r>
        <w:rPr>
          <w:color w:val="000000"/>
        </w:rPr>
        <w:t>”</w:t>
      </w:r>
      <w:r>
        <w:rPr>
          <w:rFonts w:ascii="Times New Roman" w:hAnsi="Times New Roman"/>
          <w:color w:val="000000"/>
          <w:sz w:val="24"/>
        </w:rPr>
        <w:t>). In your role as CMO, you will report to the Company’s Chief Executive Officer (“</w:t>
      </w:r>
      <w:r>
        <w:rPr>
          <w:rFonts w:ascii="Times New Roman" w:hAnsi="Times New Roman"/>
          <w:color w:val="000000"/>
          <w:sz w:val="24"/>
          <w:u w:val="single"/>
        </w:rPr>
        <w:t>CEO</w:t>
      </w:r>
      <w:r>
        <w:rPr>
          <w:color w:val="000000"/>
        </w:rPr>
        <w:t>”</w:t>
      </w:r>
      <w:r>
        <w:rPr>
          <w:rFonts w:ascii="Times New Roman" w:hAnsi="Times New Roman"/>
          <w:color w:val="000000"/>
          <w:sz w:val="24"/>
        </w:rPr>
        <w:t>) and will perform the duties and responsibilities customary for such position and such other related duties as are lawfully assigned by the CEO. You will perform your duties from the Company’s corporate offices located in South San Francisco, California, subject to customary travel as reasonably required by the Company and necessary to perform your job duties.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2.</w:t>
      </w:r>
    </w:p>
    <w:p>
      <w:pPr>
        <w:pStyle w:val="TextBody"/>
        <w:bidi w:val="0"/>
        <w:spacing w:before="240" w:after="283"/>
        <w:jc w:val="left"/>
        <w:rPr/>
      </w:pPr>
      <w:r>
        <w:rPr>
          <w:rFonts w:ascii="Times New Roman" w:hAnsi="Times New Roman"/>
          <w:color w:val="000000"/>
          <w:sz w:val="24"/>
          <w:u w:val="single"/>
        </w:rPr>
        <w:t>Base Salary</w:t>
      </w:r>
      <w:r>
        <w:rPr>
          <w:rFonts w:ascii="Times New Roman" w:hAnsi="Times New Roman"/>
          <w:color w:val="000000"/>
          <w:sz w:val="24"/>
        </w:rPr>
        <w:t>. Your annual base salary will be $575,000 (“</w:t>
      </w:r>
      <w:r>
        <w:rPr>
          <w:rFonts w:ascii="Times New Roman" w:hAnsi="Times New Roman"/>
          <w:color w:val="000000"/>
          <w:sz w:val="24"/>
          <w:u w:val="single"/>
        </w:rPr>
        <w:t>Salary</w:t>
      </w:r>
      <w:r>
        <w:rPr>
          <w:color w:val="000000"/>
        </w:rPr>
        <w:t>”</w:t>
      </w:r>
      <w:r>
        <w:rPr>
          <w:rFonts w:ascii="Times New Roman" w:hAnsi="Times New Roman"/>
          <w:color w:val="000000"/>
          <w:sz w:val="24"/>
        </w:rPr>
        <w:t>), which will be payable, less any applicable withholdings, in accordance with the Company’s normal payroll practices. Your Salary will be subject to review and adjustment from time to time by the Company’s Board of Directors (the “</w:t>
      </w:r>
      <w:r>
        <w:rPr>
          <w:rFonts w:ascii="Times New Roman" w:hAnsi="Times New Roman"/>
          <w:color w:val="000000"/>
          <w:sz w:val="24"/>
          <w:u w:val="single"/>
        </w:rPr>
        <w:t>Board</w:t>
      </w:r>
      <w:r>
        <w:rPr>
          <w:color w:val="000000"/>
        </w:rPr>
        <w:t>”</w:t>
      </w:r>
      <w:r>
        <w:rPr>
          <w:rFonts w:ascii="Times New Roman" w:hAnsi="Times New Roman"/>
          <w:color w:val="000000"/>
          <w:sz w:val="24"/>
        </w:rPr>
        <w:t>) or its Compensation Committee (the “</w:t>
      </w:r>
      <w:r>
        <w:rPr>
          <w:rFonts w:ascii="Times New Roman" w:hAnsi="Times New Roman"/>
          <w:color w:val="000000"/>
          <w:sz w:val="24"/>
          <w:u w:val="single"/>
        </w:rPr>
        <w:t>Committee</w:t>
      </w:r>
      <w:r>
        <w:rPr>
          <w:color w:val="000000"/>
        </w:rPr>
        <w:t>”</w:t>
      </w:r>
      <w:r>
        <w:rPr>
          <w:rFonts w:ascii="Times New Roman" w:hAnsi="Times New Roman"/>
          <w:color w:val="000000"/>
          <w:sz w:val="24"/>
        </w:rPr>
        <w:t>), as applicable, in its sole discretion.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3.</w:t>
      </w:r>
    </w:p>
    <w:p>
      <w:pPr>
        <w:pStyle w:val="TextBody"/>
        <w:bidi w:val="0"/>
        <w:spacing w:before="240" w:after="283"/>
        <w:jc w:val="left"/>
        <w:rPr/>
      </w:pPr>
      <w:r>
        <w:rPr>
          <w:rFonts w:ascii="Times New Roman" w:hAnsi="Times New Roman"/>
          <w:color w:val="000000"/>
          <w:sz w:val="24"/>
          <w:u w:val="single"/>
        </w:rPr>
        <w:t>Annual Bonus</w:t>
      </w:r>
      <w:r>
        <w:rPr>
          <w:rFonts w:ascii="Times New Roman" w:hAnsi="Times New Roman"/>
          <w:color w:val="000000"/>
          <w:sz w:val="24"/>
        </w:rPr>
        <w:t>. For the portion of the Company’s 2024 fiscal year that you serve as CMO, you will not be eligible to participate in the Company’s Executive Incentive Compensation Plan. For the Company’s 2025 fiscal year, you will have the opportunity to earn a target annual cash bonus equal to forty-five percent (45%) of your annual base salary earned during the fiscal year, based on achieving performance objectives established by the Board or Committee, as applicable, in its sole discretion and payable upon achievement of those objectives as determined by the Committee. Unless determined otherwise by the Board or Committee, as applicable, any such bonus will be subject to your continued employment through and until the date of payment, and any such bonus amounts paid will be subject to any applicable withholdings. Your annual bonus opportunity and the applicable terms and conditions may be adjusted from time to time by our Board or the Committee, as applicable, in its sole discretion.</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4.</w:t>
      </w:r>
    </w:p>
    <w:p>
      <w:pPr>
        <w:pStyle w:val="TextBody"/>
        <w:bidi w:val="0"/>
        <w:spacing w:before="240" w:after="283"/>
        <w:jc w:val="left"/>
        <w:rPr/>
      </w:pPr>
      <w:r>
        <w:rPr>
          <w:rFonts w:ascii="Times New Roman" w:hAnsi="Times New Roman"/>
          <w:color w:val="000000"/>
          <w:sz w:val="24"/>
          <w:u w:val="single"/>
        </w:rPr>
        <w:t>Equity Awards</w:t>
      </w:r>
      <w:r>
        <w:rPr>
          <w:rFonts w:ascii="Times New Roman" w:hAnsi="Times New Roman"/>
          <w:color w:val="000000"/>
          <w:sz w:val="24"/>
        </w:rPr>
        <w:t>. It will be recommended that, subject to the approval of the Board or the Committee, as applicable, in its sole discretion, the Company grant you an award of stock options (the “</w:t>
      </w:r>
      <w:r>
        <w:rPr>
          <w:rFonts w:ascii="Times New Roman" w:hAnsi="Times New Roman"/>
          <w:color w:val="000000"/>
          <w:sz w:val="24"/>
          <w:u w:val="single"/>
        </w:rPr>
        <w:t>Option</w:t>
      </w:r>
      <w:r>
        <w:rPr>
          <w:color w:val="000000"/>
        </w:rPr>
        <w:t>”</w:t>
      </w:r>
      <w:r>
        <w:rPr>
          <w:rFonts w:ascii="Times New Roman" w:hAnsi="Times New Roman"/>
          <w:color w:val="000000"/>
          <w:sz w:val="24"/>
        </w:rPr>
        <w:t>) to purchase 600,000 shares of the Company’s common stock (“</w:t>
      </w:r>
      <w:r>
        <w:rPr>
          <w:rFonts w:ascii="Times New Roman" w:hAnsi="Times New Roman"/>
          <w:color w:val="000000"/>
          <w:sz w:val="24"/>
          <w:u w:val="single"/>
        </w:rPr>
        <w:t>Shares</w:t>
      </w:r>
      <w:r>
        <w:rPr>
          <w:color w:val="000000"/>
        </w:rPr>
        <w:t>”</w:t>
      </w:r>
      <w:r>
        <w:rPr>
          <w:rFonts w:ascii="Times New Roman" w:hAnsi="Times New Roman"/>
          <w:color w:val="000000"/>
          <w:sz w:val="24"/>
        </w:rPr>
        <w:t xml:space="preserve">) under the Company’s 2020 Equity Incentive Plan (or any successor plan, as applicable) and applicable option agreement thereunder, with an exercise price per Share equal to the fair market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value per Share on the Option’s date of grant, as determined by the Board or Committee (as applicable). The Company will recommend that the Option be scheduled to vest and become exercisable as to one-fourth (1/4th) of the Shares subject to the Option on the one-year anniversary of the vesting commencement date (which shall be the same date as the date the Board or Committee approves the grant), and as to one forty-eighth (1/48th) of the Shares subject to the Option on a monthly basis thereafter on the same day of the month as the vesting commencement date (or the last day of the month, if a particular month does not have a corresponding day), subject to your continued service with the Company or its subsidiaries through the applicable vesting date.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For purposes of clarity, outstanding Company equity awards previously granted to you as a Board member will continue to be subject to, and vest according to, the terms of the applicable Company equity plan under which such equity awards were granted and the applicable award agreements thereunder.</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5.</w:t>
      </w:r>
    </w:p>
    <w:p>
      <w:pPr>
        <w:pStyle w:val="TextBody"/>
        <w:bidi w:val="0"/>
        <w:spacing w:before="240" w:after="283"/>
        <w:jc w:val="left"/>
        <w:rPr/>
      </w:pPr>
      <w:r>
        <w:rPr>
          <w:rFonts w:ascii="Times New Roman" w:hAnsi="Times New Roman"/>
          <w:color w:val="000000"/>
          <w:sz w:val="24"/>
          <w:u w:val="single"/>
        </w:rPr>
        <w:t>Employee Benefits</w:t>
      </w:r>
      <w:r>
        <w:rPr>
          <w:rFonts w:ascii="Times New Roman" w:hAnsi="Times New Roman"/>
          <w:color w:val="000000"/>
          <w:sz w:val="24"/>
        </w:rPr>
        <w:t>. You will be eligible to participate in the benefit plans and programs established by the Company for its employees from time to time, subject to their applicable terms and conditions, including without limitation any eligibility requirements. The Company will reimburse you for reasonable travel or other expenses incurred by you in the furtherance of or in connection with the performance of your duties under this Agreement, pursuant to the terms of the Company’s expense reimbursement policy as may be in effect from time to time. The Company reserves the right to modify, amend, suspend or terminate the benefit plans, programs, and arrangements it offers to its employees at any time.</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6.</w:t>
      </w:r>
    </w:p>
    <w:p>
      <w:pPr>
        <w:pStyle w:val="TextBody"/>
        <w:bidi w:val="0"/>
        <w:spacing w:before="240" w:after="283"/>
        <w:jc w:val="left"/>
        <w:rPr/>
      </w:pPr>
      <w:r>
        <w:rPr>
          <w:rFonts w:ascii="Times New Roman" w:hAnsi="Times New Roman"/>
          <w:color w:val="000000"/>
          <w:sz w:val="24"/>
          <w:u w:val="single"/>
        </w:rPr>
        <w:t>Severance</w:t>
      </w:r>
      <w:r>
        <w:rPr>
          <w:rFonts w:ascii="Times New Roman" w:hAnsi="Times New Roman"/>
          <w:color w:val="000000"/>
          <w:sz w:val="24"/>
        </w:rPr>
        <w:t>. You will be eligible to enter into a Change in Control and Severance Agreement (the “</w:t>
      </w:r>
      <w:r>
        <w:rPr>
          <w:rFonts w:ascii="Times New Roman" w:hAnsi="Times New Roman"/>
          <w:color w:val="000000"/>
          <w:sz w:val="24"/>
          <w:u w:val="single"/>
        </w:rPr>
        <w:t>Severance Agreement</w:t>
      </w:r>
      <w:r>
        <w:rPr>
          <w:color w:val="000000"/>
        </w:rPr>
        <w:t>”</w:t>
      </w:r>
      <w:r>
        <w:rPr>
          <w:rFonts w:ascii="Times New Roman" w:hAnsi="Times New Roman"/>
          <w:color w:val="000000"/>
          <w:sz w:val="24"/>
        </w:rPr>
        <w:t>) applicable to you based on your position within the Company. The Severance Agreement will specify the severance payments and benefits you may become entitled to receive upon certain qualifying terminations of your employment with the Company including in connection with a change in control of the Company. For purposes of clarity, other than any vesting acceleration benefits set forth in the Company’s 2020 Equity Incentive Plan and the award agreements thereunder governing the terms of your stock options to purchase shares of Company common stock granted thereunder (to the extent not modified or superseded by your Severance Agreement), any severance payments, benefits and arrangements that may have applied to you before the effectiveness of the Severance Agreement no longer will apply, and you will have no rights or entitlements under any such plans, programs, agreements or arrangements.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7.</w:t>
      </w:r>
    </w:p>
    <w:p>
      <w:pPr>
        <w:pStyle w:val="TextBody"/>
        <w:bidi w:val="0"/>
        <w:spacing w:before="240" w:after="283"/>
        <w:jc w:val="left"/>
        <w:rPr/>
      </w:pPr>
      <w:r>
        <w:rPr>
          <w:rFonts w:ascii="Times New Roman" w:hAnsi="Times New Roman"/>
          <w:color w:val="000000"/>
          <w:sz w:val="24"/>
          <w:u w:val="single"/>
        </w:rPr>
        <w:t>Confidentiality Agreement</w:t>
      </w:r>
      <w:r>
        <w:rPr>
          <w:rFonts w:ascii="Times New Roman" w:hAnsi="Times New Roman"/>
          <w:color w:val="000000"/>
          <w:sz w:val="24"/>
        </w:rPr>
        <w:t>. As an employee of the Company, you will have access to certain confidential information of the Company and you may, during the course of your employment, develop certain information or inventions that will be the property of the Company. To protect the interests of the Company, you agree to sign and comply with the terms of the Company’s Employee Confidentiality, Inventions and Non-Interference Agreement (the “</w:t>
      </w:r>
      <w:r>
        <w:rPr>
          <w:rFonts w:ascii="Times New Roman" w:hAnsi="Times New Roman"/>
          <w:color w:val="000000"/>
          <w:sz w:val="24"/>
          <w:u w:val="single"/>
        </w:rPr>
        <w:t>Confidentiality Agreement</w:t>
      </w:r>
      <w:r>
        <w:rPr>
          <w:color w:val="000000"/>
        </w:rPr>
        <w:t>”</w:t>
      </w:r>
      <w:r>
        <w:rPr>
          <w:rFonts w:ascii="Times New Roman" w:hAnsi="Times New Roman"/>
          <w:color w:val="000000"/>
          <w:sz w:val="24"/>
        </w:rPr>
        <w:t>). Please note that we must receive your signed Confidentiality Agreement before your first day of employment.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8.</w:t>
      </w:r>
    </w:p>
    <w:p>
      <w:pPr>
        <w:pStyle w:val="TextBody"/>
        <w:bidi w:val="0"/>
        <w:spacing w:before="240" w:after="283"/>
        <w:jc w:val="left"/>
        <w:rPr/>
      </w:pPr>
      <w:r>
        <w:rPr>
          <w:rFonts w:ascii="Times New Roman" w:hAnsi="Times New Roman"/>
          <w:color w:val="000000"/>
          <w:sz w:val="24"/>
          <w:u w:val="single"/>
        </w:rPr>
        <w:t>At-Will Employment</w:t>
      </w:r>
      <w:r>
        <w:rPr>
          <w:rFonts w:ascii="Times New Roman" w:hAnsi="Times New Roman"/>
          <w:color w:val="000000"/>
          <w:sz w:val="24"/>
        </w:rPr>
        <w:t xml:space="preserve">. This Agreement does not imply any right to your continued employment for any period with the Company or any parent, subsidiary, or affiliate of the Company. Your employment with the Company is and will continue to be at will, as defined under applicable law. This Agreement and any provisions under it will not interfere with or limit in any way your or the Company’s right to terminate your employment relationship with the Company at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any time, with or without cause, to the extent permitted by applicable laws.</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9.</w:t>
      </w:r>
    </w:p>
    <w:p>
      <w:pPr>
        <w:pStyle w:val="TextBody"/>
        <w:bidi w:val="0"/>
        <w:spacing w:before="240" w:after="283"/>
        <w:jc w:val="left"/>
        <w:rPr/>
      </w:pPr>
      <w:r>
        <w:rPr>
          <w:rFonts w:ascii="Times New Roman" w:hAnsi="Times New Roman"/>
          <w:color w:val="000000"/>
          <w:sz w:val="24"/>
          <w:u w:val="single"/>
        </w:rPr>
        <w:t>Protected Activity Not Prohibited</w:t>
      </w:r>
      <w:r>
        <w:rPr>
          <w:rFonts w:ascii="Times New Roman" w:hAnsi="Times New Roman"/>
          <w:color w:val="000000"/>
          <w:sz w:val="24"/>
        </w:rPr>
        <w:t>. The Company and you acknowledge and agree that nothing in this Agreement limits or prohibits you from filing and/or pursuing a charge or complaint with, or otherwise communicating or cooperating with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hAnsi="Times New Roman"/>
          <w:color w:val="000000"/>
          <w:sz w:val="24"/>
          <w:u w:val="single"/>
        </w:rPr>
        <w:t>Government Agencies</w:t>
      </w:r>
      <w:r>
        <w:rPr>
          <w:color w:val="000000"/>
        </w:rPr>
        <w:t>”</w:t>
      </w:r>
      <w:r>
        <w:rPr>
          <w:rFonts w:ascii="Times New Roman" w:hAnsi="Times New Roman"/>
          <w:color w:val="000000"/>
          <w:sz w:val="24"/>
        </w:rPr>
        <w:t xml:space="preserve">), including disclosing documents or other information as permitted by law, without giving notice to, or receiving authorization from, the Company. Nothing in this Agreement (i) limits employees’ rights to discuss or disclose wages, benefits, or terms and conditions of employment as protected by applicable law, including any rights under Section 7 of the National Labor Relations Act, or (ii) otherwise impairs employees from assisting other Company employees and/or former employees in the exercise of their rights under Section 7 of the National Labor Relations Act. In addition, nothing in this Agreement prevents you from discussing or disclosing information about unlawful acts in the workplace, such as harassment or discrimination or any other conduct that you have reason to believe is unlawful. You further understand that you are not permitted to disclose the Company’s attorney-client privileged communications or attorney work product. In addition, you acknowledge that the Company has provided you with notice in compliance with the Defend Trade Secrets Act of 2016 regarding immunity from liability for limited disclosures of trade secrets. The full text of the notice is attached in </w:t>
      </w:r>
      <w:r>
        <w:rPr>
          <w:rFonts w:ascii="Times New Roman" w:hAnsi="Times New Roman"/>
          <w:b/>
          <w:color w:val="000000"/>
          <w:sz w:val="24"/>
          <w:u w:val="single"/>
        </w:rPr>
        <w:t>Appendix A</w:t>
      </w:r>
      <w:r>
        <w:rPr>
          <w:rFonts w:ascii="Times New Roman" w:hAnsi="Times New Roman"/>
          <w:color w:val="000000"/>
          <w:sz w:val="24"/>
        </w:rPr>
        <w:t>.</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10.</w:t>
      </w:r>
    </w:p>
    <w:p>
      <w:pPr>
        <w:pStyle w:val="TextBody"/>
        <w:bidi w:val="0"/>
        <w:spacing w:before="240" w:after="283"/>
        <w:jc w:val="left"/>
        <w:rPr/>
      </w:pPr>
      <w:r>
        <w:rPr>
          <w:rFonts w:ascii="Times New Roman" w:hAnsi="Times New Roman"/>
          <w:color w:val="000000"/>
          <w:sz w:val="24"/>
          <w:u w:val="single"/>
        </w:rPr>
        <w:t>Additional Employment Provisions</w:t>
      </w:r>
      <w:r>
        <w:rPr>
          <w:rFonts w:ascii="Times New Roman" w:hAnsi="Times New Roman"/>
          <w:color w:val="000000"/>
          <w:sz w:val="24"/>
        </w:rPr>
        <w:t>. For purposes of federal immigration law, you will be required to provide to the Company documentary evidence of your identity and eligibility for employment in the United States. Such documentation must be provided to us within three (3) business days of your date of hire, or our employment relationship with you may be terminated. We also ask that, if you have not already done so, you disclose to the Company any and all agreements relating to your prior employment that may affect your eligibility to be employed by the Company or limit the manner in which you may be employed. It is the Company’s understanding that any such agreements will not prevent you from performing the duties of your position and you represent that such is the case.</w:t>
      </w:r>
    </w:p>
    <w:p>
      <w:pPr>
        <w:pStyle w:val="TextBody"/>
        <w:bidi w:val="0"/>
        <w:spacing w:before="240" w:after="283"/>
        <w:jc w:val="left"/>
        <w:rPr>
          <w:rFonts w:ascii="Times New Roman" w:hAnsi="Times New Roman"/>
          <w:sz w:val="20"/>
        </w:rPr>
      </w:pPr>
      <w:r>
        <w:rPr>
          <w:rFonts w:ascii="Times New Roman" w:hAnsi="Times New Roman"/>
          <w:color w:val="000000"/>
          <w:sz w:val="24"/>
        </w:rPr>
        <w:t xml:space="preserve">You will devote your full business time and best efforts to the faithful and loyal performance of your duties to the Company (except for permitted vacation periods and reasonable periods of illness or other incapacity). While you render services to the Company, you will not engage in any other employment, consulting or other business activity (whether full-time or part-time) that would create a conflict of interest with the Company, and any engagement or participation in any outside business activity or business affairs by you will be subject to full disclosure and prior written approval from the Board or the Committee, as applicable. Subject to Board approval, you will be permitted to engage in the outside activities set forth in </w:t>
      </w:r>
      <w:r>
        <w:rPr>
          <w:rFonts w:ascii="Times New Roman" w:hAnsi="Times New Roman"/>
          <w:b/>
          <w:color w:val="000000"/>
          <w:sz w:val="24"/>
          <w:u w:val="single"/>
        </w:rPr>
        <w:t>Appendix B</w:t>
      </w:r>
      <w:r>
        <w:rPr>
          <w:rFonts w:ascii="Times New Roman" w:hAnsi="Times New Roman"/>
          <w:color w:val="000000"/>
          <w:sz w:val="24"/>
        </w:rPr>
        <w:t>, as long as such activities do not interfere with the performance of your duties under this Agreement, and provided that such matters do not involve matters that are competitive with the Company’s actual or anticipated business. You may engage in charitable and community activities as well as own, as a passive investment, less than two percent (2%) of the capital stock of any corporation listed on the national securities exchange or publicly traded in the over-the-counter market, provided that such activities do not interfere with the performance of your duties under this Agreement. By signing this</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Agreement, you confirm that you have no contractual commitments or other legal obligations that would prohibit you from continuing to perform your duties for the Company.</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You agree not to bring any third-party confidential information to the Company, including that of any of your former employers, and that in performing your duties for the Company you will not in any way utilize any such information. As a Company employee, you will be expected to abide by the Company’s rules and standards. You agree that in the rendering of all services to the Company and in all aspects of employment with the Company, you will comply in all material respects with all lawful directives, policies, standards and regulations from time to time established by the Company. You will be required to sign an acknowledgment that you have read and that you understand the Company’s rules of conduct which are included in the Company Handbook.</w:t>
      </w:r>
    </w:p>
    <w:p>
      <w:pPr>
        <w:pStyle w:val="TextBody"/>
        <w:bidi w:val="0"/>
        <w:spacing w:before="240" w:after="283"/>
        <w:jc w:val="left"/>
        <w:rPr>
          <w:rFonts w:ascii="Times New Roman" w:hAnsi="Times New Roman"/>
          <w:sz w:val="20"/>
        </w:rPr>
      </w:pPr>
      <w:r>
        <w:rPr>
          <w:rFonts w:ascii="Times New Roman" w:hAnsi="Times New Roman"/>
          <w:color w:val="000000"/>
          <w:sz w:val="24"/>
        </w:rPr>
        <w:t>To accept the Company’s offer, please sign and date in the spaces indicated below and return this Agreement to me. A duplicate original is enclosed for your records. If you accept our offer, your first day of employment will be October 28, 2024, or such other date as you and the Company mutually agree in writing (the “</w:t>
      </w:r>
      <w:r>
        <w:rPr>
          <w:rFonts w:ascii="Times New Roman" w:hAnsi="Times New Roman"/>
          <w:color w:val="000000"/>
          <w:sz w:val="24"/>
          <w:u w:val="single"/>
        </w:rPr>
        <w:t>Start Date</w:t>
      </w:r>
      <w:r>
        <w:rPr>
          <w:rFonts w:ascii="Times New Roman" w:hAnsi="Times New Roman"/>
          <w:color w:val="000000"/>
          <w:sz w:val="20"/>
        </w:rPr>
        <w:t>”</w:t>
      </w:r>
      <w:r>
        <w:rPr>
          <w:rFonts w:ascii="Times New Roman" w:hAnsi="Times New Roman"/>
          <w:color w:val="000000"/>
          <w:sz w:val="24"/>
        </w:rPr>
        <w:t>). This Agreement, along with the Confidentiality Agreement and Severance Agreement, set forth the terms of your employment with the Company and supersede any prior representations or agreements including, but not limited to, any representations made during your recruitment, interviews or pre-employment negotiations, whether written or oral. This Agreement, including, but not limited to, its at-will employment provision, may not be modified or amended except by a written agreement signed by a duly authorized officer of the Company (excluding yourself). This Agreement will be governed by the laws of the State of California but without regard to the conflict of law provision. This offer of employment will terminate if it is not accepted, signed and returned by October 15, 2024.</w:t>
      </w:r>
    </w:p>
    <w:p>
      <w:pPr>
        <w:pStyle w:val="TextBody"/>
        <w:bidi w:val="0"/>
        <w:spacing w:before="240" w:after="283"/>
        <w:jc w:val="left"/>
        <w:rPr>
          <w:rFonts w:ascii="Times New Roman" w:hAnsi="Times New Roman"/>
          <w:color w:val="000000"/>
          <w:sz w:val="24"/>
        </w:rPr>
      </w:pPr>
      <w:r>
        <w:rPr>
          <w:rFonts w:ascii="Times New Roman" w:hAnsi="Times New Roman"/>
          <w:color w:val="000000"/>
          <w:sz w:val="24"/>
        </w:rPr>
        <w:t>We look forward to your favorable reply and to working with you at ALX Oncology.</w:t>
      </w:r>
    </w:p>
    <w:p>
      <w:pPr>
        <w:pStyle w:val="TextBody"/>
        <w:bidi w:val="0"/>
        <w:jc w:val="left"/>
        <w:rPr/>
      </w:pPr>
      <w:r>
        <w:rPr/>
        <w:t> </w:t>
      </w:r>
    </w:p>
    <w:p>
      <w:pPr>
        <w:pStyle w:val="TextBody"/>
        <w:bidi w:val="0"/>
        <w:jc w:val="center"/>
        <w:rPr>
          <w:rFonts w:ascii="Times New Roman" w:hAnsi="Times New Roman"/>
          <w:i/>
          <w:color w:val="000000"/>
          <w:sz w:val="24"/>
        </w:rPr>
      </w:pPr>
      <w:r>
        <w:rPr>
          <w:rFonts w:ascii="Times New Roman" w:hAnsi="Times New Roman"/>
          <w:i/>
          <w:color w:val="000000"/>
          <w:sz w:val="24"/>
        </w:rPr>
        <w:t>[Signature page follows]</w:t>
      </w:r>
    </w:p>
    <w:p>
      <w:pPr>
        <w:pStyle w:val="TextBody"/>
        <w:bidi w:val="0"/>
        <w:spacing w:before="80" w:after="283"/>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spacing w:before="80" w:after="283"/>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Sincerely,</w:t>
      </w:r>
    </w:p>
    <w:p>
      <w:pPr>
        <w:pStyle w:val="TextBody"/>
        <w:bidi w:val="0"/>
        <w:jc w:val="left"/>
        <w:rPr/>
      </w:pPr>
      <w:r>
        <w:rPr/>
        <w:t> </w:t>
      </w:r>
    </w:p>
    <w:p>
      <w:pPr>
        <w:pStyle w:val="TextBody"/>
        <w:bidi w:val="0"/>
        <w:jc w:val="left"/>
        <w:rPr>
          <w:rFonts w:ascii="Times New Roman" w:hAnsi="Times New Roman"/>
          <w:color w:val="000000"/>
          <w:sz w:val="24"/>
        </w:rPr>
      </w:pPr>
      <w:r>
        <w:rPr>
          <w:rFonts w:ascii="Times New Roman" w:hAnsi="Times New Roman"/>
          <w:color w:val="000000"/>
          <w:sz w:val="24"/>
        </w:rPr>
        <w:t>ALX Oncology Holdings Inc.</w:t>
      </w:r>
    </w:p>
    <w:p>
      <w:pPr>
        <w:pStyle w:val="TextBody"/>
        <w:bidi w:val="0"/>
        <w:jc w:val="left"/>
        <w:rPr/>
      </w:pPr>
      <w:r>
        <w:rPr/>
        <w:t> </w:t>
      </w:r>
    </w:p>
    <w:p>
      <w:pPr>
        <w:pStyle w:val="TextBody"/>
        <w:bidi w:val="0"/>
        <w:jc w:val="left"/>
        <w:rPr/>
      </w:pPr>
      <w:r>
        <w:rPr/>
        <w:t> </w:t>
      </w:r>
    </w:p>
    <w:p>
      <w:pPr>
        <w:pStyle w:val="TextBody"/>
        <w:bidi w:val="0"/>
        <w:spacing w:before="0" w:after="60"/>
        <w:jc w:val="left"/>
        <w:rPr>
          <w:rFonts w:ascii="Times New Roman" w:hAnsi="Times New Roman"/>
          <w:sz w:val="20"/>
        </w:rPr>
      </w:pPr>
      <w:r>
        <w:rPr>
          <w:rFonts w:ascii="Times New Roman" w:hAnsi="Times New Roman"/>
          <w:color w:val="000000"/>
          <w:sz w:val="24"/>
        </w:rPr>
        <w:t>By:</w:t>
      </w:r>
      <w:r>
        <w:rPr>
          <w:rFonts w:ascii="Times New Roman" w:hAnsi="Times New Roman"/>
          <w:color w:val="000000"/>
          <w:sz w:val="20"/>
          <w:u w:val="single"/>
        </w:rPr>
        <w:t xml:space="preserve"> </w:t>
      </w:r>
      <w:r>
        <w:rPr>
          <w:rFonts w:ascii="Times New Roman" w:hAnsi="Times New Roman"/>
          <w:color w:val="000000"/>
          <w:sz w:val="24"/>
          <w:u w:val="single"/>
        </w:rPr>
        <w:t xml:space="preserve">/s/ Jason Lettmann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Jason Lettmann</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 xml:space="preserve">Chief Executive Officer </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Agreed to and accepted by:</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4"/>
          <w:u w:val="single"/>
        </w:rPr>
      </w:pPr>
      <w:r>
        <w:rPr>
          <w:rFonts w:ascii="Times New Roman" w:hAnsi="Times New Roman"/>
          <w:color w:val="000000"/>
          <w:sz w:val="24"/>
          <w:u w:val="single"/>
        </w:rPr>
        <w:t xml:space="preserve">/s/ Alan Sandler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Alan Sandler, M.D.</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 xml:space="preserve">Dated: November 11, 2024 </w:t>
      </w:r>
    </w:p>
    <w:p>
      <w:pPr>
        <w:pStyle w:val="TextBody"/>
        <w:bidi w:val="0"/>
        <w:spacing w:before="0" w:after="60"/>
        <w:jc w:val="left"/>
        <w:rPr/>
      </w:pPr>
      <w:r>
        <w:rPr/>
        <w:t> </w:t>
      </w:r>
    </w:p>
    <w:p>
      <w:pPr>
        <w:pStyle w:val="TextBody"/>
        <w:bidi w:val="0"/>
        <w:spacing w:before="0" w:after="60"/>
        <w:jc w:val="left"/>
        <w:rPr/>
      </w:pPr>
      <w:r>
        <w:rPr/>
        <w:t> </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Enclosures</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Duplicate Original Letter</w:t>
      </w:r>
    </w:p>
    <w:p>
      <w:pPr>
        <w:pStyle w:val="TextBody"/>
        <w:bidi w:val="0"/>
        <w:spacing w:before="0" w:after="60"/>
        <w:jc w:val="left"/>
        <w:rPr>
          <w:color w:val="000000"/>
        </w:rPr>
      </w:pPr>
      <w:r>
        <w:rPr>
          <w:color w:val="000000"/>
        </w:rPr>
        <w:t>•</w:t>
      </w:r>
    </w:p>
    <w:p>
      <w:pPr>
        <w:pStyle w:val="TextBody"/>
        <w:bidi w:val="0"/>
        <w:spacing w:before="0" w:after="60"/>
        <w:jc w:val="left"/>
        <w:rPr>
          <w:rFonts w:ascii="Times New Roman" w:hAnsi="Times New Roman"/>
          <w:color w:val="000000"/>
          <w:sz w:val="24"/>
        </w:rPr>
      </w:pPr>
      <w:r>
        <w:rPr>
          <w:rFonts w:ascii="Times New Roman" w:hAnsi="Times New Roman"/>
          <w:color w:val="000000"/>
          <w:sz w:val="24"/>
        </w:rPr>
        <w:t>Employee Confidentiality, Inventions and Non-Interference Agreement</w:t>
      </w:r>
    </w:p>
    <w:p>
      <w:pPr>
        <w:pStyle w:val="TextBody"/>
        <w:bidi w:val="0"/>
        <w:spacing w:before="0" w:after="6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jc w:val="left"/>
        <w:rPr/>
      </w:pPr>
      <w:r>
        <w:rPr/>
        <w:t> </w:t>
      </w:r>
    </w:p>
    <w:p>
      <w:pPr>
        <w:pStyle w:val="TextBody"/>
        <w:bidi w:val="0"/>
        <w:spacing w:before="84" w:after="283"/>
        <w:jc w:val="center"/>
        <w:rPr>
          <w:rFonts w:ascii="Times New Roman" w:hAnsi="Times New Roman"/>
          <w:b/>
          <w:color w:val="000000"/>
          <w:sz w:val="24"/>
          <w:u w:val="single"/>
        </w:rPr>
      </w:pPr>
      <w:r>
        <w:rPr>
          <w:rFonts w:ascii="Times New Roman" w:hAnsi="Times New Roman"/>
          <w:b/>
          <w:color w:val="000000"/>
          <w:sz w:val="24"/>
          <w:u w:val="single"/>
        </w:rPr>
        <w:t>Appendix A</w:t>
      </w:r>
    </w:p>
    <w:p>
      <w:pPr>
        <w:pStyle w:val="TextBody"/>
        <w:bidi w:val="0"/>
        <w:spacing w:before="240" w:after="283"/>
        <w:jc w:val="left"/>
        <w:rPr/>
      </w:pPr>
      <w:r>
        <w:rPr/>
        <w:t> </w:t>
      </w:r>
    </w:p>
    <w:p>
      <w:pPr>
        <w:pStyle w:val="TextBody"/>
        <w:bidi w:val="0"/>
        <w:jc w:val="center"/>
        <w:rPr>
          <w:rFonts w:ascii="Times New Roman" w:hAnsi="Times New Roman"/>
          <w:b/>
          <w:color w:val="000000"/>
          <w:sz w:val="24"/>
        </w:rPr>
      </w:pPr>
      <w:r>
        <w:rPr>
          <w:rFonts w:ascii="Times New Roman" w:hAnsi="Times New Roman"/>
          <w:b/>
          <w:color w:val="000000"/>
          <w:sz w:val="24"/>
        </w:rPr>
        <w:t>Section 7 of the Defend Trade Secrets Act of 2016</w:t>
      </w:r>
    </w:p>
    <w:p>
      <w:pPr>
        <w:pStyle w:val="TextBody"/>
        <w:bidi w:val="0"/>
        <w:spacing w:before="235" w:after="283"/>
        <w:jc w:val="left"/>
        <w:rPr/>
      </w:pPr>
      <w:r>
        <w:rPr/>
        <w:t> </w:t>
      </w:r>
    </w:p>
    <w:p>
      <w:pPr>
        <w:pStyle w:val="TextBody"/>
        <w:bidi w:val="0"/>
        <w:spacing w:before="1" w:after="283"/>
        <w:jc w:val="left"/>
        <w:rPr>
          <w:color w:val="000000"/>
        </w:rPr>
      </w:pPr>
      <w:r>
        <w:rPr>
          <w:color w:val="000000"/>
        </w:rPr>
        <w:t xml:space="preserve">“ </w:t>
      </w:r>
      <w:r>
        <w:rPr>
          <w:rFonts w:ascii="Times New Roman" w:hAnsi="Times New Roman"/>
          <w:color w:val="000000"/>
          <w:sz w:val="24"/>
        </w:rPr>
        <w:t>. . . An individual shall not be held criminally or civilly liable under any Federal or State trade secret law for the disclosure of a trade secret that—(A) is made—(i)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 An individual who files a lawsuit for retaliation by an employer for reporting a suspected violation of law may disclose the trade secret to the attorney of the individual and use the trade secret information in the court proceeding, if the individual—(A) files any document containing the trade secret under seal; and (B) does not disclose the trade secret, except pursuant to court order.”</w:t>
      </w:r>
    </w:p>
    <w:p>
      <w:pPr>
        <w:pStyle w:val="TextBody"/>
        <w:bidi w:val="0"/>
        <w:spacing w:before="0" w:after="6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360" w:after="283"/>
        <w:jc w:val="right"/>
        <w:rPr/>
      </w:pPr>
      <w:r>
        <w:rPr/>
        <w:t> </w:t>
      </w:r>
    </w:p>
    <w:p>
      <w:pPr>
        <w:pStyle w:val="TextBody"/>
        <w:bidi w:val="0"/>
        <w:spacing w:before="84" w:after="283"/>
        <w:jc w:val="center"/>
        <w:rPr>
          <w:rFonts w:ascii="Times New Roman" w:hAnsi="Times New Roman"/>
          <w:b/>
          <w:color w:val="000000"/>
          <w:sz w:val="24"/>
          <w:u w:val="single"/>
        </w:rPr>
      </w:pPr>
      <w:r>
        <w:rPr>
          <w:rFonts w:ascii="Times New Roman" w:hAnsi="Times New Roman"/>
          <w:b/>
          <w:color w:val="000000"/>
          <w:sz w:val="24"/>
          <w:u w:val="single"/>
        </w:rPr>
        <w:t>Appendix B</w:t>
      </w:r>
    </w:p>
    <w:p>
      <w:pPr>
        <w:pStyle w:val="TextBody"/>
        <w:bidi w:val="0"/>
        <w:spacing w:before="240" w:after="283"/>
        <w:jc w:val="center"/>
        <w:rPr>
          <w:rFonts w:ascii="Times New Roman" w:hAnsi="Times New Roman"/>
          <w:b/>
          <w:color w:val="000000"/>
          <w:sz w:val="24"/>
        </w:rPr>
      </w:pPr>
      <w:r>
        <w:rPr>
          <w:rFonts w:ascii="Times New Roman" w:hAnsi="Times New Roman"/>
          <w:b/>
          <w:color w:val="000000"/>
          <w:sz w:val="24"/>
        </w:rPr>
        <w:t>Outside Activities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[Appendix B has been omitted in accordance with Regulation S-K Item 601(a)(5). The registrant agrees to furnish supplementally a copy of any omitted exhibit or schedule to the SEC upon its request, however the registrant may request confidential treatment of omitted items.]</w:t>
      </w:r>
    </w:p>
    <w:p>
      <w:pPr>
        <w:pStyle w:val="HorizontalLine"/>
        <w:pBdr>
          <w:bottom w:val="double" w:sz="2" w:space="0" w:color="808080"/>
        </w:pBdr>
        <w:bidi w:val="0"/>
        <w:spacing w:before="0" w:after="283"/>
        <w:jc w:val="left"/>
        <w:rPr/>
      </w:pPr>
      <w:r>
        <w:rPr/>
      </w:r>
    </w:p>
    <w:p>
      <w:pPr>
        <w:pStyle w:val="TextBody"/>
        <w:bidi w:val="0"/>
        <w:spacing w:before="360" w:after="240"/>
        <w:jc w:val="right"/>
        <w:rPr>
          <w:rFonts w:ascii="Times New Roman" w:hAnsi="Times New Roman"/>
          <w:b/>
          <w:color w:val="000000"/>
          <w:sz w:val="20"/>
        </w:rPr>
      </w:pPr>
      <w:bookmarkStart w:id="64" w:name="alxo-ex10_3.htm"/>
      <w:bookmarkStart w:id="65" w:name="ksalxoex10_3"/>
      <w:bookmarkEnd w:id="64"/>
      <w:bookmarkEnd w:id="65"/>
      <w:r>
        <w:rPr>
          <w:rFonts w:ascii="Times New Roman" w:hAnsi="Times New Roman"/>
          <w:b/>
          <w:color w:val="000000"/>
          <w:sz w:val="20"/>
        </w:rPr>
        <w:t>Exhibit 10.3</w:t>
      </w:r>
      <w:r>
        <w:br w:type="page"/>
      </w:r>
    </w:p>
    <w:p>
      <w:pPr>
        <w:pStyle w:val="TextBody"/>
        <w:bidi w:val="0"/>
        <w:spacing w:before="0" w:after="240"/>
        <w:jc w:val="center"/>
        <w:rPr>
          <w:rFonts w:ascii="Times New Roman" w:hAnsi="Times New Roman"/>
          <w:b/>
          <w:color w:val="000000"/>
          <w:sz w:val="24"/>
        </w:rPr>
      </w:pPr>
      <w:r>
        <w:rPr>
          <w:rFonts w:ascii="Times New Roman" w:hAnsi="Times New Roman"/>
          <w:b/>
          <w:color w:val="000000"/>
          <w:sz w:val="24"/>
        </w:rPr>
        <w:t>ALX ONCOLOGY HOLDINGS INC.</w:t>
        <w:br/>
        <w:br/>
        <w:t>OUTSIDE DIRECTOR COMPENSATION POLICY</w:t>
        <w:br/>
        <w:br/>
        <w:t>(as most recently amended and restated effective as of January 16, 2025 (the “Restatement Date”))</w:t>
      </w:r>
    </w:p>
    <w:p>
      <w:pPr>
        <w:pStyle w:val="TextBody"/>
        <w:bidi w:val="0"/>
        <w:spacing w:before="0" w:after="240"/>
        <w:jc w:val="both"/>
        <w:rPr>
          <w:rFonts w:ascii="Times New Roman" w:hAnsi="Times New Roman"/>
          <w:sz w:val="20"/>
        </w:rPr>
      </w:pPr>
      <w:r>
        <w:rPr>
          <w:rFonts w:ascii="Times New Roman" w:hAnsi="Times New Roman"/>
          <w:color w:val="000000"/>
          <w:sz w:val="24"/>
        </w:rPr>
        <w:t>ALX Oncology Holdings Inc. (the “</w:t>
      </w:r>
      <w:r>
        <w:rPr>
          <w:rFonts w:ascii="Times New Roman" w:hAnsi="Times New Roman"/>
          <w:color w:val="000000"/>
          <w:sz w:val="24"/>
          <w:u w:val="single"/>
        </w:rPr>
        <w:t>Company</w:t>
      </w:r>
      <w:r>
        <w:rPr>
          <w:rFonts w:ascii="Times New Roman" w:hAnsi="Times New Roman"/>
          <w:color w:val="000000"/>
          <w:sz w:val="20"/>
        </w:rPr>
        <w:t>”</w:t>
      </w:r>
      <w:r>
        <w:rPr>
          <w:rFonts w:ascii="Times New Roman" w:hAnsi="Times New Roman"/>
          <w:color w:val="000000"/>
          <w:sz w:val="24"/>
        </w:rPr>
        <w:t>) believes that the granting of equity and cash compensation to members of the Company’s Board of Directors (the “</w:t>
      </w:r>
      <w:r>
        <w:rPr>
          <w:rFonts w:ascii="Times New Roman" w:hAnsi="Times New Roman"/>
          <w:color w:val="000000"/>
          <w:sz w:val="24"/>
          <w:u w:val="single"/>
        </w:rPr>
        <w:t>Board</w:t>
      </w:r>
      <w:r>
        <w:rPr>
          <w:rFonts w:ascii="Times New Roman" w:hAnsi="Times New Roman"/>
          <w:color w:val="000000"/>
          <w:sz w:val="24"/>
        </w:rPr>
        <w:t>,” and members of the Board, “</w:t>
      </w:r>
      <w:r>
        <w:rPr>
          <w:rFonts w:ascii="Times New Roman" w:hAnsi="Times New Roman"/>
          <w:color w:val="000000"/>
          <w:sz w:val="24"/>
          <w:u w:val="single"/>
        </w:rPr>
        <w:t>Directors</w:t>
      </w:r>
      <w:r>
        <w:rPr>
          <w:rFonts w:ascii="Times New Roman" w:hAnsi="Times New Roman"/>
          <w:color w:val="000000"/>
          <w:sz w:val="20"/>
        </w:rPr>
        <w:t>”</w:t>
      </w:r>
      <w:r>
        <w:rPr>
          <w:rFonts w:ascii="Times New Roman" w:hAnsi="Times New Roman"/>
          <w:color w:val="000000"/>
          <w:sz w:val="24"/>
        </w:rPr>
        <w:t>) represents a powerful tool to attract, retain and reward Directors who are not employees of the Company (“</w:t>
      </w:r>
      <w:r>
        <w:rPr>
          <w:rFonts w:ascii="Times New Roman" w:hAnsi="Times New Roman"/>
          <w:color w:val="000000"/>
          <w:sz w:val="24"/>
          <w:u w:val="single"/>
        </w:rPr>
        <w:t>Outside Directors</w:t>
      </w:r>
      <w:r>
        <w:rPr>
          <w:rFonts w:ascii="Times New Roman" w:hAnsi="Times New Roman"/>
          <w:color w:val="000000"/>
          <w:sz w:val="20"/>
        </w:rPr>
        <w:t>”</w:t>
      </w:r>
      <w:r>
        <w:rPr>
          <w:rFonts w:ascii="Times New Roman" w:hAnsi="Times New Roman"/>
          <w:color w:val="000000"/>
          <w:sz w:val="24"/>
        </w:rPr>
        <w:t>). This Outside Director Compensation Policy (the “</w:t>
      </w:r>
      <w:r>
        <w:rPr>
          <w:rFonts w:ascii="Times New Roman" w:hAnsi="Times New Roman"/>
          <w:color w:val="000000"/>
          <w:sz w:val="24"/>
          <w:u w:val="single"/>
        </w:rPr>
        <w:t>Policy</w:t>
      </w:r>
      <w:r>
        <w:rPr>
          <w:rFonts w:ascii="Times New Roman" w:hAnsi="Times New Roman"/>
          <w:color w:val="000000"/>
          <w:sz w:val="20"/>
        </w:rPr>
        <w:t>”</w:t>
      </w:r>
      <w:r>
        <w:rPr>
          <w:rFonts w:ascii="Times New Roman" w:hAnsi="Times New Roman"/>
          <w:color w:val="000000"/>
          <w:sz w:val="24"/>
        </w:rPr>
        <w:t>) is intended to formalize the Company’s policy regarding cash compensation and grants of equity awards to its Outside Directors. Unless otherwise defined herein, capitalized terms used in this Policy will have the meaning given such term in the Company’s Amended and Restated 2020 Equity Incentive Plan, as amended from time to time (the “</w:t>
      </w:r>
      <w:r>
        <w:rPr>
          <w:rFonts w:ascii="Times New Roman" w:hAnsi="Times New Roman"/>
          <w:color w:val="000000"/>
          <w:sz w:val="24"/>
          <w:u w:val="single"/>
        </w:rPr>
        <w:t>Plan</w:t>
      </w:r>
      <w:r>
        <w:rPr>
          <w:rFonts w:ascii="Times New Roman" w:hAnsi="Times New Roman"/>
          <w:color w:val="000000"/>
          <w:sz w:val="20"/>
        </w:rPr>
        <w:t>”</w:t>
      </w:r>
      <w:r>
        <w:rPr>
          <w:rFonts w:ascii="Times New Roman" w:hAnsi="Times New Roman"/>
          <w:color w:val="000000"/>
          <w:sz w:val="24"/>
        </w:rPr>
        <w:t>), or if the Plan no longer is in use at the time of the grant of an equity award, the meaning given such term or similar term in the equity plan then in place under which the equity award is granted. Outside Directors will be solely responsible for any tax obligations they incur as a result of the cash and equity compensation received under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pPr>
      <w:r>
        <w:rPr>
          <w:rFonts w:ascii="Times New Roman" w:hAnsi="Times New Roman"/>
          <w:color w:val="000000"/>
          <w:sz w:val="24"/>
          <w:u w:val="single"/>
        </w:rPr>
        <w:t>Effective Date</w:t>
      </w:r>
      <w:r>
        <w:rPr>
          <w:rFonts w:ascii="Times New Roman" w:hAnsi="Times New Roman"/>
          <w:color w:val="000000"/>
          <w:sz w:val="24"/>
        </w:rPr>
        <w:t>. This Policy, as initially adopted and prior to any subsequent amendments and restatements, became effective as of the effective date of the first registration statement that was filed by the Company and declared effective pursuant to Section 12(b) of the U.S. Securities Exchange Act of 1934, as amended, with respect to any class of the Company’s securities (the effective date of such registration statement, the “</w:t>
      </w:r>
      <w:r>
        <w:rPr>
          <w:rFonts w:ascii="Times New Roman" w:hAnsi="Times New Roman"/>
          <w:color w:val="000000"/>
          <w:sz w:val="24"/>
          <w:u w:val="single"/>
        </w:rPr>
        <w:t>Registration Date</w:t>
      </w:r>
      <w:r>
        <w:rPr>
          <w:color w:val="000000"/>
        </w:rPr>
        <w:t>”</w:t>
      </w:r>
      <w:r>
        <w:rPr>
          <w:rFonts w:ascii="Times New Roman" w:hAnsi="Times New Roman"/>
          <w:color w:val="000000"/>
          <w:sz w:val="24"/>
        </w:rPr>
        <w:t>). This Policy, as most recently amended and restated, is effective as of the Restatement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pPr>
      <w:r>
        <w:rPr>
          <w:rFonts w:ascii="Times New Roman" w:hAnsi="Times New Roman"/>
          <w:color w:val="000000"/>
          <w:sz w:val="24"/>
          <w:u w:val="single"/>
        </w:rPr>
        <w:t>Cash Compensation</w:t>
      </w:r>
      <w:r>
        <w:rPr>
          <w:rFonts w:ascii="Times New Roman" w:hAnsi="Times New Roman"/>
          <w:color w:val="000000"/>
          <w:sz w:val="24"/>
        </w:rPr>
        <w:t>.</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Board Member Annual Cash Retainer</w:t>
      </w:r>
      <w:r>
        <w:rPr>
          <w:rFonts w:ascii="Times New Roman" w:hAnsi="Times New Roman"/>
          <w:color w:val="000000"/>
          <w:sz w:val="24"/>
        </w:rPr>
        <w:t>. Each Outside Director will be paid an annual cash retainer of $40,000. There are no per</w:t>
        <w:noBreakHyphen/>
        <w:t>meeting attendance fees for attending Board meetings or meetings of any committee of the Board.</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Board Committee Annual Cash Retainer</w:t>
      </w:r>
      <w:r>
        <w:rPr>
          <w:rFonts w:ascii="Times New Roman" w:hAnsi="Times New Roman"/>
          <w:color w:val="000000"/>
          <w:sz w:val="24"/>
        </w:rPr>
        <w:t>. As of the Restatement Date, each Outside Director who serves as the non</w:t>
        <w:noBreakHyphen/>
        <w:t>employee chair of the Board, or the chair or a member of a committee of the Board will be eligible to earn additional annual fees as follows:</w:t>
      </w:r>
    </w:p>
    <w:tbl>
      <w:tblPr>
        <w:tblW w:w="6812" w:type="dxa"/>
        <w:jc w:val="left"/>
        <w:tblInd w:w="0" w:type="dxa"/>
        <w:tblLayout w:type="fixed"/>
        <w:tblCellMar>
          <w:top w:w="28" w:type="dxa"/>
          <w:left w:w="28" w:type="dxa"/>
          <w:bottom w:w="28" w:type="dxa"/>
          <w:right w:w="28" w:type="dxa"/>
        </w:tblCellMar>
      </w:tblPr>
      <w:tblGrid>
        <w:gridCol w:w="5881"/>
        <w:gridCol w:w="931"/>
      </w:tblGrid>
      <w:tr>
        <w:trPr/>
        <w:tc>
          <w:tcPr>
            <w:tcW w:w="5881"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Non-employee Chair of the Board:</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$35,000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Audit Committee Chair: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$20,000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Audit Committee Member: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$7,500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Compensation Committee Chair: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$12,000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Compensation Committee Member: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$6,000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Corporate Governance and Nominating Committee Chair: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$10,000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Corporate Governance and Nominating Committee Member: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$5,000</w:t>
            </w:r>
          </w:p>
        </w:tc>
      </w:tr>
      <w:tr>
        <w:trPr/>
        <w:tc>
          <w:tcPr>
            <w:tcW w:w="588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Research and Development Committee Chair:</w:t>
            </w:r>
          </w:p>
        </w:tc>
        <w:tc>
          <w:tcPr>
            <w:tcW w:w="93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$10,000</w:t>
            </w:r>
          </w:p>
        </w:tc>
      </w:tr>
    </w:tbl>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tbl>
      <w:tblPr>
        <w:tblW w:w="5552" w:type="dxa"/>
        <w:jc w:val="left"/>
        <w:tblInd w:w="0" w:type="dxa"/>
        <w:tblLayout w:type="fixed"/>
        <w:tblCellMar>
          <w:top w:w="28" w:type="dxa"/>
          <w:left w:w="28" w:type="dxa"/>
          <w:bottom w:w="28" w:type="dxa"/>
          <w:right w:w="28" w:type="dxa"/>
        </w:tblCellMar>
      </w:tblPr>
      <w:tblGrid>
        <w:gridCol w:w="4741"/>
        <w:gridCol w:w="811"/>
      </w:tblGrid>
      <w:tr>
        <w:trPr/>
        <w:tc>
          <w:tcPr>
            <w:tcW w:w="474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r>
      <w:tr>
        <w:trPr/>
        <w:tc>
          <w:tcPr>
            <w:tcW w:w="474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Research and Development Committee Member:</w:t>
            </w:r>
          </w:p>
        </w:tc>
        <w:tc>
          <w:tcPr>
            <w:tcW w:w="811" w:type="dxa"/>
            <w:tcBorders/>
            <w:tcMar>
              <w:top w:w="0" w:type="dxa"/>
              <w:left w:w="0" w:type="dxa"/>
              <w:bottom w:w="0" w:type="dxa"/>
              <w:right w:w="0" w:type="dxa"/>
            </w:tcMar>
            <w:vAlign w:val="center"/>
          </w:tcPr>
          <w:p>
            <w:pPr>
              <w:pStyle w:val="TableContents"/>
              <w:bidi w:val="0"/>
              <w:spacing w:before="0" w:after="60"/>
              <w:jc w:val="left"/>
              <w:rPr>
                <w:rFonts w:ascii="Times New Roman" w:hAnsi="Times New Roman"/>
                <w:color w:val="000000"/>
                <w:sz w:val="24"/>
              </w:rPr>
            </w:pPr>
            <w:r>
              <w:rPr>
                <w:rFonts w:ascii="Times New Roman" w:hAnsi="Times New Roman"/>
                <w:color w:val="000000"/>
                <w:sz w:val="24"/>
              </w:rPr>
              <w:t>$5,000</w:t>
            </w:r>
          </w:p>
        </w:tc>
      </w:tr>
    </w:tbl>
    <w:p>
      <w:pPr>
        <w:pStyle w:val="TextBody"/>
        <w:bidi w:val="0"/>
        <w:jc w:val="left"/>
        <w:rPr/>
      </w:pPr>
      <w:r>
        <w:rPr/>
        <w:t> </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For clarity, each Outside Director who serves as the chair of a committee will not receive both the additional annual fee as the chair of the committee and the additional annual fee as a member of the committee, provided, for clarity, that the Outside Director who serves as the non</w:t>
        <w:noBreakHyphen/>
        <w:t>employee chair of the Board will receive the annual fee for services provided in such role as well as the annual fee as an Outside Director.</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Payment Timing and Proration</w:t>
      </w:r>
      <w:r>
        <w:rPr>
          <w:rFonts w:ascii="Times New Roman" w:hAnsi="Times New Roman"/>
          <w:color w:val="000000"/>
          <w:sz w:val="24"/>
        </w:rPr>
        <w:t>. Each annual cash retainer under this Policy will be paid quarterly in arrears on a prorated basis to each Outside Director who has served in the relevant capacity during the applicable fiscal quarter of the Company (“</w:t>
      </w:r>
      <w:r>
        <w:rPr>
          <w:rFonts w:ascii="Times New Roman" w:hAnsi="Times New Roman"/>
          <w:color w:val="000000"/>
          <w:sz w:val="24"/>
          <w:u w:val="single"/>
        </w:rPr>
        <w:t>Fiscal Quarter</w:t>
      </w:r>
      <w:r>
        <w:rPr>
          <w:color w:val="000000"/>
        </w:rPr>
        <w:t>”</w:t>
      </w:r>
      <w:r>
        <w:rPr>
          <w:rFonts w:ascii="Times New Roman" w:hAnsi="Times New Roman"/>
          <w:color w:val="000000"/>
          <w:sz w:val="24"/>
        </w:rPr>
        <w:t>), and such payment will be made no later than thirty (30) days following the end of such Fiscal Quarter. For clarity, an Outside Director who has served as an Outside Director, as a member of an applicable committee (or chair thereof), or as the non-employee chair of the Board during only a portion of the relevant Fiscal Quarter will receive a prorated payment of the quarterly installment of the applicable annual cash retainer(s), calculated based on the number of days during such Fiscal Quarter such Outside Director has served in the relevant capacities.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3.</w:t>
      </w:r>
    </w:p>
    <w:p>
      <w:pPr>
        <w:pStyle w:val="TextBody"/>
        <w:bidi w:val="0"/>
        <w:spacing w:before="0" w:after="240"/>
        <w:jc w:val="both"/>
        <w:rPr/>
      </w:pPr>
      <w:r>
        <w:rPr>
          <w:rFonts w:ascii="Times New Roman" w:hAnsi="Times New Roman"/>
          <w:color w:val="000000"/>
          <w:sz w:val="24"/>
          <w:u w:val="single"/>
        </w:rPr>
        <w:t>Equity Compensation</w:t>
      </w:r>
      <w:r>
        <w:rPr>
          <w:rFonts w:ascii="Times New Roman" w:hAnsi="Times New Roman"/>
          <w:color w:val="000000"/>
          <w:sz w:val="24"/>
        </w:rPr>
        <w:t>. Outside Directors will be entitled to receive all types of Awards (except Incentive Stock Options) under the Plan, including discretionary Awards not covered under this Policy. All grants of Awards to Outside Directors pursuant to Sections 3(b) and 3(c) of this Policy will be automatic and nondiscretionary, except as otherwise provided herein, and will be made in accordance with the following provisions: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(a)</w:t>
      </w:r>
    </w:p>
    <w:p>
      <w:pPr>
        <w:pStyle w:val="TextBody"/>
        <w:bidi w:val="0"/>
        <w:spacing w:before="0" w:after="240"/>
        <w:jc w:val="both"/>
        <w:rPr/>
      </w:pPr>
      <w:r>
        <w:rPr>
          <w:rFonts w:ascii="Times New Roman" w:hAnsi="Times New Roman"/>
          <w:color w:val="000000"/>
          <w:sz w:val="24"/>
          <w:u w:val="single"/>
        </w:rPr>
        <w:t>No Discretion</w:t>
      </w:r>
      <w:r>
        <w:rPr>
          <w:rFonts w:ascii="Times New Roman" w:hAnsi="Times New Roman"/>
          <w:color w:val="000000"/>
          <w:sz w:val="24"/>
        </w:rPr>
        <w:t>. No person will have any discretion to select which Outside Directors will be granted an Initial Award or Annual Awards (as defined below) under this Policy or to determine the number of Shares to be covered by such Awards (except as provided in Section 11 below).</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(b)</w:t>
      </w:r>
    </w:p>
    <w:p>
      <w:pPr>
        <w:pStyle w:val="TextBody"/>
        <w:bidi w:val="0"/>
        <w:spacing w:before="0" w:after="240"/>
        <w:jc w:val="both"/>
        <w:rPr/>
      </w:pPr>
      <w:r>
        <w:rPr>
          <w:rFonts w:ascii="Times New Roman" w:hAnsi="Times New Roman"/>
          <w:color w:val="000000"/>
          <w:sz w:val="24"/>
          <w:u w:val="single"/>
        </w:rPr>
        <w:t>Initial Awards</w:t>
      </w:r>
      <w:r>
        <w:rPr>
          <w:rFonts w:ascii="Times New Roman" w:hAnsi="Times New Roman"/>
          <w:color w:val="000000"/>
          <w:sz w:val="24"/>
        </w:rPr>
        <w:t>. Each individual who first becomes an Outside Director following the Restatement Date automatically will be granted an Option (an “</w:t>
      </w:r>
      <w:r>
        <w:rPr>
          <w:rFonts w:ascii="Times New Roman" w:hAnsi="Times New Roman"/>
          <w:color w:val="000000"/>
          <w:sz w:val="24"/>
          <w:u w:val="single"/>
        </w:rPr>
        <w:t>Initial Award</w:t>
      </w:r>
      <w:r>
        <w:rPr>
          <w:color w:val="000000"/>
        </w:rPr>
        <w:t>”</w:t>
      </w:r>
      <w:r>
        <w:rPr>
          <w:rFonts w:ascii="Times New Roman" w:hAnsi="Times New Roman"/>
          <w:color w:val="000000"/>
          <w:sz w:val="24"/>
        </w:rPr>
        <w:t>) to purchase 40,400 Shares. The grant date of the Initial Award will be the first Trading Day on or after the date on which such individual first becomes an Outside Director (such first date as an Outside Director, the “</w:t>
      </w:r>
      <w:r>
        <w:rPr>
          <w:rFonts w:ascii="Times New Roman" w:hAnsi="Times New Roman"/>
          <w:color w:val="000000"/>
          <w:sz w:val="24"/>
          <w:u w:val="single"/>
        </w:rPr>
        <w:t>Initial Start Date</w:t>
      </w:r>
      <w:r>
        <w:rPr>
          <w:color w:val="000000"/>
        </w:rPr>
        <w:t>”</w:t>
      </w:r>
      <w:r>
        <w:rPr>
          <w:rFonts w:ascii="Times New Roman" w:hAnsi="Times New Roman"/>
          <w:color w:val="000000"/>
          <w:sz w:val="24"/>
        </w:rPr>
        <w:t>), whether through election by the stockholders of the Company or appointment by the Board to fill a vacancy. If an individual was an Inside Director, becoming an Outside Director due to termination of the individual’s status as an Employee will not entitle the Outside Director to an Initial Award. Each Initial Award will be scheduled to vest as to 1/36</w:t>
      </w:r>
      <w:r>
        <w:rPr>
          <w:rFonts w:ascii="Times New Roman" w:hAnsi="Times New Roman"/>
          <w:color w:val="000000"/>
          <w:sz w:val="16"/>
        </w:rPr>
        <w:t>th</w:t>
      </w:r>
      <w:r>
        <w:rPr>
          <w:color w:val="000000"/>
        </w:rPr>
        <w:t xml:space="preserve"> </w:t>
      </w:r>
      <w:r>
        <w:rPr>
          <w:rFonts w:ascii="Times New Roman" w:hAnsi="Times New Roman"/>
          <w:color w:val="000000"/>
          <w:sz w:val="24"/>
        </w:rPr>
        <w:t>of the Shares subject at grant to the Initial Award on a monthly basis following the Initial Award’s grant date on the same day of the month as such grant date (or the last day of the month, if there is no corresponding day in such month), subject to the Outside Director remaining a Service Provider through the applicable vesting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(c)</w:t>
      </w:r>
    </w:p>
    <w:p>
      <w:pPr>
        <w:pStyle w:val="TextBody"/>
        <w:bidi w:val="0"/>
        <w:spacing w:before="0" w:after="240"/>
        <w:jc w:val="both"/>
        <w:rPr/>
      </w:pPr>
      <w:r>
        <w:rPr>
          <w:rFonts w:ascii="Times New Roman" w:hAnsi="Times New Roman"/>
          <w:color w:val="000000"/>
          <w:sz w:val="24"/>
          <w:u w:val="single"/>
        </w:rPr>
        <w:t>Annual Award</w:t>
      </w:r>
      <w:r>
        <w:rPr>
          <w:rFonts w:ascii="Times New Roman" w:hAnsi="Times New Roman"/>
          <w:color w:val="000000"/>
          <w:sz w:val="24"/>
        </w:rPr>
        <w:t>. Effective as of the Restatement Date, on the first Trading Day on or after January 20 of each year, each Outside Director automatically will be granted an Option (the “</w:t>
      </w:r>
      <w:r>
        <w:rPr>
          <w:rFonts w:ascii="Times New Roman" w:hAnsi="Times New Roman"/>
          <w:color w:val="000000"/>
          <w:sz w:val="24"/>
          <w:u w:val="single"/>
        </w:rPr>
        <w:t>Annual Award</w:t>
      </w:r>
      <w:r>
        <w:rPr>
          <w:color w:val="000000"/>
        </w:rPr>
        <w:t>”</w:t>
      </w:r>
      <w:r>
        <w:rPr>
          <w:rFonts w:ascii="Times New Roman" w:hAnsi="Times New Roman"/>
          <w:color w:val="000000"/>
          <w:sz w:val="24"/>
        </w:rPr>
        <w:t xml:space="preserve">) to purchase 40,400 Shares, provided, however, that if an individual commenced service as an Outside Director after the first Trading Day on or after January 20 of the immediately preceding year, then the Annual Award granted to such Outside Director will be prorated based on the number of whole months that the individual served as an Outside Director prior to the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Annual Award’s grant date during the 12-month period immediately preceding the Annual Award’s grant date (with any resulting fractional Share rounded down to the nearest whole Share). The Annual Award will be scheduled to vest as to 1/12</w:t>
      </w:r>
      <w:r>
        <w:rPr>
          <w:rFonts w:ascii="Times New Roman" w:hAnsi="Times New Roman"/>
          <w:color w:val="000000"/>
          <w:sz w:val="16"/>
        </w:rPr>
        <w:t>th</w:t>
      </w:r>
      <w:r>
        <w:rPr>
          <w:color w:val="000000"/>
        </w:rPr>
        <w:t xml:space="preserve"> </w:t>
      </w:r>
      <w:r>
        <w:rPr>
          <w:rFonts w:ascii="Times New Roman" w:hAnsi="Times New Roman"/>
          <w:color w:val="000000"/>
          <w:sz w:val="24"/>
        </w:rPr>
        <w:t>of the Shares subject to the Annual Award on a monthly basis following the Annual Award’s grant date on the same day of the month as such grant date (or the last day of the month, if there is no corresponding day in such month), subject to the Outside Director remaining a Service Provider through the applicable vesting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(d)</w:t>
      </w:r>
    </w:p>
    <w:p>
      <w:pPr>
        <w:pStyle w:val="TextBody"/>
        <w:bidi w:val="0"/>
        <w:spacing w:before="0" w:after="240"/>
        <w:jc w:val="both"/>
        <w:rPr/>
      </w:pPr>
      <w:r>
        <w:rPr>
          <w:rFonts w:ascii="Times New Roman" w:hAnsi="Times New Roman"/>
          <w:color w:val="000000"/>
          <w:sz w:val="24"/>
          <w:u w:val="single"/>
        </w:rPr>
        <w:t>Additional Terms of Initial Awards and Annual Awards</w:t>
      </w:r>
      <w:r>
        <w:rPr>
          <w:rFonts w:ascii="Times New Roman" w:hAnsi="Times New Roman"/>
          <w:color w:val="000000"/>
          <w:sz w:val="24"/>
        </w:rPr>
        <w:t>. The terms and conditions of each Initial Award and Annual Award will be as follows: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The term of each Initial Award and Annual Award will be 10 years, subject to earlier termination as provided in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(2)</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Each Initial Award and Annual Award will have a per Share exercise price equal to 100% of the Fair Market Value per Share on the grant date.</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4.</w:t>
      </w:r>
    </w:p>
    <w:p>
      <w:pPr>
        <w:pStyle w:val="TextBody"/>
        <w:bidi w:val="0"/>
        <w:spacing w:before="0" w:after="240"/>
        <w:jc w:val="both"/>
        <w:rPr/>
      </w:pPr>
      <w:r>
        <w:rPr>
          <w:rFonts w:ascii="Times New Roman" w:hAnsi="Times New Roman"/>
          <w:color w:val="000000"/>
          <w:sz w:val="24"/>
          <w:u w:val="single"/>
        </w:rPr>
        <w:t>Change in Control</w:t>
      </w:r>
      <w:r>
        <w:rPr>
          <w:rFonts w:ascii="Times New Roman" w:hAnsi="Times New Roman"/>
          <w:color w:val="000000"/>
          <w:sz w:val="24"/>
        </w:rPr>
        <w:t>. In the event of a Change in Control, each Outside Director will fully vest in their outstanding Company equity awards, including any Initial Award and Annual Award, provided that the Outside Director continues to be an Outside Director through the date of such Change in Control.</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5.</w:t>
      </w:r>
    </w:p>
    <w:p>
      <w:pPr>
        <w:pStyle w:val="TextBody"/>
        <w:bidi w:val="0"/>
        <w:spacing w:before="0" w:after="240"/>
        <w:jc w:val="both"/>
        <w:rPr/>
      </w:pPr>
      <w:r>
        <w:rPr>
          <w:rFonts w:ascii="Times New Roman" w:hAnsi="Times New Roman"/>
          <w:color w:val="000000"/>
          <w:sz w:val="24"/>
          <w:u w:val="single"/>
        </w:rPr>
        <w:t>Annual Compensation Limit</w:t>
      </w:r>
      <w:r>
        <w:rPr>
          <w:rFonts w:ascii="Times New Roman" w:hAnsi="Times New Roman"/>
          <w:color w:val="000000"/>
          <w:sz w:val="24"/>
        </w:rPr>
        <w:t>. No Outside Director may be granted Awards with Values, and be provided any other compensation (including without limitation any cash retainers or fees) with amounts that, in any Fiscal Year, in the aggregate, exceed $1,000,000. Any Awards or other compensation provided to an individual (a) for their services as an Employee, or for their services as a Consultant other than as an Outside Director, or (b) before the Registration Date, will be excluded for purposes of this Section 5. For purposes of this Policy, “</w:t>
      </w:r>
      <w:r>
        <w:rPr>
          <w:rFonts w:ascii="Times New Roman" w:hAnsi="Times New Roman"/>
          <w:color w:val="000000"/>
          <w:sz w:val="24"/>
          <w:u w:val="single"/>
        </w:rPr>
        <w:t>Value</w:t>
      </w:r>
      <w:r>
        <w:rPr>
          <w:color w:val="000000"/>
        </w:rPr>
        <w:t xml:space="preserve">” </w:t>
      </w:r>
      <w:r>
        <w:rPr>
          <w:rFonts w:ascii="Times New Roman" w:hAnsi="Times New Roman"/>
          <w:color w:val="000000"/>
          <w:sz w:val="24"/>
        </w:rPr>
        <w:t>means grant date fair value determined in accordance with U.S. generally accepted accounting principles.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6.</w:t>
      </w:r>
    </w:p>
    <w:p>
      <w:pPr>
        <w:pStyle w:val="TextBody"/>
        <w:bidi w:val="0"/>
        <w:spacing w:before="0" w:after="240"/>
        <w:jc w:val="both"/>
        <w:rPr/>
      </w:pPr>
      <w:r>
        <w:rPr>
          <w:rFonts w:ascii="Times New Roman" w:hAnsi="Times New Roman"/>
          <w:color w:val="000000"/>
          <w:sz w:val="24"/>
          <w:u w:val="single"/>
        </w:rPr>
        <w:t>Travel Expenses</w:t>
      </w:r>
      <w:r>
        <w:rPr>
          <w:rFonts w:ascii="Times New Roman" w:hAnsi="Times New Roman"/>
          <w:color w:val="000000"/>
          <w:sz w:val="24"/>
        </w:rPr>
        <w:t>. Each Outside Director’s reasonable, customary and documented travel expenses to meetings of the Board and its committees, as applicable, will be reimbursed by the Company.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7.</w:t>
      </w:r>
    </w:p>
    <w:p>
      <w:pPr>
        <w:pStyle w:val="TextBody"/>
        <w:bidi w:val="0"/>
        <w:spacing w:before="0" w:after="240"/>
        <w:jc w:val="both"/>
        <w:rPr/>
      </w:pPr>
      <w:r>
        <w:rPr>
          <w:rFonts w:ascii="Times New Roman" w:hAnsi="Times New Roman"/>
          <w:color w:val="000000"/>
          <w:sz w:val="24"/>
          <w:u w:val="single"/>
        </w:rPr>
        <w:t>Additional Provisions</w:t>
      </w:r>
      <w:r>
        <w:rPr>
          <w:rFonts w:ascii="Times New Roman" w:hAnsi="Times New Roman"/>
          <w:color w:val="000000"/>
          <w:sz w:val="24"/>
        </w:rPr>
        <w:t>. All provisions of the Plan not inconsistent with this Policy will apply to Awards granted to Outside Directors. Each Award granted under this Policy will be granted under the Plan and will be subject to the applicable Award Agreement adopted by the Board or its Compensation Committee for use under the Plan.</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8.</w:t>
      </w:r>
    </w:p>
    <w:p>
      <w:pPr>
        <w:pStyle w:val="TextBody"/>
        <w:bidi w:val="0"/>
        <w:spacing w:before="0" w:after="240"/>
        <w:jc w:val="both"/>
        <w:rPr/>
      </w:pPr>
      <w:r>
        <w:rPr>
          <w:rFonts w:ascii="Times New Roman" w:hAnsi="Times New Roman"/>
          <w:color w:val="000000"/>
          <w:sz w:val="24"/>
          <w:u w:val="single"/>
        </w:rPr>
        <w:t>Adjustments</w:t>
      </w:r>
      <w:r>
        <w:rPr>
          <w:rFonts w:ascii="Times New Roman" w:hAnsi="Times New Roman"/>
          <w:color w:val="000000"/>
          <w:sz w:val="24"/>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ordinary dividends or other ordinary distributions), the Administrator, in order to prevent diminution or enlargement of the benefits or potential benefits intended to be made available under this Policy, will adjust the number, class, and price of shares of stock issuable pursuant to Awards granted under this Policy.</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9.</w:t>
      </w:r>
    </w:p>
    <w:p>
      <w:pPr>
        <w:pStyle w:val="TextBody"/>
        <w:bidi w:val="0"/>
        <w:spacing w:before="0" w:after="240"/>
        <w:jc w:val="both"/>
        <w:rPr/>
      </w:pPr>
      <w:r>
        <w:rPr>
          <w:rFonts w:ascii="Times New Roman" w:hAnsi="Times New Roman"/>
          <w:color w:val="000000"/>
          <w:sz w:val="24"/>
          <w:u w:val="single"/>
        </w:rPr>
        <w:t>Section 409A</w:t>
      </w:r>
      <w:r>
        <w:rPr>
          <w:rFonts w:ascii="Times New Roman" w:hAnsi="Times New Roman"/>
          <w:color w:val="000000"/>
          <w:sz w:val="24"/>
        </w:rPr>
        <w:t>. In no event will cash compensation or expense reimbursement payments under this Policy be paid after the later of (i) the fifteenth (15</w:t>
      </w:r>
      <w:r>
        <w:rPr>
          <w:rFonts w:ascii="Times New Roman" w:hAnsi="Times New Roman"/>
          <w:color w:val="000000"/>
          <w:sz w:val="16"/>
        </w:rPr>
        <w:t>th</w:t>
      </w:r>
      <w:r>
        <w:rPr>
          <w:rFonts w:ascii="Times New Roman" w:hAnsi="Times New Roman"/>
          <w:color w:val="000000"/>
          <w:sz w:val="24"/>
        </w:rPr>
        <w:t>) day of the third (3</w:t>
      </w:r>
      <w:r>
        <w:rPr>
          <w:rFonts w:ascii="Times New Roman" w:hAnsi="Times New Roman"/>
          <w:color w:val="000000"/>
          <w:sz w:val="16"/>
        </w:rPr>
        <w:t>rd</w:t>
      </w:r>
      <w:r>
        <w:rPr>
          <w:rFonts w:ascii="Times New Roman" w:hAnsi="Times New Roman"/>
          <w:color w:val="000000"/>
          <w:sz w:val="24"/>
        </w:rPr>
        <w:t xml:space="preserve">) month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40"/>
        <w:jc w:val="both"/>
        <w:rPr/>
      </w:pPr>
      <w:r>
        <w:rPr>
          <w:rFonts w:ascii="Times New Roman" w:hAnsi="Times New Roman"/>
          <w:color w:val="000000"/>
          <w:sz w:val="24"/>
        </w:rPr>
        <w:t>following the end of the Company’s taxable year in which the compensation is earned or expenses are incurred, as applicable, or (ii) the fifteenth (15</w:t>
      </w:r>
      <w:r>
        <w:rPr>
          <w:rFonts w:ascii="Times New Roman" w:hAnsi="Times New Roman"/>
          <w:color w:val="000000"/>
          <w:sz w:val="16"/>
        </w:rPr>
        <w:t>th</w:t>
      </w:r>
      <w:r>
        <w:rPr>
          <w:rFonts w:ascii="Times New Roman" w:hAnsi="Times New Roman"/>
          <w:color w:val="000000"/>
          <w:sz w:val="24"/>
        </w:rPr>
        <w:t>) day of the third (3</w:t>
      </w:r>
      <w:r>
        <w:rPr>
          <w:rFonts w:ascii="Times New Roman" w:hAnsi="Times New Roman"/>
          <w:color w:val="000000"/>
          <w:sz w:val="16"/>
        </w:rPr>
        <w:t>rd</w:t>
      </w:r>
      <w:r>
        <w:rPr>
          <w:rFonts w:ascii="Times New Roman" w:hAnsi="Times New Roman"/>
          <w:color w:val="000000"/>
          <w:sz w:val="24"/>
        </w:rPr>
        <w:t>) month following the end of the calendar year in which the compensation is earned or expenses are incurred, as applicable, in compliance with the “short-term deferral” exception under Section 409A. It is the intent of this Policy that this Policy and all payments hereunder be exempt from or otherwise comply with the requirements of Section 409A so that none of the compensation provided hereunder will be subject to the additional tax imposed under Section 409A, and any ambiguities or ambiguous terms herein will be interpreted to be so exempt or comply. In no event will the Company or any of its Parent or Subsidiaries have any responsibility, liability, or obligation to reimburse, indemnify, or hold harmless an Outside Director (or any other person) for any taxes imposed or other costs incurred as a result of Section 409A.</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10.</w:t>
      </w:r>
    </w:p>
    <w:p>
      <w:pPr>
        <w:pStyle w:val="TextBody"/>
        <w:bidi w:val="0"/>
        <w:spacing w:before="0" w:after="240"/>
        <w:jc w:val="both"/>
        <w:rPr/>
      </w:pPr>
      <w:r>
        <w:rPr>
          <w:rFonts w:ascii="Times New Roman" w:hAnsi="Times New Roman"/>
          <w:color w:val="000000"/>
          <w:sz w:val="24"/>
          <w:u w:val="single"/>
        </w:rPr>
        <w:t>Stockholder Approval</w:t>
      </w:r>
      <w:r>
        <w:rPr>
          <w:rFonts w:ascii="Times New Roman" w:hAnsi="Times New Roman"/>
          <w:color w:val="000000"/>
          <w:sz w:val="24"/>
        </w:rPr>
        <w:t>. This Policy as initially adopted was previously approved by the Company’s stockholders.</w:t>
      </w:r>
    </w:p>
    <w:p>
      <w:pPr>
        <w:pStyle w:val="TextBody"/>
        <w:bidi w:val="0"/>
        <w:spacing w:before="0" w:after="240"/>
        <w:jc w:val="both"/>
        <w:rPr>
          <w:rFonts w:ascii="Times New Roman" w:hAnsi="Times New Roman"/>
          <w:color w:val="000000"/>
          <w:sz w:val="24"/>
        </w:rPr>
      </w:pPr>
      <w:r>
        <w:rPr>
          <w:rFonts w:ascii="Times New Roman" w:hAnsi="Times New Roman"/>
          <w:color w:val="000000"/>
          <w:sz w:val="24"/>
        </w:rPr>
        <w:t>11.</w:t>
      </w:r>
    </w:p>
    <w:p>
      <w:pPr>
        <w:pStyle w:val="TextBody"/>
        <w:bidi w:val="0"/>
        <w:spacing w:before="0" w:after="240"/>
        <w:jc w:val="both"/>
        <w:rPr/>
      </w:pPr>
      <w:r>
        <w:rPr>
          <w:rFonts w:ascii="Times New Roman" w:hAnsi="Times New Roman"/>
          <w:color w:val="000000"/>
          <w:sz w:val="24"/>
          <w:u w:val="single"/>
        </w:rPr>
        <w:t>Revisions</w:t>
      </w:r>
      <w:r>
        <w:rPr>
          <w:rFonts w:ascii="Times New Roman" w:hAnsi="Times New Roman"/>
          <w:color w:val="000000"/>
          <w:sz w:val="24"/>
        </w:rPr>
        <w:t>. The Board may amend, alter, suspend or terminate this Policy at any time and for any reason, including without limitation changing the terms of Initial Awards and Annual Awards. Further, the Board may provide for cash, equity, or other compensation to Outside Directors in addition to the compensation provided under this Policy. No amendment, alteration, suspension or termination of this Policy will materially impair the rights of an Outside Director with respect to compensation that already has been paid or awarded, unless otherwise mutually agreed between the Outside Director and the Company. Termination of this Policy will not affect the Board’s or the Compensation Committee’s ability to exercise the powers granted to it under the Plan with respect to Awards granted under the Plan pursuant to this Policy before the date of such termination.</w:t>
      </w:r>
    </w:p>
    <w:p>
      <w:pPr>
        <w:pStyle w:val="TextBody"/>
        <w:bidi w:val="0"/>
        <w:spacing w:before="0" w:after="240"/>
        <w:jc w:val="center"/>
        <w:rPr>
          <w:rFonts w:ascii="Times New Roman" w:hAnsi="Times New Roman"/>
          <w:color w:val="000000"/>
          <w:sz w:val="24"/>
        </w:rPr>
      </w:pPr>
      <w:r>
        <w:rPr>
          <w:rFonts w:ascii="Times New Roman" w:hAnsi="Times New Roman"/>
          <w:color w:val="000000"/>
          <w:sz w:val="24"/>
        </w:rPr>
        <w:t>* *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6" w:name="alxo-ex31_1.htm"/>
      <w:bookmarkStart w:id="67" w:name="ksalxoex31_1"/>
      <w:bookmarkEnd w:id="66"/>
      <w:bookmarkEnd w:id="67"/>
      <w:r>
        <w:rPr>
          <w:rFonts w:ascii="Times New Roman" w:hAnsi="Times New Roman"/>
          <w:b/>
          <w:color w:val="000000"/>
          <w:sz w:val="20"/>
        </w:rPr>
        <w:t>Exhibit 31.1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Jason Lettmann,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5444" w:type="dxa"/>
        <w:jc w:val="left"/>
        <w:tblInd w:w="0" w:type="dxa"/>
        <w:tblLayout w:type="fixed"/>
        <w:tblCellMar>
          <w:top w:w="28" w:type="dxa"/>
          <w:left w:w="28" w:type="dxa"/>
          <w:bottom w:w="28" w:type="dxa"/>
          <w:right w:w="28" w:type="dxa"/>
        </w:tblCellMar>
      </w:tblPr>
      <w:tblGrid>
        <w:gridCol w:w="1636"/>
        <w:gridCol w:w="146"/>
        <w:gridCol w:w="406"/>
        <w:gridCol w:w="325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68" w:name="alxo-ex31_2.htm"/>
      <w:bookmarkStart w:id="69" w:name="ksalxoex31_2"/>
      <w:bookmarkEnd w:id="68"/>
      <w:bookmarkEnd w:id="69"/>
      <w:r>
        <w:rPr>
          <w:rFonts w:ascii="Times New Roman" w:hAnsi="Times New Roman"/>
          <w:b/>
          <w:color w:val="000000"/>
          <w:sz w:val="20"/>
        </w:rPr>
        <w:t>Exhibit 31.2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Harish Shantharam, certify that: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 have reviewed this Quarterly Report on Form 10-Q of ALX Oncology Holdings Inc.;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4754" w:type="dxa"/>
        <w:jc w:val="left"/>
        <w:tblInd w:w="0" w:type="dxa"/>
        <w:tblLayout w:type="fixed"/>
        <w:tblCellMar>
          <w:top w:w="28" w:type="dxa"/>
          <w:left w:w="28" w:type="dxa"/>
          <w:bottom w:w="28" w:type="dxa"/>
          <w:right w:w="28" w:type="dxa"/>
        </w:tblCellMar>
      </w:tblPr>
      <w:tblGrid>
        <w:gridCol w:w="1636"/>
        <w:gridCol w:w="146"/>
        <w:gridCol w:w="406"/>
        <w:gridCol w:w="25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0" w:name="alxo-ex32_1.htm"/>
      <w:bookmarkStart w:id="71" w:name="ksalxoex32_1"/>
      <w:bookmarkEnd w:id="70"/>
      <w:bookmarkEnd w:id="71"/>
      <w:r>
        <w:rPr>
          <w:rFonts w:ascii="Times New Roman" w:hAnsi="Times New Roman"/>
          <w:b/>
          <w:color w:val="000000"/>
          <w:sz w:val="20"/>
        </w:rPr>
        <w:t>Exhibit 32.1</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ALX Oncology Holdings Inc. (the “Company”), on Form 10-Q for the period ended March 31, 2025,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5444" w:type="dxa"/>
        <w:jc w:val="left"/>
        <w:tblInd w:w="0" w:type="dxa"/>
        <w:tblLayout w:type="fixed"/>
        <w:tblCellMar>
          <w:top w:w="28" w:type="dxa"/>
          <w:left w:w="28" w:type="dxa"/>
          <w:bottom w:w="28" w:type="dxa"/>
          <w:right w:w="28" w:type="dxa"/>
        </w:tblCellMar>
      </w:tblPr>
      <w:tblGrid>
        <w:gridCol w:w="1636"/>
        <w:gridCol w:w="146"/>
        <w:gridCol w:w="406"/>
        <w:gridCol w:w="325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25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25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Jason Lettmann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Jason Lettmann</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Executive Officer and Director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Times New Roman" w:hAnsi="Times New Roman"/>
          <w:b/>
          <w:color w:val="000000"/>
          <w:sz w:val="20"/>
        </w:rPr>
      </w:pPr>
      <w:bookmarkStart w:id="72" w:name="alxo-ex32_2.htm"/>
      <w:bookmarkStart w:id="73" w:name="ksalxoex32_2"/>
      <w:bookmarkEnd w:id="72"/>
      <w:bookmarkEnd w:id="73"/>
      <w:r>
        <w:rPr>
          <w:rFonts w:ascii="Times New Roman" w:hAnsi="Times New Roman"/>
          <w:b/>
          <w:color w:val="000000"/>
          <w:sz w:val="20"/>
        </w:rPr>
        <w:t>Exhibit 32.2</w:t>
      </w:r>
      <w:r>
        <w:br w:type="page"/>
      </w:r>
    </w:p>
    <w:p>
      <w:pPr>
        <w:pStyle w:val="TextBody"/>
        <w:bidi w:val="0"/>
        <w:spacing w:before="36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ALX Oncology Holdings Inc. (the “Company”), on Form 10-Q for the period ended March 31, 2025, as filed with the Securities and Exchange Commission on the date hereof (the “Report”), I certify, pursuant to 18 U.S.C. §1350, as adopted pursuant to section 906 of the Sarbanes-Oxley Act of 2002,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4754" w:type="dxa"/>
        <w:jc w:val="left"/>
        <w:tblInd w:w="0" w:type="dxa"/>
        <w:tblLayout w:type="fixed"/>
        <w:tblCellMar>
          <w:top w:w="28" w:type="dxa"/>
          <w:left w:w="28" w:type="dxa"/>
          <w:bottom w:w="28" w:type="dxa"/>
          <w:right w:w="28" w:type="dxa"/>
        </w:tblCellMar>
      </w:tblPr>
      <w:tblGrid>
        <w:gridCol w:w="1636"/>
        <w:gridCol w:w="146"/>
        <w:gridCol w:w="406"/>
        <w:gridCol w:w="2566"/>
      </w:tblGrid>
      <w:tr>
        <w:trPr/>
        <w:tc>
          <w:tcPr>
            <w:tcW w:w="1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566" w:type="dxa"/>
            <w:tcBorders/>
            <w:vAlign w:val="center"/>
          </w:tcPr>
          <w:p>
            <w:pPr>
              <w:pStyle w:val="TableContents"/>
              <w:bidi w:val="0"/>
              <w:spacing w:before="0" w:after="283"/>
              <w:jc w:val="left"/>
              <w:rPr>
                <w:sz w:val="4"/>
                <w:szCs w:val="4"/>
              </w:rPr>
            </w:pPr>
            <w:r>
              <w:rPr>
                <w:sz w:val="4"/>
                <w:szCs w:val="4"/>
              </w:rPr>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May 8,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56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Harish Shantharam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Harish Shantharam</w:t>
            </w:r>
          </w:p>
        </w:tc>
      </w:tr>
      <w:tr>
        <w:trPr/>
        <w:tc>
          <w:tcPr>
            <w:tcW w:w="16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71778</Words>
  <Characters>398006</Characters>
  <CharactersWithSpaces>469877</CharactersWithSpaces>
  <Paragraphs>5571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