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001-39386</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85-0642577</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323 Allerton Avenue,</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South San Francisco, California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94080</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0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(650) 466-7125</w:t>
      </w:r>
    </w:p>
    <w:p>
      <w:pPr>
        <w:spacing w:after="0" w:line="15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7"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ALXO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Select Market</w:t>
            </w:r>
          </w:p>
        </w:tc>
        <w:tc>
          <w:tcPr>
            <w:tcW w:w="0" w:type="dxa"/>
            <w:vAlign w:val="bottom"/>
          </w:tcPr>
          <w:p>
            <w:pPr>
              <w:spacing w:after="0"/>
              <w:rPr>
                <w:sz w:val="1"/>
                <w:szCs w:val="1"/>
                <w:color w:val="auto"/>
              </w:rPr>
            </w:pPr>
          </w:p>
        </w:tc>
      </w:tr>
    </w:tbl>
    <w:p>
      <w:pPr>
        <w:spacing w:after="0" w:line="106"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Emerging growth company </w:t>
      </w:r>
      <w:r>
        <w:rPr>
          <w:rFonts w:ascii="MS PGothic" w:cs="MS PGothic" w:eastAsia="MS PGothic" w:hAnsi="MS PGothic"/>
          <w:sz w:val="18"/>
          <w:szCs w:val="18"/>
          <w:color w:val="auto"/>
        </w:rPr>
        <w:t>☐</w:t>
      </w:r>
    </w:p>
    <w:p>
      <w:pPr>
        <w:spacing w:after="0" w:line="202"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9" w:right="439" w:bottom="1440" w:gutter="0" w:footer="0" w:header="0"/>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121" w:lineRule="exact"/>
        <w:rPr>
          <w:sz w:val="20"/>
          <w:szCs w:val="20"/>
          <w:color w:val="auto"/>
        </w:rPr>
      </w:pPr>
    </w:p>
    <w:p>
      <w:pPr>
        <w:ind w:left="4" w:firstLine="991"/>
        <w:spacing w:after="0" w:line="253" w:lineRule="auto"/>
        <w:rPr>
          <w:sz w:val="20"/>
          <w:szCs w:val="20"/>
          <w:color w:val="auto"/>
        </w:rPr>
      </w:pPr>
      <w:r>
        <w:rPr>
          <w:rFonts w:ascii="Arial" w:cs="Arial" w:eastAsia="Arial" w:hAnsi="Arial"/>
          <w:sz w:val="18"/>
          <w:szCs w:val="18"/>
          <w:color w:val="auto"/>
        </w:rPr>
        <w:t>On October 4, 2023, ALX Oncology Holdings Inc. (the “Company”) entered into an underwriting agreement (the “Underwriting Agreement”) with Piper Sandler &amp; Co. and Cantor Fitzgerald &amp; Co., as representatives (the “Representatives”) of the several underwriters named therein (collectively, the “Underwriters”), relating to the issuance and sale (the “Offering”) of 7,370,690 shares of the Company’s common stock, par value $0.001 per share, at a price to the public of $6.38 per share (the “Underwritten Shares”) and pre-funded warrants (the “Pre-Funded Warrants”) to purchase 1,250,000 shares of the Company’s common stock at a price to the public of $6.379 per Pre-Funded Warrant. Under the terms of the Underwriting Agreement, the Underwriters have agreed to purchase the Underwritten Shares from the Company at a price of $5.9972 per share and the Pre-Funded Warrants at a price of $5.99626 per Pre-Funded Warrant. The Company also granted the Underwriters an option exercisable for 30 days from the date of the Underwriting Agreement to purchase up to an additional 1,293,103 shares of common stock solely for the purpose of covering over-allotments (together with the Underwritten Shares, the “Shares”). All of the Shares and Pre-Funded Warrants in the Offering are being sold by the Company.</w:t>
      </w:r>
    </w:p>
    <w:p>
      <w:pPr>
        <w:spacing w:after="0" w:line="194" w:lineRule="exact"/>
        <w:rPr>
          <w:sz w:val="20"/>
          <w:szCs w:val="20"/>
          <w:color w:val="auto"/>
        </w:rPr>
      </w:pPr>
    </w:p>
    <w:p>
      <w:pPr>
        <w:ind w:left="4" w:right="80" w:firstLine="991"/>
        <w:spacing w:after="0" w:line="286" w:lineRule="auto"/>
        <w:rPr>
          <w:sz w:val="20"/>
          <w:szCs w:val="20"/>
          <w:color w:val="auto"/>
        </w:rPr>
      </w:pPr>
      <w:r>
        <w:rPr>
          <w:rFonts w:ascii="Arial" w:cs="Arial" w:eastAsia="Arial" w:hAnsi="Arial"/>
          <w:sz w:val="17"/>
          <w:szCs w:val="17"/>
          <w:color w:val="auto"/>
        </w:rPr>
        <w:t>The gross proceeds from the Offering are expected to be approximately $55.0 million before deducting underwriting discounts and commissions and other offering expenses payable by the Company and assuming no exercise of the Underwriters’ option to purchase additional shares. The Offering is expected to close on October 10, 2023, subject to the satisfaction of customary closing conditions.</w:t>
      </w:r>
    </w:p>
    <w:p>
      <w:pPr>
        <w:spacing w:after="0" w:line="165" w:lineRule="exact"/>
        <w:rPr>
          <w:sz w:val="20"/>
          <w:szCs w:val="20"/>
          <w:color w:val="auto"/>
        </w:rPr>
      </w:pPr>
    </w:p>
    <w:p>
      <w:pPr>
        <w:ind w:left="4" w:right="120" w:firstLine="991"/>
        <w:spacing w:after="0" w:line="257" w:lineRule="auto"/>
        <w:rPr>
          <w:sz w:val="20"/>
          <w:szCs w:val="20"/>
          <w:color w:val="auto"/>
        </w:rPr>
      </w:pPr>
      <w:r>
        <w:rPr>
          <w:rFonts w:ascii="Arial" w:cs="Arial" w:eastAsia="Arial" w:hAnsi="Arial"/>
          <w:sz w:val="18"/>
          <w:szCs w:val="18"/>
          <w:color w:val="auto"/>
        </w:rPr>
        <w:t>The Underwriting Agreement contains customary representations, warranties and agreements by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such parties.</w:t>
      </w:r>
    </w:p>
    <w:p>
      <w:pPr>
        <w:spacing w:after="0" w:line="188" w:lineRule="exact"/>
        <w:rPr>
          <w:sz w:val="20"/>
          <w:szCs w:val="20"/>
          <w:color w:val="auto"/>
        </w:rPr>
      </w:pPr>
    </w:p>
    <w:p>
      <w:pPr>
        <w:ind w:left="4" w:right="580" w:firstLine="991"/>
        <w:spacing w:after="0" w:line="342" w:lineRule="auto"/>
        <w:rPr>
          <w:sz w:val="20"/>
          <w:szCs w:val="20"/>
          <w:color w:val="auto"/>
        </w:rPr>
      </w:pPr>
      <w:r>
        <w:rPr>
          <w:rFonts w:ascii="Arial" w:cs="Arial" w:eastAsia="Arial" w:hAnsi="Arial"/>
          <w:sz w:val="16"/>
          <w:szCs w:val="16"/>
          <w:color w:val="auto"/>
        </w:rPr>
        <w:t>The Offering is being made pursuant to the Company’s effective registration statement on Form S-3 (File No. 333-263863) (the “Registration Statement”) and a related prospectus and prospectus supplement, in each case filed with the Securities and Exchange Commission.</w:t>
      </w:r>
    </w:p>
    <w:p>
      <w:pPr>
        <w:spacing w:after="0" w:line="124"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color w:val="auto"/>
        </w:rPr>
        <w:t>Each Pre-Funded Warrant will have an exercise price per share of common stock equal to $0.001 per share. The exercise price and the number of shares of common stock issuable upon exercise of each Pre-Funded Warrant is subject to appropriate adjustments in the event of certain stock dividend, stock split, stock combination or similar events affecting the common stock. Each Pre-Funded Warrant will be exercisable on or after the date of issuance until the date the Pre-Funded Warrant is exercised in full. Each Pre-Funded Warrant will be exercisable, in the holder’s discretion, by</w:t>
      </w:r>
    </w:p>
    <w:p>
      <w:pPr>
        <w:spacing w:after="0" w:line="1" w:lineRule="exact"/>
        <w:rPr>
          <w:sz w:val="20"/>
          <w:szCs w:val="20"/>
          <w:color w:val="auto"/>
        </w:rPr>
      </w:pPr>
    </w:p>
    <w:p>
      <w:pPr>
        <w:ind w:left="4" w:right="40" w:hanging="4"/>
        <w:spacing w:after="0" w:line="253" w:lineRule="auto"/>
        <w:tabs>
          <w:tab w:leader="none" w:pos="219"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in full in immediately available funds for the number of shares of common stock purchased upon such exercise or (ii) a cashless exercise, in which case the holder would receive upon such exercise the net number of shares of common stock determined according to the formula set forth in the Pre-Funded Warrant. Under the Pre-Funded Warrants, the Company may not effect the exercise of any Pre-Funded Warrant, and a holder will not be entitled to exercise any portion of any Pre-Funded Warrant that, upon giving effect to such exercise, would cause: (i) the aggregate number of shares of common stock beneficially owned by such holder (together with</w:t>
      </w:r>
    </w:p>
    <w:p>
      <w:pPr>
        <w:sectPr>
          <w:pgSz w:w="11900" w:h="16838" w:orient="portrait"/>
          <w:cols w:equalWidth="0" w:num="1">
            <w:col w:w="10984"/>
          </w:cols>
          <w:pgMar w:left="436" w:top="297" w:right="479" w:bottom="1440" w:gutter="0" w:footer="0" w:header="0"/>
        </w:sectPr>
      </w:pPr>
    </w:p>
    <w:bookmarkStart w:id="2" w:name="page3"/>
    <w:bookmarkEnd w:id="2"/>
    <w:p>
      <w:pPr>
        <w:ind w:left="4"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its affiliates) to exceed 9.99% of the total number of shares of common stock outstanding immediately after giving effect to the exercise; or (ii) the combined voting power of the Company’s securities beneficially owned by such holder (together with its affiliates) to exceed 9.99% of the combined voting power of all of the Company’s securities immediately outstanding after giving effect to the exercise, as such percentage ownership is determined in accordance with the terms of the Pre-Funded Warrant, which percentage may be changed at the holder’s election to a higher or lower percentage not in excess of 19.99% upon at least 61 days’ notice to the Company.</w:t>
      </w:r>
    </w:p>
    <w:p>
      <w:pPr>
        <w:spacing w:after="0" w:line="188" w:lineRule="exact"/>
        <w:rPr>
          <w:sz w:val="20"/>
          <w:szCs w:val="20"/>
          <w:color w:val="auto"/>
        </w:rPr>
      </w:pPr>
    </w:p>
    <w:p>
      <w:pPr>
        <w:ind w:left="4" w:right="60" w:firstLine="991"/>
        <w:spacing w:after="0" w:line="311" w:lineRule="auto"/>
        <w:rPr>
          <w:sz w:val="20"/>
          <w:szCs w:val="20"/>
          <w:color w:val="auto"/>
        </w:rPr>
      </w:pPr>
      <w:r>
        <w:rPr>
          <w:rFonts w:ascii="Arial" w:cs="Arial" w:eastAsia="Arial" w:hAnsi="Arial"/>
          <w:sz w:val="16"/>
          <w:szCs w:val="16"/>
          <w:color w:val="auto"/>
        </w:rPr>
        <w:t>In the event of certain fundamental transactions, a holder of Pre-Funded Warrants will be entitled to receive, upon exercise of the Pre-Funded Warrants, the kind and amount of securities, cash or other property that such holder would have received had they exercised the Pre-Funded Warrants immediately prior to the fundamental transaction without regard to any limitations on exercise contained in the Pre-Funded Warrants.</w:t>
      </w:r>
    </w:p>
    <w:p>
      <w:pPr>
        <w:spacing w:after="0" w:line="149" w:lineRule="exact"/>
        <w:rPr>
          <w:sz w:val="20"/>
          <w:szCs w:val="20"/>
          <w:color w:val="auto"/>
        </w:rPr>
      </w:pPr>
    </w:p>
    <w:p>
      <w:pPr>
        <w:jc w:val="both"/>
        <w:ind w:left="4" w:right="220" w:firstLine="991"/>
        <w:spacing w:after="0" w:line="263" w:lineRule="auto"/>
        <w:rPr>
          <w:sz w:val="20"/>
          <w:szCs w:val="20"/>
          <w:color w:val="auto"/>
        </w:rPr>
      </w:pPr>
      <w:r>
        <w:rPr>
          <w:rFonts w:ascii="Arial" w:cs="Arial" w:eastAsia="Arial" w:hAnsi="Arial"/>
          <w:sz w:val="18"/>
          <w:szCs w:val="18"/>
          <w:color w:val="auto"/>
        </w:rPr>
        <w:t>The foregoing descriptions of the terms of the Underwriting Agreement and the Pre-Funded Warrants do not purport to be complete and are each qualified in their entirety by reference to the Underwriting Agreement and the Form of Pre-Funded Warrant, respectively, which are filed as Exhibit 1.1 and Exhibit 4.1 hereto and are incorporated herein by reference.</w:t>
      </w:r>
    </w:p>
    <w:p>
      <w:pPr>
        <w:spacing w:after="0" w:line="184" w:lineRule="exact"/>
        <w:rPr>
          <w:sz w:val="20"/>
          <w:szCs w:val="20"/>
          <w:color w:val="auto"/>
        </w:rPr>
      </w:pPr>
    </w:p>
    <w:p>
      <w:pPr>
        <w:jc w:val="both"/>
        <w:ind w:left="4" w:right="220" w:firstLine="991"/>
        <w:spacing w:after="0" w:line="342" w:lineRule="auto"/>
        <w:rPr>
          <w:sz w:val="20"/>
          <w:szCs w:val="20"/>
          <w:color w:val="auto"/>
        </w:rPr>
      </w:pPr>
      <w:r>
        <w:rPr>
          <w:rFonts w:ascii="Arial" w:cs="Arial" w:eastAsia="Arial" w:hAnsi="Arial"/>
          <w:sz w:val="16"/>
          <w:szCs w:val="16"/>
          <w:color w:val="auto"/>
        </w:rPr>
        <w:t>A copy of the opinion of Wilson Sonsini Goodrich &amp; Rosati, P.C. relating to the validity of the Shares, the Pre-Funded Warrants and the shares underlying the Pre-Funded Warrants is filed as Exhibit 5.1 hereto and is incorporated by reference into the Registration Statement.</w:t>
      </w:r>
    </w:p>
    <w:p>
      <w:pPr>
        <w:spacing w:after="0" w:line="26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121" w:lineRule="exact"/>
        <w:rPr>
          <w:sz w:val="20"/>
          <w:szCs w:val="20"/>
          <w:color w:val="auto"/>
        </w:rPr>
      </w:pPr>
    </w:p>
    <w:p>
      <w:pPr>
        <w:ind w:left="984"/>
        <w:spacing w:after="0"/>
        <w:rPr>
          <w:sz w:val="20"/>
          <w:szCs w:val="20"/>
          <w:color w:val="auto"/>
        </w:rPr>
      </w:pPr>
      <w:r>
        <w:rPr>
          <w:rFonts w:ascii="Arial" w:cs="Arial" w:eastAsia="Arial" w:hAnsi="Arial"/>
          <w:sz w:val="17"/>
          <w:szCs w:val="17"/>
          <w:color w:val="auto"/>
        </w:rPr>
        <w:t>A copy of the press release announcing the pricing of the Offering is attached to this Current Report on Form 8-K as Exhibit 99.1.</w:t>
      </w:r>
    </w:p>
    <w:p>
      <w:pPr>
        <w:spacing w:after="0" w:line="34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Forward-Looking Statements</w:t>
      </w:r>
    </w:p>
    <w:p>
      <w:pPr>
        <w:spacing w:after="0" w:line="117" w:lineRule="exact"/>
        <w:rPr>
          <w:sz w:val="20"/>
          <w:szCs w:val="20"/>
          <w:color w:val="auto"/>
        </w:rPr>
      </w:pPr>
    </w:p>
    <w:p>
      <w:pPr>
        <w:ind w:left="4" w:firstLine="991"/>
        <w:spacing w:after="0" w:line="272" w:lineRule="auto"/>
        <w:rPr>
          <w:sz w:val="20"/>
          <w:szCs w:val="20"/>
          <w:color w:val="auto"/>
        </w:rPr>
      </w:pPr>
      <w:r>
        <w:rPr>
          <w:rFonts w:ascii="Arial" w:cs="Arial" w:eastAsia="Arial" w:hAnsi="Arial"/>
          <w:sz w:val="17"/>
          <w:szCs w:val="17"/>
          <w:color w:val="auto"/>
        </w:rPr>
        <w:t>Certain of the statements made in this report are forward looking, such as those, among others, relating to the Company’s expectations regarding the timing and completion of the Offering. Actual results or developments may differ materially from those projected or implied in these forward-looking statements. Factors that may cause such a difference include risks and uncertainties related to completion of the public offering on the anticipated terms or at all, market conditions and the satisfaction of customary closing conditions related to the Offering. More information about the risks and uncertainties faced by the Company is contained under the caption “Risk Factors” in the Company’s Quarterly Report on Form 10-Q filed with the SEC on August 10, 2023. The Company disclaims any intention or obligation to update or revise any forward-looking statements, whether as a result of new information, future events or otherwise.</w:t>
      </w:r>
    </w:p>
    <w:p>
      <w:pPr>
        <w:spacing w:after="0" w:line="322"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720" w:type="dxa"/>
            <w:vAlign w:val="bottom"/>
          </w:tcPr>
          <w:p>
            <w:pPr>
              <w:spacing w:after="0"/>
              <w:rPr>
                <w:sz w:val="14"/>
                <w:szCs w:val="14"/>
                <w:color w:val="auto"/>
              </w:rPr>
            </w:pPr>
          </w:p>
        </w:tc>
      </w:tr>
      <w:tr>
        <w:trPr>
          <w:trHeight w:val="171"/>
        </w:trPr>
        <w:tc>
          <w:tcPr>
            <w:tcW w:w="104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 No. </w:t>
            </w:r>
          </w:p>
        </w:tc>
        <w:tc>
          <w:tcPr>
            <w:tcW w:w="8260" w:type="dxa"/>
            <w:vAlign w:val="bottom"/>
            <w:gridSpan w:val="6"/>
          </w:tcPr>
          <w:p>
            <w:pPr>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64"/>
        </w:trPr>
        <w:tc>
          <w:tcPr>
            <w:tcW w:w="1040" w:type="dxa"/>
            <w:vAlign w:val="bottom"/>
            <w:gridSpan w:val="2"/>
          </w:tcPr>
          <w:p>
            <w:pPr>
              <w:spacing w:after="0"/>
              <w:rPr>
                <w:sz w:val="20"/>
                <w:szCs w:val="20"/>
                <w:color w:val="auto"/>
              </w:rPr>
            </w:pPr>
            <w:r>
              <w:rPr>
                <w:rFonts w:ascii="Arial" w:cs="Arial" w:eastAsia="Arial" w:hAnsi="Arial"/>
                <w:sz w:val="18"/>
                <w:szCs w:val="18"/>
                <w:color w:val="auto"/>
              </w:rPr>
              <w:t> 1.1</w:t>
            </w:r>
          </w:p>
        </w:tc>
        <w:tc>
          <w:tcPr>
            <w:tcW w:w="82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Underwriting Agreement, dated as October 4, 2023, among ALX Oncology Holdings Inc. and the Representatives.</w:t>
            </w: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 4.1</w:t>
            </w:r>
          </w:p>
        </w:tc>
        <w:tc>
          <w:tcPr>
            <w:tcW w:w="8260" w:type="dxa"/>
            <w:vAlign w:val="bottom"/>
            <w:gridSpan w:val="6"/>
          </w:tcPr>
          <w:p>
            <w:pPr>
              <w:spacing w:after="0"/>
              <w:rPr>
                <w:sz w:val="20"/>
                <w:szCs w:val="20"/>
                <w:color w:val="auto"/>
              </w:rPr>
            </w:pPr>
            <w:r>
              <w:rPr>
                <w:rFonts w:ascii="Arial" w:cs="Arial" w:eastAsia="Arial" w:hAnsi="Arial"/>
                <w:sz w:val="18"/>
                <w:szCs w:val="18"/>
                <w:color w:val="0000EE"/>
              </w:rPr>
              <w:t>Form of Pre-Funded Warrant.</w:t>
            </w:r>
          </w:p>
        </w:tc>
      </w:tr>
      <w:tr>
        <w:trPr>
          <w:trHeight w:val="20"/>
        </w:trPr>
        <w:tc>
          <w:tcPr>
            <w:tcW w:w="1040" w:type="dxa"/>
            <w:vAlign w:val="bottom"/>
            <w:gridSpan w:val="2"/>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 5.1</w:t>
            </w:r>
          </w:p>
        </w:tc>
        <w:tc>
          <w:tcPr>
            <w:tcW w:w="37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2"/>
              </w:rPr>
              <w:t>Opinion of Wilson Sonsini Goodrich &amp; Rosati, P.C.</w:t>
            </w:r>
          </w:p>
        </w:tc>
        <w:tc>
          <w:tcPr>
            <w:tcW w:w="4540" w:type="dxa"/>
            <w:vAlign w:val="bottom"/>
            <w:gridSpan w:val="2"/>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55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Consent of Wilson Sonsini Goodrich &amp; Rosati, P.C. (included in Exhibit 5.1)</w:t>
            </w:r>
          </w:p>
        </w:tc>
        <w:tc>
          <w:tcPr>
            <w:tcW w:w="2720" w:type="dxa"/>
            <w:vAlign w:val="bottom"/>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8260" w:type="dxa"/>
            <w:vAlign w:val="bottom"/>
            <w:gridSpan w:val="6"/>
          </w:tcPr>
          <w:p>
            <w:pPr>
              <w:spacing w:after="0"/>
              <w:rPr>
                <w:sz w:val="20"/>
                <w:szCs w:val="20"/>
                <w:color w:val="auto"/>
              </w:rPr>
            </w:pPr>
            <w:r>
              <w:rPr>
                <w:rFonts w:ascii="Arial" w:cs="Arial" w:eastAsia="Arial" w:hAnsi="Arial"/>
                <w:sz w:val="18"/>
                <w:szCs w:val="18"/>
                <w:color w:val="0000EE"/>
              </w:rPr>
              <w:t>Press Release dated October 5, 2023.</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5600" w:type="dxa"/>
            <w:vAlign w:val="bottom"/>
            <w:gridSpan w:val="3"/>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826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004"/>
          </w:cols>
          <w:pgMar w:left="436" w:top="301" w:right="45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ALX ONCOLOGY HOLDINGS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October 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Peter Garcia</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00"/>
          </w:cols>
          <w:pgMar w:left="440" w:top="297"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7,370,690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Pre-Funded Warrants to Purchase 1,250,000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PIPER SANDLER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1251 Avenue of the Americas, 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CANTOR FITZGERALD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 E. 59th St., 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Introductory. </w:t>
      </w:r>
      <w:r>
        <w:rPr>
          <w:rFonts w:ascii="Arial" w:cs="Arial" w:eastAsia="Arial" w:hAnsi="Arial"/>
          <w:sz w:val="17"/>
          <w:szCs w:val="17"/>
          <w:color w:val="auto"/>
        </w:rPr>
        <w:t>ALX Oncology Holdings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underwriters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named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(the “</w:t>
      </w:r>
      <w:r>
        <w:rPr>
          <w:rFonts w:ascii="Arial" w:cs="Arial" w:eastAsia="Arial" w:hAnsi="Arial"/>
          <w:sz w:val="16"/>
          <w:szCs w:val="16"/>
          <w:b w:val="1"/>
          <w:bCs w:val="1"/>
          <w:color w:val="auto"/>
        </w:rPr>
        <w:t>Underwriters</w:t>
      </w:r>
      <w:r>
        <w:rPr>
          <w:rFonts w:ascii="Arial" w:cs="Arial" w:eastAsia="Arial" w:hAnsi="Arial"/>
          <w:sz w:val="16"/>
          <w:szCs w:val="16"/>
          <w:color w:val="auto"/>
        </w:rPr>
        <w:t>”) (i) an aggregate of 7,370,690 shares (the “</w:t>
      </w:r>
      <w:r>
        <w:rPr>
          <w:rFonts w:ascii="Arial" w:cs="Arial" w:eastAsia="Arial" w:hAnsi="Arial"/>
          <w:sz w:val="16"/>
          <w:szCs w:val="16"/>
          <w:b w:val="1"/>
          <w:bCs w:val="1"/>
          <w:color w:val="auto"/>
        </w:rPr>
        <w:t>Shares</w:t>
      </w:r>
      <w:r>
        <w:rPr>
          <w:rFonts w:ascii="Arial" w:cs="Arial" w:eastAsia="Arial" w:hAnsi="Arial"/>
          <w:sz w:val="16"/>
          <w:szCs w:val="16"/>
          <w:color w:val="auto"/>
        </w:rPr>
        <w:t>”) of its common stock, par value $0.001 per share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and (ii) pre-funded warrants of the Company to purchase an aggregate of 1,250,000 Shares (the “</w:t>
      </w:r>
      <w:r>
        <w:rPr>
          <w:rFonts w:ascii="Arial" w:cs="Arial" w:eastAsia="Arial" w:hAnsi="Arial"/>
          <w:sz w:val="16"/>
          <w:szCs w:val="16"/>
          <w:b w:val="1"/>
          <w:bCs w:val="1"/>
          <w:color w:val="auto"/>
        </w:rPr>
        <w:t>Pre-Funded Warrants</w:t>
      </w:r>
      <w:r>
        <w:rPr>
          <w:rFonts w:ascii="Arial" w:cs="Arial" w:eastAsia="Arial" w:hAnsi="Arial"/>
          <w:sz w:val="16"/>
          <w:szCs w:val="16"/>
          <w:color w:val="auto"/>
        </w:rPr>
        <w: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7,370,690 Shares to be sold by the Company are called the “</w:t>
      </w:r>
      <w:r>
        <w:rPr>
          <w:rFonts w:ascii="Arial" w:cs="Arial" w:eastAsia="Arial" w:hAnsi="Arial"/>
          <w:sz w:val="16"/>
          <w:szCs w:val="16"/>
          <w:b w:val="1"/>
          <w:bCs w:val="1"/>
          <w:color w:val="auto"/>
        </w:rPr>
        <w:t>Firm Shares</w:t>
      </w:r>
      <w:r>
        <w:rPr>
          <w:rFonts w:ascii="Arial" w:cs="Arial" w:eastAsia="Arial" w:hAnsi="Arial"/>
          <w:sz w:val="16"/>
          <w:szCs w:val="16"/>
          <w:color w:val="auto"/>
        </w:rPr>
        <w:t>” and, together with the Pre-Funded Warrants, are referred to herein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Firm Securities</w:t>
      </w:r>
      <w:r>
        <w:rPr>
          <w:rFonts w:ascii="Arial" w:cs="Arial" w:eastAsia="Arial" w:hAnsi="Arial"/>
          <w:sz w:val="16"/>
          <w:szCs w:val="16"/>
          <w:color w:val="auto"/>
        </w:rPr>
        <w:t>.” In addition, the Company has granted to the Underwriters an option to purchase up to an additional 1,293,103 Shares as provided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2. The additional 1,293,103 Shares to be sold by the Company pursuant to such option are collectively called the “</w:t>
      </w:r>
      <w:r>
        <w:rPr>
          <w:rFonts w:ascii="Arial" w:cs="Arial" w:eastAsia="Arial" w:hAnsi="Arial"/>
          <w:sz w:val="16"/>
          <w:szCs w:val="16"/>
          <w:b w:val="1"/>
          <w:bCs w:val="1"/>
          <w:color w:val="auto"/>
        </w:rPr>
        <w:t>Optional Shares</w:t>
      </w:r>
      <w:r>
        <w:rPr>
          <w:rFonts w:ascii="Arial" w:cs="Arial" w:eastAsia="Arial" w:hAnsi="Arial"/>
          <w:sz w:val="16"/>
          <w:szCs w:val="16"/>
          <w:color w:val="auto"/>
        </w:rPr>
        <w:t>.” The Firm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and, if and to the extent such option is exercised, the Optional Shares are collectively called the “</w:t>
      </w:r>
      <w:r>
        <w:rPr>
          <w:rFonts w:ascii="Arial" w:cs="Arial" w:eastAsia="Arial" w:hAnsi="Arial"/>
          <w:sz w:val="17"/>
          <w:szCs w:val="17"/>
          <w:b w:val="1"/>
          <w:bCs w:val="1"/>
          <w:color w:val="auto"/>
        </w:rPr>
        <w:t>Offered Shares</w:t>
      </w:r>
      <w:r>
        <w:rPr>
          <w:rFonts w:ascii="Arial" w:cs="Arial" w:eastAsia="Arial" w:hAnsi="Arial"/>
          <w:sz w:val="17"/>
          <w:szCs w:val="17"/>
          <w:color w:val="auto"/>
        </w:rPr>
        <w:t>” and, together with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Pre-Funded Warrants, are referred to herein as the “</w:t>
      </w:r>
      <w:r>
        <w:rPr>
          <w:rFonts w:ascii="Arial" w:cs="Arial" w:eastAsia="Arial" w:hAnsi="Arial"/>
          <w:sz w:val="17"/>
          <w:szCs w:val="17"/>
          <w:b w:val="1"/>
          <w:bCs w:val="1"/>
          <w:color w:val="auto"/>
        </w:rPr>
        <w:t>Offered Securities</w:t>
      </w:r>
      <w:r>
        <w:rPr>
          <w:rFonts w:ascii="Arial" w:cs="Arial" w:eastAsia="Arial" w:hAnsi="Arial"/>
          <w:sz w:val="17"/>
          <w:szCs w:val="17"/>
          <w:color w:val="auto"/>
        </w:rPr>
        <w:t>.” Piper Sandler &amp; Co. (“</w:t>
      </w:r>
      <w:r>
        <w:rPr>
          <w:rFonts w:ascii="Arial" w:cs="Arial" w:eastAsia="Arial" w:hAnsi="Arial"/>
          <w:sz w:val="17"/>
          <w:szCs w:val="17"/>
          <w:b w:val="1"/>
          <w:bCs w:val="1"/>
          <w:color w:val="auto"/>
        </w:rPr>
        <w:t>Piper Sandler</w:t>
      </w:r>
      <w:r>
        <w:rPr>
          <w:rFonts w:ascii="Arial" w:cs="Arial" w:eastAsia="Arial" w:hAnsi="Arial"/>
          <w:sz w:val="17"/>
          <w:szCs w:val="17"/>
          <w:color w:val="auto"/>
        </w:rPr>
        <w:t>”) and Cantor Fitzgerald &amp; Co.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Cantor</w:t>
      </w:r>
      <w:r>
        <w:rPr>
          <w:rFonts w:ascii="Arial" w:cs="Arial" w:eastAsia="Arial" w:hAnsi="Arial"/>
          <w:sz w:val="16"/>
          <w:szCs w:val="16"/>
          <w:color w:val="auto"/>
        </w:rPr>
        <w:t>”) have agreed to act as representatives of the several Underwriters (in such capacity, the “</w:t>
      </w:r>
      <w:r>
        <w:rPr>
          <w:rFonts w:ascii="Arial" w:cs="Arial" w:eastAsia="Arial" w:hAnsi="Arial"/>
          <w:sz w:val="16"/>
          <w:szCs w:val="16"/>
          <w:b w:val="1"/>
          <w:bCs w:val="1"/>
          <w:color w:val="auto"/>
        </w:rPr>
        <w:t>Representatives</w:t>
      </w:r>
      <w:r>
        <w:rPr>
          <w:rFonts w:ascii="Arial" w:cs="Arial" w:eastAsia="Arial" w:hAnsi="Arial"/>
          <w:sz w:val="16"/>
          <w:szCs w:val="16"/>
          <w:color w:val="auto"/>
        </w:rPr>
        <w:t>”) in connection with the offering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sale of the Offered Securities. To the extent there are no additional underwriters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the term “Representatives” as used herein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mean you, as Underwriters, and the term “Underwriters” shall mean either the singular or the plural, as the context requires. As used herein,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Shares</w:t>
      </w:r>
      <w:r>
        <w:rPr>
          <w:rFonts w:ascii="Arial" w:cs="Arial" w:eastAsia="Arial" w:hAnsi="Arial"/>
          <w:sz w:val="18"/>
          <w:szCs w:val="18"/>
          <w:color w:val="auto"/>
        </w:rPr>
        <w:t>” means the Shares issuable upon exercise of the Pre-Funded Warrants.</w:t>
      </w:r>
    </w:p>
    <w:p>
      <w:pPr>
        <w:spacing w:after="0" w:line="20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7"/>
          <w:szCs w:val="17"/>
          <w:color w:val="auto"/>
        </w:rPr>
        <w:t>The Company has prepared and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shelf registration statement on Form S-3, File No. 333-263863, including a base prospectus (the “</w:t>
      </w:r>
      <w:r>
        <w:rPr>
          <w:rFonts w:ascii="Arial" w:cs="Arial" w:eastAsia="Arial" w:hAnsi="Arial"/>
          <w:sz w:val="17"/>
          <w:szCs w:val="17"/>
          <w:b w:val="1"/>
          <w:bCs w:val="1"/>
          <w:color w:val="auto"/>
        </w:rPr>
        <w:t>Base Prospectus</w:t>
      </w:r>
      <w:r>
        <w:rPr>
          <w:rFonts w:ascii="Arial" w:cs="Arial" w:eastAsia="Arial" w:hAnsi="Arial"/>
          <w:sz w:val="17"/>
          <w:szCs w:val="17"/>
          <w:color w:val="auto"/>
        </w:rPr>
        <w:t>”) to be used in connection with the public offering and sale of the Offered Securities.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Arial" w:cs="Arial" w:eastAsia="Arial" w:hAnsi="Arial"/>
          <w:sz w:val="17"/>
          <w:szCs w:val="17"/>
          <w:b w:val="1"/>
          <w:bCs w:val="1"/>
          <w:color w:val="auto"/>
        </w:rPr>
        <w:t>Securities</w:t>
      </w:r>
      <w:r>
        <w:rPr>
          <w:rFonts w:ascii="Arial" w:cs="Arial" w:eastAsia="Arial" w:hAnsi="Arial"/>
          <w:sz w:val="17"/>
          <w:szCs w:val="17"/>
          <w:color w:val="auto"/>
        </w:rPr>
        <w:t xml:space="preserve"> </w:t>
      </w:r>
      <w:r>
        <w:rPr>
          <w:rFonts w:ascii="Arial" w:cs="Arial" w:eastAsia="Arial" w:hAnsi="Arial"/>
          <w:sz w:val="17"/>
          <w:szCs w:val="17"/>
          <w:b w:val="1"/>
          <w:bCs w:val="1"/>
          <w:color w:val="auto"/>
        </w:rPr>
        <w:t>Act</w:t>
      </w:r>
      <w:r>
        <w:rPr>
          <w:rFonts w:ascii="Arial" w:cs="Arial" w:eastAsia="Arial" w:hAnsi="Arial"/>
          <w:sz w:val="17"/>
          <w:szCs w:val="17"/>
          <w:color w:val="auto"/>
        </w:rPr>
        <w:t>”), including all documents incorporated or deemed to be incorporated by reference therein and any</w:t>
      </w:r>
    </w:p>
    <w:p>
      <w:pPr>
        <w:sectPr>
          <w:pgSz w:w="11900" w:h="16838" w:orient="portrait"/>
          <w:cols w:equalWidth="0" w:num="1">
            <w:col w:w="11020"/>
          </w:cols>
          <w:pgMar w:left="440" w:top="121" w:right="439" w:bottom="1440" w:gutter="0" w:footer="0" w:header="0"/>
        </w:sectPr>
      </w:pPr>
    </w:p>
    <w:bookmarkStart w:id="5" w:name="page6"/>
    <w:bookmarkEnd w:id="5"/>
    <w:p>
      <w:pPr>
        <w:jc w:val="both"/>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deemed to be a part thereof at the time of effectiveness pursuant to Rule 430A or 430B under the Securities Act, is called the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Any registration statement filed by the Company pursuant to Rule 462(b) under the Securities Act in connection with the offer and sale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Offered Securities is called the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and from and after the date and time of filing of any such Rule 462(b)</w:t>
      </w:r>
    </w:p>
    <w:p>
      <w:pPr>
        <w:spacing w:after="0" w:line="2"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Registration Statement the term “Registration Statement” shall include the Rule 462(b) Registration Statement. The preliminary prospectus supplement dated October 4, 2023 describing the Offered Securities and the offering thereof (the “</w:t>
      </w:r>
      <w:r>
        <w:rPr>
          <w:rFonts w:ascii="Arial" w:cs="Arial" w:eastAsia="Arial" w:hAnsi="Arial"/>
          <w:sz w:val="17"/>
          <w:szCs w:val="17"/>
          <w:b w:val="1"/>
          <w:bCs w:val="1"/>
          <w:color w:val="auto"/>
        </w:rPr>
        <w:t>Preliminary Prospectus Supplement</w:t>
      </w:r>
      <w:r>
        <w:rPr>
          <w:rFonts w:ascii="Arial" w:cs="Arial" w:eastAsia="Arial" w:hAnsi="Arial"/>
          <w:sz w:val="17"/>
          <w:szCs w:val="17"/>
          <w:color w:val="auto"/>
        </w:rPr>
        <w:t>”), together with the Base Prospectus, is called the “</w:t>
      </w:r>
      <w:r>
        <w:rPr>
          <w:rFonts w:ascii="Arial" w:cs="Arial" w:eastAsia="Arial" w:hAnsi="Arial"/>
          <w:sz w:val="17"/>
          <w:szCs w:val="17"/>
          <w:b w:val="1"/>
          <w:bCs w:val="1"/>
          <w:color w:val="auto"/>
        </w:rPr>
        <w:t>Preliminary Prospectus</w:t>
      </w:r>
      <w:r>
        <w:rPr>
          <w:rFonts w:ascii="Arial" w:cs="Arial" w:eastAsia="Arial" w:hAnsi="Arial"/>
          <w:sz w:val="17"/>
          <w:szCs w:val="17"/>
          <w:color w:val="auto"/>
        </w:rPr>
        <w:t>,” and the Preliminary Prospectus and any other prospectus supplement to the Base Prospectus in preliminary form that describes the Offered Securities and the offering thereof and is used prior to the filing of the Prospectus (as defined below), together with the Base Prospectus, is called a “</w:t>
      </w:r>
      <w:r>
        <w:rPr>
          <w:rFonts w:ascii="Arial" w:cs="Arial" w:eastAsia="Arial" w:hAnsi="Arial"/>
          <w:sz w:val="17"/>
          <w:szCs w:val="17"/>
          <w:b w:val="1"/>
          <w:bCs w:val="1"/>
          <w:color w:val="auto"/>
        </w:rPr>
        <w:t>preliminary prospectus</w:t>
      </w:r>
      <w:r>
        <w:rPr>
          <w:rFonts w:ascii="Arial" w:cs="Arial" w:eastAsia="Arial" w:hAnsi="Arial"/>
          <w:sz w:val="17"/>
          <w:szCs w:val="17"/>
          <w:color w:val="auto"/>
        </w:rPr>
        <w:t>.” As used herein, the term “</w:t>
      </w:r>
      <w:r>
        <w:rPr>
          <w:rFonts w:ascii="Arial" w:cs="Arial" w:eastAsia="Arial" w:hAnsi="Arial"/>
          <w:sz w:val="17"/>
          <w:szCs w:val="17"/>
          <w:b w:val="1"/>
          <w:bCs w:val="1"/>
          <w:color w:val="auto"/>
        </w:rPr>
        <w:t>Prospectus</w:t>
      </w:r>
      <w:r>
        <w:rPr>
          <w:rFonts w:ascii="Arial" w:cs="Arial" w:eastAsia="Arial" w:hAnsi="Arial"/>
          <w:sz w:val="17"/>
          <w:szCs w:val="17"/>
          <w:color w:val="auto"/>
        </w:rPr>
        <w:t>” shall mean the final prospectus supplement to the Base Prospectus that describes the Offered Securities and the offering thereof (the “</w:t>
      </w:r>
      <w:r>
        <w:rPr>
          <w:rFonts w:ascii="Arial" w:cs="Arial" w:eastAsia="Arial" w:hAnsi="Arial"/>
          <w:sz w:val="17"/>
          <w:szCs w:val="17"/>
          <w:b w:val="1"/>
          <w:bCs w:val="1"/>
          <w:color w:val="auto"/>
        </w:rPr>
        <w:t>Final Prospectus Supplement</w:t>
      </w:r>
      <w:r>
        <w:rPr>
          <w:rFonts w:ascii="Arial" w:cs="Arial" w:eastAsia="Arial" w:hAnsi="Arial"/>
          <w:sz w:val="17"/>
          <w:szCs w:val="17"/>
          <w:color w:val="auto"/>
        </w:rPr>
        <w:t>”), together with the Base Prospectus, in the form first used by the Underwriters to confirm sales of the Offered Securities or in the form first made available to the Underwriters by the Company to meet requests of purchasers pursuant to Rule 173 under the Securities Act. References herein to the Preliminary Prospectus, any preliminary prospectus and the Prospectus shall refer to both the prospectus supplement and the Base Prospectus components of such prospectus. As used herein, “</w:t>
      </w:r>
      <w:r>
        <w:rPr>
          <w:rFonts w:ascii="Arial" w:cs="Arial" w:eastAsia="Arial" w:hAnsi="Arial"/>
          <w:sz w:val="17"/>
          <w:szCs w:val="17"/>
          <w:b w:val="1"/>
          <w:bCs w:val="1"/>
          <w:color w:val="auto"/>
        </w:rPr>
        <w:t>Applicable Time</w:t>
      </w:r>
      <w:r>
        <w:rPr>
          <w:rFonts w:ascii="Arial" w:cs="Arial" w:eastAsia="Arial" w:hAnsi="Arial"/>
          <w:sz w:val="17"/>
          <w:szCs w:val="17"/>
          <w:color w:val="auto"/>
        </w:rPr>
        <w:t>” is 7:00 p.m. (New York City time) on October 4, 2023. As used herein,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405 under the Securities Act, and “</w:t>
      </w:r>
      <w:r>
        <w:rPr>
          <w:rFonts w:ascii="Arial" w:cs="Arial" w:eastAsia="Arial" w:hAnsi="Arial"/>
          <w:sz w:val="17"/>
          <w:szCs w:val="17"/>
          <w:b w:val="1"/>
          <w:bCs w:val="1"/>
          <w:color w:val="auto"/>
        </w:rPr>
        <w:t>Time of Sale Prospectus</w:t>
      </w:r>
      <w:r>
        <w:rPr>
          <w:rFonts w:ascii="Arial" w:cs="Arial" w:eastAsia="Arial" w:hAnsi="Arial"/>
          <w:sz w:val="17"/>
          <w:szCs w:val="17"/>
          <w:color w:val="auto"/>
        </w:rPr>
        <w:t xml:space="preserve">” means the Preliminary Prospectus, as amended or supplemented immediately prior to the Applicable Time, together with the free writing prospectuses, if any, identified in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hereto and the pricing information set forth on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hereto.</w:t>
      </w:r>
    </w:p>
    <w:p>
      <w:pPr>
        <w:spacing w:after="0" w:line="183"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All references in this Agreement to the Registration Statement, the Preliminary Prospectus, any preliminary prospectus, the Base Prospectus and the Prospectus shall include the documents incorporated or deemed to be incorporated by reference therein. All references in this Agreement to financial statements and schedules and other information which are “contained,” “included” or “stated” in, or “part of” the Registration Statement, the Rule 462(b) Registration Statement, the Preliminary Prospectus, any preliminary prospectus, the Base Prospectus, the Time of Sale Prospectus or the Prospectus, and all other references of like import, shall be deemed to mean and include all such financial statements and schedules and other information which is or is deemed to be incorporated by reference in the Registration Statement, the Rule 462(b) Registration Statement, the Preliminary Prospectus, any preliminary prospectus, the Base Prospectus, the Time of Sale Prospectus or the Prospectus, as the case may be. All references in this Agreement to amendments or supplements to the Registration Statement, the Preliminary Prospectus, any preliminary prospectus, the Base Prospectus, the Time of Sale Prospectus or the Prospectus shall be deemed to mean and include the filing of any document under the Securities Exchange Act of 1934, as amended, and the rules and regulations promulgated thereunder (collectively, the “</w:t>
      </w:r>
      <w:r>
        <w:rPr>
          <w:rFonts w:ascii="Arial" w:cs="Arial" w:eastAsia="Arial" w:hAnsi="Arial"/>
          <w:sz w:val="17"/>
          <w:szCs w:val="17"/>
          <w:b w:val="1"/>
          <w:bCs w:val="1"/>
          <w:color w:val="auto"/>
        </w:rPr>
        <w:t>Exchange Act</w:t>
      </w:r>
      <w:r>
        <w:rPr>
          <w:rFonts w:ascii="Arial" w:cs="Arial" w:eastAsia="Arial" w:hAnsi="Arial"/>
          <w:sz w:val="17"/>
          <w:szCs w:val="17"/>
          <w:color w:val="auto"/>
        </w:rPr>
        <w:t>”) that is or is deemed to be incorporated by reference in the Registration Statement, the Preliminary Prospectus, any preliminary prospectus, the Base Prospectus, or the Prospectus, as the case may be. All references in this Agreement to (i) the Registration Statement, the Preliminary Prospectus, any preliminary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Arial" w:cs="Arial" w:eastAsia="Arial" w:hAnsi="Arial"/>
          <w:sz w:val="17"/>
          <w:szCs w:val="17"/>
          <w:b w:val="1"/>
          <w:bCs w:val="1"/>
          <w:color w:val="auto"/>
        </w:rPr>
        <w:t>EDGAR</w:t>
      </w:r>
      <w:r>
        <w:rPr>
          <w:rFonts w:ascii="Arial" w:cs="Arial" w:eastAsia="Arial" w:hAnsi="Arial"/>
          <w:sz w:val="17"/>
          <w:szCs w:val="17"/>
          <w:color w:val="auto"/>
        </w:rPr>
        <w:t>”) and (ii) the Prospectus shall be deemed to include any “electronic Prospectus” provided for use in connection with the offering of the Offered Securities as contemplated by Section 3(n) of this Agreement.</w:t>
      </w:r>
    </w:p>
    <w:p>
      <w:pPr>
        <w:spacing w:after="0" w:line="180"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 xml:space="preserve">In the event that the Company has only one subsidiary, then all references herein to “subsidiaries” of the Company shall be deemed to refer to such single subsidiary, </w:t>
      </w:r>
      <w:r>
        <w:rPr>
          <w:rFonts w:ascii="Arial" w:cs="Arial" w:eastAsia="Arial" w:hAnsi="Arial"/>
          <w:sz w:val="18"/>
          <w:szCs w:val="18"/>
          <w:u w:val="single" w:color="auto"/>
          <w:color w:val="auto"/>
        </w:rPr>
        <w:t>mutatis mutandis</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hereby confirms its agreements with the Underwriters as follows:</w:t>
      </w:r>
    </w:p>
    <w:p>
      <w:pPr>
        <w:spacing w:after="0" w:line="221" w:lineRule="exact"/>
        <w:rPr>
          <w:sz w:val="20"/>
          <w:szCs w:val="20"/>
          <w:color w:val="auto"/>
        </w:rPr>
      </w:pPr>
    </w:p>
    <w:p>
      <w:pPr>
        <w:ind w:right="220" w:firstLine="991"/>
        <w:spacing w:after="0" w:line="266" w:lineRule="auto"/>
        <w:rPr>
          <w:sz w:val="20"/>
          <w:szCs w:val="20"/>
          <w:color w:val="auto"/>
        </w:rPr>
      </w:pPr>
      <w:r>
        <w:rPr>
          <w:rFonts w:ascii="Arial" w:cs="Arial" w:eastAsia="Arial" w:hAnsi="Arial"/>
          <w:sz w:val="18"/>
          <w:szCs w:val="18"/>
          <w:b w:val="1"/>
          <w:bCs w:val="1"/>
          <w:color w:val="auto"/>
        </w:rPr>
        <w:t xml:space="preserve">Section 1. Representations and Warranties of the Company. </w:t>
      </w:r>
      <w:r>
        <w:rPr>
          <w:rFonts w:ascii="Arial" w:cs="Arial" w:eastAsia="Arial" w:hAnsi="Arial"/>
          <w:sz w:val="18"/>
          <w:szCs w:val="18"/>
          <w:color w:val="auto"/>
        </w:rPr>
        <w:t>The Company hereby represents, warrants and covenants to each</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Underwriter, as of the date of this Agreement, as of the First Closing Date (as hereinafter defined) and as of each Option Closing Date (as hereinafter defined), if any, as follows:</w:t>
      </w:r>
    </w:p>
    <w:p>
      <w:pPr>
        <w:spacing w:after="0" w:line="176" w:lineRule="exact"/>
        <w:rPr>
          <w:sz w:val="20"/>
          <w:szCs w:val="20"/>
          <w:color w:val="auto"/>
        </w:rPr>
      </w:pPr>
    </w:p>
    <w:p>
      <w:pPr>
        <w:ind w:firstLine="436"/>
        <w:spacing w:after="0" w:line="285" w:lineRule="auto"/>
        <w:tabs>
          <w:tab w:leader="none" w:pos="695"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Compliance with Registration Requirements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Registration Statement has become effective under the Securities Act. The Company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knowledge of the Company, are contemplated or threatened by the Commission. At the time the Company’s Annual Report on Form 10-K for the year ended December 31, 2022 (the “</w:t>
      </w:r>
      <w:r>
        <w:rPr>
          <w:rFonts w:ascii="Arial" w:cs="Arial" w:eastAsia="Arial" w:hAnsi="Arial"/>
          <w:sz w:val="16"/>
          <w:szCs w:val="16"/>
          <w:b w:val="1"/>
          <w:bCs w:val="1"/>
          <w:color w:val="auto"/>
        </w:rPr>
        <w:t>Annual Report</w:t>
      </w:r>
      <w:r>
        <w:rPr>
          <w:rFonts w:ascii="Arial" w:cs="Arial" w:eastAsia="Arial" w:hAnsi="Arial"/>
          <w:sz w:val="16"/>
          <w:szCs w:val="16"/>
          <w:color w:val="auto"/>
        </w:rPr>
        <w:t>”) was filed with the Commission, or, if later, at the time the Registration Statement was originally filed with the Commission, the Company met the then-applicable requirements for use of Form S-3 under the Securities Act. The Company meets the requirements for use of Form S-3 under the Securities Act specified in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 Conduct Rule 5110(B)</w:t>
      </w:r>
    </w:p>
    <w:p>
      <w:pPr>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(7)(C)(i). The documents incorporated or deemed to be incorporated by reference in the Registration Statement, the Time of Sale Prospectus and the Prospectus, at the time they were or hereafter are filed with the Commission, or became effective under the Exchange Act, as the case may be, complied and will comply in all material respects with the requirements of the Exchange Act.</w:t>
      </w:r>
    </w:p>
    <w:p>
      <w:pPr>
        <w:spacing w:after="0" w:line="185" w:lineRule="exact"/>
        <w:rPr>
          <w:rFonts w:ascii="Arial" w:cs="Arial" w:eastAsia="Arial" w:hAnsi="Arial"/>
          <w:sz w:val="16"/>
          <w:szCs w:val="16"/>
          <w:b w:val="1"/>
          <w:bCs w:val="1"/>
          <w:color w:val="auto"/>
        </w:rPr>
      </w:pPr>
    </w:p>
    <w:p>
      <w:pPr>
        <w:ind w:right="20" w:firstLine="436"/>
        <w:spacing w:after="0" w:line="285" w:lineRule="auto"/>
        <w:tabs>
          <w:tab w:leader="none" w:pos="705"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Disclosure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preliminary prospectus and the Prospectus when filed complied in all material respects with the Securities Act and, if filed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electronic transmission pursuant to EDGAR, was identical (except as may be permitted by Regulation S-T under the Securities Act) to the copy thereof delivered to the Underwriters for use in connection with the offer and sale of the Offered Securities.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(including any preliminary prospectus wrapper) did not, and at the First Closing Date (as defined in Section 2)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 (including any Prospectus wrapper),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There are no contracts or other documents required to be described in the Time of Sale Prospectus or the Prospectus or to be filed as an exhibit to the Registration Statement which have not been described or filed as required.</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7" w:name="page8"/>
    <w:bookmarkEnd w:id="7"/>
    <w:p>
      <w:pPr>
        <w:ind w:left="-40" w:right="120" w:firstLine="436"/>
        <w:spacing w:after="0" w:line="268" w:lineRule="auto"/>
        <w:tabs>
          <w:tab w:leader="none" w:pos="645"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Free Writing Prospectuses; Road Show</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of the determination date referenced in Rule 164(h) under the Securities Act, the Company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not, is not or will not be (as applicable) an “ineligible issuer” in connection with the offering of the Offered Securities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retention and legending, as applicable, and each such free writing prospectus, as of its issue date and at all subsequent times through the completion of the public offer and sale of the Offered Securities did not, does not and will not include any information that conflicted, conflicts or will conflict with the information contained in the Registration Statement, the Prospectus or any preliminary prospectus unless such information has been superseded or modified as of such time. Except for the free writing prospectuses, if any, identified in </w:t>
      </w:r>
      <w:r>
        <w:rPr>
          <w:rFonts w:ascii="Arial" w:cs="Arial" w:eastAsia="Arial" w:hAnsi="Arial"/>
          <w:sz w:val="17"/>
          <w:szCs w:val="17"/>
          <w:u w:val="single" w:color="auto"/>
          <w:color w:val="auto"/>
        </w:rPr>
        <w:t>Schedule B</w:t>
      </w:r>
      <w:r>
        <w:rPr>
          <w:rFonts w:ascii="Arial" w:cs="Arial" w:eastAsia="Arial" w:hAnsi="Arial"/>
          <w:sz w:val="17"/>
          <w:szCs w:val="17"/>
          <w:color w:val="auto"/>
        </w:rPr>
        <w:t>, and electronic road shows, if any, furnished to the Representatives before first use, the Company has not prepared, used or referred to, and will not, without the Representatives’ prior written consent (which consent shall not be unreasonably withheld, conditioned or delayed),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spacing w:after="0" w:line="181" w:lineRule="exact"/>
        <w:rPr>
          <w:rFonts w:ascii="Arial" w:cs="Arial" w:eastAsia="Arial" w:hAnsi="Arial"/>
          <w:sz w:val="17"/>
          <w:szCs w:val="17"/>
          <w:b w:val="1"/>
          <w:bCs w:val="1"/>
          <w:color w:val="auto"/>
        </w:rPr>
      </w:pPr>
    </w:p>
    <w:p>
      <w:pPr>
        <w:ind w:left="-40" w:right="80" w:firstLine="436"/>
        <w:spacing w:after="0" w:line="258" w:lineRule="auto"/>
        <w:tabs>
          <w:tab w:leader="none" w:pos="66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Distribution of Offering Material By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later of (i) the expiration or termination of the option granted to the several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Underwriters in Section 2 and (ii) the completion of the Underwriters’ distribution of the Offered Securities, the Company has not distributed and will not distribute any offering material in connection with the offering and sale of the Offered Securities other than the Registration Statement, the Time of Sale Prospectus, the Prospectus or any free writing prospectus reviewed and consented to by the Representatives, the free writing prospectuses, if any, identified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w:t>
      </w:r>
    </w:p>
    <w:p>
      <w:pPr>
        <w:spacing w:after="0" w:line="183" w:lineRule="exact"/>
        <w:rPr>
          <w:rFonts w:ascii="Arial" w:cs="Arial" w:eastAsia="Arial" w:hAnsi="Arial"/>
          <w:sz w:val="18"/>
          <w:szCs w:val="18"/>
          <w:b w:val="1"/>
          <w:bCs w:val="1"/>
          <w:color w:val="auto"/>
        </w:rPr>
      </w:pPr>
    </w:p>
    <w:p>
      <w:pPr>
        <w:ind w:left="640" w:hanging="244"/>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Underwriting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b w:val="1"/>
          <w:bCs w:val="1"/>
          <w:color w:val="auto"/>
        </w:rPr>
      </w:pPr>
    </w:p>
    <w:p>
      <w:pPr>
        <w:ind w:left="-40" w:right="40" w:firstLine="436"/>
        <w:spacing w:after="0" w:line="289" w:lineRule="auto"/>
        <w:tabs>
          <w:tab w:leader="none" w:pos="625"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Authorization of the Offered Securities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Offered Shares have been duly authorized for issuance and sale pursuant to this Agreement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when issued and delivered by the Company against payment therefor pursuant to this Agreement, will be validly issued, fully paid and nonassessable, and the issuance and sale of the Offered Shares is not subject to any preemptive rights, rights of first refusal or other similar rights to subscribe for or purchase the Offered Shares. The Pre-Funded Warrants have been duly authorized by the Company and, when executed and delivered by the Company, will be valid and binding agreements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The Warrant Shares have been duly authorized and validly reserved for issuance upon exercise of the Pre-Funded Warrants in a number sufficient to meet the current exercise requirements. The Warrant Shares, when issued and delivered upon exercise of the Pre-Funded Warrants in accordance therewith, will be validly issued, fully paid and nonassessable, and the issuance of the Warrant Shares is not subject to any preemptive rights, rights of first refusal or other similar rights to subscribe for or purchase the Warrant Shares.</w:t>
      </w:r>
    </w:p>
    <w:p>
      <w:pPr>
        <w:spacing w:after="0" w:line="160" w:lineRule="exact"/>
        <w:rPr>
          <w:rFonts w:ascii="Arial" w:cs="Arial" w:eastAsia="Arial" w:hAnsi="Arial"/>
          <w:sz w:val="16"/>
          <w:szCs w:val="16"/>
          <w:b w:val="1"/>
          <w:bCs w:val="1"/>
          <w:color w:val="auto"/>
        </w:rPr>
      </w:pPr>
    </w:p>
    <w:p>
      <w:pPr>
        <w:ind w:left="-40" w:firstLine="436"/>
        <w:spacing w:after="0" w:line="266" w:lineRule="auto"/>
        <w:tabs>
          <w:tab w:leader="none" w:pos="65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Applicable Registration or Other Similar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persons with registration or other similar rights to have any equity 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registered for sale under the Registration Statement or included in the offering contemplated by this Agreement, except for such rights as have been duly waived.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70" w:right="499" w:bottom="1440" w:gutter="0" w:footer="0" w:header="0"/>
        </w:sectPr>
      </w:pPr>
    </w:p>
    <w:bookmarkStart w:id="8" w:name="page9"/>
    <w:bookmarkEnd w:id="8"/>
    <w:p>
      <w:pPr>
        <w:ind w:right="20" w:firstLine="436"/>
        <w:spacing w:after="0" w:line="287" w:lineRule="auto"/>
        <w:tabs>
          <w:tab w:leader="none" w:pos="70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Material Adverse Change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 there has been no material adverse change, or any development that could reasonably be expected to result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Arial" w:cs="Arial" w:eastAsia="Arial" w:hAnsi="Arial"/>
          <w:sz w:val="16"/>
          <w:szCs w:val="16"/>
          <w:b w:val="1"/>
          <w:bCs w:val="1"/>
          <w:color w:val="auto"/>
        </w:rPr>
        <w:t>Material Adverse Change</w:t>
      </w:r>
      <w:r>
        <w:rPr>
          <w:rFonts w:ascii="Arial" w:cs="Arial" w:eastAsia="Arial" w:hAnsi="Arial"/>
          <w:sz w:val="16"/>
          <w:szCs w:val="16"/>
          <w:color w:val="auto"/>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its subsidiaries, by the Company’s subsidiaries on any class of capital stock, or any repurchase or redemption by the Company or any of its subsidiaries of any class of capital stock.</w:t>
      </w:r>
    </w:p>
    <w:p>
      <w:pPr>
        <w:spacing w:after="0" w:line="167" w:lineRule="exact"/>
        <w:rPr>
          <w:rFonts w:ascii="Arial" w:cs="Arial" w:eastAsia="Arial" w:hAnsi="Arial"/>
          <w:sz w:val="16"/>
          <w:szCs w:val="16"/>
          <w:b w:val="1"/>
          <w:bCs w:val="1"/>
          <w:color w:val="auto"/>
        </w:rPr>
      </w:pPr>
    </w:p>
    <w:p>
      <w:pPr>
        <w:ind w:right="280" w:firstLine="436"/>
        <w:spacing w:after="0" w:line="274" w:lineRule="auto"/>
        <w:tabs>
          <w:tab w:leader="none" w:pos="655"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Independent Accountants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KPMG LLP, which has expressed its opinion with respect to the financial statements (which term as used in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includes the related notes thereto) filed with the Commission as a part of the Registration Statement, the Time of Sale Prospectus and the Prospectus, is (i) an independent registered public accounting firm as required by the Securities Act and the rules of the Public Company Accounting Oversight Board (“</w:t>
      </w:r>
      <w:r>
        <w:rPr>
          <w:rFonts w:ascii="Arial" w:cs="Arial" w:eastAsia="Arial" w:hAnsi="Arial"/>
          <w:sz w:val="17"/>
          <w:szCs w:val="17"/>
          <w:b w:val="1"/>
          <w:bCs w:val="1"/>
          <w:color w:val="auto"/>
        </w:rPr>
        <w:t>PCAOB</w:t>
      </w:r>
      <w:r>
        <w:rPr>
          <w:rFonts w:ascii="Arial" w:cs="Arial" w:eastAsia="Arial" w:hAnsi="Arial"/>
          <w:sz w:val="17"/>
          <w:szCs w:val="17"/>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73" w:lineRule="exact"/>
        <w:rPr>
          <w:rFonts w:ascii="Arial" w:cs="Arial" w:eastAsia="Arial" w:hAnsi="Arial"/>
          <w:sz w:val="17"/>
          <w:szCs w:val="17"/>
          <w:b w:val="1"/>
          <w:bCs w:val="1"/>
          <w:color w:val="auto"/>
        </w:rPr>
      </w:pPr>
    </w:p>
    <w:p>
      <w:pPr>
        <w:ind w:firstLine="436"/>
        <w:spacing w:after="0" w:line="285" w:lineRule="auto"/>
        <w:tabs>
          <w:tab w:leader="none" w:pos="66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Financial Statements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financial statements filed with the Commission as a part of the Registration Statement, the Time of Sale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Prospectus present fairly, in all material respects, the consolidated financial position of the Company and ALX Oncology Limited, the Company’s predecessor and wholly owned subsidiary, and their respective subsidiaries as of the dates indicated and the results of their operations, changes in stockholders’ equity (deficit) and cash flows for the periods specified. Such financial statements have been prepared in conformity with generally accepted accounting principles as applied in the United States applied on a consistent basis throughout the periods involved, except as may be expressly stated in the related notes thereto. The interactive data in eXtensible Business Reporting Language included or incorporated by reference in the Registration Statement, the Time of Sale Prospectus and the Prospectus fairly presents the information called for in all material respects and has been prepared in accordance with the Commission’s rules and guidelines applicable thereto. No other financial statements are required to be included in the Registration Statement, the Time of Sale Prospectus or the Prospectus. The financial data set forth in each of the Registration Statement, the Time of Sale Prospectus and the Prospectus fairly present, in all material respects, the information set forth therein on a basis consistent with that of the audited financial statements contained in the Registration Statement, the Time of Sale Prospectus and the Prospectus. All disclosures contained in the Registration Statement, any preliminary prospectus, the Prospectus and any free writing prospectus that constitute non-GAAP financial measures (as defined by the rules and regulations under the Securities Act and the Exchange Act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or other financial data filed with the Commission as a part of the Registration Statement, the Time of Sale Prospectus and the Prospectus.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9" w:name="page10"/>
    <w:bookmarkEnd w:id="9"/>
    <w:p>
      <w:pPr>
        <w:ind w:left="4" w:right="20" w:firstLine="436"/>
        <w:spacing w:after="0" w:line="309" w:lineRule="auto"/>
        <w:tabs>
          <w:tab w:leader="none" w:pos="709" w:val="left"/>
        </w:tabs>
        <w:numPr>
          <w:ilvl w:val="1"/>
          <w:numId w:val="7"/>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Company’s Accounting System</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Except as otherwise disclosed in the Registration Statement, the Time of Sale Prospectus and the Prospectus,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Company and each of its wholly owned subsidiaries make and keep accurate books and records and maintain a system of internal accounting controls sufficient to provide reasonable assurance that: (i) transactions are executed in accordance with management’s general or specific authorization;</w:t>
      </w:r>
    </w:p>
    <w:p>
      <w:pPr>
        <w:ind w:left="4" w:right="20" w:hanging="4"/>
        <w:spacing w:after="0" w:line="270" w:lineRule="auto"/>
        <w:tabs>
          <w:tab w:leader="none" w:pos="269" w:val="left"/>
        </w:tabs>
        <w:numPr>
          <w:ilvl w:val="0"/>
          <w:numId w:val="8"/>
        </w:numPr>
        <w:rPr>
          <w:rFonts w:ascii="Arial" w:cs="Arial" w:eastAsia="Arial" w:hAnsi="Arial"/>
          <w:sz w:val="17"/>
          <w:szCs w:val="17"/>
          <w:color w:val="auto"/>
        </w:rPr>
      </w:pPr>
      <w:r>
        <w:rPr>
          <w:rFonts w:ascii="Arial" w:cs="Arial" w:eastAsia="Arial" w:hAnsi="Arial"/>
          <w:sz w:val="17"/>
          <w:szCs w:val="17"/>
          <w:color w:val="auto"/>
        </w:rPr>
        <w:t>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the Time of Sale Prospectus and the Prospectus fairly presents the information called for in all material respects and is prepared in accordance with the Commission’s rules and guidelines applicable thereto.</w:t>
      </w:r>
    </w:p>
    <w:p>
      <w:pPr>
        <w:spacing w:after="0" w:line="174" w:lineRule="exact"/>
        <w:rPr>
          <w:rFonts w:ascii="Arial" w:cs="Arial" w:eastAsia="Arial" w:hAnsi="Arial"/>
          <w:sz w:val="17"/>
          <w:szCs w:val="17"/>
          <w:color w:val="auto"/>
        </w:rPr>
      </w:pPr>
    </w:p>
    <w:p>
      <w:pPr>
        <w:ind w:left="4" w:firstLine="436"/>
        <w:spacing w:after="0" w:line="287" w:lineRule="auto"/>
        <w:tabs>
          <w:tab w:leader="none" w:pos="659" w:val="left"/>
        </w:tabs>
        <w:numPr>
          <w:ilvl w:val="1"/>
          <w:numId w:val="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Disclosure Controls and Procedures; Deficiencies in or Changes to Internal Control Over Financial Reporting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disclosed in the Registration Statement, the Time of Sale Prospectus and the Prospectus,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Except as otherwise disclosed in the Registration Statement, the Time of Sale Prospectus and the Prospectus, since the end of the ALX Oncology Limited’s most recent audited fiscal year, to the Company’s knowledge: (A) there have been no significant deficiencies or material weakness in the Company’s and ALX Oncology Limited’s internal control over financial reporting (whether or not remediated) and (B) no change in the Company’s and ALX Oncology Limited’s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63" w:lineRule="exact"/>
        <w:rPr>
          <w:rFonts w:ascii="Arial" w:cs="Arial" w:eastAsia="Arial" w:hAnsi="Arial"/>
          <w:sz w:val="16"/>
          <w:szCs w:val="16"/>
          <w:b w:val="1"/>
          <w:bCs w:val="1"/>
          <w:color w:val="auto"/>
        </w:rPr>
      </w:pPr>
    </w:p>
    <w:p>
      <w:pPr>
        <w:ind w:left="4" w:right="140" w:firstLine="436"/>
        <w:spacing w:after="0" w:line="294" w:lineRule="auto"/>
        <w:tabs>
          <w:tab w:leader="none" w:pos="759" w:val="left"/>
        </w:tabs>
        <w:numPr>
          <w:ilvl w:val="1"/>
          <w:numId w:val="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Incorporation and Good Standing of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 been duly incorporated and is validly existing as a corporation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good standing under the laws of the jurisdiction of its incorporation and has the corporate power and authority to own, lease and operate its properties and to conduct its business as described in the Registration Statement, the Time of Sale Prospectus and the Prospectus and to enter into and perform its obligations under this Agreement. The Company is duly qualified as a foreign corporation to transact business and is in good standing in the State of California and each other jurisdiction in which such qualification is required, whether by reason of the ownership or leasing of property or the conduct of business, except where the failure so to qualify or to be in good standing could not reasonably be expected to result in a Material Adverse Change.</w:t>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0" w:right="459" w:bottom="1440" w:gutter="0" w:footer="0" w:header="0"/>
        </w:sectPr>
      </w:pPr>
    </w:p>
    <w:bookmarkStart w:id="10" w:name="page11"/>
    <w:bookmarkEnd w:id="10"/>
    <w:p>
      <w:pPr>
        <w:ind w:firstLine="436"/>
        <w:spacing w:after="0" w:line="286" w:lineRule="auto"/>
        <w:tabs>
          <w:tab w:leader="none" w:pos="705"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of the Company’s “subsidiaries” (for purposes of this Agreement, as defined in Rule 405 under the Securities Act)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the Time of Sale Prospectus and the Prospectus.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so to qualify or to be in good standing could not reasonably be expected to result in a Material Adverse Change. All of the issued and outstanding capital stock or other equity or ownership interests of each of the Company’s subsidiaries have been duly authorized and validly issued, are fully paid and nonassessable and, except as otherwise disclosed in the Registration Statement, the Time of Sale Prospectus and the Prospectus,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ALX Oncology Limited is a wholly owned subsidiary of the Company.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 to the Company’s Annual Report on Form 10-K for the fiscal year ended December 31, 2022.</w:t>
      </w:r>
    </w:p>
    <w:p>
      <w:pPr>
        <w:spacing w:after="0" w:line="167" w:lineRule="exact"/>
        <w:rPr>
          <w:rFonts w:ascii="Arial" w:cs="Arial" w:eastAsia="Arial" w:hAnsi="Arial"/>
          <w:sz w:val="16"/>
          <w:szCs w:val="16"/>
          <w:b w:val="1"/>
          <w:bCs w:val="1"/>
          <w:color w:val="auto"/>
        </w:rPr>
      </w:pPr>
    </w:p>
    <w:p>
      <w:pPr>
        <w:ind w:right="20" w:firstLine="436"/>
        <w:spacing w:after="0" w:line="269" w:lineRule="auto"/>
        <w:tabs>
          <w:tab w:leader="none" w:pos="695"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Capitalization and Other Capital Stock Matters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authorized, issued and outstanding capital stock of the Company is as set forth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Registration Statement, the Time of Sale Prospectus and the Prospectus (other than for subsequent issuances, if any, pursuant to employee benefit plans, or upon the exercise of outstanding options or warrants, in each case as described in the Registration Statement, the Time of Sale Prospectus and the Prospectus). The Shares (including the Offered Shares) and the Pre-Funded Warrants conform in all material respects to the description thereof contained in the Time of Sale Prospectus. All of the issued and outstanding Shares have been duly authorized and validly issued, are fully paid and nonassessable and have been issued in compliance with all federal and state securities laws. None of the outstanding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the Time of Sale Prospectus and the Prospectus. The descriptions of the Company’s and ALX Oncology Limited’s stock option, stock bonus and other stock plans or arrangements, and the options or other rights granted thereunder, set forth in the Registration Statement, the Time of Sale Prospectus and the Prospectus in all material respects accurately and fairly presents the information required to be shown with respect to such plans, arrangements, options and rights.</w:t>
      </w:r>
    </w:p>
    <w:p>
      <w:pPr>
        <w:spacing w:after="0" w:line="175" w:lineRule="exact"/>
        <w:rPr>
          <w:rFonts w:ascii="Arial" w:cs="Arial" w:eastAsia="Arial" w:hAnsi="Arial"/>
          <w:sz w:val="17"/>
          <w:szCs w:val="17"/>
          <w:b w:val="1"/>
          <w:bCs w:val="1"/>
          <w:color w:val="auto"/>
        </w:rPr>
      </w:pPr>
    </w:p>
    <w:p>
      <w:pPr>
        <w:ind w:right="140" w:firstLine="436"/>
        <w:spacing w:after="0" w:line="258" w:lineRule="auto"/>
        <w:tabs>
          <w:tab w:leader="none" w:pos="70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Exchange Listing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Shares are registered pursuant to Section 12(b) or 12(g) of the Exchange Act and are listed on The Nasdaq</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Select Market (the “</w:t>
      </w:r>
      <w:r>
        <w:rPr>
          <w:rFonts w:ascii="Arial" w:cs="Arial" w:eastAsia="Arial" w:hAnsi="Arial"/>
          <w:sz w:val="18"/>
          <w:szCs w:val="18"/>
          <w:b w:val="1"/>
          <w:bCs w:val="1"/>
          <w:color w:val="auto"/>
        </w:rPr>
        <w:t>Nasdaq</w:t>
      </w:r>
      <w:r>
        <w:rPr>
          <w:rFonts w:ascii="Arial" w:cs="Arial" w:eastAsia="Arial" w:hAnsi="Arial"/>
          <w:sz w:val="18"/>
          <w:szCs w:val="18"/>
          <w:color w:val="auto"/>
        </w:rPr>
        <w:t>”), and the Company has taken no action designed to, or likely to have the effect of, terminating the registration of the Shares under the Exchange Act or delisting the Shares from the Nasdaq, nor has the Company received any notification that the Commission or the Nasdaq is contemplating terminating such registration or listing. To the Company’s knowledge, it is in compliance with all applicable listing requirements of the Nasdaq.</w:t>
      </w:r>
    </w:p>
    <w:p>
      <w:pPr>
        <w:spacing w:after="0" w:line="183" w:lineRule="exact"/>
        <w:rPr>
          <w:rFonts w:ascii="Arial" w:cs="Arial" w:eastAsia="Arial" w:hAnsi="Arial"/>
          <w:sz w:val="18"/>
          <w:szCs w:val="18"/>
          <w:b w:val="1"/>
          <w:bCs w:val="1"/>
          <w:color w:val="auto"/>
        </w:rPr>
      </w:pPr>
    </w:p>
    <w:p>
      <w:pPr>
        <w:ind w:right="60" w:firstLine="436"/>
        <w:spacing w:after="0" w:line="258" w:lineRule="auto"/>
        <w:tabs>
          <w:tab w:leader="none" w:pos="70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Non-Contravention of Existing Instruments; No Further Authorizations or Approvals Required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Neither the Company nor any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is in violation of its charter or by-laws, partnership agreement or operating agreement or similar organizational documents, as applicable, or is in default (or, with the giving of notice or lapse of time, would be in default) (“</w:t>
      </w:r>
      <w:r>
        <w:rPr>
          <w:rFonts w:ascii="Arial" w:cs="Arial" w:eastAsia="Arial" w:hAnsi="Arial"/>
          <w:sz w:val="18"/>
          <w:szCs w:val="18"/>
          <w:b w:val="1"/>
          <w:bCs w:val="1"/>
          <w:color w:val="auto"/>
        </w:rPr>
        <w:t>Default</w:t>
      </w:r>
      <w:r>
        <w:rPr>
          <w:rFonts w:ascii="Arial" w:cs="Arial" w:eastAsia="Arial" w:hAnsi="Arial"/>
          <w:sz w:val="18"/>
          <w:szCs w:val="18"/>
          <w:color w:val="auto"/>
        </w:rPr>
        <w:t>”) under any indenture, loan, credit agreement, note, lease, license agreement, contract, franchise or other instrument (including, without limitation, any pledge agreement, security agreement, mortgage or other instrument 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11" w:name="page12"/>
    <w:bookmarkEnd w:id="11"/>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evidencing, guaranteeing, securing or relating to indebtedness) to which the Company or any of its subsidiaries is a party or by which it or any of them may be bound, or to which any of their respective properties or assets are subject (each, an “</w:t>
      </w:r>
      <w:r>
        <w:rPr>
          <w:rFonts w:ascii="Arial" w:cs="Arial" w:eastAsia="Arial" w:hAnsi="Arial"/>
          <w:sz w:val="16"/>
          <w:szCs w:val="16"/>
          <w:b w:val="1"/>
          <w:bCs w:val="1"/>
          <w:color w:val="auto"/>
        </w:rPr>
        <w:t>Existing Instrument</w:t>
      </w:r>
      <w:r>
        <w:rPr>
          <w:rFonts w:ascii="Arial" w:cs="Arial" w:eastAsia="Arial" w:hAnsi="Arial"/>
          <w:sz w:val="16"/>
          <w:szCs w:val="16"/>
          <w:color w:val="auto"/>
        </w:rPr>
        <w:t>”), except for such Defaults as would not reasonably be expected, individually or in the aggregate, to result in a Material Adverse Change. The Company’s execution, delivery and performance of this Agreement, consummation of the transactions contemplated hereby and by the Registration Statement, the Time of Sale Prospectus and the Prospectus and the issuance and sale of the Offered Securities (including the use of proceeds from the sale of the Offered Securities as described in the Registration Statement, the Time of Sale Prospectus and the Prospectus under the caption “Use of Proceeds”) and the Warrant Shares</w:t>
      </w:r>
    </w:p>
    <w:p>
      <w:pPr>
        <w:spacing w:after="0" w:line="4" w:lineRule="exact"/>
        <w:rPr>
          <w:sz w:val="20"/>
          <w:szCs w:val="20"/>
          <w:color w:val="auto"/>
        </w:rPr>
      </w:pPr>
    </w:p>
    <w:p>
      <w:pPr>
        <w:ind w:left="4" w:right="20" w:hanging="4"/>
        <w:spacing w:after="0" w:line="267" w:lineRule="auto"/>
        <w:tabs>
          <w:tab w:leader="none" w:pos="219" w:val="left"/>
        </w:tabs>
        <w:numPr>
          <w:ilvl w:val="0"/>
          <w:numId w:val="10"/>
        </w:numPr>
        <w:rPr>
          <w:rFonts w:ascii="Arial" w:cs="Arial" w:eastAsia="Arial" w:hAnsi="Arial"/>
          <w:sz w:val="17"/>
          <w:szCs w:val="17"/>
          <w:color w:val="auto"/>
        </w:rPr>
      </w:pPr>
      <w:r>
        <w:rPr>
          <w:rFonts w:ascii="Arial" w:cs="Arial" w:eastAsia="Arial" w:hAnsi="Arial"/>
          <w:sz w:val="17"/>
          <w:szCs w:val="17"/>
          <w:color w:val="auto"/>
        </w:rPr>
        <w:t>have been duly authorized by all necessary corporate action and will not result in any violation of the provisions of the charter or by-laws, partnership agreement or operating agreement or similar organizational documents, as applicable, of the Company or any of its subsidiaries,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except for such Defaults or a Debt Repayment Triggering Event as would not reasonably be expected, individually or in the aggregate, to result in a Material Adverse Change, and (iii) will not result in any violation of any law, administrative regulation or administrative or court decree applicable to the Company or any of its subsidiaries, except for such violations as would not reasonably be expected, individually or in the aggregate, to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the Time of Sale Prospectus and the Prospectus, except such as have been obtained or made by the Company and are in full force and effect under the Securities Act and such as may be required under applicable state securities or blue sky laws or FINRA. As used herein, a “</w:t>
      </w:r>
      <w:r>
        <w:rPr>
          <w:rFonts w:ascii="Arial" w:cs="Arial" w:eastAsia="Arial" w:hAnsi="Arial"/>
          <w:sz w:val="17"/>
          <w:szCs w:val="17"/>
          <w:b w:val="1"/>
          <w:bCs w:val="1"/>
          <w:color w:val="auto"/>
        </w:rPr>
        <w:t>Debt Repayment Triggering Event</w:t>
      </w:r>
      <w:r>
        <w:rPr>
          <w:rFonts w:ascii="Arial" w:cs="Arial" w:eastAsia="Arial" w:hAnsi="Arial"/>
          <w:sz w:val="17"/>
          <w:szCs w:val="17"/>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79" w:lineRule="exact"/>
        <w:rPr>
          <w:rFonts w:ascii="Arial" w:cs="Arial" w:eastAsia="Arial" w:hAnsi="Arial"/>
          <w:sz w:val="17"/>
          <w:szCs w:val="17"/>
          <w:color w:val="auto"/>
        </w:rPr>
      </w:pPr>
    </w:p>
    <w:p>
      <w:pPr>
        <w:ind w:left="4" w:right="260" w:firstLine="436"/>
        <w:spacing w:after="0" w:line="263" w:lineRule="auto"/>
        <w:tabs>
          <w:tab w:leader="none" w:pos="689"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Compliance with Laws. </w:t>
      </w:r>
      <w:r>
        <w:rPr>
          <w:rFonts w:ascii="Arial" w:cs="Arial" w:eastAsia="Arial" w:hAnsi="Arial"/>
          <w:sz w:val="18"/>
          <w:szCs w:val="18"/>
          <w:color w:val="auto"/>
        </w:rPr>
        <w:t>The Company and its subsidiaries have been and are in compliance in all material respects with all applicable 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rules and regulations, except where failure to be so in compliance could not reasonably be expected, individually or in the aggregate, to result in a Material Adverse Change.</w:t>
      </w:r>
    </w:p>
    <w:p>
      <w:pPr>
        <w:spacing w:after="0" w:line="179" w:lineRule="exact"/>
        <w:rPr>
          <w:rFonts w:ascii="Arial" w:cs="Arial" w:eastAsia="Arial" w:hAnsi="Arial"/>
          <w:sz w:val="18"/>
          <w:szCs w:val="18"/>
          <w:b w:val="1"/>
          <w:bCs w:val="1"/>
          <w:color w:val="auto"/>
        </w:rPr>
      </w:pPr>
    </w:p>
    <w:p>
      <w:pPr>
        <w:ind w:left="4" w:right="180" w:firstLine="436"/>
        <w:spacing w:after="0" w:line="286" w:lineRule="auto"/>
        <w:tabs>
          <w:tab w:leader="none" w:pos="679" w:val="left"/>
        </w:tabs>
        <w:numPr>
          <w:ilvl w:val="1"/>
          <w:numId w:val="1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Material Actions or Proceedings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is no action, suit, proceeding, inquiry or investigation brought by or before any legal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governmental entity now pending or, to the knowledge of the Company, threatened, against or affecting the Company or any of its subsidiaries, which could reasonably be expected, individually or in the aggregate, to result in a Material Adverse Change. Except as would not reasonably be expected, individually or in the aggregate, to result in a Material Adverse Change, (i) no labor dispute with the employees of the Company or any of its subsidiaries, or with the employees of any principal supplier, manufacturer, customer or contractor of the Company or any of its subsidiaries, exists or,</w:t>
      </w:r>
    </w:p>
    <w:p>
      <w:pPr>
        <w:spacing w:after="0" w:line="2" w:lineRule="exact"/>
        <w:rPr>
          <w:rFonts w:ascii="Arial" w:cs="Arial" w:eastAsia="Arial" w:hAnsi="Arial"/>
          <w:sz w:val="16"/>
          <w:szCs w:val="16"/>
          <w:b w:val="1"/>
          <w:bCs w:val="1"/>
          <w:color w:val="auto"/>
        </w:rPr>
      </w:pPr>
    </w:p>
    <w:p>
      <w:pPr>
        <w:ind w:left="264" w:hanging="264"/>
        <w:spacing w:after="0"/>
        <w:tabs>
          <w:tab w:leader="none" w:pos="2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the knowledge of the Company, is threatened or imminent.</w:t>
      </w:r>
    </w:p>
    <w:p>
      <w:pPr>
        <w:spacing w:after="0" w:line="206" w:lineRule="exact"/>
        <w:rPr>
          <w:rFonts w:ascii="Arial" w:cs="Arial" w:eastAsia="Arial" w:hAnsi="Arial"/>
          <w:sz w:val="18"/>
          <w:szCs w:val="18"/>
          <w:color w:val="auto"/>
        </w:rPr>
      </w:pPr>
    </w:p>
    <w:p>
      <w:pPr>
        <w:ind w:left="4" w:right="80" w:firstLine="436"/>
        <w:spacing w:after="0" w:line="258" w:lineRule="auto"/>
        <w:tabs>
          <w:tab w:leader="none" w:pos="669"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Intellectual Property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and its subsidiaries own, or have obtained valid and enforceable licenses for the inventions, patent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patents, trademarks, trade names, service names, service marks, copyrights, trade secrets, know how (including unpatented and/or unpatentable proprietary of confidential information, systems or procedures) and other intellectual property described in the Registration Statement, the Time of Sale Prospectus and the Prospectus as being owned or licensed by them or which are necessary for the conduct of their respective businesses as currently</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4" w:right="439" w:bottom="1440" w:gutter="0" w:footer="0" w:header="0"/>
        </w:sectPr>
      </w:pPr>
    </w:p>
    <w:bookmarkStart w:id="12" w:name="page13"/>
    <w:bookmarkEnd w:id="12"/>
    <w:p>
      <w:pPr>
        <w:ind w:left="4" w:right="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conducted or as currently proposed to be conducted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and the conduct of their respective businesses does not and will not infringe upon or misappropriate in any material respect any such rights of others. The Intellectual Property of the Company and its subsidiaries has not been adjudged by a court of competent jurisdiction to be invalid or unenforceable, in whole or in part, and the Company is unaware of any facts which would form a reasonable basis for any such adjudication. To the Company’s knowledge: (i) there are no third parties who have rights to any Intellectual Property, including no liens, security interests, or other encumbrances, except for customary reversionary rights of third-party licensors with respect to Intellectual Property that is disclosed in the Registration Statement, the Time of Sale Prospectus and the Prospectus as licensed to the Company or one or more of its subsidiaries; and (ii) there is no infringement by third parties of any Intellectual Property. The Intellectual Property has not been adjudged by a court of competent jurisdiction invalid or unenforceable, in whole or in part, and the Company is unaware of any facts which would form a reasonable basis for any such adjudication. Neither the Company nor any of its subsidiaries has received any notice of any claim, or is otherwise aware, of any infringement or misappropriation of any intellectual property rights of another, and the Company is unaware of any facts which would form a reasonable basis for any such notice or claim. There is no pending or threatened action, suit, proceeding or claim by others:</w:t>
      </w:r>
    </w:p>
    <w:p>
      <w:pPr>
        <w:spacing w:after="0" w:line="8" w:lineRule="exact"/>
        <w:rPr>
          <w:sz w:val="20"/>
          <w:szCs w:val="20"/>
          <w:color w:val="auto"/>
        </w:rPr>
      </w:pPr>
    </w:p>
    <w:p>
      <w:pPr>
        <w:ind w:left="4" w:hanging="4"/>
        <w:spacing w:after="0" w:line="283" w:lineRule="auto"/>
        <w:tabs>
          <w:tab w:leader="none" w:pos="299"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challenging the Company’s or any of its subsidiaries’ rights in or to any Intellectual Property, and the Company is unaware of any facts which would form a reasonable basis for any such action, suit, proceeding or claim; (B) challenging the validity, enforceability or scope of any Intellectual Property, including no interferences, oppositions, reexaminations, or government proceedings, and the Company is unaware of any facts which would form a reasonable basis for any such action, suit, proceeding or claim; or (C) asserting that the Company or any of its subsidiaries infringes, misappropriates, or otherwise violates, or would, upon the commercialization of any product or service described in the Registration Statement, the Time of Sale Prospectus or the Prospectus as under development, infringe, misappropriate, or violate, any patent, trademark, trade name, service name, copyright, trade secret or other proprietary rights of others, and the Company is unaware of any facts which would form a reasonable basis for any such action, suit, proceeding or claim. The Company and its subsidiaries have complied with the terms of each agreement pursuant to which Intellectual Property has been licensed to the Company or any of its subsidiaries, and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 including the execution of appropriate nondisclosure, confidentiality agreements and invention assignment agreements and invention assignments with their employees, and no employee of the Company or any of its subsidiaries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of its subsidiaries. The duty of candor and good faith as required by the United States Patent and Trademark Office during the prosecution of the United States patents and patent applications included in the Intellectual Property have been complied with; and in all foreign offices having similar requirements, all such requirements have been complied with. None of the Intellectual Property owned by the Company or its subsidiaries or technology (including information technology and outsourced arrangements) employed by the Company or its subsidiaries has been obtained or is being used by the Company or its subsidiaries in violation of any contractual obligation binding on the Company or its subsidiaries or any of their respective officers, directors or employees or otherwise in violation of the rights of any persons. The product candidates described in the Registration Statement, the Time of Sale Prospectus and the Prospectus as under development by the Company or any of its subsidiaries fall within the scope of the claims of one or more patents owned by, or exclusively licensed to, the Company or any of its subsidiaries.</w:t>
      </w:r>
    </w:p>
    <w:p>
      <w:pPr>
        <w:spacing w:after="0" w:line="32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0" w:right="459" w:bottom="1440" w:gutter="0" w:footer="0" w:header="0"/>
        </w:sectPr>
      </w:pPr>
    </w:p>
    <w:bookmarkStart w:id="13" w:name="page14"/>
    <w:bookmarkEnd w:id="13"/>
    <w:p>
      <w:pPr>
        <w:ind w:left="-60" w:right="20" w:firstLine="436"/>
        <w:spacing w:after="0" w:line="289" w:lineRule="auto"/>
        <w:tabs>
          <w:tab w:leader="none" w:pos="645"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Necessary Permits, etc</w:t>
      </w:r>
      <w:r>
        <w:rPr>
          <w:rFonts w:ascii="Arial" w:cs="Arial" w:eastAsia="Arial" w:hAnsi="Arial"/>
          <w:sz w:val="16"/>
          <w:szCs w:val="16"/>
          <w:color w:val="auto"/>
        </w:rPr>
        <w:t>. The Company and its subsidiaries possess such valid and current licenses, certificates, authorizations, approvals,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consents or permits required by state, federal or foreign regulatory agencies or bodies to conduct their respective businesses as currently conducted and as described in the Registration Statement, the Time of Sale Prospectus or the Prospectus (“</w:t>
      </w:r>
      <w:r>
        <w:rPr>
          <w:rFonts w:ascii="Arial" w:cs="Arial" w:eastAsia="Arial" w:hAnsi="Arial"/>
          <w:sz w:val="16"/>
          <w:szCs w:val="16"/>
          <w:b w:val="1"/>
          <w:bCs w:val="1"/>
          <w:color w:val="auto"/>
        </w:rPr>
        <w:t>Permits</w:t>
      </w:r>
      <w:r>
        <w:rPr>
          <w:rFonts w:ascii="Arial" w:cs="Arial" w:eastAsia="Arial" w:hAnsi="Arial"/>
          <w:sz w:val="16"/>
          <w:szCs w:val="16"/>
          <w:color w:val="auto"/>
        </w:rPr>
        <w:t>”). Neither the Company nor any of its subsidiaries is in violation of, or in default under, any of the Permits or has received any notice of proceedings relating to the revocation or suspension of, or non-compliance with, any such certificate, authorization or permit. The Company and its subsidiaries have filed, obtained, maintained or submitted all reports, documents, forms, notices, applications, records, claims, submissions and supplements or amendments as required by any Permits and that all such reports, documents, forms, notices, applications, records, claims, submissions and supplements or amendments were timely, complete, correct and not misleading on the date filed (or were corrected or supplemented by a subsequent submission), except, in each case, where the failure to do so would not reasonably be expected, individually or in the aggregate, to result in a Material Adverse Change.</w:t>
      </w:r>
    </w:p>
    <w:p>
      <w:pPr>
        <w:spacing w:after="0" w:line="162" w:lineRule="exact"/>
        <w:rPr>
          <w:rFonts w:ascii="Arial" w:cs="Arial" w:eastAsia="Arial" w:hAnsi="Arial"/>
          <w:sz w:val="16"/>
          <w:szCs w:val="16"/>
          <w:b w:val="1"/>
          <w:bCs w:val="1"/>
          <w:color w:val="auto"/>
        </w:rPr>
      </w:pPr>
    </w:p>
    <w:p>
      <w:pPr>
        <w:ind w:left="-60" w:firstLine="436"/>
        <w:spacing w:after="0" w:line="269" w:lineRule="auto"/>
        <w:tabs>
          <w:tab w:leader="none" w:pos="635"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Title to Properties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as otherwise disclosed in the Registration Statement, the Time of Sale Prospectus and the Prospectus,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its subsidiaries have good and marketable title to all of the personal property and other assets reflected as owned in the financial statements referred to in Section 1(j) above (or elsewhere in the Registration Statement, the Time of Sale Prospectus or the Prospectus), in each case free and clear of any security interests, mortgages, liens, encumbrances, equities, adverse claims and other defects. The real property, improvements, equipment and personal property held under lease by the Company or any of its subsidiaries are held under valid and enforceable leases (subject to the effects of (i) bankruptcy, insolvency, fraudulent conveyance, fraudulent transfer, reorganization, moratorium or other similar laws relating to or affecting rights or remedies of creditors generally; (ii) the application of general principles of equity (including without limitation, concepts of materiality, reasonableness, good faith and fair dealing, regardless of whether enforcement is considered in proceedings at law or in equity); and (iii) applicable law and public policy with respect to rights to indemnity and contribution), with such exceptions as are not material and do not materially interfere with the use made or proposed to be made of such real property, improvements, equipment or personal property by the Company or such subsidiary. The Company and its subsidiaries do not own any real property.</w:t>
      </w:r>
    </w:p>
    <w:p>
      <w:pPr>
        <w:spacing w:after="0" w:line="181" w:lineRule="exact"/>
        <w:rPr>
          <w:rFonts w:ascii="Arial" w:cs="Arial" w:eastAsia="Arial" w:hAnsi="Arial"/>
          <w:sz w:val="17"/>
          <w:szCs w:val="17"/>
          <w:b w:val="1"/>
          <w:bCs w:val="1"/>
          <w:color w:val="auto"/>
        </w:rPr>
      </w:pPr>
    </w:p>
    <w:p>
      <w:pPr>
        <w:ind w:left="-60" w:right="100" w:firstLine="436"/>
        <w:spacing w:after="0" w:line="292" w:lineRule="auto"/>
        <w:tabs>
          <w:tab w:leader="none" w:pos="675"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Tax Law Compliance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and its subsidiaries have filed all necessary U.S. federal, state and foreign income and franchise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to the extent that failure to file or pay could reasonably be expected to result in a Material Adverse Change. The Company has made adequate charges, accruals and reserves in the applicable financial statements referred to in Section 1(j) above in respect of all U.S. federal, state and foreign income and franchise taxes for all periods as to which the tax liability of the Company or any of its subsidiaries has not been finally determined, to the extent that failure to do so could reasonably be expected to result in a Material Adverse Change.</w:t>
      </w:r>
    </w:p>
    <w:p>
      <w:pPr>
        <w:spacing w:after="0" w:line="161" w:lineRule="exact"/>
        <w:rPr>
          <w:rFonts w:ascii="Arial" w:cs="Arial" w:eastAsia="Arial" w:hAnsi="Arial"/>
          <w:sz w:val="16"/>
          <w:szCs w:val="16"/>
          <w:b w:val="1"/>
          <w:bCs w:val="1"/>
          <w:color w:val="auto"/>
        </w:rPr>
      </w:pPr>
    </w:p>
    <w:p>
      <w:pPr>
        <w:ind w:left="-60" w:right="160" w:firstLine="436"/>
        <w:spacing w:after="0" w:line="291" w:lineRule="auto"/>
        <w:tabs>
          <w:tab w:leader="none" w:pos="635"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Insurance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of the Company and its subsidiaries are insured by recognized, financially sound and reputable institutions with policies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amounts and with such deductibles and covering such risks as the Company reasonably believes is adequate and customary for their businesses including, but not limited to, policies covering real and personal property owned or leased by the Company and its subsidiaries against theft, damage, destruction and acts of vandalism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could not reasonably be expected, individually or in the aggregate, to result in a Material Adverse Change. Neither the Company nor any of its subsidiaries has been denied any insurance coverage which it has sought or for which it has applied.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500" w:top="274" w:right="519" w:bottom="1440" w:gutter="0" w:footer="0" w:header="0"/>
        </w:sectPr>
      </w:pPr>
    </w:p>
    <w:bookmarkStart w:id="14" w:name="page15"/>
    <w:bookmarkEnd w:id="14"/>
    <w:p>
      <w:pPr>
        <w:ind w:left="4" w:right="60" w:firstLine="436"/>
        <w:spacing w:after="0" w:line="268" w:lineRule="auto"/>
        <w:tabs>
          <w:tab w:leader="none" w:pos="699"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Environmental Laws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as would not reasonably be expected, individually or in the aggregate, to result in a Material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7"/>
          <w:szCs w:val="17"/>
          <w:b w:val="1"/>
          <w:bCs w:val="1"/>
          <w:color w:val="auto"/>
        </w:rPr>
        <w:t>Hazardous Materials</w:t>
      </w:r>
      <w:r>
        <w:rPr>
          <w:rFonts w:ascii="Arial" w:cs="Arial" w:eastAsia="Arial" w:hAnsi="Arial"/>
          <w:sz w:val="17"/>
          <w:szCs w:val="17"/>
          <w:color w:val="auto"/>
        </w:rPr>
        <w:t>”) or to the manufacture, processing, distribution, use, treatment, storage, disposal, transport or handling of Hazardous Materials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(ii) the Company and its subsidiaries have all permits, authorizations and approvals required under any applicable Environmental Laws and are each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 (iv) to the Company’s knowledge,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188" w:lineRule="exact"/>
        <w:rPr>
          <w:rFonts w:ascii="Arial" w:cs="Arial" w:eastAsia="Arial" w:hAnsi="Arial"/>
          <w:sz w:val="17"/>
          <w:szCs w:val="17"/>
          <w:b w:val="1"/>
          <w:bCs w:val="1"/>
          <w:color w:val="auto"/>
        </w:rPr>
      </w:pPr>
    </w:p>
    <w:p>
      <w:pPr>
        <w:ind w:left="684" w:hanging="244"/>
        <w:spacing w:after="0"/>
        <w:tabs>
          <w:tab w:leader="none" w:pos="684"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[Reserved.]</w:t>
      </w:r>
    </w:p>
    <w:p>
      <w:pPr>
        <w:spacing w:after="0" w:line="221" w:lineRule="exact"/>
        <w:rPr>
          <w:sz w:val="20"/>
          <w:szCs w:val="20"/>
          <w:color w:val="auto"/>
        </w:rPr>
      </w:pPr>
    </w:p>
    <w:p>
      <w:pPr>
        <w:ind w:left="4" w:firstLine="436"/>
        <w:spacing w:after="0" w:line="283" w:lineRule="auto"/>
        <w:tabs>
          <w:tab w:leader="none" w:pos="789" w:val="left"/>
        </w:tabs>
        <w:numPr>
          <w:ilvl w:val="1"/>
          <w:numId w:val="1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ERISA Compliance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and its subsidiaries and any “employee benefit plan” (as defined under the Employee Retirement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Security Act of 1974, as amended, and the regulations and published interpretations thereunder (collectively, “</w:t>
      </w:r>
      <w:r>
        <w:rPr>
          <w:rFonts w:ascii="Arial" w:cs="Arial" w:eastAsia="Arial" w:hAnsi="Arial"/>
          <w:sz w:val="16"/>
          <w:szCs w:val="16"/>
          <w:b w:val="1"/>
          <w:bCs w:val="1"/>
          <w:color w:val="auto"/>
        </w:rPr>
        <w:t>ERISA</w:t>
      </w:r>
      <w:r>
        <w:rPr>
          <w:rFonts w:ascii="Arial" w:cs="Arial" w:eastAsia="Arial" w:hAnsi="Arial"/>
          <w:sz w:val="16"/>
          <w:szCs w:val="16"/>
          <w:color w:val="auto"/>
        </w:rPr>
        <w:t>”)) established or maintained by the Company, its subsidiaries or, to Company’s knowledge, their “ERISA Affiliates” (as defined below) are in compliance in all material respects with ERISA. “</w:t>
      </w:r>
      <w:r>
        <w:rPr>
          <w:rFonts w:ascii="Arial" w:cs="Arial" w:eastAsia="Arial" w:hAnsi="Arial"/>
          <w:sz w:val="16"/>
          <w:szCs w:val="16"/>
          <w:b w:val="1"/>
          <w:bCs w:val="1"/>
          <w:color w:val="auto"/>
        </w:rPr>
        <w:t>ERISA Affiliate</w:t>
      </w:r>
      <w:r>
        <w:rPr>
          <w:rFonts w:ascii="Arial" w:cs="Arial" w:eastAsia="Arial" w:hAnsi="Arial"/>
          <w:sz w:val="16"/>
          <w:szCs w:val="16"/>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Arial" w:cs="Arial" w:eastAsia="Arial" w:hAnsi="Arial"/>
          <w:sz w:val="16"/>
          <w:szCs w:val="16"/>
          <w:b w:val="1"/>
          <w:bCs w:val="1"/>
          <w:color w:val="auto"/>
        </w:rPr>
        <w:t>Code</w:t>
      </w:r>
      <w:r>
        <w:rPr>
          <w:rFonts w:ascii="Arial" w:cs="Arial" w:eastAsia="Arial" w:hAnsi="Arial"/>
          <w:sz w:val="16"/>
          <w:szCs w:val="16"/>
          <w:color w:val="auto"/>
        </w:rPr>
        <w:t>”) of which the Company or such subsidiary thereof is a member. No “reportable event” (as defined under Section 4043 of ERISA) has occurred or is reasonably expected to occur with respect to any “employee benefit plan” established or maintained by the Company, its subsidiaries or any of their ERISA Affiliates, that would reasonably be expected to result in material liability to the Company or its subsidiaries. No “employee benefit plan” established or maintained by the Company, its subsidiaries or any of their ERISA Affiliates, if such “employee benefit plan” were terminated, would have any “amount of unfunded benefit liabilities” (as defined under Section 4001(a)(18) of ERISA) that would reasonably be expected to result in material liability to the Company and its subsidiaries. Neither the Company, its subsidiaries nor any of their ERISA Affiliates has incurred or reasonably expects to incur any material liability under (i) Title IV of ERISA with respect to termination of, or withdrawal from, any “employee benefit plan” or</w:t>
      </w:r>
    </w:p>
    <w:p>
      <w:pPr>
        <w:spacing w:after="0" w:line="6" w:lineRule="exact"/>
        <w:rPr>
          <w:rFonts w:ascii="Arial" w:cs="Arial" w:eastAsia="Arial" w:hAnsi="Arial"/>
          <w:sz w:val="16"/>
          <w:szCs w:val="16"/>
          <w:b w:val="1"/>
          <w:bCs w:val="1"/>
          <w:color w:val="auto"/>
        </w:rPr>
      </w:pPr>
    </w:p>
    <w:p>
      <w:pPr>
        <w:jc w:val="both"/>
        <w:ind w:left="4" w:right="240" w:hanging="4"/>
        <w:spacing w:after="0" w:line="277" w:lineRule="auto"/>
        <w:tabs>
          <w:tab w:leader="none" w:pos="269"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Sections 412, 4971, 4975 or 4980B of the Code. Each employee benefit plan established or maintained by the Company, its subsidiaries or any of their ERISA Affiliates that is intended to be qualified under Section 401(a) of the Code is so qualified and, to the Company’s knowledge, nothing has occurred, whether by action or failure to act, which would reasonably be expected to cause the loss of such qualification.</w:t>
      </w:r>
    </w:p>
    <w:p>
      <w:pPr>
        <w:spacing w:after="0" w:line="172" w:lineRule="exact"/>
        <w:rPr>
          <w:rFonts w:ascii="Arial" w:cs="Arial" w:eastAsia="Arial" w:hAnsi="Arial"/>
          <w:sz w:val="17"/>
          <w:szCs w:val="17"/>
          <w:color w:val="auto"/>
        </w:rPr>
      </w:pPr>
    </w:p>
    <w:p>
      <w:pPr>
        <w:ind w:left="4" w:right="100" w:firstLine="436"/>
        <w:spacing w:after="0" w:line="259" w:lineRule="auto"/>
        <w:tabs>
          <w:tab w:leader="none" w:pos="809"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Company Not an “Investment Company.” </w:t>
      </w:r>
      <w:r>
        <w:rPr>
          <w:rFonts w:ascii="Arial" w:cs="Arial" w:eastAsia="Arial" w:hAnsi="Arial"/>
          <w:sz w:val="18"/>
          <w:szCs w:val="18"/>
          <w:color w:val="auto"/>
        </w:rPr>
        <w:t>The Company is not, and will not be, either after receipt of payment for the Offered Securities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Arial" w:cs="Arial" w:eastAsia="Arial" w:hAnsi="Arial"/>
          <w:sz w:val="18"/>
          <w:szCs w:val="18"/>
          <w:b w:val="1"/>
          <w:bCs w:val="1"/>
          <w:color w:val="auto"/>
        </w:rPr>
        <w:t>“Investment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0" w:right="459" w:bottom="1440" w:gutter="0" w:footer="0" w:header="0"/>
        </w:sectPr>
      </w:pPr>
    </w:p>
    <w:bookmarkStart w:id="15" w:name="page16"/>
    <w:bookmarkEnd w:id="15"/>
    <w:p>
      <w:pPr>
        <w:jc w:val="both"/>
        <w:ind w:firstLine="436"/>
        <w:spacing w:after="0" w:line="303" w:lineRule="auto"/>
        <w:tabs>
          <w:tab w:leader="none" w:pos="765"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Price Stabilization or Manipulation; Compliance with Regulation 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 its subsidiaries has taken, directly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indirectly, any action designed, or that would reasonably be expected, to cause or result in stabilization or manipulation of the price of the Shares or of any “reference security” (as defined in Rule 100 of Regulation M under the Exchange Act (</w:t>
      </w:r>
      <w:r>
        <w:rPr>
          <w:rFonts w:ascii="Arial" w:cs="Arial" w:eastAsia="Arial" w:hAnsi="Arial"/>
          <w:sz w:val="16"/>
          <w:szCs w:val="16"/>
          <w:b w:val="1"/>
          <w:bCs w:val="1"/>
          <w:color w:val="auto"/>
        </w:rPr>
        <w:t>“Regulation M”</w:t>
      </w:r>
      <w:r>
        <w:rPr>
          <w:rFonts w:ascii="Arial" w:cs="Arial" w:eastAsia="Arial" w:hAnsi="Arial"/>
          <w:sz w:val="16"/>
          <w:szCs w:val="16"/>
          <w:color w:val="auto"/>
        </w:rPr>
        <w:t>)) with respect to the Shares, whether to facilitate the sale or resale of the Offered Securities or otherwise, and has taken no action which would directly or indirectly violate Regulation M.</w:t>
      </w:r>
    </w:p>
    <w:p>
      <w:pPr>
        <w:spacing w:after="0" w:line="150" w:lineRule="exact"/>
        <w:rPr>
          <w:rFonts w:ascii="Arial" w:cs="Arial" w:eastAsia="Arial" w:hAnsi="Arial"/>
          <w:sz w:val="16"/>
          <w:szCs w:val="16"/>
          <w:b w:val="1"/>
          <w:bCs w:val="1"/>
          <w:color w:val="auto"/>
        </w:rPr>
      </w:pPr>
    </w:p>
    <w:p>
      <w:pPr>
        <w:ind w:left="800" w:hanging="364"/>
        <w:spacing w:after="0"/>
        <w:tabs>
          <w:tab w:leader="none" w:pos="80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Related-Party Transactions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are no business relationships or related-party transactions involving the Company or any of its</w:t>
      </w:r>
    </w:p>
    <w:p>
      <w:pPr>
        <w:spacing w:after="0" w:line="38" w:lineRule="exact"/>
        <w:rPr>
          <w:rFonts w:ascii="Arial" w:cs="Arial" w:eastAsia="Arial" w:hAnsi="Arial"/>
          <w:sz w:val="17"/>
          <w:szCs w:val="17"/>
          <w:b w:val="1"/>
          <w:bCs w:val="1"/>
          <w:color w:val="auto"/>
        </w:rPr>
      </w:pPr>
    </w:p>
    <w:p>
      <w:pPr>
        <w:ind w:right="80"/>
        <w:spacing w:after="0" w:line="260" w:lineRule="auto"/>
        <w:rPr>
          <w:rFonts w:ascii="Arial" w:cs="Arial" w:eastAsia="Arial" w:hAnsi="Arial"/>
          <w:sz w:val="17"/>
          <w:szCs w:val="17"/>
          <w:b w:val="1"/>
          <w:bCs w:val="1"/>
          <w:color w:val="auto"/>
        </w:rPr>
      </w:pPr>
      <w:r>
        <w:rPr>
          <w:rFonts w:ascii="Arial" w:cs="Arial" w:eastAsia="Arial" w:hAnsi="Arial"/>
          <w:sz w:val="18"/>
          <w:szCs w:val="18"/>
          <w:color w:val="auto"/>
        </w:rPr>
        <w:t>subsidiaries or any other person required to be described in the Registration Statement, the Time of Sale Prospectus or the Prospectus that have not been described as required.</w:t>
      </w:r>
    </w:p>
    <w:p>
      <w:pPr>
        <w:spacing w:after="0" w:line="181" w:lineRule="exact"/>
        <w:rPr>
          <w:rFonts w:ascii="Arial" w:cs="Arial" w:eastAsia="Arial" w:hAnsi="Arial"/>
          <w:sz w:val="17"/>
          <w:szCs w:val="17"/>
          <w:b w:val="1"/>
          <w:bCs w:val="1"/>
          <w:color w:val="auto"/>
        </w:rPr>
      </w:pPr>
    </w:p>
    <w:p>
      <w:pPr>
        <w:ind w:right="100" w:firstLine="436"/>
        <w:spacing w:after="0" w:line="258" w:lineRule="auto"/>
        <w:tabs>
          <w:tab w:leader="none" w:pos="76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FINRA Matters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of the information provided to the Underwriters or to counsel for the Underwriters by the Company, its counsel,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and directors and, to the Company’s knowledge, the holders of any securities (debt or equity) or options to acquire any securities of the Company in connection with the offering of the Offered Securities is true, complete and correct in all material respects and compliant with FINRA’s rules and any letters, filings or other supplemental information provided to FINRA pursuant to FINRA Rules or NASD Conduct Rules is true, complete and correct in all material respects.</w:t>
      </w:r>
    </w:p>
    <w:p>
      <w:pPr>
        <w:spacing w:after="0" w:line="183" w:lineRule="exact"/>
        <w:rPr>
          <w:rFonts w:ascii="Arial" w:cs="Arial" w:eastAsia="Arial" w:hAnsi="Arial"/>
          <w:sz w:val="18"/>
          <w:szCs w:val="18"/>
          <w:b w:val="1"/>
          <w:bCs w:val="1"/>
          <w:color w:val="auto"/>
        </w:rPr>
      </w:pPr>
    </w:p>
    <w:p>
      <w:pPr>
        <w:ind w:right="60" w:firstLine="436"/>
        <w:spacing w:after="0" w:line="277" w:lineRule="auto"/>
        <w:tabs>
          <w:tab w:leader="none" w:pos="725"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Parties to Lock-Up Agreements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furnished to the Underwriters a letter agreement in the form attached hereto as</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color w:val="auto"/>
        </w:rPr>
        <w:t>Lock-up Agreement</w:t>
      </w:r>
      <w:r>
        <w:rPr>
          <w:rFonts w:ascii="Arial" w:cs="Arial" w:eastAsia="Arial" w:hAnsi="Arial"/>
          <w:sz w:val="17"/>
          <w:szCs w:val="17"/>
          <w:color w:val="auto"/>
        </w:rPr>
        <w:t>”) from the directors and officers of the Company and from certain securityholders of the Company. If any additional persons shall become directors or officers (as defined in Rule 16a-1(f) under the Exchange Act) of the Company prior to the end of the Lock-up Period (as defined below), the Company shall cause each such person, prior to or contemporaneously with their appointment or election as a director or officer of the Company, to execute and deliver to the Representatives a Lock-up Agreement.</w:t>
      </w:r>
    </w:p>
    <w:p>
      <w:pPr>
        <w:spacing w:after="0" w:line="167" w:lineRule="exact"/>
        <w:rPr>
          <w:rFonts w:ascii="Arial" w:cs="Arial" w:eastAsia="Arial" w:hAnsi="Arial"/>
          <w:sz w:val="17"/>
          <w:szCs w:val="17"/>
          <w:b w:val="1"/>
          <w:bCs w:val="1"/>
          <w:color w:val="auto"/>
        </w:rPr>
      </w:pPr>
    </w:p>
    <w:p>
      <w:pPr>
        <w:ind w:right="40" w:firstLine="436"/>
        <w:spacing w:after="0" w:line="314" w:lineRule="auto"/>
        <w:tabs>
          <w:tab w:leader="none" w:pos="785"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Statistical and Market-Related Data</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statistical, demographic and market-related data included in the Registration Statement, the Time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 Prospectus or the Prospectus are based on or derived from sources that the Company believes, after reasonable inquiry, to be reliable and accurate in all material respects. To the extent required, the Company has obtained the written consent to the use of such data from such sources.</w:t>
      </w:r>
    </w:p>
    <w:p>
      <w:pPr>
        <w:spacing w:after="0" w:line="145" w:lineRule="exact"/>
        <w:rPr>
          <w:rFonts w:ascii="Arial" w:cs="Arial" w:eastAsia="Arial" w:hAnsi="Arial"/>
          <w:sz w:val="16"/>
          <w:szCs w:val="16"/>
          <w:b w:val="1"/>
          <w:bCs w:val="1"/>
          <w:color w:val="auto"/>
        </w:rPr>
      </w:pPr>
    </w:p>
    <w:p>
      <w:pPr>
        <w:ind w:right="120" w:firstLine="436"/>
        <w:spacing w:after="0" w:line="286" w:lineRule="auto"/>
        <w:tabs>
          <w:tab w:leader="none" w:pos="805"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Sarbanes-Oxley Act. </w:t>
      </w:r>
      <w:r>
        <w:rPr>
          <w:rFonts w:ascii="Arial" w:cs="Arial" w:eastAsia="Arial" w:hAnsi="Arial"/>
          <w:sz w:val="17"/>
          <w:szCs w:val="17"/>
          <w:color w:val="auto"/>
        </w:rPr>
        <w:t>There is, and has been, no failure on the part of the Company or any of its directors or officers, in their capacities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to comply with any applicable provision of the Sarbanes-Oxley Act of 2002, as amended and the rules and regulations promulgated in connection therewith, including Section 402 related to loans and Sections 302 and 906 related to certifications.</w:t>
      </w:r>
    </w:p>
    <w:p>
      <w:pPr>
        <w:spacing w:after="0" w:line="161" w:lineRule="exact"/>
        <w:rPr>
          <w:rFonts w:ascii="Arial" w:cs="Arial" w:eastAsia="Arial" w:hAnsi="Arial"/>
          <w:sz w:val="17"/>
          <w:szCs w:val="17"/>
          <w:b w:val="1"/>
          <w:bCs w:val="1"/>
          <w:color w:val="auto"/>
        </w:rPr>
      </w:pPr>
    </w:p>
    <w:p>
      <w:pPr>
        <w:ind w:right="20" w:firstLine="436"/>
        <w:spacing w:after="0" w:line="261" w:lineRule="auto"/>
        <w:tabs>
          <w:tab w:leader="none" w:pos="70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Unlawful Contributions or Other Payments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Neither the Company nor any of its subsidiaries nor, to the Company’s knowledge,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or agent of the Company or any of its subsidiaries, has made any contribution or other payment to any official of, or candidate for, any federal, state or foreign office in violation of any law or of the character required to be disclosed in the Registration Statement, the Time of Sale Prospectus or the Prospectus.</w:t>
      </w:r>
    </w:p>
    <w:p>
      <w:pPr>
        <w:spacing w:after="0" w:line="179" w:lineRule="exact"/>
        <w:rPr>
          <w:rFonts w:ascii="Arial" w:cs="Arial" w:eastAsia="Arial" w:hAnsi="Arial"/>
          <w:sz w:val="18"/>
          <w:szCs w:val="18"/>
          <w:b w:val="1"/>
          <w:bCs w:val="1"/>
          <w:color w:val="auto"/>
        </w:rPr>
      </w:pPr>
    </w:p>
    <w:p>
      <w:pPr>
        <w:ind w:right="40" w:firstLine="436"/>
        <w:spacing w:after="0" w:line="258" w:lineRule="auto"/>
        <w:tabs>
          <w:tab w:leader="none" w:pos="72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Anti-Corruption and Anti-Bribery Laws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Neither the Company nor any of its subsidiaries nor any director, officer, or employee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or any of its subsidiaries, nor to the knowledge of the Company,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16" w:name="page17"/>
    <w:bookmarkEnd w:id="16"/>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Arial" w:cs="Arial" w:eastAsia="Arial" w:hAnsi="Arial"/>
          <w:sz w:val="17"/>
          <w:szCs w:val="17"/>
          <w:b w:val="1"/>
          <w:bCs w:val="1"/>
          <w:color w:val="auto"/>
        </w:rPr>
        <w:t>FCPA</w:t>
      </w:r>
      <w:r>
        <w:rPr>
          <w:rFonts w:ascii="Arial" w:cs="Arial" w:eastAsia="Arial" w:hAnsi="Arial"/>
          <w:sz w:val="17"/>
          <w:szCs w:val="17"/>
          <w:color w:val="auto"/>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73" w:lineRule="exact"/>
        <w:rPr>
          <w:sz w:val="20"/>
          <w:szCs w:val="20"/>
          <w:color w:val="auto"/>
        </w:rPr>
      </w:pPr>
    </w:p>
    <w:p>
      <w:pPr>
        <w:ind w:right="20" w:firstLine="436"/>
        <w:spacing w:after="0" w:line="274" w:lineRule="auto"/>
        <w:tabs>
          <w:tab w:leader="none" w:pos="805"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Money Laundering Laws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operations of the Company and its subsidiaries are, and have been conducted at all times, in compliance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7"/>
          <w:szCs w:val="17"/>
          <w:b w:val="1"/>
          <w:b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73" w:lineRule="exact"/>
        <w:rPr>
          <w:rFonts w:ascii="Arial" w:cs="Arial" w:eastAsia="Arial" w:hAnsi="Arial"/>
          <w:sz w:val="17"/>
          <w:szCs w:val="17"/>
          <w:b w:val="1"/>
          <w:bCs w:val="1"/>
          <w:color w:val="auto"/>
        </w:rPr>
      </w:pPr>
    </w:p>
    <w:p>
      <w:pPr>
        <w:ind w:firstLine="436"/>
        <w:spacing w:after="0" w:line="287" w:lineRule="auto"/>
        <w:tabs>
          <w:tab w:leader="none" w:pos="705"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Sanctions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 its subsidiaries, directors, officers, or employees, nor, to the knowledge of the Company, after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inquiry, any agent, affiliate or other person acting on behalf of the Company or any of its subsidiaries is currently the subject or the target of any U.S. sanctions administered by the Office of Foreign Assets Control of the U.S. Department of the Treasury (“</w:t>
      </w:r>
      <w:r>
        <w:rPr>
          <w:rFonts w:ascii="Arial" w:cs="Arial" w:eastAsia="Arial" w:hAnsi="Arial"/>
          <w:sz w:val="16"/>
          <w:szCs w:val="16"/>
          <w:b w:val="1"/>
          <w:bCs w:val="1"/>
          <w:color w:val="auto"/>
        </w:rPr>
        <w:t>OFAC</w:t>
      </w:r>
      <w:r>
        <w:rPr>
          <w:rFonts w:ascii="Arial" w:cs="Arial" w:eastAsia="Arial" w:hAnsi="Arial"/>
          <w:sz w:val="16"/>
          <w:szCs w:val="16"/>
          <w:color w:val="auto"/>
        </w:rPr>
        <w:t>”) or the U.S. Department of State, the United Nations Security Council, the European Union, His Majesty’s Treasury of the United Kingdom, the Swiss Secretariat of Economic Affairs or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 nor is the Company or any of its subsidiaries located, organized or resident in a country or territory that is the subject or the target of Sanctions, including, without limitation, Crimea, Cuba, Iran, North Korea, Syria, and the so-called Donetsk People’s Republic and so-called Luhansk People’s Republic Regions of Ukraine (collectively, “</w:t>
      </w:r>
      <w:r>
        <w:rPr>
          <w:rFonts w:ascii="Arial" w:cs="Arial" w:eastAsia="Arial" w:hAnsi="Arial"/>
          <w:sz w:val="16"/>
          <w:szCs w:val="16"/>
          <w:b w:val="1"/>
          <w:bCs w:val="1"/>
          <w:color w:val="auto"/>
        </w:rPr>
        <w:t>Sanctioned Countries</w:t>
      </w:r>
      <w:r>
        <w:rPr>
          <w:rFonts w:ascii="Arial" w:cs="Arial" w:eastAsia="Arial" w:hAnsi="Arial"/>
          <w:sz w:val="16"/>
          <w:szCs w:val="16"/>
          <w:color w:val="auto"/>
        </w:rPr>
        <w:t>”);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63" w:lineRule="exact"/>
        <w:rPr>
          <w:rFonts w:ascii="Arial" w:cs="Arial" w:eastAsia="Arial" w:hAnsi="Arial"/>
          <w:sz w:val="16"/>
          <w:szCs w:val="16"/>
          <w:b w:val="1"/>
          <w:bCs w:val="1"/>
          <w:color w:val="auto"/>
        </w:rPr>
      </w:pPr>
    </w:p>
    <w:p>
      <w:pPr>
        <w:ind w:right="480" w:firstLine="436"/>
        <w:spacing w:after="0" w:line="282" w:lineRule="auto"/>
        <w:tabs>
          <w:tab w:leader="none" w:pos="905"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Brokers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pursuant to this Agreement, there is no broker, finder or other party that is entitled to receive from the Company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brokerage or finder’s fee or other fee or commission as a result of any transactions contemplated by this Agreement.</w:t>
      </w:r>
    </w:p>
    <w:p>
      <w:pPr>
        <w:spacing w:after="0" w:line="165" w:lineRule="exact"/>
        <w:rPr>
          <w:rFonts w:ascii="Arial" w:cs="Arial" w:eastAsia="Arial" w:hAnsi="Arial"/>
          <w:sz w:val="18"/>
          <w:szCs w:val="18"/>
          <w:b w:val="1"/>
          <w:bCs w:val="1"/>
          <w:color w:val="auto"/>
        </w:rPr>
      </w:pPr>
    </w:p>
    <w:p>
      <w:pPr>
        <w:ind w:firstLine="436"/>
        <w:spacing w:after="0" w:line="273" w:lineRule="auto"/>
        <w:tabs>
          <w:tab w:leader="none" w:pos="805"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Forward-Looking Statements. </w:t>
      </w:r>
      <w:r>
        <w:rPr>
          <w:rFonts w:ascii="Arial" w:cs="Arial" w:eastAsia="Arial" w:hAnsi="Arial"/>
          <w:sz w:val="17"/>
          <w:szCs w:val="17"/>
          <w:color w:val="auto"/>
        </w:rPr>
        <w:t>Each financial or operational projection or other “forward-looking statement” (as defined by Section 27A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17" w:name="page18"/>
    <w:bookmarkEnd w:id="17"/>
    <w:p>
      <w:pPr>
        <w:jc w:val="both"/>
        <w:ind w:left="4" w:right="360" w:firstLine="436"/>
        <w:spacing w:after="0" w:line="263" w:lineRule="auto"/>
        <w:tabs>
          <w:tab w:leader="none" w:pos="789"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Outstanding Loans or Other Extensions of Credit</w:t>
      </w:r>
      <w:r>
        <w:rPr>
          <w:rFonts w:ascii="Arial" w:cs="Arial" w:eastAsia="Arial" w:hAnsi="Arial"/>
          <w:sz w:val="18"/>
          <w:szCs w:val="18"/>
          <w:color w:val="auto"/>
        </w:rPr>
        <w:t>. The Company does not have any outstanding extension of credit, in the form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 loan, to or for any director or executive officer (or equivalent thereof) of the Company except for such extensions of credit as are expressly permitted by Section 13(k) of the Exchange Act.</w:t>
      </w:r>
    </w:p>
    <w:p>
      <w:pPr>
        <w:spacing w:after="0" w:line="183" w:lineRule="exact"/>
        <w:rPr>
          <w:rFonts w:ascii="Arial" w:cs="Arial" w:eastAsia="Arial" w:hAnsi="Arial"/>
          <w:sz w:val="18"/>
          <w:szCs w:val="18"/>
          <w:b w:val="1"/>
          <w:bCs w:val="1"/>
          <w:color w:val="auto"/>
        </w:rPr>
      </w:pPr>
    </w:p>
    <w:p>
      <w:pPr>
        <w:ind w:left="4" w:right="80" w:firstLine="436"/>
        <w:spacing w:after="0" w:line="283" w:lineRule="auto"/>
        <w:tabs>
          <w:tab w:leader="none" w:pos="809" w:val="left"/>
        </w:tabs>
        <w:numPr>
          <w:ilvl w:val="1"/>
          <w:numId w:val="1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Cybersecurity</w:t>
      </w:r>
      <w:r>
        <w:rPr>
          <w:rFonts w:ascii="Arial" w:cs="Arial" w:eastAsia="Arial" w:hAnsi="Arial"/>
          <w:sz w:val="16"/>
          <w:szCs w:val="16"/>
          <w:color w:val="auto"/>
        </w:rPr>
        <w:t>. The Company and its subsidiaries’ information technology assets and equipment, computers, systems, networks, hardware,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software, websites, applications, and databases (collectively, “</w:t>
      </w:r>
      <w:r>
        <w:rPr>
          <w:rFonts w:ascii="Arial" w:cs="Arial" w:eastAsia="Arial" w:hAnsi="Arial"/>
          <w:sz w:val="16"/>
          <w:szCs w:val="16"/>
          <w:b w:val="1"/>
          <w:bCs w:val="1"/>
          <w:color w:val="auto"/>
        </w:rPr>
        <w:t>IT Systems</w:t>
      </w:r>
      <w:r>
        <w:rPr>
          <w:rFonts w:ascii="Arial" w:cs="Arial" w:eastAsia="Arial" w:hAnsi="Arial"/>
          <w:sz w:val="16"/>
          <w:szCs w:val="16"/>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all “Personal Data” (defined below) and all sensitive, confidential or regulated data (“</w:t>
      </w:r>
      <w:r>
        <w:rPr>
          <w:rFonts w:ascii="Arial" w:cs="Arial" w:eastAsia="Arial" w:hAnsi="Arial"/>
          <w:sz w:val="16"/>
          <w:szCs w:val="16"/>
          <w:b w:val="1"/>
          <w:bCs w:val="1"/>
          <w:color w:val="auto"/>
        </w:rPr>
        <w:t>Confidential Data</w:t>
      </w:r>
      <w:r>
        <w:rPr>
          <w:rFonts w:ascii="Arial" w:cs="Arial" w:eastAsia="Arial" w:hAnsi="Arial"/>
          <w:sz w:val="16"/>
          <w:szCs w:val="16"/>
          <w:color w:val="auto"/>
        </w:rPr>
        <w:t>”) used in connection with their businesses. “</w:t>
      </w:r>
      <w:r>
        <w:rPr>
          <w:rFonts w:ascii="Arial" w:cs="Arial" w:eastAsia="Arial" w:hAnsi="Arial"/>
          <w:sz w:val="16"/>
          <w:szCs w:val="16"/>
          <w:b w:val="1"/>
          <w:bCs w:val="1"/>
          <w:color w:val="auto"/>
        </w:rPr>
        <w:t>Personal Data</w:t>
      </w:r>
      <w:r>
        <w:rPr>
          <w:rFonts w:ascii="Arial" w:cs="Arial" w:eastAsia="Arial" w:hAnsi="Arial"/>
          <w:sz w:val="16"/>
          <w:szCs w:val="16"/>
          <w:color w:val="auto"/>
        </w:rPr>
        <w:t>” means (i) a natural person’s name, street address, telephone number, e-mail address, photograph, social security number or other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w:t>
      </w:r>
    </w:p>
    <w:p>
      <w:pPr>
        <w:spacing w:after="0" w:line="4" w:lineRule="exact"/>
        <w:rPr>
          <w:rFonts w:ascii="Arial" w:cs="Arial" w:eastAsia="Arial" w:hAnsi="Arial"/>
          <w:sz w:val="16"/>
          <w:szCs w:val="16"/>
          <w:b w:val="1"/>
          <w:bCs w:val="1"/>
          <w:color w:val="auto"/>
        </w:rPr>
      </w:pPr>
    </w:p>
    <w:p>
      <w:pPr>
        <w:ind w:left="4" w:hanging="4"/>
        <w:spacing w:after="0" w:line="286" w:lineRule="auto"/>
        <w:tabs>
          <w:tab w:leader="none" w:pos="30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information which would qualify as “protected health information” under the Health Insurance Portability and Accountability Act of 1996, as amended by the Health Information Technology for Economic and Clinical Health Act (collectively, “</w:t>
      </w:r>
      <w:r>
        <w:rPr>
          <w:rFonts w:ascii="Arial" w:cs="Arial" w:eastAsia="Arial" w:hAnsi="Arial"/>
          <w:sz w:val="16"/>
          <w:szCs w:val="16"/>
          <w:b w:val="1"/>
          <w:bCs w:val="1"/>
          <w:color w:val="auto"/>
        </w:rPr>
        <w:t>HIPAA”</w:t>
      </w:r>
      <w:r>
        <w:rPr>
          <w:rFonts w:ascii="Arial" w:cs="Arial" w:eastAsia="Arial" w:hAnsi="Arial"/>
          <w:sz w:val="16"/>
          <w:szCs w:val="16"/>
          <w:color w:val="auto"/>
        </w:rPr>
        <w:t>); (v) any “personal information” as defined by the California Consumer Privacy Act (“</w:t>
      </w:r>
      <w:r>
        <w:rPr>
          <w:rFonts w:ascii="Arial" w:cs="Arial" w:eastAsia="Arial" w:hAnsi="Arial"/>
          <w:sz w:val="16"/>
          <w:szCs w:val="16"/>
          <w:b w:val="1"/>
          <w:bCs w:val="1"/>
          <w:color w:val="auto"/>
        </w:rPr>
        <w:t>CCPA</w:t>
      </w:r>
      <w:r>
        <w:rPr>
          <w:rFonts w:ascii="Arial" w:cs="Arial" w:eastAsia="Arial" w:hAnsi="Arial"/>
          <w:sz w:val="16"/>
          <w:szCs w:val="16"/>
          <w:color w:val="auto"/>
        </w:rPr>
        <w:t>”); and (vi) any other piece of information that allows the identification of such natural person, or his or her family, or permits the collection or analysis of any data related to an identified person’s health or sexual orientation. Except as would not, individually or in the aggregate, result in a Material Adverse Change, in the past five years,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Confidential Data, and Personal Data and to the protection of such IT Systems, Confidential Data, and Personal Data from unauthorized use, access, misappropriation or modification.</w:t>
      </w:r>
    </w:p>
    <w:p>
      <w:pPr>
        <w:spacing w:after="0" w:line="169" w:lineRule="exact"/>
        <w:rPr>
          <w:rFonts w:ascii="Arial" w:cs="Arial" w:eastAsia="Arial" w:hAnsi="Arial"/>
          <w:sz w:val="16"/>
          <w:szCs w:val="16"/>
          <w:color w:val="auto"/>
        </w:rPr>
      </w:pPr>
    </w:p>
    <w:p>
      <w:pPr>
        <w:ind w:left="4" w:firstLine="436"/>
        <w:spacing w:after="0" w:line="268" w:lineRule="auto"/>
        <w:tabs>
          <w:tab w:leader="none" w:pos="809" w:val="left"/>
        </w:tabs>
        <w:numPr>
          <w:ilvl w:val="1"/>
          <w:numId w:val="2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Compliance with Data Privacy Laws</w:t>
      </w:r>
      <w:r>
        <w:rPr>
          <w:rFonts w:ascii="Arial" w:cs="Arial" w:eastAsia="Arial" w:hAnsi="Arial"/>
          <w:sz w:val="17"/>
          <w:szCs w:val="17"/>
          <w:color w:val="auto"/>
        </w:rPr>
        <w:t>. The Company and its subsidiaries are, and at all prior times were, in material compliance with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state and federal data privacy and security laws and regulations, including without limitation HIPAA, CCPA, and the European Union General Data Protection Regulation (“</w:t>
      </w:r>
      <w:r>
        <w:rPr>
          <w:rFonts w:ascii="Arial" w:cs="Arial" w:eastAsia="Arial" w:hAnsi="Arial"/>
          <w:sz w:val="17"/>
          <w:szCs w:val="17"/>
          <w:b w:val="1"/>
          <w:bCs w:val="1"/>
          <w:color w:val="auto"/>
        </w:rPr>
        <w:t>GDPR</w:t>
      </w:r>
      <w:r>
        <w:rPr>
          <w:rFonts w:ascii="Arial" w:cs="Arial" w:eastAsia="Arial" w:hAnsi="Arial"/>
          <w:sz w:val="17"/>
          <w:szCs w:val="17"/>
          <w:color w:val="auto"/>
        </w:rPr>
        <w:t>”) (EU 2016/679) (collectively, the “</w:t>
      </w:r>
      <w:r>
        <w:rPr>
          <w:rFonts w:ascii="Arial" w:cs="Arial" w:eastAsia="Arial" w:hAnsi="Arial"/>
          <w:sz w:val="17"/>
          <w:szCs w:val="17"/>
          <w:b w:val="1"/>
          <w:bCs w:val="1"/>
          <w:color w:val="auto"/>
        </w:rPr>
        <w:t>Privacy Laws</w:t>
      </w:r>
      <w:r>
        <w:rPr>
          <w:rFonts w:ascii="Arial" w:cs="Arial" w:eastAsia="Arial" w:hAnsi="Arial"/>
          <w:sz w:val="17"/>
          <w:szCs w:val="17"/>
          <w:color w:val="auto"/>
        </w:rPr>
        <w:t>”). To ensure compliance with the Privacy Laws, the Company and its subsidiaries have in place, comply with, and take appropriate steps to ensure compliance in all material respects with their policies and procedures relating to data privacy and security and the collection, storage, use, processing, disclosure, handling, and analysis of Personal Data and Confidential Data (the “</w:t>
      </w:r>
      <w:r>
        <w:rPr>
          <w:rFonts w:ascii="Arial" w:cs="Arial" w:eastAsia="Arial" w:hAnsi="Arial"/>
          <w:sz w:val="17"/>
          <w:szCs w:val="17"/>
          <w:b w:val="1"/>
          <w:bCs w:val="1"/>
          <w:color w:val="auto"/>
        </w:rPr>
        <w:t>Policies</w:t>
      </w:r>
      <w:r>
        <w:rPr>
          <w:rFonts w:ascii="Arial" w:cs="Arial" w:eastAsia="Arial" w:hAnsi="Arial"/>
          <w:sz w:val="17"/>
          <w:szCs w:val="17"/>
          <w:color w:val="auto"/>
        </w:rPr>
        <w:t>”). The Company and its subsidiaries have, except as would not reasonably be expected, individually or in the aggregate, to result in a Material Adverse Change, at all times made all disclosures to users or customers required by applicable laws and regulatory rules or requirements, and none of such disclosures made or contained in any Policy have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18" w:name="page19"/>
    <w:bookmarkEnd w:id="18"/>
    <w:p>
      <w:pPr>
        <w:ind w:left="660" w:hanging="324"/>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w:t>
      </w:r>
    </w:p>
    <w:p>
      <w:pPr>
        <w:spacing w:after="0" w:line="225" w:lineRule="exact"/>
        <w:rPr>
          <w:rFonts w:ascii="Arial" w:cs="Arial" w:eastAsia="Arial" w:hAnsi="Arial"/>
          <w:sz w:val="18"/>
          <w:szCs w:val="18"/>
          <w:b w:val="1"/>
          <w:bCs w:val="1"/>
          <w:color w:val="auto"/>
        </w:rPr>
      </w:pPr>
    </w:p>
    <w:p>
      <w:pPr>
        <w:ind w:left="640" w:hanging="304"/>
        <w:spacing w:after="0"/>
        <w:tabs>
          <w:tab w:leader="none" w:pos="64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[Reserved.]</w:t>
      </w:r>
    </w:p>
    <w:p>
      <w:pPr>
        <w:spacing w:after="0" w:line="236" w:lineRule="exact"/>
        <w:rPr>
          <w:rFonts w:ascii="Arial" w:cs="Arial" w:eastAsia="Arial" w:hAnsi="Arial"/>
          <w:sz w:val="17"/>
          <w:szCs w:val="17"/>
          <w:b w:val="1"/>
          <w:bCs w:val="1"/>
          <w:color w:val="auto"/>
        </w:rPr>
      </w:pPr>
    </w:p>
    <w:p>
      <w:pPr>
        <w:ind w:left="-100" w:right="20" w:firstLine="436"/>
        <w:spacing w:after="0" w:line="286" w:lineRule="auto"/>
        <w:tabs>
          <w:tab w:leader="none" w:pos="625"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Clinical Data and Regulatory Compliance. </w:t>
      </w:r>
      <w:r>
        <w:rPr>
          <w:rFonts w:ascii="Arial" w:cs="Arial" w:eastAsia="Arial" w:hAnsi="Arial"/>
          <w:sz w:val="16"/>
          <w:szCs w:val="16"/>
          <w:color w:val="auto"/>
        </w:rPr>
        <w:t>The preclinical tests and clinical trials, and other studies used to support regulatory approval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(collectively, “</w:t>
      </w:r>
      <w:r>
        <w:rPr>
          <w:rFonts w:ascii="Arial" w:cs="Arial" w:eastAsia="Arial" w:hAnsi="Arial"/>
          <w:sz w:val="16"/>
          <w:szCs w:val="16"/>
          <w:b w:val="1"/>
          <w:bCs w:val="1"/>
          <w:color w:val="auto"/>
        </w:rPr>
        <w:t>studies</w:t>
      </w:r>
      <w:r>
        <w:rPr>
          <w:rFonts w:ascii="Arial" w:cs="Arial" w:eastAsia="Arial" w:hAnsi="Arial"/>
          <w:sz w:val="16"/>
          <w:szCs w:val="16"/>
          <w:color w:val="auto"/>
        </w:rPr>
        <w:t>”) that are described in, or the results of which are referred to in, the Registration Statement, the Time of Sale Prospectus or the Prospectus were and, if still pending, are being conducted in all material respects in accordance with applicable study protocols approved for such studies and with applicable statutes and regulations promulgated by the U.S. Food and Drug Administration (“</w:t>
      </w:r>
      <w:r>
        <w:rPr>
          <w:rFonts w:ascii="Arial" w:cs="Arial" w:eastAsia="Arial" w:hAnsi="Arial"/>
          <w:sz w:val="16"/>
          <w:szCs w:val="16"/>
          <w:b w:val="1"/>
          <w:bCs w:val="1"/>
          <w:color w:val="auto"/>
        </w:rPr>
        <w:t>FDA</w:t>
      </w:r>
      <w:r>
        <w:rPr>
          <w:rFonts w:ascii="Arial" w:cs="Arial" w:eastAsia="Arial" w:hAnsi="Arial"/>
          <w:sz w:val="16"/>
          <w:szCs w:val="16"/>
          <w:color w:val="auto"/>
        </w:rPr>
        <w:t>”);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Registration Statement, the Time of Sale Prospectuses or the Prospectus; the Company and its subsidiaries have made all such filings and obtained all such approvals as may be required by the FDA or any committee thereof or from any other U.S. or foreign government or drug regulatory agency, or health care facility Institutional Review Board, each having jurisdiction over biopharmaceutical products (collectively, the “</w:t>
      </w:r>
      <w:r>
        <w:rPr>
          <w:rFonts w:ascii="Arial" w:cs="Arial" w:eastAsia="Arial" w:hAnsi="Arial"/>
          <w:sz w:val="16"/>
          <w:szCs w:val="16"/>
          <w:b w:val="1"/>
          <w:bCs w:val="1"/>
          <w:color w:val="auto"/>
        </w:rPr>
        <w:t>Regulatory Agencies</w:t>
      </w:r>
      <w:r>
        <w:rPr>
          <w:rFonts w:ascii="Arial" w:cs="Arial" w:eastAsia="Arial" w:hAnsi="Arial"/>
          <w:sz w:val="16"/>
          <w:szCs w:val="16"/>
          <w:color w:val="auto"/>
        </w:rPr>
        <w:t>”); neither the Company nor any of its subsidiaries has received any notice of, or correspondence from, any Regulatory Agency requiring the termination or suspension of any clinical trials that are described or referred to in the Registration Statement, the Time of Sale Prospectus or the Prospectus; and the Company and its subsidiaries have each operated and currently are in compliance in all material respects with all applicable rules, regulations and policies of the Regulatory Agencies.</w:t>
      </w:r>
    </w:p>
    <w:p>
      <w:pPr>
        <w:spacing w:after="0" w:line="173" w:lineRule="exact"/>
        <w:rPr>
          <w:rFonts w:ascii="Arial" w:cs="Arial" w:eastAsia="Arial" w:hAnsi="Arial"/>
          <w:sz w:val="16"/>
          <w:szCs w:val="16"/>
          <w:b w:val="1"/>
          <w:bCs w:val="1"/>
          <w:color w:val="auto"/>
        </w:rPr>
      </w:pPr>
    </w:p>
    <w:p>
      <w:pPr>
        <w:ind w:left="-100" w:firstLine="436"/>
        <w:spacing w:after="0" w:line="285" w:lineRule="auto"/>
        <w:tabs>
          <w:tab w:leader="none" w:pos="705"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Compliance with Health Care Laws. </w:t>
      </w:r>
      <w:r>
        <w:rPr>
          <w:rFonts w:ascii="Arial" w:cs="Arial" w:eastAsia="Arial" w:hAnsi="Arial"/>
          <w:sz w:val="16"/>
          <w:szCs w:val="16"/>
          <w:color w:val="auto"/>
        </w:rPr>
        <w:t>The Company and its subsidiaries are, and at all times have been, in material compliance with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Health Care Laws applicable to biopharmaceutical products. For purposes of this Agreement, “Health Care Laws” means: (i) the Federal Food, Drug, and Cosmetic Act (21 U.S.C. Section 301 et seq.), the Public Health Service Act (42 U.S.C. Section 201 et seq.), and the regulations promulgated thereunder pertaining to biopharmaceutical products; (ii) to the extent applicable to pre-commercial biopharmaceutical products,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w:t>
      </w:r>
      <w:r>
        <w:rPr>
          <w:rFonts w:ascii="Arial" w:cs="Arial" w:eastAsia="Arial" w:hAnsi="Arial"/>
          <w:sz w:val="16"/>
          <w:szCs w:val="16"/>
          <w:b w:val="1"/>
          <w:bCs w:val="1"/>
          <w:color w:val="auto"/>
        </w:rPr>
        <w:t>HIPAA</w:t>
      </w:r>
      <w:r>
        <w:rPr>
          <w:rFonts w:ascii="Arial" w:cs="Arial" w:eastAsia="Arial" w:hAnsi="Arial"/>
          <w:sz w:val="16"/>
          <w:szCs w:val="16"/>
          <w:color w:val="auto"/>
        </w:rPr>
        <w:t>”) (42 U.S.C. Section 1320d et seq.), the civil monetary penalties law (42 U.S.C. Section 1320a-7a), the exclusion law (42 U.S.C. Section 1320a-7), and applicable laws governing government funded or sponsored healthcare programs; (iii) HIPAA, as amended by the Health Information Technology for Economic and Clinical Health Act (42 U.S.C. Section 17921 et seq.); (iv) all other local, state, federal, national, supranational and foreign laws, relating to the regulation of the Company or its subsidiaries; and (v) the directives and regulations promulgated pursuant to such statutes and any state or non-U.S. counterpart thereof.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20"/>
          </w:cols>
          <w:pgMar w:left="540" w:top="274" w:right="539" w:bottom="1440" w:gutter="0" w:footer="0" w:header="0"/>
        </w:sectPr>
      </w:pPr>
    </w:p>
    <w:bookmarkStart w:id="19" w:name="page20"/>
    <w:bookmarkEnd w:id="19"/>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nor any of its subsidiaries nor any of their respective employees, officers, directors,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177" w:lineRule="exact"/>
        <w:rPr>
          <w:sz w:val="20"/>
          <w:szCs w:val="20"/>
          <w:color w:val="auto"/>
        </w:rPr>
      </w:pPr>
    </w:p>
    <w:p>
      <w:pPr>
        <w:ind w:right="20" w:firstLine="436"/>
        <w:spacing w:after="0" w:line="296" w:lineRule="auto"/>
        <w:tabs>
          <w:tab w:leader="none" w:pos="785"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No Contract Terminations. </w:t>
      </w:r>
      <w:r>
        <w:rPr>
          <w:rFonts w:ascii="Arial" w:cs="Arial" w:eastAsia="Arial" w:hAnsi="Arial"/>
          <w:sz w:val="16"/>
          <w:szCs w:val="16"/>
          <w:color w:val="auto"/>
        </w:rPr>
        <w:t>Neither the Company nor any of its subsidiaries has sent or received any communication regarding termination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or intent not to renew, any of the contracts or agreements referred to or described in any preliminary prospectus, the Prospectus or any free writing prospectus, or referred to or described in, or filed as an exhibit to, the Registration Statement, or any document incorporated by reference therein,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157" w:lineRule="exact"/>
        <w:rPr>
          <w:rFonts w:ascii="Arial" w:cs="Arial" w:eastAsia="Arial" w:hAnsi="Arial"/>
          <w:sz w:val="16"/>
          <w:szCs w:val="16"/>
          <w:b w:val="1"/>
          <w:bCs w:val="1"/>
          <w:color w:val="auto"/>
        </w:rPr>
      </w:pPr>
    </w:p>
    <w:p>
      <w:pPr>
        <w:ind w:right="60" w:firstLine="436"/>
        <w:spacing w:after="0" w:line="258" w:lineRule="auto"/>
        <w:tabs>
          <w:tab w:leader="none" w:pos="86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Dividend Restrictions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otherwise disclosed in the Registration Statement, the Time of Sale Prospectus and the Prospectus,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87" w:lineRule="exact"/>
        <w:rPr>
          <w:rFonts w:ascii="Arial" w:cs="Arial" w:eastAsia="Arial" w:hAnsi="Arial"/>
          <w:sz w:val="18"/>
          <w:szCs w:val="18"/>
          <w:b w:val="1"/>
          <w:bCs w:val="1"/>
          <w:color w:val="auto"/>
        </w:rPr>
      </w:pPr>
    </w:p>
    <w:p>
      <w:pPr>
        <w:ind w:firstLine="436"/>
        <w:spacing w:after="0" w:line="291" w:lineRule="auto"/>
        <w:tabs>
          <w:tab w:leader="none" w:pos="785"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Ratings</w:t>
      </w:r>
      <w:r>
        <w:rPr>
          <w:rFonts w:ascii="Arial" w:cs="Arial" w:eastAsia="Arial" w:hAnsi="Arial"/>
          <w:sz w:val="16"/>
          <w:szCs w:val="16"/>
          <w:color w:val="auto"/>
        </w:rPr>
        <w:t>. There are (and prior to the Closing Date, will be) no debt securities, convertible securities or preferred stock issued or guaranteed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Company or any of its subsidiaries that are rated by a “nationally recognized statistical rating organization”, as such term is defined in</w:t>
      </w:r>
    </w:p>
    <w:p>
      <w:pPr>
        <w:spacing w:after="0"/>
        <w:rPr>
          <w:rFonts w:ascii="Arial" w:cs="Arial" w:eastAsia="Arial" w:hAnsi="Arial"/>
          <w:sz w:val="16"/>
          <w:szCs w:val="16"/>
          <w:b w:val="1"/>
          <w:bCs w:val="1"/>
          <w:color w:val="auto"/>
        </w:rPr>
      </w:pPr>
      <w:r>
        <w:rPr>
          <w:rFonts w:ascii="Arial" w:cs="Arial" w:eastAsia="Arial" w:hAnsi="Arial"/>
          <w:sz w:val="18"/>
          <w:szCs w:val="18"/>
          <w:color w:val="auto"/>
        </w:rPr>
        <w:t>Section 3(a)(62) under the Exchange Act.</w:t>
      </w:r>
    </w:p>
    <w:p>
      <w:pPr>
        <w:spacing w:after="0" w:line="21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Any certificate signed by any officer of the Company or any of its subsidiaries and delivered to any Underwriter or to counsel for the Underwriters in connection with the offering, or the purchase and sale, of the Offered Securities shall be deemed a representation and warranty by the Company to each Underwriter as to the matters covered thereby.</w:t>
      </w:r>
    </w:p>
    <w:p>
      <w:pPr>
        <w:spacing w:after="0" w:line="184" w:lineRule="exact"/>
        <w:rPr>
          <w:sz w:val="20"/>
          <w:szCs w:val="20"/>
          <w:color w:val="auto"/>
        </w:rPr>
      </w:pPr>
    </w:p>
    <w:p>
      <w:pPr>
        <w:ind w:right="240" w:firstLine="440"/>
        <w:spacing w:after="0" w:line="286" w:lineRule="auto"/>
        <w:rPr>
          <w:sz w:val="20"/>
          <w:szCs w:val="20"/>
          <w:color w:val="auto"/>
        </w:rPr>
      </w:pPr>
      <w:r>
        <w:rPr>
          <w:rFonts w:ascii="Arial" w:cs="Arial" w:eastAsia="Arial" w:hAnsi="Arial"/>
          <w:sz w:val="17"/>
          <w:szCs w:val="17"/>
          <w:color w:val="auto"/>
        </w:rPr>
        <w:t>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2. Purchase, Sale and Delivery of the Offered Securities</w:t>
      </w:r>
      <w:r>
        <w:rPr>
          <w:rFonts w:ascii="Arial" w:cs="Arial" w:eastAsia="Arial" w:hAnsi="Arial"/>
          <w:sz w:val="18"/>
          <w:szCs w:val="18"/>
          <w:color w:val="auto"/>
        </w:rPr>
        <w:t>.</w:t>
      </w:r>
    </w:p>
    <w:p>
      <w:pPr>
        <w:spacing w:after="0" w:line="225" w:lineRule="exact"/>
        <w:rPr>
          <w:sz w:val="20"/>
          <w:szCs w:val="20"/>
          <w:color w:val="auto"/>
        </w:rPr>
      </w:pPr>
    </w:p>
    <w:p>
      <w:pPr>
        <w:ind w:right="100" w:firstLine="436"/>
        <w:spacing w:after="0" w:line="256" w:lineRule="auto"/>
        <w:tabs>
          <w:tab w:leader="none" w:pos="69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Firm Securities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the terms herein set forth, the Company agrees to issue and sell to the several Underwriters an aggregate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7,370,690 Firm Shares and an aggregate of 1,250,000 Pre-Funded Warrants. On the basis of the representations, warranties and agreements herein contained, and upon the terms but subject to the conditions herein set forth, the Underwriters agree, severally and not jointly, to purchase from the Company the respective number of Firm Securities set forth opposite their names on </w:t>
      </w:r>
      <w:r>
        <w:rPr>
          <w:rFonts w:ascii="Arial" w:cs="Arial" w:eastAsia="Arial" w:hAnsi="Arial"/>
          <w:sz w:val="18"/>
          <w:szCs w:val="18"/>
          <w:u w:val="single" w:color="auto"/>
          <w:color w:val="auto"/>
        </w:rPr>
        <w:t>Schedule A</w:t>
      </w:r>
      <w:r>
        <w:rPr>
          <w:rFonts w:ascii="Arial" w:cs="Arial" w:eastAsia="Arial" w:hAnsi="Arial"/>
          <w:sz w:val="18"/>
          <w:szCs w:val="18"/>
          <w:color w:val="auto"/>
        </w:rPr>
        <w:t>. The purchase price per Firm Share to be paid by the several Underwriters to the Company shall be $5.9972 per share, and the purchase price per Pre-Funded Warrant to be paid by the several Underwriters to the Company shall be $5.99626.</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0" w:name="page21"/>
    <w:bookmarkEnd w:id="20"/>
    <w:p>
      <w:pPr>
        <w:ind w:right="60" w:firstLine="436"/>
        <w:spacing w:after="0" w:line="254" w:lineRule="auto"/>
        <w:tabs>
          <w:tab w:leader="none" w:pos="70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First Closing Date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Delivery of certificates for the Firm Shares and the Pre-Funded Warrants to be purchased by the Underwriters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 therefor shall be made at the offices of Cooley LLP, 3 Embarcadero Center, 20th Floor, San Francisco, California 94111 (or such other place as may be agreed to by the Company and the Representatives) at 9:00 a.m. New York City time, on October 10, 2023, or such other time and date not later than 1:30 p.m. New York City time, on October 24, 2023 as the Representatives shall designate by notice to the Company (the time and date of such closing are called the “</w:t>
      </w:r>
      <w:r>
        <w:rPr>
          <w:rFonts w:ascii="Arial" w:cs="Arial" w:eastAsia="Arial" w:hAnsi="Arial"/>
          <w:sz w:val="18"/>
          <w:szCs w:val="18"/>
          <w:b w:val="1"/>
          <w:bCs w:val="1"/>
          <w:color w:val="auto"/>
        </w:rPr>
        <w:t>First Closing Date</w:t>
      </w:r>
      <w:r>
        <w:rPr>
          <w:rFonts w:ascii="Arial" w:cs="Arial" w:eastAsia="Arial" w:hAnsi="Arial"/>
          <w:sz w:val="18"/>
          <w:szCs w:val="18"/>
          <w:color w:val="auto"/>
        </w:rPr>
        <w:t>”).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w:t>
      </w:r>
    </w:p>
    <w:p>
      <w:pPr>
        <w:spacing w:after="0" w:line="191" w:lineRule="exact"/>
        <w:rPr>
          <w:rFonts w:ascii="Arial" w:cs="Arial" w:eastAsia="Arial" w:hAnsi="Arial"/>
          <w:sz w:val="18"/>
          <w:szCs w:val="18"/>
          <w:b w:val="1"/>
          <w:bCs w:val="1"/>
          <w:color w:val="auto"/>
        </w:rPr>
      </w:pPr>
    </w:p>
    <w:p>
      <w:pPr>
        <w:ind w:firstLine="436"/>
        <w:spacing w:after="0" w:line="286" w:lineRule="auto"/>
        <w:tabs>
          <w:tab w:leader="none" w:pos="685"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Optional Shares; Option Closing Date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addition, on the basis of the representations, warranties and agreements herein contained,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the terms but subject to the conditions herein set forth, the Company hereby grants an option to the several Underwriters to purchase, severally and not jointly, up to an aggregate of 1,293,103 Optional Shares from the Company at the purchase price per share to be paid by the Underwriters for the Firm Shares. The option granted hereunder may be exercised at any time and from time to time in whole or in part upon notice by the Representatives to the Company, which notice may be given at any time within 30 days from the date of this Agreement. Such notice shall set forth (i) the aggregate number of Optional Shares as to which the Underwriters are exercising the option and (ii) the time, date and place at which certificates for the Optional Shares will be delivered (which time and date may be simultaneous with, but not earlier than, the First Closing Date; and in the event that such time and date are simultaneous with the First Closing Date, the term “</w:t>
      </w:r>
      <w:r>
        <w:rPr>
          <w:rFonts w:ascii="Arial" w:cs="Arial" w:eastAsia="Arial" w:hAnsi="Arial"/>
          <w:sz w:val="16"/>
          <w:szCs w:val="16"/>
          <w:b w:val="1"/>
          <w:bCs w:val="1"/>
          <w:color w:val="auto"/>
        </w:rPr>
        <w:t>First Closing Date</w:t>
      </w:r>
      <w:r>
        <w:rPr>
          <w:rFonts w:ascii="Arial" w:cs="Arial" w:eastAsia="Arial" w:hAnsi="Arial"/>
          <w:sz w:val="16"/>
          <w:szCs w:val="16"/>
          <w:color w:val="auto"/>
        </w:rPr>
        <w:t>” shall refer to the time and date of delivery of certificates for the Firm Securities and such Optional Shares). Any such time and date of delivery, if subsequent to the First Closing Date, is called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xml:space="preserve">,” shall be determined by the Representatives and shall not be earlier than two or later than five full business days after delivery of such notice of exercise. If any Optional Shares are to be purchased, (a) each Underwriter agrees, severally and not jointly, to purchase the number of Optional Shares (subject to such adjustments to eliminate fractional shares as the Representatives may determine) that bears the same proportion to the total number of Optional Shares to be purchased as the number of Firm Securities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opposite the name of such Underwriter bears to the total number of Firm Securities and (b) the Company agrees to sell the number of Optional Shares set forth in the paragraph “Introductory” of this Agreement (subject to such adjustments to eliminate fractional shares as the Representatives may determine). The Representatives may cancel the option at any time prior to its expiration by giving written notice of such cancellation to the Company.</w:t>
      </w:r>
    </w:p>
    <w:p>
      <w:pPr>
        <w:spacing w:after="0" w:line="164" w:lineRule="exact"/>
        <w:rPr>
          <w:rFonts w:ascii="Arial" w:cs="Arial" w:eastAsia="Arial" w:hAnsi="Arial"/>
          <w:sz w:val="16"/>
          <w:szCs w:val="16"/>
          <w:b w:val="1"/>
          <w:bCs w:val="1"/>
          <w:color w:val="auto"/>
        </w:rPr>
      </w:pPr>
    </w:p>
    <w:p>
      <w:pPr>
        <w:ind w:firstLine="436"/>
        <w:spacing w:after="0" w:line="261" w:lineRule="auto"/>
        <w:tabs>
          <w:tab w:leader="none" w:pos="70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Public Offering of the Offered Securities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Representatives hereby advise the Company that the Underwriters intend to offer for sale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initially on the terms set forth in the Registration Statement, the Time of Sale Prospectus and the Prospectus, their respective portions of the Offered Securities as soon after this Agreement has been executed as the Representatives, in their sole judgment, have determined is advisable and practicable.</w:t>
      </w:r>
    </w:p>
    <w:p>
      <w:pPr>
        <w:spacing w:after="0" w:line="179" w:lineRule="exact"/>
        <w:rPr>
          <w:rFonts w:ascii="Arial" w:cs="Arial" w:eastAsia="Arial" w:hAnsi="Arial"/>
          <w:sz w:val="18"/>
          <w:szCs w:val="18"/>
          <w:b w:val="1"/>
          <w:bCs w:val="1"/>
          <w:color w:val="auto"/>
        </w:rPr>
      </w:pPr>
    </w:p>
    <w:p>
      <w:pPr>
        <w:ind w:right="120" w:firstLine="436"/>
        <w:spacing w:after="0" w:line="312" w:lineRule="auto"/>
        <w:tabs>
          <w:tab w:leader="none" w:pos="685"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Payment for the Offered Securities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 Payment for the Offered Securities to be sold by the Company shall be made at the First Closing Date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if applicable, at each Option Closing Date) by wire transfer of immediately available funds to the order of the Company.</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21" w:name="page22"/>
    <w:bookmarkEnd w:id="21"/>
    <w:p>
      <w:pPr>
        <w:ind w:left="-40" w:right="100" w:firstLine="987"/>
        <w:spacing w:after="0" w:line="273" w:lineRule="auto"/>
        <w:tabs>
          <w:tab w:leader="none" w:pos="1216" w:val="left"/>
        </w:tabs>
        <w:numPr>
          <w:ilvl w:val="1"/>
          <w:numId w:val="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understood that the Representatives have been authorized, for their own account and the accounts of the several Underwriters, to accept delivery of and receipt for, and make payment of the purchase price for, the Firm Securities and any Optional Shares the Underwriters have agreed to purchase. Each of Piper and Cantor, individually and not as the Representatives of the Underwriters, may (but shall not be obligated to) make payment for any Offered Securities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spacing w:after="0" w:line="173" w:lineRule="exact"/>
        <w:rPr>
          <w:rFonts w:ascii="Arial" w:cs="Arial" w:eastAsia="Arial" w:hAnsi="Arial"/>
          <w:sz w:val="17"/>
          <w:szCs w:val="17"/>
          <w:color w:val="auto"/>
        </w:rPr>
      </w:pPr>
    </w:p>
    <w:p>
      <w:pPr>
        <w:ind w:left="-40" w:firstLine="436"/>
        <w:spacing w:after="0" w:line="284" w:lineRule="auto"/>
        <w:tabs>
          <w:tab w:leader="none" w:pos="625"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Delivery of the Offered Securities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(i) deliver, or cause to be delivered to the Representatives for the accounts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Underwriters certificates for the Firm Shares to be sold by them at the First Closing Date, and (ii) deliver, or cause to be delivered, to the purchasers thereof the Pre-Funded Warrants in accordance with the Underwriters’ instructions, to be sold by them, against release of a wire transfer of immediately available funds for the amount of the purchase price therefor. The Company shall also deliver, or cause to be delivered to the Representatives for the accounts of the several Underwriters, certificates for the Optional Shares the Underwriters have agreed to purchase from the Company at the First Closing Date or the applicable Option Closing Date, as the case may be, against the release of a wire transfer of immediately available funds for the amount of the purchase price therefor. If Piper Sandler so elects, delivery of the Offered Shares may be made by credit to the accounts designated by Piper Sandler through The Depository Trust Company’s full fast transfer or DWAC programs. In the event that the Offered Shares and Pre-Funded Warrants are not delivered to the Underwriters by 2:30 p.m., New York City time, on the First Closing Date (and any applicable Option Closing Date), the Company will return (or will instruct its custodian to return) payment of the full purchase price to the Representatives’ agent, Pershing LLC, via same day funds by 4:30 p.m., New York City time. The Company shall remain liable to Pershing LLC for the full amount of the purchase price and any costs associated with recovering the purchase price until the full amount has been received by Pershing LLC. If Piper Sandler so elects, the certificates for the Offered Shares shall be in definitive form and registered in such names and denominations as the Representatives shall have requested at least two full business days prior to the First Closing Date (or the applicable Option Closing Date, as the case may be) and shall be made available for inspection on the business day preceding the First Closing Date (or the applicable Option Closing Date, as the case may be) at a location in New York City as the Representatives may designate; provided, however, that if the Company, upon the instruction of the Representatives, registers the Pre-Funded Warrants in the name of any person or entity to whom any Underwriter intends to sell such Pre-Funded Warrants, then such Underwriter (with the consent of the Company) shall have the right to thereafter request the re-registration of such Pre-Funded Warrants (and the Company shall be required to re-register such Pre-Funded Warrants) in the name of any other person or entity (it being understood that such re-registration is intended to permit an Underwriter to resell such Pre-Funded Warrants in the event that the person or entity to whom such Underwriter originally intended to sell such Pre-Funded Warrants shall fail to pay the purchase price of such Pre-Funded Warrants). Time shall be of the essence, and delivery at the time and place specified in this Agreement is a further condition to the obligations of the Underwriters.</w:t>
      </w:r>
    </w:p>
    <w:p>
      <w:pPr>
        <w:spacing w:after="0" w:line="17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 xml:space="preserve">Section 3. Additional Covenants of the Company. </w:t>
      </w:r>
      <w:r>
        <w:rPr>
          <w:rFonts w:ascii="Arial" w:cs="Arial" w:eastAsia="Arial" w:hAnsi="Arial"/>
          <w:sz w:val="17"/>
          <w:szCs w:val="17"/>
          <w:color w:val="auto"/>
        </w:rPr>
        <w:t>The Company further covenants and agrees with each Underwriter as follows:</w:t>
      </w:r>
    </w:p>
    <w:p>
      <w:pPr>
        <w:spacing w:after="0" w:line="241" w:lineRule="exact"/>
        <w:rPr>
          <w:sz w:val="20"/>
          <w:szCs w:val="20"/>
          <w:color w:val="auto"/>
        </w:rPr>
      </w:pPr>
    </w:p>
    <w:p>
      <w:pPr>
        <w:ind w:left="-40" w:right="20" w:firstLine="436"/>
        <w:spacing w:after="0" w:line="255" w:lineRule="auto"/>
        <w:tabs>
          <w:tab w:leader="none" w:pos="655"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Delivery of Registration Statement, Time of Sale Prospectus and Prospectus. </w:t>
      </w:r>
      <w:r>
        <w:rPr>
          <w:rFonts w:ascii="Arial" w:cs="Arial" w:eastAsia="Arial" w:hAnsi="Arial"/>
          <w:sz w:val="18"/>
          <w:szCs w:val="18"/>
          <w:color w:val="auto"/>
        </w:rPr>
        <w:t>The Company shall furnish, upon request,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Representatives in New York City, without charge, prior to 10:00 a.m. New York City time on the business day next succeeding the date of this Agreement and during the period when a prospectus relating to the Offered Securities is required by the Securities Act to be delivered (whether physically or through compliance with Rule 172 under the Securities Act or any similar rule) in connection with sales of the Offered Securities, as many copies of the Time of Sale Prospectus, the Prospectus and any supplements and amendments thereto or to the Registration Statement as the Representatives may reasonably request.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480" w:top="274" w:right="479" w:bottom="1440" w:gutter="0" w:footer="0" w:header="0"/>
        </w:sectPr>
      </w:pPr>
    </w:p>
    <w:bookmarkStart w:id="22" w:name="page23"/>
    <w:bookmarkEnd w:id="22"/>
    <w:p>
      <w:pPr>
        <w:ind w:right="40" w:firstLine="436"/>
        <w:spacing w:after="0" w:line="269" w:lineRule="auto"/>
        <w:tabs>
          <w:tab w:leader="none" w:pos="705"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Representatives’ Review of Proposed Amendments and Supplements. </w:t>
      </w:r>
      <w:r>
        <w:rPr>
          <w:rFonts w:ascii="Arial" w:cs="Arial" w:eastAsia="Arial" w:hAnsi="Arial"/>
          <w:sz w:val="17"/>
          <w:szCs w:val="17"/>
          <w:color w:val="auto"/>
        </w:rPr>
        <w:t>During the period when a prospectus relating to the Offered Securities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(including any amendment or supplement through incorporation of any report filed under the Exchange Act) without the Representatives’ prior written consent (which consent shall not be unreasonably withheld, conditioned or delayed). Prior to amending or supplementing any preliminary prospectus, the Time of Sale Prospectus or the Prospectus (including any amendment or supplement through incorporation of any report filed under the Exchange Act),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consent shall not be unreasonably withheld, conditioned or delayed). The Company shall file with the Commission within the applicable period specified in Rule 424(b) under the Securities Act any prospectus required to be filed pursuant to such Rule.</w:t>
      </w:r>
    </w:p>
    <w:p>
      <w:pPr>
        <w:spacing w:after="0" w:line="178" w:lineRule="exact"/>
        <w:rPr>
          <w:rFonts w:ascii="Arial" w:cs="Arial" w:eastAsia="Arial" w:hAnsi="Arial"/>
          <w:sz w:val="17"/>
          <w:szCs w:val="17"/>
          <w:b w:val="1"/>
          <w:bCs w:val="1"/>
          <w:color w:val="auto"/>
        </w:rPr>
      </w:pPr>
    </w:p>
    <w:p>
      <w:pPr>
        <w:ind w:firstLine="436"/>
        <w:spacing w:after="0" w:line="285" w:lineRule="auto"/>
        <w:tabs>
          <w:tab w:leader="none" w:pos="685"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Free Writing Prospectuses. </w:t>
      </w:r>
      <w:r>
        <w:rPr>
          <w:rFonts w:ascii="Arial" w:cs="Arial" w:eastAsia="Arial" w:hAnsi="Arial"/>
          <w:sz w:val="16"/>
          <w:szCs w:val="16"/>
          <w:color w:val="auto"/>
        </w:rPr>
        <w:t>The Company shall furnish to the Representatives for review, a reasonable amount of time prior to the proposed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consent shall not be unreasonably withheld, conditioned or delayed).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Securities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which has not been superseded or modified,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prior to amending or supplementing any such free writing prospectus, the Company shall furnish to the Representatives for review, a</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consent shall not be unreasonably withheld, conditioned or delayed).</w:t>
      </w:r>
    </w:p>
    <w:p>
      <w:pPr>
        <w:spacing w:after="0" w:line="171" w:lineRule="exact"/>
        <w:rPr>
          <w:rFonts w:ascii="Arial" w:cs="Arial" w:eastAsia="Arial" w:hAnsi="Arial"/>
          <w:sz w:val="16"/>
          <w:szCs w:val="16"/>
          <w:b w:val="1"/>
          <w:bCs w:val="1"/>
          <w:color w:val="auto"/>
        </w:rPr>
      </w:pPr>
    </w:p>
    <w:p>
      <w:pPr>
        <w:ind w:right="20" w:firstLine="436"/>
        <w:spacing w:after="0" w:line="263" w:lineRule="auto"/>
        <w:tabs>
          <w:tab w:leader="none" w:pos="705"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Filing of Underwriter Free Writing Prospectuses. </w:t>
      </w:r>
      <w:r>
        <w:rPr>
          <w:rFonts w:ascii="Arial" w:cs="Arial" w:eastAsia="Arial" w:hAnsi="Arial"/>
          <w:sz w:val="18"/>
          <w:szCs w:val="18"/>
          <w:color w:val="auto"/>
        </w:rPr>
        <w:t>The Company shall not take any action that would result in an Underwriter or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being required to file with the Commission pursuant to Rule 433(d) under the Securities Act a free writing prospectus prepared by or on behalf of such Underwriter that such Underwriter otherwise would not have been required to file thereunder.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23" w:name="page24"/>
    <w:bookmarkEnd w:id="23"/>
    <w:p>
      <w:pPr>
        <w:ind w:right="20" w:firstLine="436"/>
        <w:spacing w:after="0" w:line="287" w:lineRule="auto"/>
        <w:tabs>
          <w:tab w:leader="none" w:pos="685"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Amendments and Supplements to Time of Sale Prospectus. </w:t>
      </w:r>
      <w:r>
        <w:rPr>
          <w:rFonts w:ascii="Arial" w:cs="Arial" w:eastAsia="Arial" w:hAnsi="Arial"/>
          <w:sz w:val="16"/>
          <w:szCs w:val="16"/>
          <w:color w:val="auto"/>
        </w:rPr>
        <w:t>If the Time of Sale Prospectus is being used to solicit offers to buy the Offered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163" w:lineRule="exact"/>
        <w:rPr>
          <w:rFonts w:ascii="Arial" w:cs="Arial" w:eastAsia="Arial" w:hAnsi="Arial"/>
          <w:sz w:val="16"/>
          <w:szCs w:val="16"/>
          <w:b w:val="1"/>
          <w:bCs w:val="1"/>
          <w:color w:val="auto"/>
        </w:rPr>
      </w:pPr>
    </w:p>
    <w:p>
      <w:pPr>
        <w:ind w:right="60" w:firstLine="436"/>
        <w:spacing w:after="0" w:line="287" w:lineRule="auto"/>
        <w:tabs>
          <w:tab w:leader="none" w:pos="665"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Certain Notifications and Required 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the date of this Agreement, the Company shall promptly advise the Representatives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writing (which may be by electronic mail)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if the Company gains knowledge of such proceeding,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reasonable best efforts to obtain the lifting of such order as soon as practicable. Additionally, the Company agrees that it shall comply with all applicable provisions of Rule 424(b), Rule 433 and Rule 430A under the Securities Act and will use its reasonable efforts to confirm that any filings made by the Company under Rule 424(b) or Rule 433 were received in a timely manner by the Commission.</w:t>
      </w:r>
    </w:p>
    <w:p>
      <w:pPr>
        <w:spacing w:after="0" w:line="167" w:lineRule="exact"/>
        <w:rPr>
          <w:rFonts w:ascii="Arial" w:cs="Arial" w:eastAsia="Arial" w:hAnsi="Arial"/>
          <w:sz w:val="16"/>
          <w:szCs w:val="16"/>
          <w:b w:val="1"/>
          <w:bCs w:val="1"/>
          <w:color w:val="auto"/>
        </w:rPr>
      </w:pPr>
    </w:p>
    <w:p>
      <w:pPr>
        <w:ind w:firstLine="436"/>
        <w:spacing w:after="0" w:line="269" w:lineRule="auto"/>
        <w:tabs>
          <w:tab w:leader="none" w:pos="695"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Amendments and Supplements to the Prospectus and Other Securities Act Matters. </w:t>
      </w:r>
      <w:r>
        <w:rPr>
          <w:rFonts w:ascii="Arial" w:cs="Arial" w:eastAsia="Arial" w:hAnsi="Arial"/>
          <w:sz w:val="17"/>
          <w:szCs w:val="17"/>
          <w:color w:val="auto"/>
        </w:rPr>
        <w:t>If any event shall occur or condition exist as a result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4" w:name="page25"/>
    <w:bookmarkEnd w:id="24"/>
    <w:p>
      <w:pPr>
        <w:ind w:left="-60" w:right="20" w:firstLine="436"/>
        <w:spacing w:after="0" w:line="270" w:lineRule="auto"/>
        <w:tabs>
          <w:tab w:leader="none" w:pos="645"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Blue Sky Compliance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shall cooperate with the Representatives and counsel for the Underwriters to qualify or register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Offered Securities for sale under (or obtain exemptions from the application of) the state securities or blue sky laws or Canadian provincial securities laws (or other foreign laws) of those jurisdictions as may be reasonably designated by the Representatives, shall comply with such laws and shall continue such qualifications, registrations and exemptions in effect so long as required for the distribution of the Offered Securities.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Securities for offering, sale or trading in any jurisdiction or, if the Company gains knowledge of such proceeding, any initiation or threat of any proceeding for any such purpose, and in the event of the issuance of any order suspending such qualification, registration or exemption, the Company shall use its reasonable best efforts to obtain the withdrawal thereof at the earliest possible moment.</w:t>
      </w:r>
    </w:p>
    <w:p>
      <w:pPr>
        <w:spacing w:after="0" w:line="176" w:lineRule="exact"/>
        <w:rPr>
          <w:rFonts w:ascii="Arial" w:cs="Arial" w:eastAsia="Arial" w:hAnsi="Arial"/>
          <w:sz w:val="17"/>
          <w:szCs w:val="17"/>
          <w:b w:val="1"/>
          <w:bCs w:val="1"/>
          <w:color w:val="auto"/>
        </w:rPr>
      </w:pPr>
    </w:p>
    <w:p>
      <w:pPr>
        <w:ind w:left="-60" w:right="300" w:firstLine="436"/>
        <w:spacing w:after="0" w:line="347" w:lineRule="auto"/>
        <w:tabs>
          <w:tab w:leader="none" w:pos="595"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Use of Proceeds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apply the net proceeds from the sale of the Offered Securities sold by it in all material respects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manner described under the caption “Use of Proceeds” in the Registration Statement, the Time of Sale Prospectus and the Prospectus.</w:t>
      </w:r>
    </w:p>
    <w:p>
      <w:pPr>
        <w:spacing w:after="0" w:line="115" w:lineRule="exact"/>
        <w:rPr>
          <w:rFonts w:ascii="Arial" w:cs="Arial" w:eastAsia="Arial" w:hAnsi="Arial"/>
          <w:sz w:val="16"/>
          <w:szCs w:val="16"/>
          <w:b w:val="1"/>
          <w:bCs w:val="1"/>
          <w:color w:val="auto"/>
        </w:rPr>
      </w:pPr>
    </w:p>
    <w:p>
      <w:pPr>
        <w:ind w:left="600" w:hanging="224"/>
        <w:spacing w:after="0"/>
        <w:tabs>
          <w:tab w:leader="none" w:pos="60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Transfer Agent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engage and maintain, at its expense, a registrar and transfer agent for the Shares and the Warrant Shares.</w:t>
      </w:r>
    </w:p>
    <w:p>
      <w:pPr>
        <w:spacing w:after="0" w:line="248" w:lineRule="exact"/>
        <w:rPr>
          <w:rFonts w:ascii="Arial" w:cs="Arial" w:eastAsia="Arial" w:hAnsi="Arial"/>
          <w:sz w:val="16"/>
          <w:szCs w:val="16"/>
          <w:b w:val="1"/>
          <w:bCs w:val="1"/>
          <w:color w:val="auto"/>
        </w:rPr>
      </w:pPr>
    </w:p>
    <w:p>
      <w:pPr>
        <w:ind w:left="-60" w:right="140" w:firstLine="436"/>
        <w:spacing w:after="0" w:line="261" w:lineRule="auto"/>
        <w:tabs>
          <w:tab w:leader="none" w:pos="64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make generally available to its security holders and to the Representatives as soon as practicable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w:t>
      </w:r>
    </w:p>
    <w:p>
      <w:pPr>
        <w:spacing w:after="0" w:line="179" w:lineRule="exact"/>
        <w:rPr>
          <w:rFonts w:ascii="Arial" w:cs="Arial" w:eastAsia="Arial" w:hAnsi="Arial"/>
          <w:sz w:val="18"/>
          <w:szCs w:val="18"/>
          <w:b w:val="1"/>
          <w:bCs w:val="1"/>
          <w:color w:val="auto"/>
        </w:rPr>
      </w:pPr>
    </w:p>
    <w:p>
      <w:pPr>
        <w:ind w:left="-60" w:firstLine="436"/>
        <w:spacing w:after="0" w:line="254" w:lineRule="auto"/>
        <w:tabs>
          <w:tab w:leader="none" w:pos="59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Continued Compliance with Securities Laws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comply with the Securities Act and the Exchange Act so as to permit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completion of the distribution of the Offered Securities as contemplated by this Agreement</w:t>
      </w:r>
      <w:r>
        <w:rPr>
          <w:rFonts w:ascii="Arial" w:cs="Arial" w:eastAsia="Arial" w:hAnsi="Arial"/>
          <w:sz w:val="18"/>
          <w:szCs w:val="18"/>
          <w:b w:val="1"/>
          <w:bCs w:val="1"/>
          <w:color w:val="auto"/>
        </w:rPr>
        <w:t>,</w:t>
      </w:r>
      <w:r>
        <w:rPr>
          <w:rFonts w:ascii="Arial" w:cs="Arial" w:eastAsia="Arial" w:hAnsi="Arial"/>
          <w:sz w:val="18"/>
          <w:szCs w:val="18"/>
          <w:color w:val="auto"/>
        </w:rPr>
        <w:t xml:space="preserve"> the Registration Statement, the Time of Sale Prospectus and the Prospectus. Without limiting the generality of the foregoing, the Company will, during the period when a prospectus relating to the Offered Securities is required by the Securities Act to be delivered (whether physically or through compliance with Rule 172 under the Securities Act or any similar rule), file on a timely basis with the Commission and the Nasdaq all reports and documents required to be filed under the Exchange Act. Additionally, the Company shall report the use of proceeds from the issuance of the Offered Shares as may be required under Rule 463 under the Securities Act. Additionally, the Company shall report the use of proceeds from the issuance of the Offered Securities as may be required under Rule 463 under the Securities Act.</w:t>
      </w:r>
    </w:p>
    <w:p>
      <w:pPr>
        <w:spacing w:after="0" w:line="191" w:lineRule="exact"/>
        <w:rPr>
          <w:rFonts w:ascii="Arial" w:cs="Arial" w:eastAsia="Arial" w:hAnsi="Arial"/>
          <w:sz w:val="18"/>
          <w:szCs w:val="18"/>
          <w:b w:val="1"/>
          <w:bCs w:val="1"/>
          <w:color w:val="auto"/>
        </w:rPr>
      </w:pPr>
    </w:p>
    <w:p>
      <w:pPr>
        <w:ind w:left="-60" w:right="120" w:firstLine="436"/>
        <w:spacing w:after="0" w:line="282" w:lineRule="auto"/>
        <w:tabs>
          <w:tab w:leader="none" w:pos="69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use its reasonable best efforts to list, subject to notice of issuance, the Offered Shares and the Warrant Shares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Nasdaq.</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80"/>
          </w:cols>
          <w:pgMar w:left="500" w:top="270" w:right="519" w:bottom="1440" w:gutter="0" w:footer="0" w:header="0"/>
        </w:sectPr>
      </w:pPr>
    </w:p>
    <w:bookmarkStart w:id="25" w:name="page26"/>
    <w:bookmarkEnd w:id="25"/>
    <w:p>
      <w:pPr>
        <w:ind w:left="4" w:right="40" w:firstLine="436"/>
        <w:spacing w:after="0" w:line="284" w:lineRule="auto"/>
        <w:tabs>
          <w:tab w:leader="none" w:pos="709" w:val="left"/>
        </w:tabs>
        <w:numPr>
          <w:ilvl w:val="1"/>
          <w:numId w:val="3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to Provide Copy of the Prospectus in Form That May be Downloaded from the Internet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requested by the Representatives,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shall cause to be prepared and delivered, at its expense, within one business day from the effective date of this Agreement, to the Representatives an “</w:t>
      </w:r>
      <w:r>
        <w:rPr>
          <w:rFonts w:ascii="Arial" w:cs="Arial" w:eastAsia="Arial" w:hAnsi="Arial"/>
          <w:sz w:val="16"/>
          <w:szCs w:val="16"/>
          <w:b w:val="1"/>
          <w:bCs w:val="1"/>
          <w:color w:val="auto"/>
        </w:rPr>
        <w:t>electronic Prospectus</w:t>
      </w:r>
      <w:r>
        <w:rPr>
          <w:rFonts w:ascii="Arial" w:cs="Arial" w:eastAsia="Arial" w:hAnsi="Arial"/>
          <w:sz w:val="16"/>
          <w:szCs w:val="16"/>
          <w:color w:val="auto"/>
        </w:rPr>
        <w:t>” to be used by the Underwriters in connection with the offering and sale of the Offered Securities. As used herein, the term “</w:t>
      </w:r>
      <w:r>
        <w:rPr>
          <w:rFonts w:ascii="Arial" w:cs="Arial" w:eastAsia="Arial" w:hAnsi="Arial"/>
          <w:sz w:val="16"/>
          <w:szCs w:val="16"/>
          <w:b w:val="1"/>
          <w:bCs w:val="1"/>
          <w:color w:val="auto"/>
        </w:rPr>
        <w:t>electronic Prospectus</w:t>
      </w:r>
      <w:r>
        <w:rPr>
          <w:rFonts w:ascii="Arial" w:cs="Arial" w:eastAsia="Arial" w:hAnsi="Arial"/>
          <w:sz w:val="16"/>
          <w:szCs w:val="16"/>
          <w:color w:val="auto"/>
        </w:rPr>
        <w:t>” means a form of the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Securities; (ii) it shall disclose the same information as the paper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w:t>
      </w:r>
    </w:p>
    <w:p>
      <w:pPr>
        <w:spacing w:after="0" w:line="4" w:lineRule="exact"/>
        <w:rPr>
          <w:rFonts w:ascii="Arial" w:cs="Arial" w:eastAsia="Arial" w:hAnsi="Arial"/>
          <w:sz w:val="16"/>
          <w:szCs w:val="16"/>
          <w:b w:val="1"/>
          <w:bCs w:val="1"/>
          <w:color w:val="auto"/>
        </w:rPr>
      </w:pPr>
    </w:p>
    <w:p>
      <w:pPr>
        <w:ind w:left="4" w:right="60" w:hanging="4"/>
        <w:spacing w:after="0" w:line="292" w:lineRule="auto"/>
        <w:tabs>
          <w:tab w:leader="none" w:pos="319" w:val="left"/>
        </w:tabs>
        <w:numPr>
          <w:ilvl w:val="0"/>
          <w:numId w:val="32"/>
        </w:numPr>
        <w:rPr>
          <w:rFonts w:ascii="Arial" w:cs="Arial" w:eastAsia="Arial" w:hAnsi="Arial"/>
          <w:sz w:val="16"/>
          <w:szCs w:val="16"/>
          <w:color w:val="auto"/>
        </w:rPr>
      </w:pPr>
      <w:r>
        <w:rPr>
          <w:rFonts w:ascii="Arial" w:cs="Arial" w:eastAsia="Arial" w:hAnsi="Arial"/>
          <w:sz w:val="16"/>
          <w:szCs w:val="16"/>
          <w:color w:val="auto"/>
        </w:rPr>
        <w:t>it shall be in or convertible into a paper format or an electronic format, satisfactory to Piper Sandler, that will allow investors to store and have continuously ready access to the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Prospectus.</w:t>
      </w:r>
    </w:p>
    <w:p>
      <w:pPr>
        <w:spacing w:after="0" w:line="162" w:lineRule="exact"/>
        <w:rPr>
          <w:rFonts w:ascii="Arial" w:cs="Arial" w:eastAsia="Arial" w:hAnsi="Arial"/>
          <w:sz w:val="16"/>
          <w:szCs w:val="16"/>
          <w:color w:val="auto"/>
        </w:rPr>
      </w:pPr>
    </w:p>
    <w:p>
      <w:pPr>
        <w:ind w:left="4" w:right="40" w:firstLine="436"/>
        <w:spacing w:after="0" w:line="283" w:lineRule="auto"/>
        <w:tabs>
          <w:tab w:leader="none" w:pos="699" w:val="left"/>
        </w:tabs>
        <w:numPr>
          <w:ilvl w:val="1"/>
          <w:numId w:val="3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Agreement Not to Offer or Sell Additional Shares</w:t>
      </w:r>
      <w:r>
        <w:rPr>
          <w:rFonts w:ascii="Arial" w:cs="Arial" w:eastAsia="Arial" w:hAnsi="Arial"/>
          <w:sz w:val="16"/>
          <w:szCs w:val="16"/>
          <w:color w:val="auto"/>
        </w:rPr>
        <w:t>. During the period commencing on and including the date hereof and continuing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including the 60th day following the date of the Prospectus (such period, as extended as described below, being referred to herein as the “</w:t>
      </w:r>
      <w:r>
        <w:rPr>
          <w:rFonts w:ascii="Arial" w:cs="Arial" w:eastAsia="Arial" w:hAnsi="Arial"/>
          <w:sz w:val="16"/>
          <w:szCs w:val="16"/>
          <w:b w:val="1"/>
          <w:bCs w:val="1"/>
          <w:color w:val="auto"/>
        </w:rPr>
        <w:t>Lock-up</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the Company will not, without the prior written consent of Piper Sandler and Cantor (which consent may be withheld in their sole discretion),</w:t>
      </w:r>
      <w:r>
        <w:rPr>
          <w:rFonts w:ascii="Arial" w:cs="Arial" w:eastAsia="Arial" w:hAnsi="Arial"/>
          <w:sz w:val="16"/>
          <w:szCs w:val="16"/>
          <w:b w:val="1"/>
          <w:bCs w:val="1"/>
          <w:color w:val="auto"/>
        </w:rPr>
        <w:t xml:space="preserve"> </w:t>
      </w:r>
      <w:r>
        <w:rPr>
          <w:rFonts w:ascii="Arial" w:cs="Arial" w:eastAsia="Arial" w:hAnsi="Arial"/>
          <w:sz w:val="16"/>
          <w:szCs w:val="16"/>
          <w:color w:val="auto"/>
        </w:rPr>
        <w:t>directly or indirectly: (i) sell, offer to sell, contract to sell or lend any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Shares or Related Securities; (iii) pledge, hypothecate or grant any security interest in any Shares or Related Securities; (iv) in any other way transfer or dispose of any Shares or Related Securities; (v) enter into any swap, hedge or similar arrangement or agreement that transfers, in whole or in part, the economic risk of ownership of any Shares or Related Securities, regardless of whether any such transaction is to be settled in securities, in cash or otherwise; (vi) announce the offering of any Shares or Related Securities;</w:t>
      </w:r>
    </w:p>
    <w:p>
      <w:pPr>
        <w:spacing w:after="0" w:line="5" w:lineRule="exact"/>
        <w:rPr>
          <w:rFonts w:ascii="Arial" w:cs="Arial" w:eastAsia="Arial" w:hAnsi="Arial"/>
          <w:sz w:val="16"/>
          <w:szCs w:val="16"/>
          <w:b w:val="1"/>
          <w:bCs w:val="1"/>
          <w:color w:val="auto"/>
        </w:rPr>
      </w:pPr>
    </w:p>
    <w:p>
      <w:pPr>
        <w:ind w:left="4"/>
        <w:spacing w:after="0" w:line="284" w:lineRule="auto"/>
        <w:rPr>
          <w:rFonts w:ascii="Arial" w:cs="Arial" w:eastAsia="Arial" w:hAnsi="Arial"/>
          <w:sz w:val="16"/>
          <w:szCs w:val="16"/>
          <w:b w:val="1"/>
          <w:bCs w:val="1"/>
          <w:color w:val="auto"/>
        </w:rPr>
      </w:pPr>
      <w:r>
        <w:rPr>
          <w:rFonts w:ascii="Arial" w:cs="Arial" w:eastAsia="Arial" w:hAnsi="Arial"/>
          <w:sz w:val="16"/>
          <w:szCs w:val="16"/>
          <w:color w:val="auto"/>
        </w:rPr>
        <w:t>(vii) submit or file any registration statement under the Securities Act in respect of any Shares or Related Securities (other than as contemplated by this Agreement with respect to the Offered Securities); (viii) effect a reverse stock split, recapitalization, share consolidation, reclassification or similar transaction affecting the outstanding Shares; or (ix) publicly announce the intention to do any of the foregoing; provided, however, that the Company may (A) effect the transactions contemplated hereby, (B) issue Shares or Related Securities, or issue Shares upon exercise of Related Securities, in each case, pursuant to any stock option, stock bonus, employee stock purchase plan, or other stock plan or arrangement described in the Registration Statement, the Time of Sale Prospectus and the Prospectus, (C) issue Shares or Related Securities to any non-employee director pursuant to any non-employee director compensation plan or program described in the Registration Statement, the Time of Sale Prospectus and the Prospectus, (D) issue Shares pursuant to the exercise or settlement of Related Securities, or upon the conversion of convertible securities outstanding on the date hereof that are described in the Registration Statement, Time of Sale Prospectus and the Prospectus, (E) file one or more registration statements on Form S-8 to register Shares or Related Securities issued or issuable pursuant to any plans or programs described in (B) or (C) above, and (F) issue Shares or Related Securities, or enter into an agreement to issue Shares or Related Securities, in connection with any merger, joint venture, strategic alliances, commercial, lending or other collaborative or strategic transaction, the creation of a Scientific Advisory Board, or the acquisition or license of the business, property, technology or other assets of another individual or entity or the assumption of an employee benefit plan in connection with a merger or acquisition; provided that the aggregate number of Shares or Related Securities (on an as-converted or as-exercised basis, as the case</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0" w:right="459" w:bottom="1440" w:gutter="0" w:footer="0" w:header="0"/>
        </w:sectPr>
      </w:pPr>
    </w:p>
    <w:bookmarkStart w:id="26" w:name="page27"/>
    <w:bookmarkEnd w:id="26"/>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may be) that the Company may issue or agree to issue pursuant to this clause (F) shall not exceed 5% of the total number of shares of common stock of the Company immediately following the completion of the transactions contemplated by this Agreement; and provided, that, in the case of clauses (B), (C), (D) and (F), each newly appointed director or executive officer that is a recipient thereof provides to the Representatives a signed Lock-up Agreement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For purposes of the foregoing, “</w:t>
      </w:r>
      <w:r>
        <w:rPr>
          <w:rFonts w:ascii="Arial" w:cs="Arial" w:eastAsia="Arial" w:hAnsi="Arial"/>
          <w:sz w:val="18"/>
          <w:szCs w:val="18"/>
          <w:b w:val="1"/>
          <w:bCs w:val="1"/>
          <w:color w:val="auto"/>
        </w:rPr>
        <w:t>Related Securities</w:t>
      </w:r>
      <w:r>
        <w:rPr>
          <w:rFonts w:ascii="Arial" w:cs="Arial" w:eastAsia="Arial" w:hAnsi="Arial"/>
          <w:sz w:val="18"/>
          <w:szCs w:val="18"/>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192" w:lineRule="exact"/>
        <w:rPr>
          <w:sz w:val="20"/>
          <w:szCs w:val="20"/>
          <w:color w:val="auto"/>
        </w:rPr>
      </w:pPr>
    </w:p>
    <w:p>
      <w:pPr>
        <w:ind w:firstLine="436"/>
        <w:spacing w:after="0" w:line="287" w:lineRule="auto"/>
        <w:tabs>
          <w:tab w:leader="none" w:pos="705"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Future Reports to the Representatives</w:t>
      </w:r>
      <w:r>
        <w:rPr>
          <w:rFonts w:ascii="Arial" w:cs="Arial" w:eastAsia="Arial" w:hAnsi="Arial"/>
          <w:sz w:val="16"/>
          <w:szCs w:val="16"/>
          <w:color w:val="auto"/>
        </w:rPr>
        <w:t>. During the period of five years hereafter, the Company will furnish to the Representatives, c/o Piper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Sandler &amp; Co., at 800 Nicollet Mall, Suite 900, Minneapolis, Minnesota 55402, Attention: Equity Capital Markets, with copies to Piper Sandler &amp; Co., 800 Nicollet Mall, Suite 900, Minneapolis, MN 55402, Attention: General Counsel; and c/o Cantor Fitzgerald &amp; Co., at 110 E. 59th St., 6th Floor, New York, New York 10022, Attention Equity Capital Markets, with copies to Cantor Fitzgerald &amp; Co., 110 E. 59th St., 6th Floor, New York, New York 10022, Attention: General Counsel: (i) as soon as practicable after the end of each fiscal year, copies of the Annual Report of the Company containing the balance sheet of the Company as of the close of such fiscal year and statements of income, stockholders’ equity (deficit)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FINRA or any securities exchange; and (iii) as soon as available, copies of any report or communication of the Company furnished or made available generally to holders of its capital stock; provided, however, that the requirements of this Section 3(p) shall be satisfied to the extent that such reports, statement, communications, financial statements or other documents are available on EDGAR.</w:t>
      </w:r>
    </w:p>
    <w:p>
      <w:pPr>
        <w:spacing w:after="0" w:line="171" w:lineRule="exact"/>
        <w:rPr>
          <w:rFonts w:ascii="Arial" w:cs="Arial" w:eastAsia="Arial" w:hAnsi="Arial"/>
          <w:sz w:val="16"/>
          <w:szCs w:val="16"/>
          <w:b w:val="1"/>
          <w:bCs w:val="1"/>
          <w:color w:val="auto"/>
        </w:rPr>
      </w:pPr>
    </w:p>
    <w:p>
      <w:pPr>
        <w:ind w:right="280" w:firstLine="436"/>
        <w:spacing w:after="0" w:line="263" w:lineRule="auto"/>
        <w:tabs>
          <w:tab w:leader="none" w:pos="705"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Investment Limitation</w:t>
      </w:r>
      <w:r>
        <w:rPr>
          <w:rFonts w:ascii="Arial" w:cs="Arial" w:eastAsia="Arial" w:hAnsi="Arial"/>
          <w:sz w:val="18"/>
          <w:szCs w:val="18"/>
          <w:color w:val="auto"/>
        </w:rPr>
        <w:t>. The Company shall not invest or otherwise use the proceeds received by the Company from its sale of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in such a manner as would require the Company or any of its subsidiaries to register as an investment company under the Investment Company Act.</w:t>
      </w:r>
    </w:p>
    <w:p>
      <w:pPr>
        <w:spacing w:after="0" w:line="183" w:lineRule="exact"/>
        <w:rPr>
          <w:rFonts w:ascii="Arial" w:cs="Arial" w:eastAsia="Arial" w:hAnsi="Arial"/>
          <w:sz w:val="18"/>
          <w:szCs w:val="18"/>
          <w:b w:val="1"/>
          <w:bCs w:val="1"/>
          <w:color w:val="auto"/>
        </w:rPr>
      </w:pPr>
    </w:p>
    <w:p>
      <w:pPr>
        <w:ind w:right="60" w:firstLine="436"/>
        <w:spacing w:after="0" w:line="279" w:lineRule="auto"/>
        <w:tabs>
          <w:tab w:leader="none" w:pos="685"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Stabilization or Manipulation; Compliance with Regulation M</w:t>
      </w:r>
      <w:r>
        <w:rPr>
          <w:rFonts w:ascii="Arial" w:cs="Arial" w:eastAsia="Arial" w:hAnsi="Arial"/>
          <w:sz w:val="17"/>
          <w:szCs w:val="17"/>
          <w:color w:val="auto"/>
        </w:rPr>
        <w:t>. The Company will not take, and will ensure that no affiliate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will take, directly or indirectly, any action designed to or that could reasonably be expected to cause or result in stabilization or manipulation of the price of the Shares or any reference security with respect to the Shares, whether to facilitate the sale or resale of the Offered Securities or otherwise, and the Company will, and shall cause each of its affiliates to, comply with all applicable provisions of Regulation M.</w:t>
      </w:r>
    </w:p>
    <w:p>
      <w:pPr>
        <w:spacing w:after="0" w:line="167" w:lineRule="exact"/>
        <w:rPr>
          <w:rFonts w:ascii="Arial" w:cs="Arial" w:eastAsia="Arial" w:hAnsi="Arial"/>
          <w:sz w:val="17"/>
          <w:szCs w:val="17"/>
          <w:b w:val="1"/>
          <w:bCs w:val="1"/>
          <w:color w:val="auto"/>
        </w:rPr>
      </w:pPr>
    </w:p>
    <w:p>
      <w:pPr>
        <w:ind w:right="40" w:firstLine="436"/>
        <w:spacing w:after="0" w:line="256" w:lineRule="auto"/>
        <w:tabs>
          <w:tab w:leader="none" w:pos="675"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Enforce Lock-Up Agreements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Lock-up Period, the Company will enforce all agreements between the Company and any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securityholders that restrict or prohibit, expressly or in operation, the offer, sale or transfer of Shares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directors and securityholders pursuant to Section 6(i) hereof.</w:t>
      </w:r>
    </w:p>
    <w:p>
      <w:pPr>
        <w:spacing w:after="0" w:line="187" w:lineRule="exact"/>
        <w:rPr>
          <w:rFonts w:ascii="Arial" w:cs="Arial" w:eastAsia="Arial" w:hAnsi="Arial"/>
          <w:sz w:val="18"/>
          <w:szCs w:val="18"/>
          <w:b w:val="1"/>
          <w:bCs w:val="1"/>
          <w:color w:val="auto"/>
        </w:rPr>
      </w:pPr>
    </w:p>
    <w:p>
      <w:pPr>
        <w:ind w:right="120" w:firstLine="436"/>
        <w:spacing w:after="0" w:line="258" w:lineRule="auto"/>
        <w:tabs>
          <w:tab w:leader="none" w:pos="665"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Company to Provide Interim Financial Statements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First Closing Date and each applicable Option Closing Date,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furnish the Underwriters, as soon as practicable after they have been prepared by or are available to the Company a copy of any unaudited interim financial statements of the Company for any period subsequent to the period covered by the most recent financial statements appearing in the Registration Statement and the Prospectus; provided that the requirements of this Section 3(t) shall be deemed satisfied to the extent such financial statements are available on EDGAR.</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440" w:top="274" w:right="519" w:bottom="1440" w:gutter="0" w:footer="0" w:header="0"/>
        </w:sectPr>
      </w:pPr>
    </w:p>
    <w:bookmarkStart w:id="27" w:name="page28"/>
    <w:bookmarkEnd w:id="27"/>
    <w:p>
      <w:pPr>
        <w:ind w:left="4" w:right="80" w:firstLine="991"/>
        <w:spacing w:after="0" w:line="28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 </w:t>
      </w:r>
      <w:r>
        <w:rPr>
          <w:rFonts w:ascii="Arial" w:cs="Arial" w:eastAsia="Arial" w:hAnsi="Arial"/>
          <w:sz w:val="16"/>
          <w:szCs w:val="16"/>
          <w:b w:val="1"/>
          <w:bCs w:val="1"/>
          <w:i w:val="1"/>
          <w:iCs w:val="1"/>
          <w:color w:val="auto"/>
        </w:rPr>
        <w:t>Payment of Expenses</w:t>
      </w:r>
      <w:r>
        <w:rPr>
          <w:rFonts w:ascii="Arial" w:cs="Arial" w:eastAsia="Arial" w:hAnsi="Arial"/>
          <w:sz w:val="16"/>
          <w:szCs w:val="16"/>
          <w:color w:val="auto"/>
        </w:rPr>
        <w:t>. The Company agrees to pay all costs, fees and expenses incurred in connection with the performance of</w:t>
      </w:r>
      <w:r>
        <w:rPr>
          <w:rFonts w:ascii="Arial" w:cs="Arial" w:eastAsia="Arial" w:hAnsi="Arial"/>
          <w:sz w:val="16"/>
          <w:szCs w:val="16"/>
          <w:b w:val="1"/>
          <w:bCs w:val="1"/>
          <w:color w:val="auto"/>
        </w:rPr>
        <w:t xml:space="preserve"> </w:t>
      </w:r>
      <w:r>
        <w:rPr>
          <w:rFonts w:ascii="Arial" w:cs="Arial" w:eastAsia="Arial" w:hAnsi="Arial"/>
          <w:sz w:val="16"/>
          <w:szCs w:val="16"/>
          <w:color w:val="auto"/>
        </w:rPr>
        <w:t>its obligations hereunder and in connection with the transactions contemplated hereby, including without limitation: (i) all expenses incident to the issuance and delivery of the Offered Securities (including all printing and engraving costs), (ii) all fees and expenses of the registrar and transfer agent of the Shares, (iii) all necessary issue, transfer and other stamp taxes in connection with the issuance and sale of the Offered Securities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Securities for offer and sale under the state securities or blue sky laws or the provincial securities laws of Canada, and, if requested by the Representatives, preparing and printing a “Blue Sky Survey” or memorandum and a “Canadian wrapper”, and any supplements thereto, advising the Underwriters of such qualifications, registrations and exemptions,</w:t>
      </w:r>
    </w:p>
    <w:p>
      <w:pPr>
        <w:spacing w:after="0" w:line="7" w:lineRule="exact"/>
        <w:rPr>
          <w:sz w:val="20"/>
          <w:szCs w:val="20"/>
          <w:color w:val="auto"/>
        </w:rPr>
      </w:pPr>
    </w:p>
    <w:p>
      <w:pPr>
        <w:jc w:val="both"/>
        <w:ind w:left="4" w:right="20" w:hanging="4"/>
        <w:spacing w:after="0" w:line="281" w:lineRule="auto"/>
        <w:tabs>
          <w:tab w:leader="none" w:pos="359"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costs, fees and expenses incurred by the Underwriters in connection with determining their compliance with the rules and regulations of FINRA related to the Underwriters’ participation in the offering and distribution of the Offered Securities, including any related filing fees and the legal fees of, and disbursements by, counsel to the Underwriters; provided, however, that such legal fees, taken together with the legal fees described in clause</w:t>
      </w:r>
    </w:p>
    <w:p>
      <w:pPr>
        <w:spacing w:after="0" w:line="1" w:lineRule="exact"/>
        <w:rPr>
          <w:rFonts w:ascii="Arial" w:cs="Arial" w:eastAsia="Arial" w:hAnsi="Arial"/>
          <w:sz w:val="16"/>
          <w:szCs w:val="16"/>
          <w:color w:val="auto"/>
        </w:rPr>
      </w:pPr>
    </w:p>
    <w:p>
      <w:pPr>
        <w:ind w:left="4" w:right="80" w:hanging="4"/>
        <w:spacing w:after="0" w:line="281" w:lineRule="auto"/>
        <w:tabs>
          <w:tab w:leader="none" w:pos="309" w:val="left"/>
        </w:tabs>
        <w:numPr>
          <w:ilvl w:val="0"/>
          <w:numId w:val="35"/>
        </w:numPr>
        <w:rPr>
          <w:rFonts w:ascii="Arial" w:cs="Arial" w:eastAsia="Arial" w:hAnsi="Arial"/>
          <w:sz w:val="16"/>
          <w:szCs w:val="16"/>
          <w:color w:val="auto"/>
        </w:rPr>
      </w:pPr>
      <w:r>
        <w:rPr>
          <w:rFonts w:ascii="Arial" w:cs="Arial" w:eastAsia="Arial" w:hAnsi="Arial"/>
          <w:sz w:val="16"/>
          <w:szCs w:val="16"/>
          <w:color w:val="auto"/>
        </w:rPr>
        <w:t>above, shall not exceed $20,000 in the aggregate, (viii) the costs and expenses of the Company relating to investor presentations on any “road show”,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(it being understood that the Underwriters will pay or cause to be paid the travel and lodging expenses of their representatives), and 50% of the cost of any private aircraft chartered in connection with the road show used by both representatives of the Company and the Underwriters (it being understood that the Underwriters will pay or cause to be paid the other 50% of the cost of such aircraft), (ix) the fees and expenses associated with listing the Offered Securities on the Nasdaq, (x) all other fees, costs and expenses of the nature referred to in Item 13 of Part II of the Registration Statement, and</w:t>
      </w:r>
    </w:p>
    <w:p>
      <w:pPr>
        <w:spacing w:after="0" w:line="4" w:lineRule="exact"/>
        <w:rPr>
          <w:rFonts w:ascii="Arial" w:cs="Arial" w:eastAsia="Arial" w:hAnsi="Arial"/>
          <w:sz w:val="16"/>
          <w:szCs w:val="16"/>
          <w:color w:val="auto"/>
        </w:rPr>
      </w:pPr>
    </w:p>
    <w:p>
      <w:pPr>
        <w:ind w:left="4" w:hanging="4"/>
        <w:spacing w:after="0" w:line="288" w:lineRule="auto"/>
        <w:tabs>
          <w:tab w:leader="none" w:pos="309"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reasonable costs and out-of-pocket expenses incurred by the Underwriters in connection with the transactions contemplated hereby, including fees and disbursements of their legal counsel; provided, that the amount payable in respect of expenses of the Underwriters pursuant to this clause (xi) in the aggregate shall not exceed $100,000; and provided, further, that any expenses payable under clauses (vi) and (vii) above and any expenses relating to the 50% of the cost of any private aircraft chartered in connection with the road show described in clause (viii) above are invoiced in a reasonably timely manner. Except as provided in this Section 4 or in Section 7, Section 9 or Section 10 hereof, the Underwriters shall pay their own expenses, including the fees and disbursements of their counsel, stock transfer taxes payable on resale of any of the Offered Securities by them and any advertising expenses connected with any offers they may make and lodging expenses incurred by them in connection with any road show, as applicable.</w:t>
      </w:r>
    </w:p>
    <w:p>
      <w:pPr>
        <w:spacing w:after="0" w:line="164" w:lineRule="exact"/>
        <w:rPr>
          <w:sz w:val="20"/>
          <w:szCs w:val="20"/>
          <w:color w:val="auto"/>
        </w:rPr>
      </w:pPr>
    </w:p>
    <w:p>
      <w:pPr>
        <w:jc w:val="both"/>
        <w:ind w:left="4" w:right="80" w:firstLine="991"/>
        <w:spacing w:after="0" w:line="314" w:lineRule="auto"/>
        <w:rPr>
          <w:sz w:val="20"/>
          <w:szCs w:val="20"/>
          <w:color w:val="auto"/>
        </w:rPr>
      </w:pPr>
      <w:r>
        <w:rPr>
          <w:rFonts w:ascii="Arial" w:cs="Arial" w:eastAsia="Arial" w:hAnsi="Arial"/>
          <w:sz w:val="16"/>
          <w:szCs w:val="16"/>
          <w:b w:val="1"/>
          <w:bCs w:val="1"/>
          <w:color w:val="auto"/>
        </w:rPr>
        <w:t xml:space="preserve">Section 5. </w:t>
      </w:r>
      <w:r>
        <w:rPr>
          <w:rFonts w:ascii="Arial" w:cs="Arial" w:eastAsia="Arial" w:hAnsi="Arial"/>
          <w:sz w:val="16"/>
          <w:szCs w:val="16"/>
          <w:b w:val="1"/>
          <w:bCs w:val="1"/>
          <w:i w:val="1"/>
          <w:iCs w:val="1"/>
          <w:color w:val="auto"/>
        </w:rPr>
        <w:t>Covenant of the Underwriters</w:t>
      </w:r>
      <w:r>
        <w:rPr>
          <w:rFonts w:ascii="Arial" w:cs="Arial" w:eastAsia="Arial" w:hAnsi="Arial"/>
          <w:sz w:val="16"/>
          <w:szCs w:val="16"/>
          <w:color w:val="auto"/>
        </w:rPr>
        <w:t>. Each Underwriter severally and not jointly covenants with the Company not to take any action</w:t>
      </w:r>
      <w:r>
        <w:rPr>
          <w:rFonts w:ascii="Arial" w:cs="Arial" w:eastAsia="Arial" w:hAnsi="Arial"/>
          <w:sz w:val="16"/>
          <w:szCs w:val="16"/>
          <w:b w:val="1"/>
          <w:bCs w:val="1"/>
          <w:color w:val="auto"/>
        </w:rPr>
        <w:t xml:space="preserve"> </w:t>
      </w:r>
      <w:r>
        <w:rPr>
          <w:rFonts w:ascii="Arial" w:cs="Arial" w:eastAsia="Arial" w:hAnsi="Arial"/>
          <w:sz w:val="16"/>
          <w:szCs w:val="16"/>
          <w:color w:val="auto"/>
        </w:rPr>
        <w:t>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0" w:right="459" w:bottom="1440" w:gutter="0" w:footer="0" w:header="0"/>
        </w:sectPr>
      </w:pPr>
    </w:p>
    <w:bookmarkStart w:id="28" w:name="page29"/>
    <w:bookmarkEnd w:id="28"/>
    <w:p>
      <w:pPr>
        <w:ind w:right="60" w:firstLine="991"/>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 </w:t>
      </w:r>
      <w:r>
        <w:rPr>
          <w:rFonts w:ascii="Arial" w:cs="Arial" w:eastAsia="Arial" w:hAnsi="Arial"/>
          <w:sz w:val="16"/>
          <w:szCs w:val="16"/>
          <w:b w:val="1"/>
          <w:bCs w:val="1"/>
          <w:i w:val="1"/>
          <w:iCs w:val="1"/>
          <w:color w:val="auto"/>
        </w:rPr>
        <w:t>Conditions of the Obligations of the Underwriters</w:t>
      </w:r>
      <w:r>
        <w:rPr>
          <w:rFonts w:ascii="Arial" w:cs="Arial" w:eastAsia="Arial" w:hAnsi="Arial"/>
          <w:sz w:val="16"/>
          <w:szCs w:val="16"/>
          <w:color w:val="auto"/>
        </w:rPr>
        <w:t>. The respective obligations of the several Underwriters hereunder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and pay for the Offered Securities as provided herein on the First Closing Date and, with respect to the Optional Shares, each Option Closing Date, shall be subject to the accuracy of the representations and warranties on the part of the Company set forth in Section 1 hereof as of the date hereof and as of the First Closing Date as though then made and, with respect to the Optional Shares, as of each Option Closing Date as though then made, to the timely performance by the Company of its covenants and other obligations hereunder, and to each of the following additional conditions:</w:t>
      </w:r>
    </w:p>
    <w:p>
      <w:pPr>
        <w:spacing w:after="0" w:line="158" w:lineRule="exact"/>
        <w:rPr>
          <w:sz w:val="20"/>
          <w:szCs w:val="20"/>
          <w:color w:val="auto"/>
        </w:rPr>
      </w:pPr>
    </w:p>
    <w:p>
      <w:pPr>
        <w:ind w:right="200" w:firstLine="436"/>
        <w:spacing w:after="0" w:line="296" w:lineRule="auto"/>
        <w:tabs>
          <w:tab w:leader="none" w:pos="695"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Comfort Letter</w:t>
      </w:r>
      <w:r>
        <w:rPr>
          <w:rFonts w:ascii="Arial" w:cs="Arial" w:eastAsia="Arial" w:hAnsi="Arial"/>
          <w:sz w:val="16"/>
          <w:szCs w:val="16"/>
          <w:color w:val="auto"/>
        </w:rPr>
        <w:t>. On the date hereof, the Representatives shall have received from KPMG LLP, independent registered public accountants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w:t>
      </w:r>
    </w:p>
    <w:p>
      <w:pPr>
        <w:spacing w:after="0" w:line="161" w:lineRule="exact"/>
        <w:rPr>
          <w:rFonts w:ascii="Arial" w:cs="Arial" w:eastAsia="Arial" w:hAnsi="Arial"/>
          <w:sz w:val="16"/>
          <w:szCs w:val="16"/>
          <w:b w:val="1"/>
          <w:bCs w:val="1"/>
          <w:color w:val="auto"/>
        </w:rPr>
      </w:pPr>
    </w:p>
    <w:p>
      <w:pPr>
        <w:jc w:val="both"/>
        <w:ind w:right="440" w:firstLine="436"/>
        <w:spacing w:after="0" w:line="263" w:lineRule="auto"/>
        <w:tabs>
          <w:tab w:leader="none" w:pos="70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Registration Requirements; No Stop Order; No Objection from FINRA</w:t>
      </w:r>
      <w:r>
        <w:rPr>
          <w:rFonts w:ascii="Arial" w:cs="Arial" w:eastAsia="Arial" w:hAnsi="Arial"/>
          <w:sz w:val="18"/>
          <w:szCs w:val="18"/>
          <w:color w:val="auto"/>
        </w:rPr>
        <w:t>. For the period from and after the date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and through and including the First Closing Date and, with respect to any Optional Shares purchased after the First Closing Date, each Option Closing Date:</w:t>
      </w:r>
    </w:p>
    <w:p>
      <w:pPr>
        <w:spacing w:after="0" w:line="183" w:lineRule="exact"/>
        <w:rPr>
          <w:rFonts w:ascii="Arial" w:cs="Arial" w:eastAsia="Arial" w:hAnsi="Arial"/>
          <w:sz w:val="18"/>
          <w:szCs w:val="18"/>
          <w:b w:val="1"/>
          <w:bCs w:val="1"/>
          <w:color w:val="auto"/>
        </w:rPr>
      </w:pPr>
    </w:p>
    <w:p>
      <w:pPr>
        <w:jc w:val="both"/>
        <w:ind w:firstLine="987"/>
        <w:spacing w:after="0" w:line="279" w:lineRule="auto"/>
        <w:tabs>
          <w:tab w:leader="none" w:pos="1206"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Company shall have filed the Prospectus with the Commission (including the information previously omitted from the Registration Statement pursuant to Rule 430B under the Securities Act) in the manner and within the time period required by Rule 424(b) under the Securities Act; or the Company shall have filed a post-effective amendment to the Registration Statement containing the information previously omitted from the Registration Statement pursuant to such Rule 430B, and such post-effective amendment shall have become effective.</w:t>
      </w:r>
    </w:p>
    <w:p>
      <w:pPr>
        <w:spacing w:after="0" w:line="171" w:lineRule="exact"/>
        <w:rPr>
          <w:rFonts w:ascii="Arial" w:cs="Arial" w:eastAsia="Arial" w:hAnsi="Arial"/>
          <w:sz w:val="17"/>
          <w:szCs w:val="17"/>
          <w:color w:val="auto"/>
        </w:rPr>
      </w:pPr>
    </w:p>
    <w:p>
      <w:pPr>
        <w:ind w:right="720" w:firstLine="987"/>
        <w:spacing w:after="0" w:line="342" w:lineRule="auto"/>
        <w:tabs>
          <w:tab w:leader="none" w:pos="1256" w:val="left"/>
        </w:tabs>
        <w:numPr>
          <w:ilvl w:val="1"/>
          <w:numId w:val="37"/>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123" w:lineRule="exact"/>
        <w:rPr>
          <w:rFonts w:ascii="Arial" w:cs="Arial" w:eastAsia="Arial" w:hAnsi="Arial"/>
          <w:sz w:val="16"/>
          <w:szCs w:val="16"/>
          <w:color w:val="auto"/>
        </w:rPr>
      </w:pPr>
    </w:p>
    <w:p>
      <w:pPr>
        <w:ind w:right="240" w:firstLine="987"/>
        <w:spacing w:after="0" w:line="277" w:lineRule="auto"/>
        <w:tabs>
          <w:tab w:leader="none" w:pos="1306" w:val="left"/>
        </w:tabs>
        <w:numPr>
          <w:ilvl w:val="1"/>
          <w:numId w:val="37"/>
        </w:numPr>
        <w:rPr>
          <w:rFonts w:ascii="Arial" w:cs="Arial" w:eastAsia="Arial" w:hAnsi="Arial"/>
          <w:sz w:val="18"/>
          <w:szCs w:val="18"/>
          <w:color w:val="auto"/>
        </w:rPr>
      </w:pPr>
      <w:r>
        <w:rPr>
          <w:rFonts w:ascii="Arial" w:cs="Arial" w:eastAsia="Arial" w:hAnsi="Arial"/>
          <w:sz w:val="18"/>
          <w:szCs w:val="18"/>
          <w:color w:val="auto"/>
        </w:rPr>
        <w:t>If a filing has been made with FINRA, FINRA shall have raised no objection to the fairness and reasonableness of the underwriting terms and arrangements.</w:t>
      </w:r>
    </w:p>
    <w:p>
      <w:pPr>
        <w:spacing w:after="0" w:line="170" w:lineRule="exact"/>
        <w:rPr>
          <w:rFonts w:ascii="Arial" w:cs="Arial" w:eastAsia="Arial" w:hAnsi="Arial"/>
          <w:sz w:val="18"/>
          <w:szCs w:val="18"/>
          <w:color w:val="auto"/>
        </w:rPr>
      </w:pPr>
    </w:p>
    <w:p>
      <w:pPr>
        <w:jc w:val="both"/>
        <w:ind w:right="60" w:firstLine="436"/>
        <w:spacing w:after="0" w:line="263" w:lineRule="auto"/>
        <w:tabs>
          <w:tab w:leader="none" w:pos="68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Material Adverse Change</w:t>
      </w:r>
      <w:r>
        <w:rPr>
          <w:rFonts w:ascii="Arial" w:cs="Arial" w:eastAsia="Arial" w:hAnsi="Arial"/>
          <w:sz w:val="18"/>
          <w:szCs w:val="18"/>
          <w:color w:val="auto"/>
        </w:rPr>
        <w:t>. For the period from and after the date of this Agreement and through and including the First Closing Date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any Optional Shares purchased after the First Closing Date, each Option Closing Date, in the judgment of the Representatives there shall not have occurred any Material Adverse Change.</w:t>
      </w:r>
    </w:p>
    <w:p>
      <w:pPr>
        <w:spacing w:after="0" w:line="183" w:lineRule="exact"/>
        <w:rPr>
          <w:rFonts w:ascii="Arial" w:cs="Arial" w:eastAsia="Arial" w:hAnsi="Arial"/>
          <w:sz w:val="18"/>
          <w:szCs w:val="18"/>
          <w:b w:val="1"/>
          <w:bCs w:val="1"/>
          <w:color w:val="auto"/>
        </w:rPr>
      </w:pPr>
    </w:p>
    <w:p>
      <w:pPr>
        <w:ind w:firstLine="436"/>
        <w:spacing w:after="0" w:line="286" w:lineRule="auto"/>
        <w:tabs>
          <w:tab w:leader="none" w:pos="705"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Opinion of Counsel for the Company</w:t>
      </w:r>
      <w:r>
        <w:rPr>
          <w:rFonts w:ascii="Arial" w:cs="Arial" w:eastAsia="Arial" w:hAnsi="Arial"/>
          <w:sz w:val="17"/>
          <w:szCs w:val="17"/>
          <w:color w:val="auto"/>
        </w:rPr>
        <w:t>. On each of the First Closing Date and each Option Closing Date, the Representatives shall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received the opinion and negative assurance letter of Wilson Sonsini Goodrich &amp; Rosati, Professional Corporation, counsel for the Company, dated as of such date, in the form and substance previously agreed to with the Representatives and counsel for the Underwriters.</w:t>
      </w:r>
    </w:p>
    <w:p>
      <w:pPr>
        <w:spacing w:after="0" w:line="165" w:lineRule="exact"/>
        <w:rPr>
          <w:rFonts w:ascii="Arial" w:cs="Arial" w:eastAsia="Arial" w:hAnsi="Arial"/>
          <w:sz w:val="17"/>
          <w:szCs w:val="17"/>
          <w:b w:val="1"/>
          <w:bCs w:val="1"/>
          <w:color w:val="auto"/>
        </w:rPr>
      </w:pPr>
    </w:p>
    <w:p>
      <w:pPr>
        <w:ind w:right="40" w:firstLine="436"/>
        <w:spacing w:after="0" w:line="263" w:lineRule="auto"/>
        <w:tabs>
          <w:tab w:leader="none" w:pos="68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Opinion of Intellectual Property Counsel for the Company. </w:t>
      </w:r>
      <w:r>
        <w:rPr>
          <w:rFonts w:ascii="Arial" w:cs="Arial" w:eastAsia="Arial" w:hAnsi="Arial"/>
          <w:sz w:val="18"/>
          <w:szCs w:val="18"/>
          <w:color w:val="auto"/>
        </w:rPr>
        <w:t>On each of the First Closing Date and each Option Closing Date,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Representatives shall have received the opinion of Morrison &amp; Forester LLP, intellectual property counsel for the Company, dated as of such date, in the form and substance previously agreed to with the Representatives and counsel for the Underwriters.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29" w:name="page30"/>
    <w:bookmarkEnd w:id="29"/>
    <w:p>
      <w:pPr>
        <w:ind w:left="-20" w:right="300" w:firstLine="436"/>
        <w:spacing w:after="0" w:line="286" w:lineRule="auto"/>
        <w:tabs>
          <w:tab w:leader="none" w:pos="645"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Opinion of Counsel for the Underwriters</w:t>
      </w:r>
      <w:r>
        <w:rPr>
          <w:rFonts w:ascii="Arial" w:cs="Arial" w:eastAsia="Arial" w:hAnsi="Arial"/>
          <w:sz w:val="17"/>
          <w:szCs w:val="17"/>
          <w:color w:val="auto"/>
        </w:rPr>
        <w:t>. On each of the First Closing Date and each Option Closing Date, the Representatives shall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received the opinion and negative assurance letter of Cooley LLP, counsel for the Underwriters in connection with the offer and sale of the Offered Securities, in form and substance satisfactory to the Representatives, dated as of such date.</w:t>
      </w:r>
    </w:p>
    <w:p>
      <w:pPr>
        <w:spacing w:after="0" w:line="165" w:lineRule="exact"/>
        <w:rPr>
          <w:rFonts w:ascii="Arial" w:cs="Arial" w:eastAsia="Arial" w:hAnsi="Arial"/>
          <w:sz w:val="17"/>
          <w:szCs w:val="17"/>
          <w:b w:val="1"/>
          <w:bCs w:val="1"/>
          <w:color w:val="auto"/>
        </w:rPr>
      </w:pPr>
    </w:p>
    <w:p>
      <w:pPr>
        <w:ind w:left="-20" w:right="280" w:firstLine="436"/>
        <w:spacing w:after="0" w:line="263" w:lineRule="auto"/>
        <w:tabs>
          <w:tab w:leader="none" w:pos="675"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On each of the First Closing Date and each Option Closing Date, the Representatives shall have received a certificate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executed by the Chief Executive Officer or President of the Company and the Chief Financial Officer of the Company, dated as of such date, to the effect set forth in Section 6(b)(ii) and further to the effect that:</w:t>
      </w:r>
    </w:p>
    <w:p>
      <w:pPr>
        <w:spacing w:after="0" w:line="183" w:lineRule="exact"/>
        <w:rPr>
          <w:rFonts w:ascii="Arial" w:cs="Arial" w:eastAsia="Arial" w:hAnsi="Arial"/>
          <w:sz w:val="18"/>
          <w:szCs w:val="18"/>
          <w:b w:val="1"/>
          <w:bCs w:val="1"/>
          <w:color w:val="auto"/>
        </w:rPr>
      </w:pPr>
    </w:p>
    <w:p>
      <w:pPr>
        <w:ind w:left="-20" w:right="420" w:firstLine="987"/>
        <w:spacing w:after="0" w:line="277" w:lineRule="auto"/>
        <w:tabs>
          <w:tab w:leader="none" w:pos="1186" w:val="left"/>
        </w:tabs>
        <w:numPr>
          <w:ilvl w:val="1"/>
          <w:numId w:val="38"/>
        </w:numPr>
        <w:rPr>
          <w:rFonts w:ascii="Arial" w:cs="Arial" w:eastAsia="Arial" w:hAnsi="Arial"/>
          <w:sz w:val="18"/>
          <w:szCs w:val="18"/>
          <w:color w:val="auto"/>
        </w:rPr>
      </w:pPr>
      <w:r>
        <w:rPr>
          <w:rFonts w:ascii="Arial" w:cs="Arial" w:eastAsia="Arial" w:hAnsi="Arial"/>
          <w:sz w:val="18"/>
          <w:szCs w:val="18"/>
          <w:color w:val="auto"/>
        </w:rPr>
        <w:t>for the period from and including the date of this Agreement through and including such date, there has not occurred any Material Adverse Change;</w:t>
      </w:r>
    </w:p>
    <w:p>
      <w:pPr>
        <w:spacing w:after="0" w:line="170" w:lineRule="exact"/>
        <w:rPr>
          <w:rFonts w:ascii="Arial" w:cs="Arial" w:eastAsia="Arial" w:hAnsi="Arial"/>
          <w:sz w:val="18"/>
          <w:szCs w:val="18"/>
          <w:color w:val="auto"/>
        </w:rPr>
      </w:pPr>
    </w:p>
    <w:p>
      <w:pPr>
        <w:ind w:left="-20" w:right="300" w:firstLine="987"/>
        <w:spacing w:after="0" w:line="277" w:lineRule="auto"/>
        <w:tabs>
          <w:tab w:leader="none" w:pos="1236"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representations, warranties and covenants of the Company set forth in Section 1 of this Agreement are true and correct with the same force and effect as though expressly made on and as of such date; and</w:t>
      </w:r>
    </w:p>
    <w:p>
      <w:pPr>
        <w:spacing w:after="0" w:line="170" w:lineRule="exact"/>
        <w:rPr>
          <w:rFonts w:ascii="Arial" w:cs="Arial" w:eastAsia="Arial" w:hAnsi="Arial"/>
          <w:sz w:val="18"/>
          <w:szCs w:val="18"/>
          <w:color w:val="auto"/>
        </w:rPr>
      </w:pPr>
    </w:p>
    <w:p>
      <w:pPr>
        <w:ind w:left="-20" w:right="200" w:firstLine="987"/>
        <w:spacing w:after="0" w:line="277" w:lineRule="auto"/>
        <w:tabs>
          <w:tab w:leader="none" w:pos="1286"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Company has complied with all the agreements hereunder and satisfied all the conditions on its part to be performed or satisfied hereunder at or prior to such date.</w:t>
      </w:r>
    </w:p>
    <w:p>
      <w:pPr>
        <w:spacing w:after="0" w:line="170" w:lineRule="exact"/>
        <w:rPr>
          <w:rFonts w:ascii="Arial" w:cs="Arial" w:eastAsia="Arial" w:hAnsi="Arial"/>
          <w:sz w:val="18"/>
          <w:szCs w:val="18"/>
          <w:color w:val="auto"/>
        </w:rPr>
      </w:pPr>
    </w:p>
    <w:p>
      <w:pPr>
        <w:ind w:left="-20" w:right="200" w:firstLine="436"/>
        <w:spacing w:after="0" w:line="296" w:lineRule="auto"/>
        <w:tabs>
          <w:tab w:leader="none" w:pos="685"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Bring-down Comfort Letter</w:t>
      </w:r>
      <w:r>
        <w:rPr>
          <w:rFonts w:ascii="Arial" w:cs="Arial" w:eastAsia="Arial" w:hAnsi="Arial"/>
          <w:sz w:val="16"/>
          <w:szCs w:val="16"/>
          <w:color w:val="auto"/>
        </w:rPr>
        <w:t>. On each of the First Closing Date and each Option Closing Date, the Representatives shall have received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KPMG LLP,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pacing w:after="0" w:line="161" w:lineRule="exact"/>
        <w:rPr>
          <w:rFonts w:ascii="Arial" w:cs="Arial" w:eastAsia="Arial" w:hAnsi="Arial"/>
          <w:sz w:val="16"/>
          <w:szCs w:val="16"/>
          <w:b w:val="1"/>
          <w:bCs w:val="1"/>
          <w:color w:val="auto"/>
        </w:rPr>
      </w:pPr>
    </w:p>
    <w:p>
      <w:pPr>
        <w:jc w:val="both"/>
        <w:ind w:left="-20" w:right="300" w:firstLine="436"/>
        <w:spacing w:after="0" w:line="263" w:lineRule="auto"/>
        <w:tabs>
          <w:tab w:leader="none" w:pos="635"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Lock-Up Agreements</w:t>
      </w:r>
      <w:r>
        <w:rPr>
          <w:rFonts w:ascii="Arial" w:cs="Arial" w:eastAsia="Arial" w:hAnsi="Arial"/>
          <w:sz w:val="18"/>
          <w:szCs w:val="18"/>
          <w:color w:val="auto"/>
        </w:rPr>
        <w:t>. On or prior to the date hereof, the Company shall have furnished to the Representatives an agreement in the form of</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from each director, officer and certain securityholders of the Company, and each such agreement shall be in full force and effect on each of the First Closing Date and each Option Closing Date.</w:t>
      </w:r>
    </w:p>
    <w:p>
      <w:pPr>
        <w:spacing w:after="0" w:line="179" w:lineRule="exact"/>
        <w:rPr>
          <w:rFonts w:ascii="Arial" w:cs="Arial" w:eastAsia="Arial" w:hAnsi="Arial"/>
          <w:sz w:val="18"/>
          <w:szCs w:val="18"/>
          <w:b w:val="1"/>
          <w:bCs w:val="1"/>
          <w:color w:val="auto"/>
        </w:rPr>
      </w:pPr>
    </w:p>
    <w:p>
      <w:pPr>
        <w:ind w:left="-20" w:right="20" w:firstLine="436"/>
        <w:spacing w:after="0" w:line="266" w:lineRule="auto"/>
        <w:tabs>
          <w:tab w:leader="none" w:pos="645"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Rule 462(b) Registration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that a Rule 462(b) Registration Statement is filed in connection with the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contemplated by this Agreement, such Rule 462(b) Registration Statement shall have been filed with the Commission on the date of this Agreement and shall have become effective automatically upon such filing.</w:t>
      </w:r>
    </w:p>
    <w:p>
      <w:pPr>
        <w:spacing w:after="0" w:line="179" w:lineRule="exact"/>
        <w:rPr>
          <w:rFonts w:ascii="Arial" w:cs="Arial" w:eastAsia="Arial" w:hAnsi="Arial"/>
          <w:sz w:val="18"/>
          <w:szCs w:val="18"/>
          <w:b w:val="1"/>
          <w:bCs w:val="1"/>
          <w:color w:val="auto"/>
        </w:rPr>
      </w:pPr>
    </w:p>
    <w:p>
      <w:pPr>
        <w:ind w:left="-20" w:right="320" w:firstLine="436"/>
        <w:spacing w:after="0" w:line="342" w:lineRule="auto"/>
        <w:tabs>
          <w:tab w:leader="none" w:pos="685"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Approval of Listing</w:t>
      </w:r>
      <w:r>
        <w:rPr>
          <w:rFonts w:ascii="Arial" w:cs="Arial" w:eastAsia="Arial" w:hAnsi="Arial"/>
          <w:sz w:val="16"/>
          <w:szCs w:val="16"/>
          <w:color w:val="auto"/>
        </w:rPr>
        <w:t>. At the First Closing Date, made all required submissions to the Nasdaq regarding the Offered Shares and the Warrant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and shall have not received any notice objecting to the listing of the Offered Shares and the Warrant Shares from the Nasdaq..</w:t>
      </w:r>
    </w:p>
    <w:p>
      <w:pPr>
        <w:spacing w:after="0" w:line="119" w:lineRule="exact"/>
        <w:rPr>
          <w:rFonts w:ascii="Arial" w:cs="Arial" w:eastAsia="Arial" w:hAnsi="Arial"/>
          <w:sz w:val="16"/>
          <w:szCs w:val="16"/>
          <w:b w:val="1"/>
          <w:bCs w:val="1"/>
          <w:color w:val="auto"/>
        </w:rPr>
      </w:pPr>
    </w:p>
    <w:p>
      <w:pPr>
        <w:ind w:left="-20" w:firstLine="436"/>
        <w:spacing w:after="0" w:line="281" w:lineRule="auto"/>
        <w:tabs>
          <w:tab w:leader="none" w:pos="635"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CFO Certificate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the date of this Agreement and on the First Closing Date or the applicable Option Closing Date, as the case may be,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shall have furnished to the Representatives a certificate, dated the respective dates of delivery thereof and addressed to the Underwriters, of its chief financial officer with respect to certain financial data contained in the Time of Sale Prospectus and the Prospectus, providing “management comfort” with respect to such information, in form and substance reasonably satisfactory to the Representatives.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60" w:top="274" w:right="479" w:bottom="1440" w:gutter="0" w:footer="0" w:header="0"/>
        </w:sectPr>
      </w:pPr>
    </w:p>
    <w:bookmarkStart w:id="30" w:name="page31"/>
    <w:bookmarkEnd w:id="30"/>
    <w:p>
      <w:pPr>
        <w:ind w:right="660" w:firstLine="436"/>
        <w:spacing w:after="0" w:line="277" w:lineRule="auto"/>
        <w:tabs>
          <w:tab w:leader="none" w:pos="75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Warrants</w:t>
      </w:r>
      <w:r>
        <w:rPr>
          <w:rFonts w:ascii="Arial" w:cs="Arial" w:eastAsia="Arial" w:hAnsi="Arial"/>
          <w:sz w:val="18"/>
          <w:szCs w:val="18"/>
          <w:color w:val="auto"/>
        </w:rPr>
        <w:t>. The Representatives shall have received a form of Pre-Funded Warrant in form and substance reasonably acceptable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Representatives.</w:t>
      </w:r>
    </w:p>
    <w:p>
      <w:pPr>
        <w:spacing w:after="0" w:line="170" w:lineRule="exact"/>
        <w:rPr>
          <w:rFonts w:ascii="Arial" w:cs="Arial" w:eastAsia="Arial" w:hAnsi="Arial"/>
          <w:sz w:val="18"/>
          <w:szCs w:val="18"/>
          <w:b w:val="1"/>
          <w:bCs w:val="1"/>
          <w:color w:val="auto"/>
        </w:rPr>
      </w:pPr>
    </w:p>
    <w:p>
      <w:pPr>
        <w:ind w:right="220" w:firstLine="436"/>
        <w:spacing w:after="0" w:line="293" w:lineRule="auto"/>
        <w:tabs>
          <w:tab w:leader="none" w:pos="705"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Additional Documents</w:t>
      </w:r>
      <w:r>
        <w:rPr>
          <w:rFonts w:ascii="Arial" w:cs="Arial" w:eastAsia="Arial" w:hAnsi="Arial"/>
          <w:sz w:val="16"/>
          <w:szCs w:val="16"/>
          <w:color w:val="auto"/>
        </w:rPr>
        <w:t>. On or before each of the First Closing Date and each Option Closing Date, the Representatives and counsel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Underwriters shall have received such information, documents and opinions as they may reasonably request for the purposes of enabling them to pass upon the issuance and sale of the Offered Securities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Securities as contemplated herein and in connection with the other transactions contemplated by this Agreement shall be satisfactory in form and substance to the Representatives and counsel for the Underwriters.</w:t>
      </w:r>
    </w:p>
    <w:p>
      <w:pPr>
        <w:spacing w:after="0" w:line="16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If any condition specified in this Section 6 is not satisfied when and as required to be satisfied (unless waived in writing by the Representatives), this Agreement may be terminated by the Representatives by notice from the Representatives to the Company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spacing w:after="0" w:line="184"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b w:val="1"/>
          <w:bCs w:val="1"/>
          <w:color w:val="auto"/>
        </w:rPr>
        <w:t xml:space="preserve">Section 7. </w:t>
      </w:r>
      <w:r>
        <w:rPr>
          <w:rFonts w:ascii="Arial" w:cs="Arial" w:eastAsia="Arial" w:hAnsi="Arial"/>
          <w:sz w:val="16"/>
          <w:szCs w:val="16"/>
          <w:b w:val="1"/>
          <w:bCs w:val="1"/>
          <w:i w:val="1"/>
          <w:iCs w:val="1"/>
          <w:color w:val="auto"/>
        </w:rPr>
        <w:t>Reimbursement of Underwriters’ Expenses</w:t>
      </w:r>
      <w:r>
        <w:rPr>
          <w:rFonts w:ascii="Arial" w:cs="Arial" w:eastAsia="Arial" w:hAnsi="Arial"/>
          <w:sz w:val="16"/>
          <w:szCs w:val="16"/>
          <w:color w:val="auto"/>
        </w:rPr>
        <w:t>. If this Agreement is terminated by the Representatives pursuant to Section 6,</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11 or Section 12, or if the sale to the Underwriters of the Offered Securities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out-of-pocket expenses that shall have been reasonably incurred by the Representatives and the Underwriters in connection with the proposed purchase and the offering and sale of the Offered Securities, including, but not limited to, fees and disbursements of counsel, printing expenses, travel expenses, postage, facsimile and telephone charges. For the avoidance of doubt, it is understood that the Company will not pay or reimburse any costs, fees or expenses incurred by any Underwriter that defaults on its obligations to purchase the Offered Securities.</w:t>
      </w:r>
    </w:p>
    <w:p>
      <w:pPr>
        <w:spacing w:after="0" w:line="159"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 xml:space="preserve">Section 8. </w:t>
      </w:r>
      <w:r>
        <w:rPr>
          <w:rFonts w:ascii="Arial" w:cs="Arial" w:eastAsia="Arial" w:hAnsi="Arial"/>
          <w:sz w:val="16"/>
          <w:szCs w:val="16"/>
          <w:b w:val="1"/>
          <w:bCs w:val="1"/>
          <w:i w:val="1"/>
          <w:iCs w:val="1"/>
          <w:color w:val="auto"/>
        </w:rPr>
        <w:t>Effectiveness of this Agreement</w:t>
      </w:r>
      <w:r>
        <w:rPr>
          <w:rFonts w:ascii="Arial" w:cs="Arial" w:eastAsia="Arial" w:hAnsi="Arial"/>
          <w:sz w:val="16"/>
          <w:szCs w:val="16"/>
          <w:color w:val="auto"/>
        </w:rPr>
        <w:t>. This Agreement shall become effective upon the execution and delivery hereof by the parties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i w:val="1"/>
          <w:iCs w:val="1"/>
          <w:color w:val="auto"/>
        </w:rPr>
        <w:t>Indemnification.</w:t>
      </w:r>
    </w:p>
    <w:p>
      <w:pPr>
        <w:spacing w:after="0" w:line="229" w:lineRule="exact"/>
        <w:rPr>
          <w:sz w:val="20"/>
          <w:szCs w:val="20"/>
          <w:color w:val="auto"/>
        </w:rPr>
      </w:pPr>
    </w:p>
    <w:p>
      <w:pPr>
        <w:ind w:right="20" w:firstLine="436"/>
        <w:spacing w:after="0" w:line="270" w:lineRule="auto"/>
        <w:tabs>
          <w:tab w:leader="none" w:pos="695"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Indemnification of the Underwriters</w:t>
      </w:r>
      <w:r>
        <w:rPr>
          <w:rFonts w:ascii="Arial" w:cs="Arial" w:eastAsia="Arial" w:hAnsi="Arial"/>
          <w:sz w:val="17"/>
          <w:szCs w:val="17"/>
          <w:color w:val="auto"/>
        </w:rPr>
        <w:t>. The Company agrees to indemnify and hold harmless each Underwriter, its affiliates, directors, officers,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Securities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(A)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1" w:name="page32"/>
    <w:bookmarkEnd w:id="31"/>
    <w:p>
      <w:pPr>
        <w:ind w:left="4" w:right="60" w:hanging="4"/>
        <w:spacing w:after="0" w:line="284" w:lineRule="auto"/>
        <w:tabs>
          <w:tab w:leader="none" w:pos="269" w:val="left"/>
        </w:tabs>
        <w:numPr>
          <w:ilvl w:val="0"/>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or the Prospectus (or any amendment or supplement to the foregoing), or the omission or alleged omission to state therein a material fact necessary in order to make the statements, in the light of the circumstances under which they were made, not misleading; or (iii) any act or failure to act or any alleged act or failure to act by any Underwriter in connection with, or relating in any manner to, the Shares or the offering contemplated hereby, and which is included as part of or referred to in any loss, claim, damage, liability or action arising out of or based upon any matter covered by clause</w:t>
      </w:r>
    </w:p>
    <w:p>
      <w:pPr>
        <w:spacing w:after="0" w:line="4" w:lineRule="exact"/>
        <w:rPr>
          <w:rFonts w:ascii="Arial" w:cs="Arial" w:eastAsia="Arial" w:hAnsi="Arial"/>
          <w:sz w:val="16"/>
          <w:szCs w:val="16"/>
          <w:color w:val="auto"/>
        </w:rPr>
      </w:pPr>
    </w:p>
    <w:p>
      <w:pPr>
        <w:ind w:left="4" w:right="20" w:hanging="4"/>
        <w:spacing w:after="0" w:line="267" w:lineRule="auto"/>
        <w:tabs>
          <w:tab w:leader="none" w:pos="219" w:val="left"/>
        </w:tabs>
        <w:numPr>
          <w:ilvl w:val="0"/>
          <w:numId w:val="42"/>
        </w:numPr>
        <w:rPr>
          <w:rFonts w:ascii="Arial" w:cs="Arial" w:eastAsia="Arial" w:hAnsi="Arial"/>
          <w:sz w:val="17"/>
          <w:szCs w:val="17"/>
          <w:color w:val="auto"/>
        </w:rPr>
      </w:pPr>
      <w:r>
        <w:rPr>
          <w:rFonts w:ascii="Arial" w:cs="Arial" w:eastAsia="Arial" w:hAnsi="Arial"/>
          <w:sz w:val="17"/>
          <w:szCs w:val="17"/>
          <w:color w:val="auto"/>
        </w:rPr>
        <w:t>or (ii) above, or (B) the violation of any laws or regulations of foreign jurisdictions where Offered Securities have been offered or sold; and to reimburse each Underwriter and each such affiliate, director, officer, employee, agent and controlling person for any and all reasonable expenses (including the reasonable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 Marketing Material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spacing w:after="0" w:line="185" w:lineRule="exact"/>
        <w:rPr>
          <w:rFonts w:ascii="Arial" w:cs="Arial" w:eastAsia="Arial" w:hAnsi="Arial"/>
          <w:sz w:val="17"/>
          <w:szCs w:val="17"/>
          <w:color w:val="auto"/>
        </w:rPr>
      </w:pPr>
    </w:p>
    <w:p>
      <w:pPr>
        <w:ind w:left="4" w:firstLine="436"/>
        <w:spacing w:after="0" w:line="285" w:lineRule="auto"/>
        <w:tabs>
          <w:tab w:leader="none" w:pos="709" w:val="left"/>
        </w:tabs>
        <w:numPr>
          <w:ilvl w:val="1"/>
          <w:numId w:val="4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Company, its Directors and Officers</w:t>
      </w:r>
      <w:r>
        <w:rPr>
          <w:rFonts w:ascii="Arial" w:cs="Arial" w:eastAsia="Arial" w:hAnsi="Arial"/>
          <w:sz w:val="16"/>
          <w:szCs w:val="16"/>
          <w:color w:val="auto"/>
        </w:rPr>
        <w:t>. Each Underwriter agrees, severally and not jointly, to indemnify and hold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harmless the Company, each of its directors, each of the Company’s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reasonable expenses (including the reasonable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32" w:name="page33"/>
    <w:bookmarkEnd w:id="32"/>
    <w:p>
      <w:pPr>
        <w:ind w:right="1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or the Prospectus (or any amendment or supplement to the foregoing) are the statements set forth in the second sentence of the third paragraph and the information regarding stabilization, syndicate covering transactions, penalty bids and passive market making in the eleventh and twelfth paragraphs under the caption “Underwriting” in the Preliminary Prospectus Supplement and the Prospectus. The indemnity agreement set forth in this Section 9(b) shall be in addition to any liabilities that each Underwriter may otherwise have.</w:t>
      </w:r>
    </w:p>
    <w:p>
      <w:pPr>
        <w:spacing w:after="0" w:line="178" w:lineRule="exact"/>
        <w:rPr>
          <w:sz w:val="20"/>
          <w:szCs w:val="20"/>
          <w:color w:val="auto"/>
        </w:rPr>
      </w:pPr>
    </w:p>
    <w:p>
      <w:pPr>
        <w:ind w:right="20" w:firstLine="436"/>
        <w:spacing w:after="0" w:line="266" w:lineRule="auto"/>
        <w:tabs>
          <w:tab w:leader="none" w:pos="685"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Notifications and Other Indemnification Procedures</w:t>
      </w:r>
      <w:r>
        <w:rPr>
          <w:rFonts w:ascii="Arial" w:cs="Arial" w:eastAsia="Arial" w:hAnsi="Arial"/>
          <w:sz w:val="17"/>
          <w:szCs w:val="17"/>
          <w:color w:val="auto"/>
        </w:rPr>
        <w:t>. Promptly after receipt by an indemnified party under this 9 of notice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Representatives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99" w:lineRule="exact"/>
        <w:rPr>
          <w:rFonts w:ascii="Arial" w:cs="Arial" w:eastAsia="Arial" w:hAnsi="Arial"/>
          <w:sz w:val="17"/>
          <w:szCs w:val="17"/>
          <w:b w:val="1"/>
          <w:bCs w:val="1"/>
          <w:color w:val="auto"/>
        </w:rPr>
      </w:pPr>
    </w:p>
    <w:p>
      <w:pPr>
        <w:ind w:firstLine="436"/>
        <w:spacing w:after="0" w:line="301" w:lineRule="auto"/>
        <w:tabs>
          <w:tab w:leader="none" w:pos="705"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Settlements</w:t>
      </w:r>
      <w:r>
        <w:rPr>
          <w:rFonts w:ascii="Arial" w:cs="Arial" w:eastAsia="Arial" w:hAnsi="Arial"/>
          <w:sz w:val="16"/>
          <w:szCs w:val="16"/>
          <w:color w:val="auto"/>
        </w:rPr>
        <w:t>. The indemnifying party under this Section 9 shall not be liable for any settlement of any proceeding effected without its 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the reasonable and documented out-of-pocket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33" w:name="page34"/>
    <w:bookmarkEnd w:id="33"/>
    <w:p>
      <w:pPr>
        <w:ind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fees and expenses of counsel as contemplated by Section 9(c) hereof, the indemnifying party shall be liable for any settlement of any proceeding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the indemnified party in accordance with such request prior to the date of such settlement, unless such amounts are being contested in good faith.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62" w:lineRule="exact"/>
        <w:rPr>
          <w:sz w:val="20"/>
          <w:szCs w:val="20"/>
          <w:color w:val="auto"/>
        </w:rPr>
      </w:pPr>
    </w:p>
    <w:p>
      <w:pPr>
        <w:ind w:right="20" w:firstLine="991"/>
        <w:spacing w:after="0" w:line="268" w:lineRule="auto"/>
        <w:rPr>
          <w:sz w:val="20"/>
          <w:szCs w:val="20"/>
          <w:color w:val="auto"/>
        </w:rPr>
      </w:pPr>
      <w:r>
        <w:rPr>
          <w:rFonts w:ascii="Arial" w:cs="Arial" w:eastAsia="Arial" w:hAnsi="Arial"/>
          <w:sz w:val="17"/>
          <w:szCs w:val="17"/>
          <w:b w:val="1"/>
          <w:bCs w:val="1"/>
          <w:color w:val="auto"/>
        </w:rPr>
        <w:t xml:space="preserve">Section 10. </w:t>
      </w:r>
      <w:r>
        <w:rPr>
          <w:rFonts w:ascii="Arial" w:cs="Arial" w:eastAsia="Arial" w:hAnsi="Arial"/>
          <w:sz w:val="17"/>
          <w:szCs w:val="17"/>
          <w:b w:val="1"/>
          <w:bCs w:val="1"/>
          <w:i w:val="1"/>
          <w:iCs w:val="1"/>
          <w:color w:val="auto"/>
        </w:rPr>
        <w:t>Contribution</w:t>
      </w:r>
      <w:r>
        <w:rPr>
          <w:rFonts w:ascii="Arial" w:cs="Arial" w:eastAsia="Arial" w:hAnsi="Arial"/>
          <w:sz w:val="17"/>
          <w:szCs w:val="17"/>
          <w:color w:val="auto"/>
        </w:rPr>
        <w:t>. If the indemnification provided for in Section 9 is for any reason held to be unavailable to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Securities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Securities pursuant to this Agreement shall be deemed to be in the same respective proportions as the total proceeds from the offering of the Offered Securities pursuant to this Agreement (after deducting underwriting discounts and commissions but before deducting expenses) received by the Company, and the total underwriting discounts and commissions received by the Underwriters, in each case as set forth on the front cover page of the Prospectus, bear to the aggregate public offering price of the Offered Securities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18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The amount paid or payable by a party as a result of the losses, claims, damages, liabilities and expenses referred to above shall be deemed to include, subject to the limitations set forth in Section 9(c), any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additional notice shall be required with respect to any action for which notice has been given under Section 9(c) for purposes of indemnification.</w:t>
      </w:r>
    </w:p>
    <w:p>
      <w:pPr>
        <w:spacing w:after="0" w:line="176"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4" w:name="page35"/>
    <w:bookmarkEnd w:id="34"/>
    <w:p>
      <w:pPr>
        <w:ind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provisions of this Section 10, no Underwriter shall be required to contribute any amount in excess of the underwriting discounts and commissions received by such Underwriter in connection with the Offered Securities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Arial" w:cs="Arial" w:eastAsia="Arial" w:hAnsi="Arial"/>
          <w:sz w:val="17"/>
          <w:szCs w:val="17"/>
          <w:u w:val="single" w:color="auto"/>
          <w:color w:val="auto"/>
        </w:rPr>
        <w:t>Schedule A</w:t>
      </w:r>
      <w:r>
        <w:rPr>
          <w:rFonts w:ascii="Arial" w:cs="Arial" w:eastAsia="Arial" w:hAnsi="Arial"/>
          <w:sz w:val="17"/>
          <w:szCs w:val="17"/>
          <w:color w:val="auto"/>
        </w:rPr>
        <w:t>.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77" w:lineRule="exact"/>
        <w:rPr>
          <w:sz w:val="20"/>
          <w:szCs w:val="20"/>
          <w:color w:val="auto"/>
        </w:rPr>
      </w:pPr>
    </w:p>
    <w:p>
      <w:pPr>
        <w:ind w:right="40" w:firstLine="991"/>
        <w:spacing w:after="0" w:line="286" w:lineRule="auto"/>
        <w:rPr>
          <w:sz w:val="20"/>
          <w:szCs w:val="20"/>
          <w:color w:val="auto"/>
        </w:rPr>
      </w:pPr>
      <w:r>
        <w:rPr>
          <w:rFonts w:ascii="Arial" w:cs="Arial" w:eastAsia="Arial" w:hAnsi="Arial"/>
          <w:sz w:val="16"/>
          <w:szCs w:val="16"/>
          <w:b w:val="1"/>
          <w:bCs w:val="1"/>
          <w:color w:val="auto"/>
        </w:rPr>
        <w:t xml:space="preserve">Section 11. </w:t>
      </w:r>
      <w:r>
        <w:rPr>
          <w:rFonts w:ascii="Arial" w:cs="Arial" w:eastAsia="Arial" w:hAnsi="Arial"/>
          <w:sz w:val="16"/>
          <w:szCs w:val="16"/>
          <w:b w:val="1"/>
          <w:bCs w:val="1"/>
          <w:i w:val="1"/>
          <w:iCs w:val="1"/>
          <w:color w:val="auto"/>
        </w:rPr>
        <w:t>Default of One or More of the Several Underwriters</w:t>
      </w:r>
      <w:r>
        <w:rPr>
          <w:rFonts w:ascii="Arial" w:cs="Arial" w:eastAsia="Arial" w:hAnsi="Arial"/>
          <w:sz w:val="16"/>
          <w:szCs w:val="16"/>
          <w:color w:val="auto"/>
        </w:rPr>
        <w:t>. If, on the First Closing Date or any Option Closing Date any one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more of the several Underwriters shall fail or refuse to purchase Offered Securities that it or they have agreed to purchase hereunder on such date, and the aggregate number of Offered Securities which such defaulting Underwriter or Underwriters agreed but failed or refused to purchase does not exceed 10% of the aggregate number of the Offered Securities to be purchased on such date, the Representatives may make arrangements satisfactory to the Company for the purchase of such Offered Securities by other persons, including any of the Underwriters, but if no such arrangements are made by such date, the other Underwriters shall be obligated, severally and not jointly, in the proportions that the number of Firm Securities set forth opposite their respective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bears to the aggregate number of Firm Securities set forth opposite the names of all such non-defaulting Underwriters, or in such other proportions as may be specified by the Representatives with the consent of the non-defaulting Underwriters, to purchase the Offered Securities which such defaulting Underwriter or Underwriters agreed but failed or refused to purchase on such date. If, on the First Closing Date or any Option Closing Date any one or more of the Underwriters shall fail or refuse to purchase Offered Securities and the aggregate number of Offered Securities with respect to which such default occurs exceeds 10% of the aggregate number of Offered Securities to be purchased on such date, and arrangements satisfactory to the Representatives and the Company for the purchase of such Offered Securities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164" w:lineRule="exact"/>
        <w:rPr>
          <w:sz w:val="20"/>
          <w:szCs w:val="20"/>
          <w:color w:val="auto"/>
        </w:rPr>
      </w:pPr>
    </w:p>
    <w:p>
      <w:pPr>
        <w:ind w:right="360" w:firstLine="440"/>
        <w:spacing w:after="0" w:line="266" w:lineRule="auto"/>
        <w:rPr>
          <w:sz w:val="20"/>
          <w:szCs w:val="20"/>
          <w:color w:val="auto"/>
        </w:rPr>
      </w:pPr>
      <w:r>
        <w:rPr>
          <w:rFonts w:ascii="Arial" w:cs="Arial" w:eastAsia="Arial" w:hAnsi="Arial"/>
          <w:sz w:val="18"/>
          <w:szCs w:val="18"/>
          <w:color w:val="auto"/>
        </w:rPr>
        <w:t>As used in this Agreement, the term “</w:t>
      </w:r>
      <w:r>
        <w:rPr>
          <w:rFonts w:ascii="Arial" w:cs="Arial" w:eastAsia="Arial" w:hAnsi="Arial"/>
          <w:sz w:val="18"/>
          <w:szCs w:val="18"/>
          <w:b w:val="1"/>
          <w:bCs w:val="1"/>
          <w:color w:val="auto"/>
        </w:rPr>
        <w:t>Underwriter</w:t>
      </w:r>
      <w:r>
        <w:rPr>
          <w:rFonts w:ascii="Arial" w:cs="Arial" w:eastAsia="Arial" w:hAnsi="Arial"/>
          <w:sz w:val="18"/>
          <w:szCs w:val="18"/>
          <w:color w:val="auto"/>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spacing w:after="0" w:line="176" w:lineRule="exact"/>
        <w:rPr>
          <w:sz w:val="20"/>
          <w:szCs w:val="20"/>
          <w:color w:val="auto"/>
        </w:rPr>
      </w:pPr>
    </w:p>
    <w:p>
      <w:pPr>
        <w:ind w:right="100" w:firstLine="991"/>
        <w:spacing w:after="0" w:line="298" w:lineRule="auto"/>
        <w:rPr>
          <w:sz w:val="20"/>
          <w:szCs w:val="20"/>
          <w:color w:val="auto"/>
        </w:rPr>
      </w:pPr>
      <w:r>
        <w:rPr>
          <w:rFonts w:ascii="Arial" w:cs="Arial" w:eastAsia="Arial" w:hAnsi="Arial"/>
          <w:sz w:val="16"/>
          <w:szCs w:val="16"/>
          <w:b w:val="1"/>
          <w:bCs w:val="1"/>
          <w:color w:val="auto"/>
        </w:rPr>
        <w:t xml:space="preserve">Section 12. </w:t>
      </w:r>
      <w:r>
        <w:rPr>
          <w:rFonts w:ascii="Arial" w:cs="Arial" w:eastAsia="Arial" w:hAnsi="Arial"/>
          <w:sz w:val="16"/>
          <w:szCs w:val="16"/>
          <w:b w:val="1"/>
          <w:bCs w:val="1"/>
          <w:i w:val="1"/>
          <w:iCs w:val="1"/>
          <w:color w:val="auto"/>
        </w:rPr>
        <w:t>Termination of this Agreement</w:t>
      </w:r>
      <w:r>
        <w:rPr>
          <w:rFonts w:ascii="Arial" w:cs="Arial" w:eastAsia="Arial" w:hAnsi="Arial"/>
          <w:sz w:val="16"/>
          <w:szCs w:val="16"/>
          <w:color w:val="auto"/>
        </w:rPr>
        <w:t>. Prior to the purchase of the Firm Shares by the Underwriters on the First Closing Date,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may be terminated by the Representatives by notice given to the Company if at any time: (i) trading or quotation in any of the Company’s securities shall have been suspended or limited by the Commission or by the Nasdaq, or trading in securities generally on either the Nasdaq or the New York Stock Exchange shall have been suspended or limited, or minimum or maximum prices shall have been generally established on any of such stock exchanges; (ii) a general banking moratorium shall have been declared by any federal, New York or California authorities;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35" w:name="page36"/>
    <w:bookmarkEnd w:id="35"/>
    <w:p>
      <w:pPr>
        <w:ind w:left="4" w:right="20" w:hanging="4"/>
        <w:spacing w:after="0" w:line="288" w:lineRule="auto"/>
        <w:tabs>
          <w:tab w:leader="none" w:pos="319" w:val="left"/>
        </w:tabs>
        <w:numPr>
          <w:ilvl w:val="0"/>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Securities in the manner and on the terms described in the Time of Sale Prospectus or the Prospectus or to enforce contracts for the sale of securities; (iv) in the judgment of the Representatives there shall have occurred any Material Adverse Change;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provided, however, that the provisions of Section 9 and Section 10 shall at all times be effective and shall survive such termination.</w:t>
      </w:r>
    </w:p>
    <w:p>
      <w:pPr>
        <w:spacing w:after="0" w:line="164" w:lineRule="exact"/>
        <w:rPr>
          <w:sz w:val="20"/>
          <w:szCs w:val="20"/>
          <w:color w:val="auto"/>
        </w:rPr>
      </w:pPr>
    </w:p>
    <w:p>
      <w:pPr>
        <w:ind w:left="4" w:firstLine="991"/>
        <w:spacing w:after="0" w:line="288" w:lineRule="auto"/>
        <w:rPr>
          <w:sz w:val="20"/>
          <w:szCs w:val="20"/>
          <w:color w:val="auto"/>
        </w:rPr>
      </w:pPr>
      <w:r>
        <w:rPr>
          <w:rFonts w:ascii="Arial" w:cs="Arial" w:eastAsia="Arial" w:hAnsi="Arial"/>
          <w:sz w:val="16"/>
          <w:szCs w:val="16"/>
          <w:b w:val="1"/>
          <w:bCs w:val="1"/>
          <w:color w:val="auto"/>
        </w:rPr>
        <w:t xml:space="preserve">Section 13. </w:t>
      </w:r>
      <w:r>
        <w:rPr>
          <w:rFonts w:ascii="Arial" w:cs="Arial" w:eastAsia="Arial" w:hAnsi="Arial"/>
          <w:sz w:val="16"/>
          <w:szCs w:val="16"/>
          <w:b w:val="1"/>
          <w:bCs w:val="1"/>
          <w:i w:val="1"/>
          <w:iCs w:val="1"/>
          <w:color w:val="auto"/>
        </w:rPr>
        <w:t>No Advisory or Fiduciary Relationship</w:t>
      </w:r>
      <w:r>
        <w:rPr>
          <w:rFonts w:ascii="Arial" w:cs="Arial" w:eastAsia="Arial" w:hAnsi="Arial"/>
          <w:sz w:val="16"/>
          <w:szCs w:val="16"/>
          <w:color w:val="auto"/>
        </w:rPr>
        <w:t>. The Company acknowledges and agrees that (a) the purchase and sale of the Offered</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pursuant to this Agreement, including the determination of the public offering price of the Offered Securities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163" w:lineRule="exact"/>
        <w:rPr>
          <w:sz w:val="20"/>
          <w:szCs w:val="20"/>
          <w:color w:val="auto"/>
        </w:rPr>
      </w:pPr>
    </w:p>
    <w:p>
      <w:pPr>
        <w:ind w:left="4" w:right="20" w:firstLine="991"/>
        <w:spacing w:after="0" w:line="277" w:lineRule="auto"/>
        <w:rPr>
          <w:sz w:val="20"/>
          <w:szCs w:val="20"/>
          <w:color w:val="auto"/>
        </w:rPr>
      </w:pPr>
      <w:r>
        <w:rPr>
          <w:rFonts w:ascii="Arial" w:cs="Arial" w:eastAsia="Arial" w:hAnsi="Arial"/>
          <w:sz w:val="17"/>
          <w:szCs w:val="17"/>
          <w:b w:val="1"/>
          <w:bCs w:val="1"/>
          <w:color w:val="auto"/>
        </w:rPr>
        <w:t xml:space="preserve">Section 14. </w:t>
      </w:r>
      <w:r>
        <w:rPr>
          <w:rFonts w:ascii="Arial" w:cs="Arial" w:eastAsia="Arial" w:hAnsi="Arial"/>
          <w:sz w:val="17"/>
          <w:szCs w:val="17"/>
          <w:b w:val="1"/>
          <w:bCs w:val="1"/>
          <w:i w:val="1"/>
          <w:iCs w:val="1"/>
          <w:color w:val="auto"/>
        </w:rPr>
        <w:t>Representations and Indemnities to Survive Delivery</w:t>
      </w:r>
      <w:r>
        <w:rPr>
          <w:rFonts w:ascii="Arial" w:cs="Arial" w:eastAsia="Arial" w:hAnsi="Arial"/>
          <w:sz w:val="17"/>
          <w:szCs w:val="17"/>
          <w:color w:val="auto"/>
        </w:rPr>
        <w:t>. The respective indemnities, agreements, representations, warranties</w:t>
      </w:r>
      <w:r>
        <w:rPr>
          <w:rFonts w:ascii="Arial" w:cs="Arial" w:eastAsia="Arial" w:hAnsi="Arial"/>
          <w:sz w:val="17"/>
          <w:szCs w:val="17"/>
          <w:b w:val="1"/>
          <w:bCs w:val="1"/>
          <w:color w:val="auto"/>
        </w:rPr>
        <w:t xml:space="preserve"> </w:t>
      </w:r>
      <w:r>
        <w:rPr>
          <w:rFonts w:ascii="Arial" w:cs="Arial" w:eastAsia="Arial" w:hAnsi="Arial"/>
          <w:sz w:val="17"/>
          <w:szCs w:val="17"/>
          <w:color w:val="auto"/>
        </w:rPr>
        <w:t>and other statements of the Company, of its officers, and of the several Underwriters set forth in or made pursuant to this Agreement will remain in full force and effect, regardless of any investigation made by or on behalf of any Underwriter or the Company or any of their respective partners, officers or directors or any controlling person, as the case may be, and, anything herein to the contrary notwithstanding, will survive delivery of and payment for the Offered Securities sold hereunder and any termination of this Agreement.</w:t>
      </w:r>
    </w:p>
    <w:p>
      <w:pPr>
        <w:spacing w:after="0" w:line="168" w:lineRule="exact"/>
        <w:rPr>
          <w:sz w:val="20"/>
          <w:szCs w:val="20"/>
          <w:color w:val="auto"/>
        </w:rPr>
      </w:pPr>
    </w:p>
    <w:p>
      <w:pPr>
        <w:ind w:left="4" w:right="20" w:firstLine="991"/>
        <w:spacing w:after="0" w:line="282" w:lineRule="auto"/>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b w:val="1"/>
          <w:bCs w:val="1"/>
          <w:i w:val="1"/>
          <w:iCs w:val="1"/>
          <w:color w:val="auto"/>
        </w:rPr>
        <w:t>Notices</w:t>
      </w:r>
      <w:r>
        <w:rPr>
          <w:rFonts w:ascii="Arial" w:cs="Arial" w:eastAsia="Arial" w:hAnsi="Arial"/>
          <w:sz w:val="18"/>
          <w:szCs w:val="18"/>
          <w:color w:val="auto"/>
        </w:rPr>
        <w:t>. All communications hereunder shall be in writing and shall be mailed, hand delivered or telecopied and confirmed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as follows:</w:t>
      </w:r>
    </w:p>
    <w:p>
      <w:pPr>
        <w:sectPr>
          <w:pgSz w:w="11900" w:h="16838" w:orient="portrait"/>
          <w:cols w:equalWidth="0" w:num="1">
            <w:col w:w="10944"/>
          </w:cols>
          <w:pgMar w:left="436" w:top="274" w:right="519" w:bottom="1440" w:gutter="0" w:footer="0" w:header="0"/>
        </w:sectPr>
      </w:pPr>
    </w:p>
    <w:p>
      <w:pPr>
        <w:spacing w:after="0" w:line="193"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If to the Representatives: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 Nicolette Mall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LegalCapMarkets@psc.com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43" w:lineRule="exact"/>
        <w:rPr>
          <w:sz w:val="20"/>
          <w:szCs w:val="20"/>
          <w:color w:val="auto"/>
        </w:rPr>
      </w:pPr>
    </w:p>
    <w:p>
      <w:pPr>
        <w:sectPr>
          <w:pgSz w:w="11900" w:h="16838" w:orient="portrait"/>
          <w:cols w:equalWidth="0" w:num="2">
            <w:col w:w="2244" w:space="640"/>
            <w:col w:w="8060"/>
          </w:cols>
          <w:pgMar w:left="436" w:top="274" w:right="519" w:bottom="1440" w:gutter="0" w:footer="0" w:header="0"/>
          <w:type w:val="continuous"/>
        </w:sectPr>
      </w:pPr>
    </w:p>
    <w:p>
      <w:pPr>
        <w:jc w:val="center"/>
        <w:ind w:right="-83"/>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0944"/>
          </w:cols>
          <w:pgMar w:left="436" w:top="274" w:right="519" w:bottom="1440" w:gutter="0" w:footer="0" w:header="0"/>
          <w:type w:val="continuous"/>
        </w:sectPr>
      </w:pPr>
    </w:p>
    <w:bookmarkStart w:id="36" w:name="page37"/>
    <w:bookmarkEnd w:id="36"/>
    <w:p>
      <w:pPr>
        <w:ind w:left="2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Cantor Fitzgerald &amp; Co.</w:t>
      </w:r>
    </w:p>
    <w:p>
      <w:pPr>
        <w:spacing w:after="0" w:line="2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110 E. 59th St., 6th Floor</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New York, New York 10022</w:t>
      </w:r>
    </w:p>
    <w:p>
      <w:pPr>
        <w:spacing w:after="0" w:line="32" w:lineRule="exact"/>
        <w:rPr>
          <w:sz w:val="20"/>
          <w:szCs w:val="20"/>
          <w:color w:val="auto"/>
        </w:rPr>
      </w:pPr>
    </w:p>
    <w:p>
      <w:pPr>
        <w:ind w:left="2880"/>
        <w:spacing w:after="0"/>
        <w:rPr>
          <w:sz w:val="20"/>
          <w:szCs w:val="20"/>
          <w:color w:val="auto"/>
        </w:rPr>
      </w:pPr>
      <w:r>
        <w:rPr>
          <w:rFonts w:ascii="Arial" w:cs="Arial" w:eastAsia="Arial" w:hAnsi="Arial"/>
          <w:sz w:val="17"/>
          <w:szCs w:val="17"/>
          <w:color w:val="auto"/>
        </w:rPr>
        <w:t>Facsimile: (212) 829-4708</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7"/>
          <w:szCs w:val="17"/>
          <w:color w:val="auto"/>
        </w:rPr>
        <w:t>Attention: General Counsel</w:t>
      </w:r>
    </w:p>
    <w:p>
      <w:pPr>
        <w:sectPr>
          <w:pgSz w:w="11900" w:h="16838" w:orient="portrait"/>
          <w:cols w:equalWidth="0" w:num="1">
            <w:col w:w="10980"/>
          </w:cols>
          <w:pgMar w:left="440" w:top="274" w:right="479" w:bottom="1440" w:gutter="0" w:footer="0" w:header="0"/>
        </w:sectPr>
      </w:pPr>
    </w:p>
    <w:p>
      <w:pPr>
        <w:spacing w:after="0" w:line="22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Embarcadero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20th Floor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 94111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(415) 693-2222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David Peinsipp</w:t>
      </w:r>
    </w:p>
    <w:p>
      <w:pPr>
        <w:spacing w:after="0" w:line="200" w:lineRule="exact"/>
        <w:rPr>
          <w:sz w:val="20"/>
          <w:szCs w:val="20"/>
          <w:color w:val="auto"/>
        </w:rPr>
      </w:pPr>
    </w:p>
    <w:p>
      <w:pPr>
        <w:sectPr>
          <w:pgSz w:w="11900" w:h="16838" w:orient="portrait"/>
          <w:cols w:equalWidth="0" w:num="2">
            <w:col w:w="2160" w:space="720"/>
            <w:col w:w="8100"/>
          </w:cols>
          <w:pgMar w:left="440" w:top="274" w:right="479" w:bottom="1440" w:gutter="0" w:footer="0" w:header="0"/>
          <w:type w:val="continuous"/>
        </w:sectPr>
      </w:pPr>
    </w:p>
    <w:p>
      <w:pPr>
        <w:spacing w:after="0" w:line="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ALX Oncology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866 Malcolm Road,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Burlingame, California 94010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Executive Officer</w:t>
      </w:r>
    </w:p>
    <w:p>
      <w:pPr>
        <w:spacing w:after="0" w:line="200" w:lineRule="exact"/>
        <w:rPr>
          <w:sz w:val="20"/>
          <w:szCs w:val="20"/>
          <w:color w:val="auto"/>
        </w:rPr>
      </w:pPr>
    </w:p>
    <w:p>
      <w:pPr>
        <w:sectPr>
          <w:pgSz w:w="11900" w:h="16838" w:orient="portrait"/>
          <w:cols w:equalWidth="0" w:num="2">
            <w:col w:w="2160" w:space="720"/>
            <w:col w:w="8100"/>
          </w:cols>
          <w:pgMar w:left="440" w:top="274" w:right="479" w:bottom="1440" w:gutter="0" w:footer="0" w:header="0"/>
          <w:type w:val="continuous"/>
        </w:sectPr>
      </w:pPr>
    </w:p>
    <w:p>
      <w:pPr>
        <w:spacing w:after="0" w:line="2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Wilson Sonsini Goodrich &amp; Rosati, Professional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 94304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(650) 493-6811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Michael Coke and Christina Poulsen</w:t>
      </w:r>
    </w:p>
    <w:p>
      <w:pPr>
        <w:spacing w:after="0" w:line="200" w:lineRule="exact"/>
        <w:rPr>
          <w:sz w:val="20"/>
          <w:szCs w:val="20"/>
          <w:color w:val="auto"/>
        </w:rPr>
      </w:pPr>
    </w:p>
    <w:p>
      <w:pPr>
        <w:sectPr>
          <w:pgSz w:w="11900" w:h="16838" w:orient="portrait"/>
          <w:cols w:equalWidth="0" w:num="2">
            <w:col w:w="2160" w:space="720"/>
            <w:col w:w="8100"/>
          </w:cols>
          <w:pgMar w:left="440" w:top="274" w:right="479" w:bottom="1440" w:gutter="0" w:footer="0" w:header="0"/>
          <w:type w:val="continuous"/>
        </w:sectPr>
      </w:pPr>
    </w:p>
    <w:p>
      <w:pPr>
        <w:spacing w:after="0" w:line="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ind w:right="100" w:firstLine="991"/>
        <w:spacing w:after="0" w:line="258" w:lineRule="auto"/>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b w:val="1"/>
          <w:bCs w:val="1"/>
          <w:i w:val="1"/>
          <w:iCs w:val="1"/>
          <w:color w:val="auto"/>
        </w:rPr>
        <w:t>Successors</w:t>
      </w:r>
      <w:r>
        <w:rPr>
          <w:rFonts w:ascii="Arial" w:cs="Arial" w:eastAsia="Arial" w:hAnsi="Arial"/>
          <w:sz w:val="18"/>
          <w:szCs w:val="18"/>
          <w:color w:val="auto"/>
        </w:rPr>
        <w:t>. This Agreement will inure to the benefit of and be binding upon the parties hereto, including any substitute</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Underwriters pursuant to Section 11 hereof, and to the benefit of the affiliates, directors, officers, employees, agents and controlling persons referred to in Section 9 and Section 10, and in each case their respective successors, and personal representatives, and no other person will have any right or obligation hereunder. The term “successors” shall not include any purchaser of the Offered Securities as such from any of the Underwriters merely by reason of such purchase.</w:t>
      </w:r>
    </w:p>
    <w:p>
      <w:pPr>
        <w:spacing w:after="0" w:line="183" w:lineRule="exact"/>
        <w:rPr>
          <w:sz w:val="20"/>
          <w:szCs w:val="20"/>
          <w:color w:val="auto"/>
        </w:rPr>
      </w:pPr>
    </w:p>
    <w:p>
      <w:pPr>
        <w:ind w:firstLine="991"/>
        <w:spacing w:after="0" w:line="261" w:lineRule="auto"/>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b w:val="1"/>
          <w:bCs w:val="1"/>
          <w:i w:val="1"/>
          <w:iCs w:val="1"/>
          <w:color w:val="auto"/>
        </w:rPr>
        <w:t>Partial Unenforceability</w:t>
      </w:r>
      <w:r>
        <w:rPr>
          <w:rFonts w:ascii="Arial" w:cs="Arial" w:eastAsia="Arial" w:hAnsi="Arial"/>
          <w:sz w:val="18"/>
          <w:szCs w:val="18"/>
          <w:color w:val="auto"/>
        </w:rPr>
        <w:t>. The invalidity or unenforceability of any section, paragraph or provision of this Agreement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18. Recognition of the U.S. Special Resolution Regimes.</w:t>
      </w:r>
    </w:p>
    <w:p>
      <w:pPr>
        <w:spacing w:after="0" w:line="229" w:lineRule="exact"/>
        <w:rPr>
          <w:sz w:val="20"/>
          <w:szCs w:val="20"/>
          <w:color w:val="auto"/>
        </w:rPr>
      </w:pPr>
    </w:p>
    <w:p>
      <w:pPr>
        <w:ind w:right="40" w:firstLine="436"/>
        <w:spacing w:after="0" w:line="259" w:lineRule="auto"/>
        <w:tabs>
          <w:tab w:leader="none" w:pos="6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ind w:firstLine="436"/>
        <w:spacing w:after="0" w:line="259"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type w:val="continuous"/>
        </w:sectPr>
      </w:pPr>
    </w:p>
    <w:bookmarkStart w:id="37" w:name="page38"/>
    <w:bookmarkEnd w:id="37"/>
    <w:p>
      <w:pPr>
        <w:ind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Agreement, (A) “</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 1841(k); (B) “</w:t>
      </w:r>
      <w:r>
        <w:rPr>
          <w:rFonts w:ascii="Arial" w:cs="Arial" w:eastAsia="Arial" w:hAnsi="Arial"/>
          <w:sz w:val="17"/>
          <w:szCs w:val="17"/>
          <w:b w:val="1"/>
          <w:bCs w:val="1"/>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Arial" w:cs="Arial" w:eastAsia="Arial" w:hAnsi="Arial"/>
          <w:sz w:val="17"/>
          <w:szCs w:val="17"/>
          <w:b w:val="1"/>
          <w:bCs w:val="1"/>
          <w:color w:val="auto"/>
        </w:rPr>
        <w:t>Default Right</w:t>
      </w:r>
      <w:r>
        <w:rPr>
          <w:rFonts w:ascii="Arial" w:cs="Arial" w:eastAsia="Arial" w:hAnsi="Arial"/>
          <w:sz w:val="17"/>
          <w:szCs w:val="17"/>
          <w:color w:val="auto"/>
        </w:rPr>
        <w:t>” has the meaning assigned to that term in, and shall be interpreted in accordance with, 12 C.F.R. §§ 252.81, 47.2 or 382.1, as applicable; and (D) “U</w:t>
      </w:r>
      <w:r>
        <w:rPr>
          <w:rFonts w:ascii="Arial" w:cs="Arial" w:eastAsia="Arial" w:hAnsi="Arial"/>
          <w:sz w:val="17"/>
          <w:szCs w:val="17"/>
          <w:b w:val="1"/>
          <w:bCs w:val="1"/>
          <w:color w:val="auto"/>
        </w:rPr>
        <w:t>.S. Special</w:t>
      </w:r>
      <w:r>
        <w:rPr>
          <w:rFonts w:ascii="Arial" w:cs="Arial" w:eastAsia="Arial" w:hAnsi="Arial"/>
          <w:sz w:val="17"/>
          <w:szCs w:val="17"/>
          <w:color w:val="auto"/>
        </w:rPr>
        <w:t xml:space="preserve"> </w:t>
      </w:r>
      <w:r>
        <w:rPr>
          <w:rFonts w:ascii="Arial" w:cs="Arial" w:eastAsia="Arial" w:hAnsi="Arial"/>
          <w:sz w:val="17"/>
          <w:szCs w:val="17"/>
          <w:b w:val="1"/>
          <w:bCs w:val="1"/>
          <w:color w:val="auto"/>
        </w:rPr>
        <w:t>Resolution Regime</w:t>
      </w:r>
      <w:r>
        <w:rPr>
          <w:rFonts w:ascii="Arial" w:cs="Arial" w:eastAsia="Arial" w:hAnsi="Arial"/>
          <w:sz w:val="17"/>
          <w:szCs w:val="17"/>
          <w:color w:val="auto"/>
        </w:rPr>
        <w:t>” means each of (i) the Federal Deposit Insurance Act and the regulations promulgated thereunder and (ii) Title II of the Dodd-Frank</w:t>
      </w:r>
      <w:r>
        <w:rPr>
          <w:rFonts w:ascii="Arial" w:cs="Arial" w:eastAsia="Arial" w:hAnsi="Arial"/>
          <w:sz w:val="17"/>
          <w:szCs w:val="17"/>
          <w:b w:val="1"/>
          <w:bCs w:val="1"/>
          <w:color w:val="auto"/>
        </w:rPr>
        <w:t xml:space="preserve"> </w:t>
      </w:r>
      <w:r>
        <w:rPr>
          <w:rFonts w:ascii="Arial" w:cs="Arial" w:eastAsia="Arial" w:hAnsi="Arial"/>
          <w:sz w:val="17"/>
          <w:szCs w:val="17"/>
          <w:color w:val="auto"/>
        </w:rPr>
        <w:t>Wall Street Reform and Consumer Protection Act and the regulations promulgated thereunder.</w:t>
      </w:r>
    </w:p>
    <w:p>
      <w:pPr>
        <w:spacing w:after="0" w:line="172"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b w:val="1"/>
          <w:bCs w:val="1"/>
          <w:color w:val="auto"/>
        </w:rPr>
        <w:t xml:space="preserve">Section 19. </w:t>
      </w:r>
      <w:r>
        <w:rPr>
          <w:rFonts w:ascii="Arial" w:cs="Arial" w:eastAsia="Arial" w:hAnsi="Arial"/>
          <w:sz w:val="16"/>
          <w:szCs w:val="16"/>
          <w:b w:val="1"/>
          <w:bCs w:val="1"/>
          <w:i w:val="1"/>
          <w:iCs w:val="1"/>
          <w:color w:val="auto"/>
        </w:rPr>
        <w:t>Governing Law Provisions</w:t>
      </w:r>
      <w:r>
        <w:rPr>
          <w:rFonts w:ascii="Arial" w:cs="Arial" w:eastAsia="Arial" w:hAnsi="Arial"/>
          <w:sz w:val="16"/>
          <w:szCs w:val="16"/>
          <w:color w:val="auto"/>
        </w:rPr>
        <w:t>. This Agreement shall be governed by and construed in accordance with the internal laws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State of New York applicable to agreements made and to be performed in such state. Any legal suit, action or proceeding arising out of or based upon this Agreement or the transactions contemplated hereby (“Related Proceedings”) may be instituted in the federal courts of the United States of America located in the Borough of Manhattan in the City of New York or the courts of the State of New York in each case located in the Borough of Manhattan in the City of New York (collectively, the “Specified Courts”), and each party irrevocably submits to the exclusive jurisdiction (except for proceedings instituted in regard to the enforcement of a judgment of any such court (a “Related Judgment”),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6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188" w:lineRule="exact"/>
        <w:rPr>
          <w:sz w:val="20"/>
          <w:szCs w:val="20"/>
          <w:color w:val="auto"/>
        </w:rPr>
      </w:pPr>
    </w:p>
    <w:p>
      <w:pPr>
        <w:ind w:firstLine="991"/>
        <w:spacing w:after="0" w:line="274" w:lineRule="auto"/>
        <w:rPr>
          <w:sz w:val="20"/>
          <w:szCs w:val="20"/>
          <w:color w:val="auto"/>
        </w:rPr>
      </w:pPr>
      <w:r>
        <w:rPr>
          <w:rFonts w:ascii="Arial" w:cs="Arial" w:eastAsia="Arial" w:hAnsi="Arial"/>
          <w:sz w:val="17"/>
          <w:szCs w:val="17"/>
          <w:b w:val="1"/>
          <w:bCs w:val="1"/>
          <w:color w:val="auto"/>
        </w:rPr>
        <w:t xml:space="preserve">Section 20. </w:t>
      </w:r>
      <w:r>
        <w:rPr>
          <w:rFonts w:ascii="Arial" w:cs="Arial" w:eastAsia="Arial" w:hAnsi="Arial"/>
          <w:sz w:val="17"/>
          <w:szCs w:val="17"/>
          <w:b w:val="1"/>
          <w:bCs w:val="1"/>
          <w:i w:val="1"/>
          <w:iCs w:val="1"/>
          <w:color w:val="auto"/>
        </w:rPr>
        <w:t>General Provisions</w:t>
      </w:r>
      <w:r>
        <w:rPr>
          <w:rFonts w:ascii="Arial" w:cs="Arial" w:eastAsia="Arial" w:hAnsi="Arial"/>
          <w:sz w:val="17"/>
          <w:szCs w:val="17"/>
          <w:color w:val="auto"/>
        </w:rPr>
        <w:t>. This Agreement constitutes the entire agreement of the parties to this Agreement and supersedes all prior</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77"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0" w:right="459" w:bottom="1440" w:gutter="0" w:footer="0" w:header="0"/>
        </w:sectPr>
      </w:pPr>
    </w:p>
    <w:bookmarkStart w:id="38" w:name="page39"/>
    <w:bookmarkEnd w:id="38"/>
    <w:p>
      <w:pPr>
        <w:ind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ALX ONCOLOGY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Peter Garcia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[Signature Page to Underwriting Agreement]</w:t>
      </w:r>
    </w:p>
    <w:p>
      <w:pPr>
        <w:sectPr>
          <w:pgSz w:w="11900" w:h="16838" w:orient="portrait"/>
          <w:cols w:equalWidth="0" w:num="1">
            <w:col w:w="10700"/>
          </w:cols>
          <w:pgMar w:left="440" w:top="274" w:right="759" w:bottom="1440" w:gutter="0" w:footer="0" w:header="0"/>
        </w:sectPr>
      </w:pPr>
    </w:p>
    <w:bookmarkStart w:id="39" w:name="page40"/>
    <w:bookmarkEnd w:id="39"/>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 and accepted by the Representatives in New York, New York as of the date first above written.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PIPER SANDLER &amp; CO.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CANTOR FITZGERALD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individually and as Representatives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several Underwriters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attached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PIPER SANDLER &amp; CO.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Chad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Chad Huber</w:t>
      </w:r>
    </w:p>
    <w:p>
      <w:pPr>
        <w:spacing w:after="0" w:line="23" w:lineRule="exact"/>
        <w:rPr>
          <w:sz w:val="20"/>
          <w:szCs w:val="20"/>
          <w:color w:val="auto"/>
        </w:rPr>
      </w:pPr>
    </w:p>
    <w:p>
      <w:pPr>
        <w:jc w:val="center"/>
        <w:ind w:right="806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CANTOR FITZGERALD &amp; CO.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Sage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Sage Kelly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Senior Managing Director</w:t>
      </w:r>
    </w:p>
    <w:p>
      <w:pPr>
        <w:spacing w:after="0" w:line="211" w:lineRule="exact"/>
        <w:rPr>
          <w:sz w:val="20"/>
          <w:szCs w:val="20"/>
          <w:color w:val="auto"/>
        </w:rPr>
      </w:pPr>
    </w:p>
    <w:p>
      <w:pPr>
        <w:ind w:left="3860"/>
        <w:spacing w:after="0"/>
        <w:rPr>
          <w:sz w:val="20"/>
          <w:szCs w:val="20"/>
          <w:color w:val="auto"/>
        </w:rPr>
      </w:pPr>
      <w:r>
        <w:rPr>
          <w:rFonts w:ascii="Arial" w:cs="Arial" w:eastAsia="Arial" w:hAnsi="Arial"/>
          <w:sz w:val="18"/>
          <w:szCs w:val="18"/>
          <w:i w:val="1"/>
          <w:iCs w:val="1"/>
          <w:color w:val="auto"/>
        </w:rPr>
        <w:t>[Signature Page to Underwriting Agreement]</w:t>
      </w:r>
    </w:p>
    <w:p>
      <w:pPr>
        <w:sectPr>
          <w:pgSz w:w="11900" w:h="16838" w:orient="portrait"/>
          <w:cols w:equalWidth="0" w:num="1">
            <w:col w:w="10580"/>
          </w:cols>
          <w:pgMar w:left="440" w:top="274" w:right="87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8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w w:val="87"/>
              </w:rPr>
              <w:t>Schedule A</w:t>
            </w:r>
          </w:p>
        </w:tc>
        <w:tc>
          <w:tcPr>
            <w:tcW w:w="0" w:type="dxa"/>
            <w:vAlign w:val="bottom"/>
          </w:tcPr>
          <w:p>
            <w:pPr>
              <w:spacing w:after="0"/>
              <w:rPr>
                <w:sz w:val="1"/>
                <w:szCs w:val="1"/>
                <w:color w:val="auto"/>
              </w:rPr>
            </w:pPr>
          </w:p>
        </w:tc>
      </w:tr>
      <w:tr>
        <w:trPr>
          <w:trHeight w:val="369"/>
        </w:trPr>
        <w:tc>
          <w:tcPr>
            <w:tcW w:w="8520" w:type="dxa"/>
            <w:vAlign w:val="bottom"/>
          </w:tcPr>
          <w:p>
            <w:pPr>
              <w:spacing w:after="0"/>
              <w:rPr>
                <w:sz w:val="24"/>
                <w:szCs w:val="24"/>
                <w:color w:val="auto"/>
              </w:rPr>
            </w:pPr>
          </w:p>
        </w:tc>
        <w:tc>
          <w:tcPr>
            <w:tcW w:w="146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7"/>
              </w:rPr>
              <w:t>Number of</w:t>
            </w: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Number of Pre-</w:t>
            </w:r>
          </w:p>
        </w:tc>
        <w:tc>
          <w:tcPr>
            <w:tcW w:w="0" w:type="dxa"/>
            <w:vAlign w:val="bottom"/>
          </w:tcPr>
          <w:p>
            <w:pPr>
              <w:spacing w:after="0"/>
              <w:rPr>
                <w:sz w:val="1"/>
                <w:szCs w:val="1"/>
                <w:color w:val="auto"/>
              </w:rPr>
            </w:pPr>
          </w:p>
        </w:tc>
      </w:tr>
      <w:tr>
        <w:trPr>
          <w:trHeight w:val="149"/>
        </w:trPr>
        <w:tc>
          <w:tcPr>
            <w:tcW w:w="85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Funded</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14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Firm Shares</w:t>
            </w: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Warrants to be</w:t>
            </w:r>
          </w:p>
        </w:tc>
        <w:tc>
          <w:tcPr>
            <w:tcW w:w="0" w:type="dxa"/>
            <w:vAlign w:val="bottom"/>
          </w:tcPr>
          <w:p>
            <w:pPr>
              <w:spacing w:after="0"/>
              <w:rPr>
                <w:sz w:val="1"/>
                <w:szCs w:val="1"/>
                <w:color w:val="auto"/>
              </w:rPr>
            </w:pPr>
          </w:p>
        </w:tc>
      </w:tr>
      <w:tr>
        <w:trPr>
          <w:trHeight w:val="185"/>
        </w:trPr>
        <w:tc>
          <w:tcPr>
            <w:tcW w:w="8520" w:type="dxa"/>
            <w:vAlign w:val="bottom"/>
          </w:tcPr>
          <w:p>
            <w:pPr>
              <w:spacing w:after="0"/>
              <w:rPr>
                <w:sz w:val="20"/>
                <w:szCs w:val="20"/>
                <w:color w:val="auto"/>
              </w:rPr>
            </w:pPr>
            <w:r>
              <w:rPr>
                <w:rFonts w:ascii="Arial" w:cs="Arial" w:eastAsia="Arial" w:hAnsi="Arial"/>
                <w:sz w:val="14"/>
                <w:szCs w:val="14"/>
                <w:b w:val="1"/>
                <w:bCs w:val="1"/>
                <w:color w:val="auto"/>
              </w:rPr>
              <w:t>Underwriters</w:t>
            </w:r>
          </w:p>
        </w:tc>
        <w:tc>
          <w:tcPr>
            <w:tcW w:w="14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to be Purchased</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Piper Sandler &amp; Co.</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2,948,277</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Cantor Fitzgerald &amp; Co.</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2,026,940</w:t>
            </w:r>
          </w:p>
        </w:tc>
        <w:tc>
          <w:tcPr>
            <w:tcW w:w="4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343,750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1,105,604</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187,500</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LifeSci Capital LLC</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737,069</w:t>
            </w:r>
          </w:p>
        </w:tc>
        <w:tc>
          <w:tcPr>
            <w:tcW w:w="4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H.C. Wainwright &amp; Co., LLC</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552,800</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93,750</w:t>
            </w:r>
          </w:p>
        </w:tc>
        <w:tc>
          <w:tcPr>
            <w:tcW w:w="0" w:type="dxa"/>
            <w:vAlign w:val="bottom"/>
          </w:tcPr>
          <w:p>
            <w:pPr>
              <w:spacing w:after="0"/>
              <w:rPr>
                <w:sz w:val="1"/>
                <w:szCs w:val="1"/>
                <w:color w:val="auto"/>
              </w:rPr>
            </w:pPr>
          </w:p>
        </w:tc>
      </w:tr>
      <w:tr>
        <w:trPr>
          <w:trHeight w:val="223"/>
        </w:trPr>
        <w:tc>
          <w:tcPr>
            <w:tcW w:w="8520" w:type="dxa"/>
            <w:vAlign w:val="bottom"/>
          </w:tcPr>
          <w:p>
            <w:pPr>
              <w:ind w:left="36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7,370,690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Sch-A-1</w:t>
      </w:r>
    </w:p>
    <w:p>
      <w:pPr>
        <w:sectPr>
          <w:pgSz w:w="11900" w:h="16838" w:orient="portrait"/>
          <w:cols w:equalWidth="0" w:num="1">
            <w:col w:w="11020"/>
          </w:cols>
          <w:pgMar w:left="440" w:top="270" w:right="4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20" w:type="dxa"/>
            <w:vAlign w:val="bottom"/>
            <w:gridSpan w:val="2"/>
          </w:tcPr>
          <w:p>
            <w:pPr>
              <w:ind w:left="1060"/>
              <w:spacing w:after="0"/>
              <w:rPr>
                <w:sz w:val="20"/>
                <w:szCs w:val="20"/>
                <w:color w:val="auto"/>
              </w:rPr>
            </w:pPr>
            <w:r>
              <w:rPr>
                <w:rFonts w:ascii="Arial" w:cs="Arial" w:eastAsia="Arial" w:hAnsi="Arial"/>
                <w:sz w:val="18"/>
                <w:szCs w:val="18"/>
                <w:b w:val="1"/>
                <w:bCs w:val="1"/>
                <w:color w:val="auto"/>
                <w:w w:val="85"/>
              </w:rPr>
              <w:t>Schedule B</w:t>
            </w:r>
          </w:p>
        </w:tc>
      </w:tr>
      <w:tr>
        <w:trPr>
          <w:trHeight w:val="608"/>
        </w:trPr>
        <w:tc>
          <w:tcPr>
            <w:tcW w:w="2940" w:type="dxa"/>
            <w:vAlign w:val="bottom"/>
          </w:tcPr>
          <w:p>
            <w:pPr>
              <w:spacing w:after="0"/>
              <w:rPr>
                <w:sz w:val="24"/>
                <w:szCs w:val="24"/>
                <w:color w:val="auto"/>
              </w:rPr>
            </w:pPr>
          </w:p>
        </w:tc>
        <w:tc>
          <w:tcPr>
            <w:tcW w:w="6160" w:type="dxa"/>
            <w:vAlign w:val="bottom"/>
            <w:gridSpan w:val="4"/>
          </w:tcPr>
          <w:p>
            <w:pPr>
              <w:jc w:val="center"/>
              <w:ind w:right="1040"/>
              <w:spacing w:after="0"/>
              <w:rPr>
                <w:sz w:val="20"/>
                <w:szCs w:val="20"/>
                <w:color w:val="auto"/>
              </w:rPr>
            </w:pPr>
            <w:r>
              <w:rPr>
                <w:rFonts w:ascii="Arial" w:cs="Arial" w:eastAsia="Arial" w:hAnsi="Arial"/>
                <w:sz w:val="18"/>
                <w:szCs w:val="18"/>
                <w:b w:val="1"/>
                <w:bCs w:val="1"/>
                <w:color w:val="auto"/>
                <w:w w:val="89"/>
              </w:rPr>
              <w:t>Free Writing Prospectuses Included in the Time of Sale Prospectus</w:t>
            </w: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53"/>
        </w:trPr>
        <w:tc>
          <w:tcPr>
            <w:tcW w:w="29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8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None.</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08"/>
        </w:trPr>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20" w:type="dxa"/>
            <w:vAlign w:val="bottom"/>
            <w:gridSpan w:val="3"/>
          </w:tcPr>
          <w:p>
            <w:pPr>
              <w:jc w:val="center"/>
              <w:ind w:right="1280"/>
              <w:spacing w:after="0"/>
              <w:rPr>
                <w:sz w:val="20"/>
                <w:szCs w:val="20"/>
                <w:color w:val="auto"/>
              </w:rPr>
            </w:pPr>
            <w:r>
              <w:rPr>
                <w:rFonts w:ascii="Arial" w:cs="Arial" w:eastAsia="Arial" w:hAnsi="Arial"/>
                <w:sz w:val="18"/>
                <w:szCs w:val="18"/>
                <w:b w:val="1"/>
                <w:bCs w:val="1"/>
                <w:color w:val="auto"/>
                <w:w w:val="90"/>
              </w:rPr>
              <w:t>Pricing Information Included in the Time of Sale Prospectus</w:t>
            </w: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3"/>
        </w:trPr>
        <w:tc>
          <w:tcPr>
            <w:tcW w:w="2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16"/>
        </w:trPr>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Price per share to the public:</w:t>
            </w:r>
          </w:p>
        </w:tc>
        <w:tc>
          <w:tcPr>
            <w:tcW w:w="114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16"/>
        </w:trPr>
        <w:tc>
          <w:tcPr>
            <w:tcW w:w="9100" w:type="dxa"/>
            <w:vAlign w:val="bottom"/>
            <w:gridSpan w:val="5"/>
          </w:tcPr>
          <w:p>
            <w:pPr>
              <w:spacing w:after="0"/>
              <w:rPr>
                <w:sz w:val="20"/>
                <w:szCs w:val="20"/>
                <w:color w:val="auto"/>
              </w:rPr>
            </w:pPr>
            <w:r>
              <w:rPr>
                <w:rFonts w:ascii="Arial" w:cs="Arial" w:eastAsia="Arial" w:hAnsi="Arial"/>
                <w:sz w:val="18"/>
                <w:szCs w:val="18"/>
                <w:color w:val="auto"/>
              </w:rPr>
              <w:t>Number of shares being sold by the Company:</w:t>
            </w:r>
          </w:p>
        </w:tc>
        <w:tc>
          <w:tcPr>
            <w:tcW w:w="1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7,370,690</w:t>
            </w:r>
          </w:p>
        </w:tc>
      </w:tr>
      <w:tr>
        <w:trPr>
          <w:trHeight w:val="216"/>
        </w:trPr>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Number of shares potentially issuable pursuant to the option to purchase additional shares:</w:t>
            </w: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1,293,103</w:t>
            </w:r>
          </w:p>
        </w:tc>
      </w:tr>
      <w:tr>
        <w:trPr>
          <w:trHeight w:val="216"/>
        </w:trPr>
        <w:tc>
          <w:tcPr>
            <w:tcW w:w="9100" w:type="dxa"/>
            <w:vAlign w:val="bottom"/>
            <w:gridSpan w:val="5"/>
          </w:tcPr>
          <w:p>
            <w:pPr>
              <w:spacing w:after="0"/>
              <w:rPr>
                <w:sz w:val="20"/>
                <w:szCs w:val="20"/>
                <w:color w:val="auto"/>
              </w:rPr>
            </w:pPr>
            <w:r>
              <w:rPr>
                <w:rFonts w:ascii="Arial" w:cs="Arial" w:eastAsia="Arial" w:hAnsi="Arial"/>
                <w:sz w:val="18"/>
                <w:szCs w:val="18"/>
                <w:color w:val="auto"/>
              </w:rPr>
              <w:t>Price per pre-funded warrant to the public:</w:t>
            </w:r>
          </w:p>
        </w:tc>
        <w:tc>
          <w:tcPr>
            <w:tcW w:w="1140" w:type="dxa"/>
            <w:vAlign w:val="bottom"/>
          </w:tcPr>
          <w:p>
            <w:pPr>
              <w:ind w:left="10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6.379</w:t>
            </w:r>
          </w:p>
        </w:tc>
      </w:tr>
      <w:tr>
        <w:trPr>
          <w:trHeight w:val="216"/>
        </w:trPr>
        <w:tc>
          <w:tcPr>
            <w:tcW w:w="9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Number of pre-funded warrants being sold by the Company:</w:t>
            </w: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1,250,000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Sch-B-1</w:t>
      </w:r>
    </w:p>
    <w:p>
      <w:pPr>
        <w:sectPr>
          <w:pgSz w:w="11900" w:h="16838" w:orient="portrait"/>
          <w:cols w:equalWidth="0" w:num="1">
            <w:col w:w="11020"/>
          </w:cols>
          <w:pgMar w:left="440" w:top="270"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Lock-up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&amp; Co.</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Piper Sandler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1251 Avenue of the Americas, 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Cantor Fitzgerald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499 Park Avenue, 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7"/>
          <w:szCs w:val="17"/>
          <w:color w:val="auto"/>
        </w:rPr>
        <w:t>ALX Oncology Holdings Inc. (the “</w:t>
      </w:r>
      <w:r>
        <w:rPr>
          <w:rFonts w:ascii="Arial" w:cs="Arial" w:eastAsia="Arial" w:hAnsi="Arial"/>
          <w:sz w:val="17"/>
          <w:szCs w:val="17"/>
          <w:b w:val="1"/>
          <w:bCs w:val="1"/>
          <w:color w:val="auto"/>
        </w:rPr>
        <w:t>Company</w:t>
      </w:r>
      <w:r>
        <w:rPr>
          <w:rFonts w:ascii="Arial" w:cs="Arial" w:eastAsia="Arial" w:hAnsi="Arial"/>
          <w:sz w:val="17"/>
          <w:szCs w:val="17"/>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&amp; Gentlemen:</w:t>
      </w:r>
    </w:p>
    <w:p>
      <w:pPr>
        <w:spacing w:after="0" w:line="221"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undersigned is an owner of shares of common stock, par value $0.001 per share, of the Company (“</w:t>
      </w:r>
      <w:r>
        <w:rPr>
          <w:rFonts w:ascii="Arial" w:cs="Arial" w:eastAsia="Arial" w:hAnsi="Arial"/>
          <w:sz w:val="16"/>
          <w:szCs w:val="16"/>
          <w:b w:val="1"/>
          <w:bCs w:val="1"/>
          <w:color w:val="auto"/>
        </w:rPr>
        <w:t>Shares</w:t>
      </w:r>
      <w:r>
        <w:rPr>
          <w:rFonts w:ascii="Arial" w:cs="Arial" w:eastAsia="Arial" w:hAnsi="Arial"/>
          <w:sz w:val="16"/>
          <w:szCs w:val="16"/>
          <w:color w:val="auto"/>
        </w:rPr>
        <w:t>”) or of securities convertible into or exchangeable or exercisable for Shares. The Company proposes to conduct a public offering of Shares (the “</w:t>
      </w:r>
      <w:r>
        <w:rPr>
          <w:rFonts w:ascii="Arial" w:cs="Arial" w:eastAsia="Arial" w:hAnsi="Arial"/>
          <w:sz w:val="16"/>
          <w:szCs w:val="16"/>
          <w:b w:val="1"/>
          <w:bCs w:val="1"/>
          <w:color w:val="auto"/>
        </w:rPr>
        <w:t>Offering</w:t>
      </w:r>
      <w:r>
        <w:rPr>
          <w:rFonts w:ascii="Arial" w:cs="Arial" w:eastAsia="Arial" w:hAnsi="Arial"/>
          <w:sz w:val="16"/>
          <w:szCs w:val="16"/>
          <w:color w:val="auto"/>
        </w:rPr>
        <w:t>”) for which Piper Sandler &amp; Co. and Cantor Fitzgerald &amp; Co. will act as the representatives (the “</w:t>
      </w:r>
      <w:r>
        <w:rPr>
          <w:rFonts w:ascii="Arial" w:cs="Arial" w:eastAsia="Arial" w:hAnsi="Arial"/>
          <w:sz w:val="16"/>
          <w:szCs w:val="16"/>
          <w:b w:val="1"/>
          <w:bCs w:val="1"/>
          <w:color w:val="auto"/>
        </w:rPr>
        <w:t>Representatives</w:t>
      </w:r>
      <w:r>
        <w:rPr>
          <w:rFonts w:ascii="Arial" w:cs="Arial" w:eastAsia="Arial" w:hAnsi="Arial"/>
          <w:sz w:val="16"/>
          <w:szCs w:val="16"/>
          <w:color w:val="auto"/>
        </w:rPr>
        <w:t>”) of the underwriters. The undersigned recognizes that the Offering will benefit each of the Company and the undersigned. The undersigned acknowledges that the underwriters are relying on the representations and agreements of the undersigned contained in this letter agreement in conducting the Offering and, at a subsequent date, in entering into an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and other underwriting arrangements with the Company with respect to the Offering.</w:t>
      </w:r>
    </w:p>
    <w:p>
      <w:pPr>
        <w:spacing w:after="0" w:line="16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Annex A sets forth definitions for capitalized terms used in this letter agreement that are not defined in the body of this letter agreement. Those definitions are a part of this letter agreement.</w:t>
      </w:r>
    </w:p>
    <w:p>
      <w:pPr>
        <w:spacing w:after="0" w:line="1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consideration of the foregoing, and for other good and valuable consideration, the receipt and sufficiency of which are hereby acknowledged, the undersigned hereby agrees that, during the Lock-up Period, the undersigned will not (and, if the undersigned is a natural person, will cause any Family Member not to), without the prior written consent of the Representatives, which may withhold their consent in their sole discretion:</w:t>
      </w:r>
    </w:p>
    <w:p>
      <w:pPr>
        <w:spacing w:after="0" w:line="71" w:lineRule="exact"/>
        <w:rPr>
          <w:sz w:val="20"/>
          <w:szCs w:val="20"/>
          <w:color w:val="auto"/>
        </w:rPr>
      </w:pPr>
    </w:p>
    <w:p>
      <w:pPr>
        <w:ind w:left="960" w:right="40" w:hanging="424"/>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Sell or Offer to Sell any Shares or Related Securities currently or hereafter owned either of record or beneficially (as defined in Rule 13d-3 under the Exchange Act) by the undersigned or such Family Member,</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enter into any Swap,</w:t>
      </w:r>
    </w:p>
    <w:p>
      <w:pPr>
        <w:spacing w:after="0" w:line="130" w:lineRule="exact"/>
        <w:rPr>
          <w:rFonts w:ascii="Arial" w:cs="Arial" w:eastAsia="Arial" w:hAnsi="Arial"/>
          <w:sz w:val="18"/>
          <w:szCs w:val="18"/>
          <w:color w:val="auto"/>
        </w:rPr>
      </w:pPr>
    </w:p>
    <w:p>
      <w:pPr>
        <w:ind w:left="960" w:right="180" w:hanging="424"/>
        <w:spacing w:after="0" w:line="263"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publicly announce any intention to do any of the foregoing.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43" w:name="page44"/>
    <w:bookmarkEnd w:id="43"/>
    <w:p>
      <w:pPr>
        <w:ind w:right="4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will not apply to the registration of the offer and sale of the Shares, and the sale of the Shares to the underwriters, in each case as contemplated by the Underwriting Agreement. In addition, the foregoing restrictions shall not apply to the transfer of Shares or Related Securities:</w:t>
      </w:r>
    </w:p>
    <w:p>
      <w:pPr>
        <w:spacing w:after="0" w:line="29" w:lineRule="exact"/>
        <w:rPr>
          <w:sz w:val="20"/>
          <w:szCs w:val="20"/>
          <w:color w:val="auto"/>
        </w:rPr>
      </w:pPr>
    </w:p>
    <w:p>
      <w:pPr>
        <w:ind w:left="960" w:hanging="53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by will or intestacy,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to any trust or other entities formed for the direct or indirect benefit of the undersigned or a Family Member of the undersigned,</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any Family Member,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undersigned is a trust, to a trustor, trustee or beneficiary of the trust or to the estate of a beneficiary of such trust,</w:t>
      </w:r>
    </w:p>
    <w:p>
      <w:pPr>
        <w:spacing w:after="0" w:line="130" w:lineRule="exact"/>
        <w:rPr>
          <w:rFonts w:ascii="Arial" w:cs="Arial" w:eastAsia="Arial" w:hAnsi="Arial"/>
          <w:sz w:val="18"/>
          <w:szCs w:val="18"/>
          <w:color w:val="auto"/>
        </w:rPr>
      </w:pPr>
    </w:p>
    <w:p>
      <w:pPr>
        <w:ind w:left="960" w:right="280" w:hanging="532"/>
        <w:spacing w:after="0" w:line="277"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a corporation, partnership, limited liability company or other entity of which the undersigned or any Family Member is the legal and beneficial owner of all of the outstanding equity securities or similar interests,</w:t>
      </w:r>
    </w:p>
    <w:p>
      <w:pPr>
        <w:spacing w:after="0" w:line="75" w:lineRule="exact"/>
        <w:rPr>
          <w:rFonts w:ascii="Arial" w:cs="Arial" w:eastAsia="Arial" w:hAnsi="Arial"/>
          <w:sz w:val="18"/>
          <w:szCs w:val="18"/>
          <w:color w:val="auto"/>
        </w:rPr>
      </w:pPr>
    </w:p>
    <w:p>
      <w:pPr>
        <w:ind w:left="960" w:right="60" w:hanging="532"/>
        <w:spacing w:after="0" w:line="284" w:lineRule="auto"/>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the undersigned (including, for the avoidance of doubt, any wholly-owned direct or indirect subsidiary of the undersigned or to the immediate or indirect parent entity of the undersigned), or to any investment fund or other entity controlling, controlled by, managing or managed by or under common control with the undersigned (including, for the avoidance of doubt, where the undersigned is a partnership, to its general partner or a successor partnership or fund, or any other funds managed by such partnership), or</w:t>
      </w:r>
    </w:p>
    <w:p>
      <w:pPr>
        <w:spacing w:after="0" w:line="4"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6"/>
          <w:szCs w:val="16"/>
          <w:color w:val="auto"/>
        </w:rPr>
        <w:t>(B) as part of a distribution, transfer or other disposition by the undersigned to its stockholders, partners, members or other equity holders,</w:t>
      </w:r>
    </w:p>
    <w:p>
      <w:pPr>
        <w:spacing w:after="0" w:line="139" w:lineRule="exact"/>
        <w:rPr>
          <w:rFonts w:ascii="Arial" w:cs="Arial" w:eastAsia="Arial" w:hAnsi="Arial"/>
          <w:sz w:val="16"/>
          <w:szCs w:val="16"/>
          <w:color w:val="auto"/>
        </w:rPr>
      </w:pPr>
    </w:p>
    <w:p>
      <w:pPr>
        <w:ind w:left="960" w:hanging="53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that the undersigned may purchase in open market transactions on or after the date set forth on the cover of the Prospectus,</w:t>
      </w:r>
    </w:p>
    <w:p>
      <w:pPr>
        <w:spacing w:after="0" w:line="130" w:lineRule="exact"/>
        <w:rPr>
          <w:rFonts w:ascii="Arial" w:cs="Arial" w:eastAsia="Arial" w:hAnsi="Arial"/>
          <w:sz w:val="18"/>
          <w:szCs w:val="18"/>
          <w:color w:val="auto"/>
        </w:rPr>
      </w:pPr>
    </w:p>
    <w:p>
      <w:pPr>
        <w:ind w:left="960" w:hanging="532"/>
        <w:spacing w:after="0" w:line="342" w:lineRule="auto"/>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by operation of law pursuant to a court order or settlement agreement related to the distribution of assets in connection with the dissolution of a marriage or civil union, provided that such Shares or Related Securities shall remain subject to the terms of this letter agreement,</w:t>
      </w:r>
    </w:p>
    <w:p>
      <w:pPr>
        <w:spacing w:after="0" w:line="29" w:lineRule="exact"/>
        <w:rPr>
          <w:rFonts w:ascii="Arial" w:cs="Arial" w:eastAsia="Arial" w:hAnsi="Arial"/>
          <w:sz w:val="16"/>
          <w:szCs w:val="16"/>
          <w:color w:val="auto"/>
        </w:rPr>
      </w:pPr>
    </w:p>
    <w:p>
      <w:pPr>
        <w:ind w:left="960" w:right="200" w:hanging="532"/>
        <w:spacing w:after="0" w:line="286" w:lineRule="auto"/>
        <w:tabs>
          <w:tab w:leader="none" w:pos="9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connection with the exercise or settlement on a cash basis of options or restricted stock units granted under a stock incentive plan or other equity award plan, which plan is described in the Prospectus, provided that any Shares or Related Securities received as a result of such exercise, vesting or settlement shall remain subject to the terms of this letter agreement,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60"/>
          </w:cols>
          <w:pgMar w:left="440" w:top="274" w:right="499" w:bottom="1440" w:gutter="0" w:footer="0" w:header="0"/>
        </w:sectPr>
      </w:pPr>
    </w:p>
    <w:bookmarkStart w:id="44" w:name="page45"/>
    <w:bookmarkEnd w:id="44"/>
    <w:p>
      <w:pPr>
        <w:ind w:left="960" w:right="140" w:hanging="532"/>
        <w:spacing w:after="0" w:line="293" w:lineRule="auto"/>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Company (A) in connection with the “net” or “cashless” exercise of options or other rights to purchase Shares or Related Securities from the Company (including any transfer to the Company for the payment of tax withholdings or remittance payments due as a result of such exercise) and (B) in connection with the vesting or settlement of restricted stock units, for the payment of tax withholdings or remittance payments due as a result of the vesting or settlement of such restricted stock units, in all such cases, pursuant to equity awards granted under a stock incentive plan or other equity award plan, which plan is described in the Prospectus, provided that any Shares or Related Securities received as a result of such exercise, vesting or settlement shall remain subject to the terms of this letter agreement,</w:t>
      </w:r>
    </w:p>
    <w:p>
      <w:pPr>
        <w:spacing w:after="0" w:line="69" w:lineRule="exact"/>
        <w:rPr>
          <w:rFonts w:ascii="Arial" w:cs="Arial" w:eastAsia="Arial" w:hAnsi="Arial"/>
          <w:sz w:val="16"/>
          <w:szCs w:val="16"/>
          <w:color w:val="auto"/>
        </w:rPr>
      </w:pPr>
    </w:p>
    <w:p>
      <w:pPr>
        <w:ind w:left="960" w:right="20" w:hanging="532"/>
        <w:spacing w:after="0" w:line="279" w:lineRule="auto"/>
        <w:tabs>
          <w:tab w:leader="none" w:pos="9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pursuant to a bona fide third-party tender offer, merger, consolidation or other similar transaction that is approved by the Board of Directors of the Company and made to all holders of the Company’s capital stock involving a Change of Control of the Company, provided that in the event that such tender offer, merger, consolidation or other similar transaction is not completed, the undersigned’s Shares and Related Securities shall remain subject to the provisions of this letter agreement, and</w:t>
      </w:r>
    </w:p>
    <w:p>
      <w:pPr>
        <w:spacing w:after="0" w:line="76" w:lineRule="exact"/>
        <w:rPr>
          <w:rFonts w:ascii="Arial" w:cs="Arial" w:eastAsia="Arial" w:hAnsi="Arial"/>
          <w:sz w:val="17"/>
          <w:szCs w:val="17"/>
          <w:color w:val="auto"/>
        </w:rPr>
      </w:pPr>
    </w:p>
    <w:p>
      <w:pPr>
        <w:ind w:left="960" w:right="20" w:hanging="532"/>
        <w:spacing w:after="0" w:line="275" w:lineRule="auto"/>
        <w:tabs>
          <w:tab w:leader="none" w:pos="9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sale of shares of common stock pursuant to a trading plan established pursuant to Rule 10b5-1 under the Exchange Act (provided that such plan was established prior to the execution of this letter agreement by the undersigned); provided that no filing under the Exchange Act or other public announcement shall be made voluntarily during the Lock-up Period in connection with such transfer and, if the filing of a report is required under Section 16 of the Exchange Act during the Lock-up Period, such filing shall state that such sales have been executed under a 10b5-1 trading plan and shall also state the date such 10b5-1 trading plan was adopted;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it shall be a condition to such transfer that:</w:t>
      </w:r>
    </w:p>
    <w:p>
      <w:pPr>
        <w:spacing w:after="0" w:line="131" w:lineRule="exact"/>
        <w:rPr>
          <w:sz w:val="20"/>
          <w:szCs w:val="20"/>
          <w:color w:val="auto"/>
        </w:rPr>
      </w:pPr>
    </w:p>
    <w:p>
      <w:pPr>
        <w:ind w:left="960" w:hanging="424"/>
        <w:spacing w:after="0" w:line="27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case of any transfer pursuant to clauses (i) through (vii) and (ix) above, each transferee executes and delivers to the Representatives a lock-up letter in the form of this letter agreement,</w:t>
      </w:r>
    </w:p>
    <w:p>
      <w:pPr>
        <w:spacing w:after="0" w:line="75" w:lineRule="exact"/>
        <w:rPr>
          <w:rFonts w:ascii="Arial" w:cs="Arial" w:eastAsia="Arial" w:hAnsi="Arial"/>
          <w:sz w:val="18"/>
          <w:szCs w:val="18"/>
          <w:color w:val="auto"/>
        </w:rPr>
      </w:pPr>
    </w:p>
    <w:p>
      <w:pPr>
        <w:ind w:left="960" w:right="140" w:hanging="424"/>
        <w:spacing w:after="0" w:line="263"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case of any transfer pursuant to clauses (i) through (vii) and (viii) above, no public disclosure or filing shall be required, or made voluntarily, during the Lock-up Period reporting a change in beneficial ownership of Shares or Related Securities in connection with such transfer,</w:t>
      </w:r>
    </w:p>
    <w:p>
      <w:pPr>
        <w:spacing w:after="0" w:line="89" w:lineRule="exact"/>
        <w:rPr>
          <w:rFonts w:ascii="Arial" w:cs="Arial" w:eastAsia="Arial" w:hAnsi="Arial"/>
          <w:sz w:val="18"/>
          <w:szCs w:val="18"/>
          <w:color w:val="auto"/>
        </w:rPr>
      </w:pPr>
    </w:p>
    <w:p>
      <w:pPr>
        <w:ind w:left="960" w:right="20" w:hanging="424"/>
        <w:spacing w:after="0" w:line="25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case of any transfer pursuant to clauses (ix), (x) and (xi) above, no public disclosure or filing reporting a change in beneficial ownership of Shares or Related Securities shall be made voluntarily during the Lock-up Period, and if the undersigned is required to file a report under Section 16 of the Exchange Act reporting a change in beneficial ownership of Shares or Related Securities during the Lock-up Period, the undersigned shall include a statement in such report to the effect that such transfer relates to the circumstances described in clause (ix), (x) or (xi), as applicable, and</w:t>
      </w:r>
    </w:p>
    <w:p>
      <w:pPr>
        <w:spacing w:after="0" w:line="93" w:lineRule="exact"/>
        <w:rPr>
          <w:rFonts w:ascii="Arial" w:cs="Arial" w:eastAsia="Arial" w:hAnsi="Arial"/>
          <w:sz w:val="18"/>
          <w:szCs w:val="18"/>
          <w:color w:val="auto"/>
        </w:rPr>
      </w:pPr>
    </w:p>
    <w:p>
      <w:pPr>
        <w:ind w:left="960" w:hanging="424"/>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case of any transfer pursuant to clauses (i) through (vii) above, such transfer shall not involve a disposition for value.</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Furthermore, notwithstanding the restrictions imposed by this letter agreement, the undersigned may establish a trading plan pursuant to Rule 10b5-1 under the Exchange Act for the transfer of Shares or Related Securities, provided that (i) such plan does not provide for any transfers of Shares or Related Securities during the Lock-up Period and (ii) any required public disclosure, announcement or filing under the Exchange Act made by the Company or any person regarding the establishment of such plan during the Lock-Up Period shall include a statement that the undersigned is not permitted to transfer, sell or otherwise dispose of securities under such plan during the Lock-Up Period in contravention of this letter agreement, and no public disclosure of the entry into such a plan shall be voluntarily made by any person until after the expiration of the Lock-Up Period.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20"/>
          </w:cols>
          <w:pgMar w:left="440" w:top="274" w:right="439" w:bottom="1440" w:gutter="0" w:footer="0" w:header="0"/>
        </w:sectPr>
      </w:pPr>
    </w:p>
    <w:bookmarkStart w:id="45" w:name="page46"/>
    <w:bookmarkEnd w:id="45"/>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also agrees and consents to the entry of stop transfer instructions with the Company’s transfer agent and registrar against the transfer of Shares or Related Securities held by the undersigned and, if the undersigned is a natural person, the undersigned’s Family Members, if any, except in compliance with the foregoing restrictions.</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w:t>
      </w:r>
    </w:p>
    <w:p>
      <w:pPr>
        <w:spacing w:after="0" w:line="18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undersigned acknowledges and agrees that the underwriters have not provided any recommendation or investment advice nor have the underwriters solicited any action from the undersigned with respect to the Offering of the shares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Offering, the Representatives and the other underwriters are not making a recommendation to you to enter into this letter agreement and nothing set forth in such disclosures is intended to suggest that the Representatives or any underwriter is making such a recommendation.</w:t>
      </w:r>
    </w:p>
    <w:p>
      <w:pPr>
        <w:spacing w:after="0" w:line="164"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 Notwithstanding anything to the contrary contained herein, this letter agreement will automatically terminate and the undersigned shall be released from all obligations under this letter agreement upon the earliest to occur, if any, of (i) the Company advising the Representatives in writing that it has determined not to proceed with the Offering, (ii) the Underwriting Agreement being terminated following execution of the Underwriting Agreement (other than the provisions thereof which survive termination) prior to payment for and delivery of the Shares to be sold thereunder or (iv) November 30, 2023 if the Underwriting Agreement has not been executed by such date.</w:t>
      </w:r>
    </w:p>
    <w:p>
      <w:pPr>
        <w:spacing w:after="0" w:line="17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 This letter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This letter agreement shall be governed by, and construed in accordance with, the laws of the State of New York.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20"/>
          </w:cols>
          <w:pgMar w:left="440" w:top="274" w:right="439" w:bottom="1440" w:gutter="0" w:footer="0" w:header="0"/>
        </w:sectPr>
      </w:pPr>
    </w:p>
    <w:bookmarkStart w:id="46" w:name="page47"/>
    <w:bookmarkEnd w:id="4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160655</wp:posOffset>
            </wp:positionV>
            <wp:extent cx="27946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Name of Security Holder </w:t>
      </w:r>
      <w:r>
        <w:rPr>
          <w:rFonts w:ascii="Arial" w:cs="Arial" w:eastAsia="Arial" w:hAnsi="Arial"/>
          <w:sz w:val="18"/>
          <w:szCs w:val="18"/>
          <w:i w:val="1"/>
          <w:iCs w:val="1"/>
          <w:color w:val="auto"/>
        </w:rPr>
        <w:t>(Print exact name</w:t>
      </w:r>
      <w:r>
        <w:rPr>
          <w:rFonts w:ascii="Arial" w:cs="Arial" w:eastAsia="Arial" w:hAnsi="Arial"/>
          <w:sz w:val="18"/>
          <w:szCs w:val="18"/>
          <w:color w:val="auto"/>
        </w:rPr>
        <w:t>)</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If not signing in an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160655</wp:posOffset>
            </wp:positionV>
            <wp:extent cx="27946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Name of Authorized Signatory </w:t>
      </w:r>
      <w:r>
        <w:rPr>
          <w:rFonts w:ascii="Arial" w:cs="Arial" w:eastAsia="Arial" w:hAnsi="Arial"/>
          <w:sz w:val="18"/>
          <w:szCs w:val="18"/>
          <w:i w:val="1"/>
          <w:iCs w:val="1"/>
          <w:color w:val="auto"/>
        </w:rPr>
        <w:t>(Print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168910</wp:posOffset>
            </wp:positionV>
            <wp:extent cx="27946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Title of Authorized Signatory </w:t>
      </w:r>
      <w:r>
        <w:rPr>
          <w:rFonts w:ascii="Arial" w:cs="Arial" w:eastAsia="Arial" w:hAnsi="Arial"/>
          <w:sz w:val="18"/>
          <w:szCs w:val="18"/>
          <w:i w:val="1"/>
          <w:iCs w:val="1"/>
          <w:color w:val="auto"/>
        </w:rPr>
        <w:t>(Print</w:t>
      </w:r>
      <w:r>
        <w:rPr>
          <w:rFonts w:ascii="Arial" w:cs="Arial" w:eastAsia="Arial" w:hAnsi="Arial"/>
          <w:sz w:val="18"/>
          <w:szCs w:val="18"/>
          <w:color w:val="auto"/>
        </w:rPr>
        <w:t>)</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6"/>
          <w:szCs w:val="16"/>
          <w:i w:val="1"/>
          <w:iCs w:val="1"/>
          <w:color w:val="auto"/>
        </w:rPr>
        <w:t>(indicate capacity of person signing if signing as custodian,</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trustee, or on behalf of an entity)</w:t>
      </w:r>
    </w:p>
    <w:p>
      <w:pPr>
        <w:spacing w:after="0" w:line="211" w:lineRule="exact"/>
        <w:rPr>
          <w:sz w:val="20"/>
          <w:szCs w:val="20"/>
          <w:color w:val="auto"/>
        </w:rPr>
      </w:pPr>
    </w:p>
    <w:p>
      <w:pPr>
        <w:jc w:val="center"/>
        <w:ind w:righ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Lock-Up Agreement</w:t>
      </w:r>
      <w:r>
        <w:rPr>
          <w:rFonts w:ascii="Arial" w:cs="Arial" w:eastAsia="Arial" w:hAnsi="Arial"/>
          <w:sz w:val="16"/>
          <w:szCs w:val="16"/>
          <w:color w:val="auto"/>
        </w:rPr>
        <w:t>]</w:t>
      </w:r>
    </w:p>
    <w:p>
      <w:pPr>
        <w:spacing w:after="0" w:line="181"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9920"/>
          </w:cols>
          <w:pgMar w:left="1440" w:top="274" w:right="53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Defined Terms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Used in Lock-up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letter agreement to which this Annex A is attached and of which it is made a part:</w:t>
      </w:r>
    </w:p>
    <w:p>
      <w:pPr>
        <w:spacing w:after="0" w:line="127" w:lineRule="exact"/>
        <w:rPr>
          <w:sz w:val="20"/>
          <w:szCs w:val="20"/>
          <w:color w:val="auto"/>
        </w:rPr>
      </w:pPr>
    </w:p>
    <w:p>
      <w:pPr>
        <w:ind w:left="960" w:hanging="424"/>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Call Equivalent Position</w:t>
      </w:r>
      <w:r>
        <w:rPr>
          <w:rFonts w:ascii="Arial" w:cs="Arial" w:eastAsia="Arial" w:hAnsi="Arial"/>
          <w:sz w:val="18"/>
          <w:szCs w:val="18"/>
          <w:color w:val="auto"/>
        </w:rPr>
        <w:t>” shall have the meaning set forth in Rule 16a-1(b) under the Exchange Act.</w:t>
      </w:r>
    </w:p>
    <w:p>
      <w:pPr>
        <w:spacing w:after="0" w:line="130" w:lineRule="exact"/>
        <w:rPr>
          <w:rFonts w:ascii="Arial" w:cs="Arial" w:eastAsia="Arial" w:hAnsi="Arial"/>
          <w:sz w:val="18"/>
          <w:szCs w:val="18"/>
          <w:color w:val="auto"/>
        </w:rPr>
      </w:pPr>
    </w:p>
    <w:p>
      <w:pPr>
        <w:ind w:left="960" w:right="20" w:hanging="424"/>
        <w:spacing w:after="0" w:line="258"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the consummation of any bona fide third party tender offer, merger, consolidation or other similar transaction following the completion of the Offering and approved by the Board of Directors of the Company, the result of which is that any “person” (as defined in Section 13(d)(3) of the Exchange Act), or group of persons, other than the Company or its subsidiaries, becomes the beneficial owner (as defined in Rules 13d-3 and 13d-5 of the Exchange Act) of more than 50% of the total voting power of the voting stock of the Company.</w:t>
      </w:r>
    </w:p>
    <w:p>
      <w:pPr>
        <w:spacing w:after="0" w:line="88" w:lineRule="exact"/>
        <w:rPr>
          <w:rFonts w:ascii="Arial" w:cs="Arial" w:eastAsia="Arial" w:hAnsi="Arial"/>
          <w:sz w:val="18"/>
          <w:szCs w:val="18"/>
          <w:color w:val="auto"/>
        </w:rPr>
      </w:pPr>
    </w:p>
    <w:p>
      <w:pPr>
        <w:ind w:left="960" w:hanging="424"/>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w:t>
      </w:r>
    </w:p>
    <w:p>
      <w:pPr>
        <w:spacing w:after="0" w:line="130" w:lineRule="exact"/>
        <w:rPr>
          <w:rFonts w:ascii="Arial" w:cs="Arial" w:eastAsia="Arial" w:hAnsi="Arial"/>
          <w:sz w:val="18"/>
          <w:szCs w:val="18"/>
          <w:color w:val="auto"/>
        </w:rPr>
      </w:pPr>
    </w:p>
    <w:p>
      <w:pPr>
        <w:ind w:left="960" w:right="100" w:hanging="424"/>
        <w:spacing w:after="0" w:line="277" w:lineRule="auto"/>
        <w:tabs>
          <w:tab w:leader="none" w:pos="9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Family Member</w:t>
      </w:r>
      <w:r>
        <w:rPr>
          <w:rFonts w:ascii="Arial" w:cs="Arial" w:eastAsia="Arial" w:hAnsi="Arial"/>
          <w:sz w:val="17"/>
          <w:szCs w:val="17"/>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Arial" w:cs="Arial" w:eastAsia="Arial" w:hAnsi="Arial"/>
          <w:sz w:val="17"/>
          <w:szCs w:val="17"/>
          <w:b w:val="1"/>
          <w:bCs w:val="1"/>
          <w:color w:val="auto"/>
        </w:rPr>
        <w:t>Immediate family member</w:t>
      </w:r>
      <w:r>
        <w:rPr>
          <w:rFonts w:ascii="Arial" w:cs="Arial" w:eastAsia="Arial" w:hAnsi="Arial"/>
          <w:sz w:val="17"/>
          <w:szCs w:val="17"/>
          <w:color w:val="auto"/>
        </w:rPr>
        <w:t>” as used above shall have the meaning set forth in Rule 16a-1(e) under the Exchange Act.</w:t>
      </w:r>
    </w:p>
    <w:p>
      <w:pPr>
        <w:spacing w:after="0" w:line="73" w:lineRule="exact"/>
        <w:rPr>
          <w:rFonts w:ascii="Arial" w:cs="Arial" w:eastAsia="Arial" w:hAnsi="Arial"/>
          <w:sz w:val="17"/>
          <w:szCs w:val="17"/>
          <w:color w:val="auto"/>
        </w:rPr>
      </w:pPr>
    </w:p>
    <w:p>
      <w:pPr>
        <w:ind w:left="960" w:right="260" w:hanging="424"/>
        <w:spacing w:after="0" w:line="282"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Lock-up Period</w:t>
      </w:r>
      <w:r>
        <w:rPr>
          <w:rFonts w:ascii="Arial" w:cs="Arial" w:eastAsia="Arial" w:hAnsi="Arial"/>
          <w:sz w:val="18"/>
          <w:szCs w:val="18"/>
          <w:color w:val="auto"/>
        </w:rPr>
        <w:t>” shall mean the period beginning on the date hereof and continuing through the close of trading on the date that is 60 days after the date of the Prospectus (as defined in the Underwriting Agreement).</w:t>
      </w:r>
    </w:p>
    <w:p>
      <w:pPr>
        <w:spacing w:after="0" w:line="67" w:lineRule="exact"/>
        <w:rPr>
          <w:rFonts w:ascii="Arial" w:cs="Arial" w:eastAsia="Arial" w:hAnsi="Arial"/>
          <w:sz w:val="18"/>
          <w:szCs w:val="18"/>
          <w:color w:val="auto"/>
        </w:rPr>
      </w:pPr>
    </w:p>
    <w:p>
      <w:pPr>
        <w:ind w:left="960" w:hanging="424"/>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Put Equivalent Position</w:t>
      </w:r>
      <w:r>
        <w:rPr>
          <w:rFonts w:ascii="Arial" w:cs="Arial" w:eastAsia="Arial" w:hAnsi="Arial"/>
          <w:sz w:val="18"/>
          <w:szCs w:val="18"/>
          <w:color w:val="auto"/>
        </w:rPr>
        <w:t>” shall have the meaning set forth in Rule 16a-1(h) under the Exchange Act.</w:t>
      </w:r>
    </w:p>
    <w:p>
      <w:pPr>
        <w:spacing w:after="0" w:line="130" w:lineRule="exact"/>
        <w:rPr>
          <w:rFonts w:ascii="Arial" w:cs="Arial" w:eastAsia="Arial" w:hAnsi="Arial"/>
          <w:sz w:val="18"/>
          <w:szCs w:val="18"/>
          <w:color w:val="auto"/>
        </w:rPr>
      </w:pPr>
    </w:p>
    <w:p>
      <w:pPr>
        <w:ind w:left="960" w:hanging="424"/>
        <w:spacing w:after="0" w:line="347" w:lineRule="auto"/>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Securities</w:t>
      </w:r>
      <w:r>
        <w:rPr>
          <w:rFonts w:ascii="Arial" w:cs="Arial" w:eastAsia="Arial" w:hAnsi="Arial"/>
          <w:sz w:val="16"/>
          <w:szCs w:val="16"/>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21" w:lineRule="exact"/>
        <w:rPr>
          <w:rFonts w:ascii="Arial" w:cs="Arial" w:eastAsia="Arial" w:hAnsi="Arial"/>
          <w:sz w:val="16"/>
          <w:szCs w:val="16"/>
          <w:color w:val="auto"/>
        </w:rPr>
      </w:pPr>
    </w:p>
    <w:p>
      <w:pPr>
        <w:ind w:left="960" w:hanging="424"/>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Sell or Offer to Sell</w:t>
      </w:r>
      <w:r>
        <w:rPr>
          <w:rFonts w:ascii="Arial" w:cs="Arial" w:eastAsia="Arial" w:hAnsi="Arial"/>
          <w:sz w:val="18"/>
          <w:szCs w:val="18"/>
          <w:color w:val="auto"/>
        </w:rPr>
        <w:t>” shall mean to:</w:t>
      </w:r>
    </w:p>
    <w:p>
      <w:pPr>
        <w:spacing w:after="0" w:line="134" w:lineRule="exact"/>
        <w:rPr>
          <w:rFonts w:ascii="Arial" w:cs="Arial" w:eastAsia="Arial" w:hAnsi="Arial"/>
          <w:sz w:val="18"/>
          <w:szCs w:val="18"/>
          <w:color w:val="auto"/>
        </w:rPr>
      </w:pPr>
    </w:p>
    <w:p>
      <w:pPr>
        <w:ind w:left="1520" w:hanging="323"/>
        <w:spacing w:after="0"/>
        <w:tabs>
          <w:tab w:leader="none" w:pos="15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sell, offer to sell, contract to sell or lend,</w:t>
      </w:r>
    </w:p>
    <w:p>
      <w:pPr>
        <w:spacing w:after="0" w:line="130" w:lineRule="exact"/>
        <w:rPr>
          <w:rFonts w:ascii="Arial" w:cs="Arial" w:eastAsia="Arial" w:hAnsi="Arial"/>
          <w:sz w:val="18"/>
          <w:szCs w:val="18"/>
          <w:color w:val="auto"/>
        </w:rPr>
      </w:pPr>
    </w:p>
    <w:p>
      <w:pPr>
        <w:ind w:left="1520" w:hanging="323"/>
        <w:spacing w:after="0"/>
        <w:tabs>
          <w:tab w:leader="none" w:pos="152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effect any short sale or establish or increase a Put Equivalent Position or liquidate or decrease any Call Equivalent Position</w:t>
      </w:r>
    </w:p>
    <w:p>
      <w:pPr>
        <w:spacing w:after="0" w:line="142" w:lineRule="exact"/>
        <w:rPr>
          <w:rFonts w:ascii="Arial" w:cs="Arial" w:eastAsia="Arial" w:hAnsi="Arial"/>
          <w:sz w:val="17"/>
          <w:szCs w:val="17"/>
          <w:color w:val="auto"/>
        </w:rPr>
      </w:pPr>
    </w:p>
    <w:p>
      <w:pPr>
        <w:ind w:left="1520" w:hanging="323"/>
        <w:spacing w:after="0"/>
        <w:tabs>
          <w:tab w:leader="none" w:pos="15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pledge, hypothecate or grant any security interest in, or</w:t>
      </w:r>
    </w:p>
    <w:p>
      <w:pPr>
        <w:spacing w:after="0" w:line="130" w:lineRule="exact"/>
        <w:rPr>
          <w:rFonts w:ascii="Arial" w:cs="Arial" w:eastAsia="Arial" w:hAnsi="Arial"/>
          <w:sz w:val="18"/>
          <w:szCs w:val="18"/>
          <w:color w:val="auto"/>
        </w:rPr>
      </w:pPr>
    </w:p>
    <w:p>
      <w:pPr>
        <w:ind w:left="1520" w:hanging="323"/>
        <w:spacing w:after="0"/>
        <w:tabs>
          <w:tab w:leader="none" w:pos="15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any other way transfer or dispose of,</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each case whether effected directly or indirectly.</w:t>
      </w:r>
    </w:p>
    <w:p>
      <w:pPr>
        <w:spacing w:after="0" w:line="127" w:lineRule="exact"/>
        <w:rPr>
          <w:sz w:val="20"/>
          <w:szCs w:val="20"/>
          <w:color w:val="auto"/>
        </w:rPr>
      </w:pPr>
    </w:p>
    <w:p>
      <w:pPr>
        <w:ind w:left="960" w:right="280" w:hanging="424"/>
        <w:spacing w:after="0" w:line="347" w:lineRule="auto"/>
        <w:tabs>
          <w:tab w:leader="none" w:pos="9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Swap</w:t>
      </w:r>
      <w:r>
        <w:rPr>
          <w:rFonts w:ascii="Arial" w:cs="Arial" w:eastAsia="Arial" w:hAnsi="Arial"/>
          <w:sz w:val="16"/>
          <w:szCs w:val="16"/>
          <w:color w:val="auto"/>
        </w:rPr>
        <w:t>” shall mean any swap, hedge or similar arrangement or agreement that transfers, in whole or in part, the economic risk of ownership of Shares or Related Securities, regardless of whether any such transaction is to be settled in securities, in cash or otherwise.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defined in this Annex A shall have the meanings given to them in the body of this letter agreement.</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80"/>
          </w:cols>
          <w:pgMar w:left="440" w:top="270" w:right="479" w:bottom="1440" w:gutter="0" w:footer="0" w:header="0"/>
        </w:sectPr>
      </w:pPr>
    </w:p>
    <w:bookmarkStart w:id="48" w:name="page49"/>
    <w:bookmarkEnd w:id="48"/>
    <w:p>
      <w:pPr>
        <w:ind w:left="10184"/>
        <w:spacing w:after="0"/>
        <w:rPr>
          <w:sz w:val="20"/>
          <w:szCs w:val="20"/>
          <w:color w:val="auto"/>
        </w:rPr>
      </w:pPr>
      <w:r>
        <w:rPr>
          <w:rFonts w:ascii="Arial" w:cs="Arial" w:eastAsia="Arial" w:hAnsi="Arial"/>
          <w:sz w:val="16"/>
          <w:szCs w:val="16"/>
          <w:b w:val="1"/>
          <w:bCs w:val="1"/>
          <w:color w:val="auto"/>
        </w:rPr>
        <w:t>Exhibit 4.1</w:t>
      </w:r>
    </w:p>
    <w:p>
      <w:pPr>
        <w:spacing w:after="0" w:line="248"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FORM OF WARRANT TO PURCHASE COMMON STOCK</w:t>
      </w:r>
    </w:p>
    <w:p>
      <w:pPr>
        <w:spacing w:after="0" w:line="211" w:lineRule="exact"/>
        <w:rPr>
          <w:sz w:val="20"/>
          <w:szCs w:val="20"/>
          <w:color w:val="auto"/>
        </w:rPr>
      </w:pPr>
    </w:p>
    <w:p>
      <w:pPr>
        <w:ind w:left="9424"/>
        <w:spacing w:after="0"/>
        <w:rPr>
          <w:sz w:val="20"/>
          <w:szCs w:val="20"/>
          <w:color w:val="auto"/>
        </w:rPr>
      </w:pPr>
      <w:r>
        <w:rPr>
          <w:rFonts w:ascii="Arial" w:cs="Arial" w:eastAsia="Arial" w:hAnsi="Arial"/>
          <w:sz w:val="16"/>
          <w:szCs w:val="16"/>
          <w:color w:val="auto"/>
        </w:rPr>
        <w:t>Number of Shares: [•]</w:t>
      </w:r>
    </w:p>
    <w:p>
      <w:pPr>
        <w:sectPr>
          <w:pgSz w:w="11900" w:h="16838" w:orient="portrait"/>
          <w:cols w:equalWidth="0" w:num="1">
            <w:col w:w="11024"/>
          </w:cols>
          <w:pgMar w:left="436" w:top="121" w:right="4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4"/>
        <w:spacing w:after="0"/>
        <w:rPr>
          <w:sz w:val="20"/>
          <w:szCs w:val="20"/>
          <w:color w:val="auto"/>
        </w:rPr>
      </w:pPr>
      <w:r>
        <w:rPr>
          <w:rFonts w:ascii="Arial" w:cs="Arial" w:eastAsia="Arial" w:hAnsi="Arial"/>
          <w:sz w:val="16"/>
          <w:szCs w:val="16"/>
          <w:color w:val="auto"/>
        </w:rPr>
        <w:t>Warrant No. [•]</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960"/>
        <w:spacing w:after="0"/>
        <w:rPr>
          <w:sz w:val="20"/>
          <w:szCs w:val="20"/>
          <w:color w:val="auto"/>
        </w:rPr>
      </w:pPr>
      <w:r>
        <w:rPr>
          <w:rFonts w:ascii="Arial" w:cs="Arial" w:eastAsia="Arial" w:hAnsi="Arial"/>
          <w:sz w:val="16"/>
          <w:szCs w:val="16"/>
          <w:color w:val="auto"/>
        </w:rPr>
        <w:t>(subject to adjustment)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Original Issue Date: [______], 2023</w:t>
      </w:r>
    </w:p>
    <w:p>
      <w:pPr>
        <w:spacing w:after="0" w:line="200" w:lineRule="exact"/>
        <w:rPr>
          <w:sz w:val="20"/>
          <w:szCs w:val="20"/>
          <w:color w:val="auto"/>
        </w:rPr>
      </w:pPr>
    </w:p>
    <w:p>
      <w:pPr>
        <w:sectPr>
          <w:pgSz w:w="11900" w:h="16838" w:orient="portrait"/>
          <w:cols w:equalWidth="0" w:num="2">
            <w:col w:w="7684" w:space="720"/>
            <w:col w:w="2620"/>
          </w:cols>
          <w:pgMar w:left="436" w:top="121" w:right="439" w:bottom="1440" w:gutter="0" w:footer="0" w:header="0"/>
          <w:type w:val="continuous"/>
        </w:sectPr>
      </w:pPr>
    </w:p>
    <w:p>
      <w:pPr>
        <w:spacing w:after="0" w:line="30" w:lineRule="exact"/>
        <w:rPr>
          <w:sz w:val="20"/>
          <w:szCs w:val="20"/>
          <w:color w:val="auto"/>
        </w:rPr>
      </w:pPr>
    </w:p>
    <w:p>
      <w:pPr>
        <w:ind w:left="4" w:right="40"/>
        <w:spacing w:after="0" w:line="273" w:lineRule="auto"/>
        <w:rPr>
          <w:sz w:val="20"/>
          <w:szCs w:val="20"/>
          <w:color w:val="auto"/>
        </w:rPr>
      </w:pPr>
      <w:r>
        <w:rPr>
          <w:rFonts w:ascii="Arial" w:cs="Arial" w:eastAsia="Arial" w:hAnsi="Arial"/>
          <w:sz w:val="17"/>
          <w:szCs w:val="17"/>
          <w:color w:val="auto"/>
        </w:rPr>
        <w:t>ALX Oncology Holdings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hereby certifies that, for good and valuable consideration, the receipt and sufficiency of which are hereby acknowledged, [•] or its permitted registered assigns (the “</w:t>
      </w:r>
      <w:r>
        <w:rPr>
          <w:rFonts w:ascii="Arial" w:cs="Arial" w:eastAsia="Arial" w:hAnsi="Arial"/>
          <w:sz w:val="17"/>
          <w:szCs w:val="17"/>
          <w:b w:val="1"/>
          <w:bCs w:val="1"/>
          <w:color w:val="auto"/>
        </w:rPr>
        <w:t>Holder</w:t>
      </w:r>
      <w:r>
        <w:rPr>
          <w:rFonts w:ascii="Arial" w:cs="Arial" w:eastAsia="Arial" w:hAnsi="Arial"/>
          <w:sz w:val="17"/>
          <w:szCs w:val="17"/>
          <w:color w:val="auto"/>
        </w:rPr>
        <w:t>”), is entitled, subject to the terms set forth below, to purchase from the Company up to a total of [•] shares of common stock, $0.001 par value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of the Company (each such share, a “</w:t>
      </w:r>
      <w:r>
        <w:rPr>
          <w:rFonts w:ascii="Arial" w:cs="Arial" w:eastAsia="Arial" w:hAnsi="Arial"/>
          <w:sz w:val="17"/>
          <w:szCs w:val="17"/>
          <w:b w:val="1"/>
          <w:bCs w:val="1"/>
          <w:color w:val="auto"/>
        </w:rPr>
        <w:t>Warrant Share</w:t>
      </w:r>
      <w:r>
        <w:rPr>
          <w:rFonts w:ascii="Arial" w:cs="Arial" w:eastAsia="Arial" w:hAnsi="Arial"/>
          <w:sz w:val="17"/>
          <w:szCs w:val="17"/>
          <w:color w:val="auto"/>
        </w:rPr>
        <w:t>” and all such shares, the “</w:t>
      </w:r>
      <w:r>
        <w:rPr>
          <w:rFonts w:ascii="Arial" w:cs="Arial" w:eastAsia="Arial" w:hAnsi="Arial"/>
          <w:sz w:val="17"/>
          <w:szCs w:val="17"/>
          <w:b w:val="1"/>
          <w:bCs w:val="1"/>
          <w:color w:val="auto"/>
        </w:rPr>
        <w:t>Warrant Shares</w:t>
      </w:r>
      <w:r>
        <w:rPr>
          <w:rFonts w:ascii="Arial" w:cs="Arial" w:eastAsia="Arial" w:hAnsi="Arial"/>
          <w:sz w:val="17"/>
          <w:szCs w:val="17"/>
          <w:color w:val="auto"/>
        </w:rPr>
        <w:t xml:space="preserve">”) at an exercise price per share equal to $0.001 per share (as adjusted from time to time as provided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herein, the “</w:t>
      </w:r>
      <w:r>
        <w:rPr>
          <w:rFonts w:ascii="Arial" w:cs="Arial" w:eastAsia="Arial" w:hAnsi="Arial"/>
          <w:sz w:val="17"/>
          <w:szCs w:val="17"/>
          <w:b w:val="1"/>
          <w:bCs w:val="1"/>
          <w:color w:val="auto"/>
        </w:rPr>
        <w:t>Exercise Price</w:t>
      </w:r>
      <w:r>
        <w:rPr>
          <w:rFonts w:ascii="Arial" w:cs="Arial" w:eastAsia="Arial" w:hAnsi="Arial"/>
          <w:sz w:val="17"/>
          <w:szCs w:val="17"/>
          <w:color w:val="auto"/>
        </w:rPr>
        <w:t>”) upon surrender of this Warrant to Purchase Common Stock (including any Warrants to Purchase Common Stock issued in exchange, transfer or replacement hereof, the “</w:t>
      </w:r>
      <w:r>
        <w:rPr>
          <w:rFonts w:ascii="Arial" w:cs="Arial" w:eastAsia="Arial" w:hAnsi="Arial"/>
          <w:sz w:val="17"/>
          <w:szCs w:val="17"/>
          <w:b w:val="1"/>
          <w:bCs w:val="1"/>
          <w:color w:val="auto"/>
        </w:rPr>
        <w:t>Warrant</w:t>
      </w:r>
      <w:r>
        <w:rPr>
          <w:rFonts w:ascii="Arial" w:cs="Arial" w:eastAsia="Arial" w:hAnsi="Arial"/>
          <w:sz w:val="17"/>
          <w:szCs w:val="17"/>
          <w:color w:val="auto"/>
        </w:rPr>
        <w:t>”) at any time and from time to time on or after the date hereof (the “</w:t>
      </w:r>
      <w:r>
        <w:rPr>
          <w:rFonts w:ascii="Arial" w:cs="Arial" w:eastAsia="Arial" w:hAnsi="Arial"/>
          <w:sz w:val="17"/>
          <w:szCs w:val="17"/>
          <w:b w:val="1"/>
          <w:bCs w:val="1"/>
          <w:color w:val="auto"/>
        </w:rPr>
        <w:t>Original Issue Date</w:t>
      </w:r>
      <w:r>
        <w:rPr>
          <w:rFonts w:ascii="Arial" w:cs="Arial" w:eastAsia="Arial" w:hAnsi="Arial"/>
          <w:sz w:val="17"/>
          <w:szCs w:val="17"/>
          <w:color w:val="auto"/>
        </w:rPr>
        <w:t>”), subject to the following terms and conditions:</w:t>
      </w:r>
    </w:p>
    <w:p>
      <w:pPr>
        <w:spacing w:after="0" w:line="6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Definitions</w:t>
      </w:r>
      <w:r>
        <w:rPr>
          <w:rFonts w:ascii="Arial" w:cs="Arial" w:eastAsia="Arial" w:hAnsi="Arial"/>
          <w:sz w:val="18"/>
          <w:szCs w:val="18"/>
          <w:color w:val="auto"/>
        </w:rPr>
        <w:t>. For purposes of this Warrant, the following terms shall have the following meanings:</w:t>
      </w:r>
    </w:p>
    <w:p>
      <w:pPr>
        <w:spacing w:after="0" w:line="113" w:lineRule="exact"/>
        <w:rPr>
          <w:sz w:val="20"/>
          <w:szCs w:val="20"/>
          <w:color w:val="auto"/>
        </w:rPr>
      </w:pPr>
    </w:p>
    <w:p>
      <w:pPr>
        <w:ind w:left="4" w:right="120" w:hanging="4"/>
        <w:spacing w:after="0" w:line="282" w:lineRule="auto"/>
        <w:tabs>
          <w:tab w:leader="none" w:pos="249"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directly or indirectly controlled by, controlling or under common control with, a Holder, as such terms are used in and construed under Rule 405 under the Securities Act, but only for so long as such control shall continue.</w:t>
      </w:r>
    </w:p>
    <w:p>
      <w:pPr>
        <w:spacing w:after="0" w:line="53" w:lineRule="exact"/>
        <w:rPr>
          <w:rFonts w:ascii="Arial" w:cs="Arial" w:eastAsia="Arial" w:hAnsi="Arial"/>
          <w:sz w:val="18"/>
          <w:szCs w:val="18"/>
          <w:color w:val="auto"/>
        </w:rPr>
      </w:pPr>
    </w:p>
    <w:p>
      <w:pPr>
        <w:ind w:left="264" w:hanging="264"/>
        <w:spacing w:after="0"/>
        <w:tabs>
          <w:tab w:leader="none" w:pos="2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United States Securities and Exchange Commission.</w:t>
      </w:r>
    </w:p>
    <w:p>
      <w:pPr>
        <w:spacing w:after="0" w:line="117" w:lineRule="exact"/>
        <w:rPr>
          <w:rFonts w:ascii="Arial" w:cs="Arial" w:eastAsia="Arial" w:hAnsi="Arial"/>
          <w:sz w:val="18"/>
          <w:szCs w:val="18"/>
          <w:color w:val="auto"/>
        </w:rPr>
      </w:pPr>
    </w:p>
    <w:p>
      <w:pPr>
        <w:ind w:left="4" w:hanging="4"/>
        <w:spacing w:after="0" w:line="269" w:lineRule="auto"/>
        <w:tabs>
          <w:tab w:leader="none" w:pos="249"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Sale Price</w:t>
      </w:r>
      <w:r>
        <w:rPr>
          <w:rFonts w:ascii="Arial" w:cs="Arial" w:eastAsia="Arial" w:hAnsi="Arial"/>
          <w:sz w:val="17"/>
          <w:szCs w:val="17"/>
          <w:color w:val="auto"/>
        </w:rPr>
        <w:t>” means, for any security as of any date, the last trade price for such security on the Principal Trading Market for such security, as reported by Bloomberg L.P.,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“pink sheets” by Pink Sheets LLC. If the Closing Sale Price cannot be calculated for a security on a particular date on any of the foregoing bases, the Closing Sale Price of such security on such date shall be the fair market value as mutually determined in good faith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73" w:lineRule="exact"/>
        <w:rPr>
          <w:rFonts w:ascii="Arial" w:cs="Arial" w:eastAsia="Arial" w:hAnsi="Arial"/>
          <w:sz w:val="17"/>
          <w:szCs w:val="17"/>
          <w:color w:val="auto"/>
        </w:rPr>
      </w:pPr>
    </w:p>
    <w:p>
      <w:pPr>
        <w:ind w:left="4" w:right="80" w:hanging="4"/>
        <w:spacing w:after="0" w:line="282" w:lineRule="auto"/>
        <w:tabs>
          <w:tab w:leader="none" w:pos="259"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Trading Market</w:t>
      </w:r>
      <w:r>
        <w:rPr>
          <w:rFonts w:ascii="Arial" w:cs="Arial" w:eastAsia="Arial" w:hAnsi="Arial"/>
          <w:sz w:val="18"/>
          <w:szCs w:val="18"/>
          <w:color w:val="auto"/>
        </w:rPr>
        <w:t>” means the national securities exchange or other trading market on which the Common Stock is primarily listed on and quoted for trading, which, as of the Original Issue Date, shall be the Nasdaq Global Select Market.</w:t>
      </w:r>
    </w:p>
    <w:p>
      <w:pPr>
        <w:spacing w:after="0" w:line="53" w:lineRule="exact"/>
        <w:rPr>
          <w:rFonts w:ascii="Arial" w:cs="Arial" w:eastAsia="Arial" w:hAnsi="Arial"/>
          <w:sz w:val="18"/>
          <w:szCs w:val="18"/>
          <w:color w:val="auto"/>
        </w:rPr>
      </w:pPr>
    </w:p>
    <w:p>
      <w:pPr>
        <w:ind w:left="244" w:hanging="244"/>
        <w:spacing w:after="0"/>
        <w:tabs>
          <w:tab w:leader="none" w:pos="244" w:val="left"/>
        </w:tabs>
        <w:numPr>
          <w:ilvl w:val="0"/>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the Company’s Registration Statement on Form S-3 (File No. 333-263863), declared effective on May 25, 2022.</w:t>
      </w:r>
    </w:p>
    <w:p>
      <w:pPr>
        <w:spacing w:after="0" w:line="140" w:lineRule="exact"/>
        <w:rPr>
          <w:rFonts w:ascii="Arial" w:cs="Arial" w:eastAsia="Arial" w:hAnsi="Arial"/>
          <w:sz w:val="16"/>
          <w:szCs w:val="16"/>
          <w:color w:val="auto"/>
        </w:rPr>
      </w:pPr>
    </w:p>
    <w:p>
      <w:pPr>
        <w:ind w:left="224" w:hanging="224"/>
        <w:spacing w:after="0"/>
        <w:tabs>
          <w:tab w:leader="none" w:pos="2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117" w:lineRule="exact"/>
        <w:rPr>
          <w:rFonts w:ascii="Arial" w:cs="Arial" w:eastAsia="Arial" w:hAnsi="Arial"/>
          <w:sz w:val="18"/>
          <w:szCs w:val="18"/>
          <w:color w:val="auto"/>
        </w:rPr>
      </w:pPr>
    </w:p>
    <w:p>
      <w:pPr>
        <w:ind w:left="4" w:right="300" w:hanging="4"/>
        <w:spacing w:after="0" w:line="289" w:lineRule="auto"/>
        <w:tabs>
          <w:tab w:leader="none" w:pos="259"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Day</w:t>
      </w:r>
      <w:r>
        <w:rPr>
          <w:rFonts w:ascii="Arial" w:cs="Arial" w:eastAsia="Arial" w:hAnsi="Arial"/>
          <w:sz w:val="17"/>
          <w:szCs w:val="17"/>
          <w:color w:val="auto"/>
        </w:rPr>
        <w:t>” means any weekday on which the Principal Trading Market is open for trading. If the Common Stock is not listed or admitted for trading, “Trading Day” means any day except any Saturday, any Sunday, any day which is a federal legal holiday in the United States or any day on which banking institutions in New York City are authorized or required by law or other governmental action to close.</w:t>
      </w:r>
    </w:p>
    <w:p>
      <w:pPr>
        <w:sectPr>
          <w:pgSz w:w="11900" w:h="16838" w:orient="portrait"/>
          <w:cols w:equalWidth="0" w:num="1">
            <w:col w:w="11024"/>
          </w:cols>
          <w:pgMar w:left="436" w:top="121" w:right="439" w:bottom="1440" w:gutter="0" w:footer="0" w:header="0"/>
          <w:type w:val="continuous"/>
        </w:sectPr>
      </w:pPr>
    </w:p>
    <w:bookmarkStart w:id="49" w:name="page50"/>
    <w:bookmarkEnd w:id="49"/>
    <w:p>
      <w:pPr>
        <w:ind w:left="4" w:right="680" w:hanging="4"/>
        <w:spacing w:after="0" w:line="282" w:lineRule="auto"/>
        <w:tabs>
          <w:tab w:leader="none" w:pos="259"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Transfer Agent</w:t>
      </w:r>
      <w:r>
        <w:rPr>
          <w:rFonts w:ascii="Arial" w:cs="Arial" w:eastAsia="Arial" w:hAnsi="Arial"/>
          <w:sz w:val="18"/>
          <w:szCs w:val="18"/>
          <w:color w:val="auto"/>
        </w:rPr>
        <w:t>” means Computershare Trust Company, N.A., the Company’s transfer agent and registrar for the Common Stock, and any successor appointed in such capacity.</w:t>
      </w:r>
    </w:p>
    <w:p>
      <w:pPr>
        <w:spacing w:after="0" w:line="58" w:lineRule="exact"/>
        <w:rPr>
          <w:sz w:val="20"/>
          <w:szCs w:val="20"/>
          <w:color w:val="auto"/>
        </w:rPr>
      </w:pPr>
    </w:p>
    <w:p>
      <w:pPr>
        <w:ind w:left="4" w:right="40" w:hanging="4"/>
        <w:spacing w:after="0" w:line="290" w:lineRule="auto"/>
        <w:tabs>
          <w:tab w:leader="none" w:pos="184"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Issuance of Securities; Registration of Warrants</w:t>
      </w:r>
      <w:r>
        <w:rPr>
          <w:rFonts w:ascii="Arial" w:cs="Arial" w:eastAsia="Arial" w:hAnsi="Arial"/>
          <w:sz w:val="16"/>
          <w:szCs w:val="16"/>
          <w:color w:val="auto"/>
        </w:rPr>
        <w:t>. The Warrant, as initially issued by the Company, is offered and sold pursuant to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As of the Original Issue Date, the Warrant Shares are issuable under the Registration Statement. Accordingly, the Warrant and, assuming issuance pursuant to the Registration Statement or an exchange meeting the requirements of Section 3(a)(9) of the Securities Act, the Warrant Shares, are not “restricted securities” under Rule 144 promulgated under the Securities Act as of the Original Issue Date. The Company shall register ownership of this Warrant, upon records to be maintained by the Company for that purpose (the “</w:t>
      </w:r>
      <w:r>
        <w:rPr>
          <w:rFonts w:ascii="Arial" w:cs="Arial" w:eastAsia="Arial" w:hAnsi="Arial"/>
          <w:sz w:val="16"/>
          <w:szCs w:val="16"/>
          <w:b w:val="1"/>
          <w:bCs w:val="1"/>
          <w:color w:val="auto"/>
        </w:rPr>
        <w:t>Warrant Register</w:t>
      </w:r>
      <w:r>
        <w:rPr>
          <w:rFonts w:ascii="Arial" w:cs="Arial" w:eastAsia="Arial" w:hAnsi="Arial"/>
          <w:sz w:val="16"/>
          <w:szCs w:val="16"/>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57" w:lineRule="exact"/>
        <w:rPr>
          <w:rFonts w:ascii="Arial" w:cs="Arial" w:eastAsia="Arial" w:hAnsi="Arial"/>
          <w:sz w:val="16"/>
          <w:szCs w:val="16"/>
          <w:color w:val="auto"/>
        </w:rPr>
      </w:pPr>
    </w:p>
    <w:p>
      <w:pPr>
        <w:ind w:left="4" w:right="60" w:hanging="4"/>
        <w:spacing w:after="0" w:line="269" w:lineRule="auto"/>
        <w:tabs>
          <w:tab w:leader="none" w:pos="184"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Registration of Transfers</w:t>
      </w:r>
      <w:r>
        <w:rPr>
          <w:rFonts w:ascii="Arial" w:cs="Arial" w:eastAsia="Arial" w:hAnsi="Arial"/>
          <w:sz w:val="17"/>
          <w:szCs w:val="17"/>
          <w:color w:val="auto"/>
        </w:rPr>
        <w:t>. Subject to compliance with all applicable securities laws and, if applicable, the rules of the Principal Trading Market,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shall, or will cause its Transfer Agent to, register the transfer of all or any portion of this Warrant in the Warrant Register, upon surrender of this Warrant, and payment for all applicable transfer taxes (if any) by the Holder or any subsequent holder. Upon any such registration or transfer, a new warrant to purchase Common Stock in substantially the form of this Warrant (any such new warrant, a “</w:t>
      </w:r>
      <w:r>
        <w:rPr>
          <w:rFonts w:ascii="Arial" w:cs="Arial" w:eastAsia="Arial" w:hAnsi="Arial"/>
          <w:sz w:val="17"/>
          <w:szCs w:val="17"/>
          <w:b w:val="1"/>
          <w:bCs w:val="1"/>
          <w:color w:val="auto"/>
        </w:rPr>
        <w:t>New Warrant</w:t>
      </w:r>
      <w:r>
        <w:rPr>
          <w:rFonts w:ascii="Arial" w:cs="Arial" w:eastAsia="Arial" w:hAnsi="Arial"/>
          <w:sz w:val="17"/>
          <w:szCs w:val="17"/>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Arial" w:cs="Arial" w:eastAsia="Arial" w:hAnsi="Arial"/>
          <w:sz w:val="17"/>
          <w:szCs w:val="17"/>
          <w:u w:val="single" w:color="auto"/>
          <w:color w:val="auto"/>
        </w:rPr>
        <w:t>Section 3</w:t>
      </w:r>
      <w:r>
        <w:rPr>
          <w:rFonts w:ascii="Arial" w:cs="Arial" w:eastAsia="Arial" w:hAnsi="Arial"/>
          <w:sz w:val="17"/>
          <w:szCs w:val="17"/>
          <w:color w:val="auto"/>
        </w:rPr>
        <w:t>. Until due presentment for registration of transfer, the Company may treat the registered Holder hereof as the owner and holder for all purposes, and the Company shall not be affected by any notice to the contrary.</w:t>
      </w:r>
    </w:p>
    <w:p>
      <w:pPr>
        <w:spacing w:after="0" w:line="77" w:lineRule="exact"/>
        <w:rPr>
          <w:rFonts w:ascii="Arial" w:cs="Arial" w:eastAsia="Arial" w:hAnsi="Arial"/>
          <w:sz w:val="17"/>
          <w:szCs w:val="17"/>
          <w:color w:val="auto"/>
        </w:rPr>
      </w:pPr>
    </w:p>
    <w:p>
      <w:pPr>
        <w:ind w:left="184" w:hanging="184"/>
        <w:spacing w:after="0"/>
        <w:tabs>
          <w:tab w:leader="none" w:pos="184"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Exercise and Duration of Warrants</w:t>
      </w:r>
      <w:r>
        <w:rPr>
          <w:rFonts w:ascii="Arial" w:cs="Arial" w:eastAsia="Arial" w:hAnsi="Arial"/>
          <w:sz w:val="18"/>
          <w:szCs w:val="18"/>
          <w:color w:val="auto"/>
        </w:rPr>
        <w:t>.</w:t>
      </w:r>
    </w:p>
    <w:p>
      <w:pPr>
        <w:spacing w:after="0" w:line="117" w:lineRule="exact"/>
        <w:rPr>
          <w:sz w:val="20"/>
          <w:szCs w:val="20"/>
          <w:color w:val="auto"/>
        </w:rPr>
      </w:pPr>
    </w:p>
    <w:p>
      <w:pPr>
        <w:ind w:left="4" w:right="300" w:hanging="4"/>
        <w:spacing w:after="0" w:line="277" w:lineRule="auto"/>
        <w:tabs>
          <w:tab w:leader="none" w:pos="249"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or any part of this Warrant shall be exercisable by the registered Holder in any manner permitted by this Warrant at any time and from time to time on or after the Original Issue Date.</w:t>
      </w:r>
    </w:p>
    <w:p>
      <w:pPr>
        <w:spacing w:after="0" w:line="62" w:lineRule="exact"/>
        <w:rPr>
          <w:rFonts w:ascii="Arial" w:cs="Arial" w:eastAsia="Arial" w:hAnsi="Arial"/>
          <w:sz w:val="18"/>
          <w:szCs w:val="18"/>
          <w:color w:val="auto"/>
        </w:rPr>
      </w:pPr>
    </w:p>
    <w:p>
      <w:pPr>
        <w:ind w:left="4" w:hanging="4"/>
        <w:spacing w:after="0" w:line="269" w:lineRule="auto"/>
        <w:tabs>
          <w:tab w:leader="none" w:pos="259"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The Holder may exercise this Warrant by delivering (as determined in accordance with the notice provisions hereof) to the Company an exercise notice, in the form attached as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(the “</w:t>
      </w:r>
      <w:r>
        <w:rPr>
          <w:rFonts w:ascii="Arial" w:cs="Arial" w:eastAsia="Arial" w:hAnsi="Arial"/>
          <w:sz w:val="17"/>
          <w:szCs w:val="17"/>
          <w:b w:val="1"/>
          <w:bCs w:val="1"/>
          <w:color w:val="auto"/>
        </w:rPr>
        <w:t>Exercise Notice</w:t>
      </w:r>
      <w:r>
        <w:rPr>
          <w:rFonts w:ascii="Arial" w:cs="Arial" w:eastAsia="Arial" w:hAnsi="Arial"/>
          <w:sz w:val="17"/>
          <w:szCs w:val="17"/>
          <w:color w:val="auto"/>
        </w:rPr>
        <w:t xml:space="preserve">”), completed and duly signed. Within one (1) Trading Day following the date of delivery of the Exercise Notice, the Holder shall make payment of the Exercise Price for the number of Warrant Shares as to which this Warrant is being exercised (which shall take the form of a “cashless exercise” unless expressly indicated to the contrary in the Exercise Notice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below). The date on which the Notice of Exercise is delivered to the Company (as determined in accordance with the notice provisions hereof) is an “</w:t>
      </w:r>
      <w:r>
        <w:rPr>
          <w:rFonts w:ascii="Arial" w:cs="Arial" w:eastAsia="Arial" w:hAnsi="Arial"/>
          <w:sz w:val="17"/>
          <w:szCs w:val="17"/>
          <w:b w:val="1"/>
          <w:bCs w:val="1"/>
          <w:color w:val="auto"/>
        </w:rPr>
        <w:t>Exercise Date</w:t>
      </w:r>
      <w:r>
        <w:rPr>
          <w:rFonts w:ascii="Arial" w:cs="Arial" w:eastAsia="Arial" w:hAnsi="Arial"/>
          <w:sz w:val="17"/>
          <w:szCs w:val="17"/>
          <w:color w:val="auto"/>
        </w:rPr>
        <w:t>” provided, that if the Exercise Price is not delivered on or before one (1) Trading Day following the date of delivery of the Exercise Notice, the Exercise Date shall be deemed to be one (1) Trading Day following the date of that the Exercise Price is delivered to the Company. No ink-original Notice of Exercise shall be required, nor shall any medallion guarantee (or other type of guarantee or notarization) of any Notice of Exercise be required.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w:t>
      </w:r>
    </w:p>
    <w:p>
      <w:pPr>
        <w:spacing w:after="0" w:line="74" w:lineRule="exact"/>
        <w:rPr>
          <w:sz w:val="20"/>
          <w:szCs w:val="20"/>
          <w:color w:val="auto"/>
        </w:rPr>
      </w:pPr>
    </w:p>
    <w:p>
      <w:pPr>
        <w:ind w:left="184" w:hanging="184"/>
        <w:spacing w:after="0"/>
        <w:tabs>
          <w:tab w:leader="none" w:pos="184"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Delivery of Warrant Shares</w:t>
      </w:r>
      <w:r>
        <w:rPr>
          <w:rFonts w:ascii="Arial" w:cs="Arial" w:eastAsia="Arial" w:hAnsi="Arial"/>
          <w:sz w:val="18"/>
          <w:szCs w:val="18"/>
          <w:color w:val="auto"/>
        </w:rPr>
        <w:t>.</w:t>
      </w:r>
    </w:p>
    <w:p>
      <w:pPr>
        <w:spacing w:after="0" w:line="117" w:lineRule="exact"/>
        <w:rPr>
          <w:sz w:val="20"/>
          <w:szCs w:val="20"/>
          <w:color w:val="auto"/>
        </w:rPr>
      </w:pPr>
    </w:p>
    <w:p>
      <w:pPr>
        <w:ind w:left="4" w:right="120" w:hanging="4"/>
        <w:spacing w:after="0" w:line="279" w:lineRule="auto"/>
        <w:tabs>
          <w:tab w:leader="none" w:pos="249" w:val="left"/>
        </w:tabs>
        <w:numPr>
          <w:ilvl w:val="0"/>
          <w:numId w:val="57"/>
        </w:numPr>
        <w:rPr>
          <w:rFonts w:ascii="Arial" w:cs="Arial" w:eastAsia="Arial" w:hAnsi="Arial"/>
          <w:sz w:val="17"/>
          <w:szCs w:val="17"/>
          <w:color w:val="auto"/>
        </w:rPr>
      </w:pPr>
      <w:r>
        <w:rPr>
          <w:rFonts w:ascii="Arial" w:cs="Arial" w:eastAsia="Arial" w:hAnsi="Arial"/>
          <w:sz w:val="17"/>
          <w:szCs w:val="17"/>
          <w:color w:val="auto"/>
        </w:rPr>
        <w:t>Upon exercise of this Warrant, the Company shall promptly (but in no event later than three (3) Trading Days after the Exercise Date), upon the request of the Holder, cause the Transfer Agent to credit such aggregate number of shares of Common Stock to which the Holder is entitled pursuant to such exercise to the Holder’s or its designee’s balance account with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through its Deposit Withdrawal Agent Commission system or if the Transfer Agent is not participating in the Fast Automated Securities Transfer Program</w:t>
      </w:r>
    </w:p>
    <w:p>
      <w:pPr>
        <w:sectPr>
          <w:pgSz w:w="11900" w:h="16838" w:orient="portrait"/>
          <w:cols w:equalWidth="0" w:num="1">
            <w:col w:w="11004"/>
          </w:cols>
          <w:pgMar w:left="436" w:top="270" w:right="459" w:bottom="1440" w:gutter="0" w:footer="0" w:header="0"/>
        </w:sectPr>
      </w:pPr>
    </w:p>
    <w:bookmarkStart w:id="50" w:name="page51"/>
    <w:bookmarkEnd w:id="50"/>
    <w:p>
      <w:pPr>
        <w:ind w:left="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t>
      </w:r>
      <w:r>
        <w:rPr>
          <w:rFonts w:ascii="Arial" w:cs="Arial" w:eastAsia="Arial" w:hAnsi="Arial"/>
          <w:sz w:val="17"/>
          <w:szCs w:val="17"/>
          <w:b w:val="1"/>
          <w:bCs w:val="1"/>
          <w:color w:val="auto"/>
        </w:rPr>
        <w:t>FAST Program</w:t>
      </w:r>
      <w:r>
        <w:rPr>
          <w:rFonts w:ascii="Arial" w:cs="Arial" w:eastAsia="Arial" w:hAnsi="Arial"/>
          <w:sz w:val="17"/>
          <w:szCs w:val="17"/>
          <w:color w:val="auto"/>
        </w:rPr>
        <w:t>”)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or any natural person or legal entity (each, a “</w:t>
      </w:r>
      <w:r>
        <w:rPr>
          <w:rFonts w:ascii="Arial" w:cs="Arial" w:eastAsia="Arial" w:hAnsi="Arial"/>
          <w:sz w:val="17"/>
          <w:szCs w:val="17"/>
          <w:b w:val="1"/>
          <w:bCs w:val="1"/>
          <w:color w:val="auto"/>
        </w:rPr>
        <w:t>Person</w:t>
      </w:r>
      <w:r>
        <w:rPr>
          <w:rFonts w:ascii="Arial" w:cs="Arial" w:eastAsia="Arial" w:hAnsi="Arial"/>
          <w:sz w:val="17"/>
          <w:szCs w:val="17"/>
          <w:color w:val="auto"/>
        </w:rPr>
        <w:t>”)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evidencing such Warrant Shares, as the case may be. While this Warrant remains outstanding, the Company shall maintain a transfer agent that participates in the FAST Program or any successor thereto.</w:t>
      </w:r>
    </w:p>
    <w:p>
      <w:pPr>
        <w:spacing w:after="0" w:line="68" w:lineRule="exact"/>
        <w:rPr>
          <w:sz w:val="20"/>
          <w:szCs w:val="20"/>
          <w:color w:val="auto"/>
        </w:rPr>
      </w:pPr>
    </w:p>
    <w:p>
      <w:pPr>
        <w:ind w:left="4" w:right="20" w:hanging="4"/>
        <w:spacing w:after="0" w:line="268" w:lineRule="auto"/>
        <w:tabs>
          <w:tab w:leader="none" w:pos="259"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If by the close of the third (3rd) Trading Day after the Exercise Date, the Company fails to deliver to the Holder a certificate representing the required number of Warrant Shares in the manner required pursuant to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or fails to cause the Transfer Agent to credit the Holder’s DTC account for such number of Warrant Shares to which the Holder is entitled, and if after such third (3rd) Trading Day and prior to the receipt of such Warrant Shares, the Holder purchases (in an open market transaction or otherwise, provided such purchases shall be made in a commercially reasonable manner at prevailing market prices) shares of Common Stock to deliver in satisfaction of a sale by the Holder of the Warrant Shares which the Holder anticipated receiving upon such exercise (a “</w:t>
      </w:r>
      <w:r>
        <w:rPr>
          <w:rFonts w:ascii="Arial" w:cs="Arial" w:eastAsia="Arial" w:hAnsi="Arial"/>
          <w:sz w:val="17"/>
          <w:szCs w:val="17"/>
          <w:b w:val="1"/>
          <w:bCs w:val="1"/>
          <w:color w:val="auto"/>
        </w:rPr>
        <w:t>Buy-In</w:t>
      </w:r>
      <w:r>
        <w:rPr>
          <w:rFonts w:ascii="Arial" w:cs="Arial" w:eastAsia="Arial" w:hAnsi="Arial"/>
          <w:sz w:val="17"/>
          <w:szCs w:val="17"/>
          <w:color w:val="auto"/>
        </w:rPr>
        <w:t>”), then the Company shall, within three (3) Trading Days after the Holder’s written request and in the Holder’s sole discretion, either (i) pay in cash to the Holder an amount equal to the Holder’s total purchase price (including commercially reasonable brokerage commissions, if any) for the shares of Common Stock so purchased, at which point the Company’s obligation to deliver such certificate (and to issue such Warrant Shares) or to cause the Holder’s DTC account to be credited for such Warrant Shares shall terminate or (ii) (x) pay cash to the Holder in an amount equal to the excess (if any) of Holder’s total purchase price (including commercially reasonable brokerage commissions, if any) for the shares of Common Stock so purchased in the Buy-In (assuming such sale was executed on commercially reasonable terms at prevailing market prices) over the product of (A) the number of shares of Common Stock purchased in the Buy-In, times (B) the Closing Sale Price of a share of Common Stock on the Exercise Date and (y) at the option of the Holder, either promptly deliver to the Holder a certificate or certificates representing such Warrant Shares or reinstate the portion of the Warrant and equivalent number of Warrant Shares for which such exercise was not honored (in which case such exercise shall be deemed rescinded).</w:t>
      </w:r>
    </w:p>
    <w:p>
      <w:pPr>
        <w:spacing w:after="0" w:line="73" w:lineRule="exact"/>
        <w:rPr>
          <w:rFonts w:ascii="Arial" w:cs="Arial" w:eastAsia="Arial" w:hAnsi="Arial"/>
          <w:sz w:val="17"/>
          <w:szCs w:val="17"/>
          <w:color w:val="auto"/>
        </w:rPr>
      </w:pPr>
    </w:p>
    <w:p>
      <w:pPr>
        <w:ind w:left="4" w:right="20" w:hanging="4"/>
        <w:spacing w:after="0" w:line="289" w:lineRule="auto"/>
        <w:tabs>
          <w:tab w:leader="none" w:pos="2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To the extent permitted by law and subject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the Company’s obligations to cause the Transfer Agent to issue and deliver Warrant Shares in accordance with and subject to the terms hereof (including the limitations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Arial" w:cs="Arial" w:eastAsia="Arial" w:hAnsi="Arial"/>
          <w:sz w:val="16"/>
          <w:szCs w:val="16"/>
          <w:u w:val="single" w:color="auto"/>
          <w:color w:val="auto"/>
        </w:rPr>
        <w:t>Section 5(b)</w:t>
      </w:r>
      <w:r>
        <w:rPr>
          <w:rFonts w:ascii="Arial" w:cs="Arial" w:eastAsia="Arial" w:hAnsi="Arial"/>
          <w:sz w:val="16"/>
          <w:szCs w:val="16"/>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spacing w:after="0" w:line="58" w:lineRule="exact"/>
        <w:rPr>
          <w:sz w:val="20"/>
          <w:szCs w:val="20"/>
          <w:color w:val="auto"/>
        </w:rPr>
      </w:pPr>
    </w:p>
    <w:p>
      <w:pPr>
        <w:ind w:left="4" w:right="40" w:hanging="4"/>
        <w:spacing w:after="0" w:line="273" w:lineRule="auto"/>
        <w:tabs>
          <w:tab w:leader="none" w:pos="184"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Charges, Taxes and Expenses</w:t>
      </w:r>
      <w:r>
        <w:rPr>
          <w:rFonts w:ascii="Arial" w:cs="Arial" w:eastAsia="Arial" w:hAnsi="Arial"/>
          <w:sz w:val="17"/>
          <w:szCs w:val="17"/>
          <w:color w:val="auto"/>
        </w:rPr>
        <w:t>. Issuance and delivery of certificates for shares of Common Stock, if any, upon exercise of this Warrant shall be made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69" w:lineRule="exact"/>
        <w:rPr>
          <w:rFonts w:ascii="Arial" w:cs="Arial" w:eastAsia="Arial" w:hAnsi="Arial"/>
          <w:sz w:val="17"/>
          <w:szCs w:val="17"/>
          <w:color w:val="auto"/>
        </w:rPr>
      </w:pPr>
    </w:p>
    <w:p>
      <w:pPr>
        <w:ind w:left="4" w:hanging="4"/>
        <w:spacing w:after="0" w:line="254" w:lineRule="auto"/>
        <w:tabs>
          <w:tab w:leader="none" w:pos="184"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Replacement of Warrant</w:t>
      </w:r>
      <w:r>
        <w:rPr>
          <w:rFonts w:ascii="Arial" w:cs="Arial" w:eastAsia="Arial" w:hAnsi="Arial"/>
          <w:sz w:val="18"/>
          <w:szCs w:val="18"/>
          <w:color w:val="auto"/>
        </w:rPr>
        <w:t>. If this Warrant is mutilated, lost, stolen or destroyed, the Company shall issue or cause to be issued in exchange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(but not the posting of any surety bond), if requested by the Company.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w:t>
      </w:r>
    </w:p>
    <w:p>
      <w:pPr>
        <w:sectPr>
          <w:pgSz w:w="11900" w:h="16838" w:orient="portrait"/>
          <w:cols w:equalWidth="0" w:num="1">
            <w:col w:w="11004"/>
          </w:cols>
          <w:pgMar w:left="436" w:top="270" w:right="459" w:bottom="1440" w:gutter="0" w:footer="0" w:header="0"/>
        </w:sectPr>
      </w:pPr>
    </w:p>
    <w:bookmarkStart w:id="51" w:name="page52"/>
    <w:bookmarkEnd w:id="51"/>
    <w:p>
      <w:pPr>
        <w:ind w:left="4" w:hanging="4"/>
        <w:spacing w:after="0" w:line="269" w:lineRule="auto"/>
        <w:tabs>
          <w:tab w:leader="none" w:pos="184"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Reservation of Warrant Shares</w:t>
      </w:r>
      <w:r>
        <w:rPr>
          <w:rFonts w:ascii="Arial" w:cs="Arial" w:eastAsia="Arial" w:hAnsi="Arial"/>
          <w:sz w:val="17"/>
          <w:szCs w:val="17"/>
          <w:color w:val="auto"/>
        </w:rPr>
        <w:t>. The Company covenants that it will, at all times while this Warrant is outstanding, reserve and keep available out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Arial" w:cs="Arial" w:eastAsia="Arial" w:hAnsi="Arial"/>
          <w:sz w:val="17"/>
          <w:szCs w:val="17"/>
          <w:u w:val="single" w:color="auto"/>
          <w:color w:val="auto"/>
        </w:rPr>
        <w:t>Section 9</w:t>
      </w:r>
      <w:r>
        <w:rPr>
          <w:rFonts w:ascii="Arial" w:cs="Arial" w:eastAsia="Arial" w:hAnsi="Arial"/>
          <w:sz w:val="17"/>
          <w:szCs w:val="17"/>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77" w:lineRule="exact"/>
        <w:rPr>
          <w:rFonts w:ascii="Arial" w:cs="Arial" w:eastAsia="Arial" w:hAnsi="Arial"/>
          <w:sz w:val="17"/>
          <w:szCs w:val="17"/>
          <w:color w:val="auto"/>
        </w:rPr>
      </w:pPr>
    </w:p>
    <w:p>
      <w:pPr>
        <w:ind w:left="4" w:right="80" w:hanging="4"/>
        <w:spacing w:after="0" w:line="277" w:lineRule="auto"/>
        <w:tabs>
          <w:tab w:leader="none" w:pos="184"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Certain Adjustments</w:t>
      </w:r>
      <w:r>
        <w:rPr>
          <w:rFonts w:ascii="Arial" w:cs="Arial" w:eastAsia="Arial" w:hAnsi="Arial"/>
          <w:sz w:val="18"/>
          <w:szCs w:val="18"/>
          <w:color w:val="auto"/>
        </w:rPr>
        <w:t>. The Exercise Price and number of Warrant Shares issuable upon exercise of this Warrant (the “Number of Warrant Shares”)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subject to adjustment from time to time as set forth in this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62" w:lineRule="exact"/>
        <w:rPr>
          <w:sz w:val="20"/>
          <w:szCs w:val="20"/>
          <w:color w:val="auto"/>
        </w:rPr>
      </w:pPr>
    </w:p>
    <w:p>
      <w:pPr>
        <w:ind w:left="4" w:hanging="4"/>
        <w:spacing w:after="0" w:line="287" w:lineRule="auto"/>
        <w:tabs>
          <w:tab w:leader="none" w:pos="248"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or (iii) of this paragraph shall become effective immediately after the effective date of such subdivision or combination.</w:t>
      </w:r>
    </w:p>
    <w:p>
      <w:pPr>
        <w:spacing w:after="0" w:line="59" w:lineRule="exact"/>
        <w:rPr>
          <w:rFonts w:ascii="Arial" w:cs="Arial" w:eastAsia="Arial" w:hAnsi="Arial"/>
          <w:sz w:val="16"/>
          <w:szCs w:val="16"/>
          <w:color w:val="auto"/>
        </w:rPr>
      </w:pPr>
    </w:p>
    <w:p>
      <w:pPr>
        <w:ind w:left="4" w:right="60" w:hanging="4"/>
        <w:spacing w:after="0" w:line="272" w:lineRule="auto"/>
        <w:tabs>
          <w:tab w:leader="none" w:pos="259"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If the Company, at any time while this Warrant is outstanding, distributes to all holders of Common Stock for no consideration (i) evidences of its indebtedness, (ii) any security (other than a distribution of Common Stock covered by the preceding paragraph), (iii) rights or warrants to subscribe for or purchase any security, or (iv) cash or any other asset (in each case, “</w:t>
      </w:r>
      <w:r>
        <w:rPr>
          <w:rFonts w:ascii="Arial" w:cs="Arial" w:eastAsia="Arial" w:hAnsi="Arial"/>
          <w:sz w:val="17"/>
          <w:szCs w:val="17"/>
          <w:b w:val="1"/>
          <w:bCs w:val="1"/>
          <w:color w:val="auto"/>
        </w:rPr>
        <w:t>Distributed Property</w:t>
      </w:r>
      <w:r>
        <w:rPr>
          <w:rFonts w:ascii="Arial" w:cs="Arial" w:eastAsia="Arial" w:hAnsi="Arial"/>
          <w:sz w:val="17"/>
          <w:szCs w:val="17"/>
          <w:color w:val="auto"/>
        </w:rPr>
        <w:t>”), then, upon any exercise of this Warrant that occurs after the record date fixed for determination of stockholders entitled to receive such distribution, the Holder shall be entitled to receive, in addition to the Warrant Shares otherwise issuable upon such exercise (if applicable), the Distributed Property that such Holder would have been entitled to receive in respect of such number of Warrant Shares had the Holder been the record holder of such Warrant Shares immediately prior to such record date without regard to any limitation on exercise contained therein.</w:t>
      </w:r>
    </w:p>
    <w:p>
      <w:pPr>
        <w:spacing w:after="0" w:line="69" w:lineRule="exact"/>
        <w:rPr>
          <w:rFonts w:ascii="Arial" w:cs="Arial" w:eastAsia="Arial" w:hAnsi="Arial"/>
          <w:sz w:val="17"/>
          <w:szCs w:val="17"/>
          <w:color w:val="auto"/>
        </w:rPr>
      </w:pPr>
    </w:p>
    <w:p>
      <w:pPr>
        <w:ind w:left="4" w:right="120" w:hanging="4"/>
        <w:spacing w:after="0" w:line="275" w:lineRule="auto"/>
        <w:tabs>
          <w:tab w:leader="none" w:pos="248"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Fundamental Transactions</w:t>
      </w:r>
      <w:r>
        <w:rPr>
          <w:rFonts w:ascii="Arial" w:cs="Arial" w:eastAsia="Arial" w:hAnsi="Arial"/>
          <w:sz w:val="17"/>
          <w:szCs w:val="17"/>
          <w:color w:val="auto"/>
        </w:rPr>
        <w:t>. If, at any time while this Warrant is outstanding (i) the Company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(ii) the Company effects any sale, transfer or disposition to another Person of all or substantially all of its assets in one transaction or a series of related transactions, (iii) pursuant to any tender offer or exchange offer (whether by the</w:t>
      </w:r>
    </w:p>
    <w:p>
      <w:pPr>
        <w:sectPr>
          <w:pgSz w:w="11900" w:h="16838" w:orient="portrait"/>
          <w:cols w:equalWidth="0" w:num="1">
            <w:col w:w="10984"/>
          </w:cols>
          <w:pgMar w:left="436" w:top="274" w:right="479" w:bottom="1440" w:gutter="0" w:footer="0" w:header="0"/>
        </w:sectPr>
      </w:pPr>
    </w:p>
    <w:bookmarkStart w:id="52" w:name="page53"/>
    <w:bookmarkEnd w:id="52"/>
    <w:p>
      <w:pPr>
        <w:ind w:left="4"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provided, however, the foregoing shall not include transactions for which the primary purpose is raising capital,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Arial" w:cs="Arial" w:eastAsia="Arial" w:hAnsi="Arial"/>
          <w:sz w:val="16"/>
          <w:szCs w:val="16"/>
          <w:u w:val="single" w:color="auto"/>
          <w:color w:val="auto"/>
        </w:rPr>
        <w:t>Section 9(a)</w:t>
      </w:r>
      <w:r>
        <w:rPr>
          <w:rFonts w:ascii="Arial" w:cs="Arial" w:eastAsia="Arial" w:hAnsi="Arial"/>
          <w:sz w:val="16"/>
          <w:szCs w:val="16"/>
          <w:color w:val="auto"/>
        </w:rPr>
        <w:t xml:space="preserve"> above) (in any such case, a “</w:t>
      </w:r>
      <w:r>
        <w:rPr>
          <w:rFonts w:ascii="Arial" w:cs="Arial" w:eastAsia="Arial" w:hAnsi="Arial"/>
          <w:sz w:val="16"/>
          <w:szCs w:val="16"/>
          <w:b w:val="1"/>
          <w:bCs w:val="1"/>
          <w:color w:val="auto"/>
        </w:rPr>
        <w:t>Fundamental Transaction</w:t>
      </w:r>
      <w:r>
        <w:rPr>
          <w:rFonts w:ascii="Arial" w:cs="Arial" w:eastAsia="Arial" w:hAnsi="Arial"/>
          <w:sz w:val="16"/>
          <w:szCs w:val="16"/>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(in the case of clause (iii) above, assuming it had tendered, and the offeror had accepted, such Warrant Shares) then issuable upon exercise in full of this Warrant without regard to any limitations on exercise contained herein (the “</w:t>
      </w:r>
      <w:r>
        <w:rPr>
          <w:rFonts w:ascii="Arial" w:cs="Arial" w:eastAsia="Arial" w:hAnsi="Arial"/>
          <w:sz w:val="16"/>
          <w:szCs w:val="16"/>
          <w:b w:val="1"/>
          <w:bCs w:val="1"/>
          <w:color w:val="auto"/>
        </w:rPr>
        <w:t>Alternate Consideration</w:t>
      </w:r>
      <w:r>
        <w:rPr>
          <w:rFonts w:ascii="Arial" w:cs="Arial" w:eastAsia="Arial" w:hAnsi="Arial"/>
          <w:sz w:val="16"/>
          <w:szCs w:val="16"/>
          <w:color w:val="auto"/>
        </w:rPr>
        <w:t xml:space="preserve">”). In the event the Holder does not exercise this Warrant as contemplated by the foregoing sentence, this Warrant shall be deemed exercised in full without regard to any limitations on exercise contained herein pursuant to the “cashless exercise” provision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hereof upon the effective date of the consummation of such Fundamental Transaction.</w:t>
      </w:r>
    </w:p>
    <w:p>
      <w:pPr>
        <w:spacing w:after="0" w:line="68" w:lineRule="exact"/>
        <w:rPr>
          <w:sz w:val="20"/>
          <w:szCs w:val="20"/>
          <w:color w:val="auto"/>
        </w:rPr>
      </w:pPr>
    </w:p>
    <w:p>
      <w:pPr>
        <w:ind w:left="4" w:right="140" w:hanging="4"/>
        <w:spacing w:after="0" w:line="279" w:lineRule="auto"/>
        <w:tabs>
          <w:tab w:leader="none" w:pos="259"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xml:space="preserve">. Simultaneously with any adjustment to the Number of Warrant Shares pursuant to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w:t>
      </w:r>
    </w:p>
    <w:p>
      <w:pPr>
        <w:spacing w:after="0" w:line="63" w:lineRule="exact"/>
        <w:rPr>
          <w:rFonts w:ascii="Arial" w:cs="Arial" w:eastAsia="Arial" w:hAnsi="Arial"/>
          <w:sz w:val="17"/>
          <w:szCs w:val="17"/>
          <w:color w:val="auto"/>
        </w:rPr>
      </w:pPr>
    </w:p>
    <w:p>
      <w:pPr>
        <w:ind w:left="244" w:hanging="244"/>
        <w:spacing w:after="0"/>
        <w:tabs>
          <w:tab w:leader="none" w:pos="244"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Calculations</w:t>
      </w:r>
      <w:r>
        <w:rPr>
          <w:rFonts w:ascii="Arial" w:cs="Arial" w:eastAsia="Arial" w:hAnsi="Arial"/>
          <w:sz w:val="17"/>
          <w:szCs w:val="17"/>
          <w:color w:val="auto"/>
        </w:rPr>
        <w:t xml:space="preserve">. All calculations under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shall be made to the nearest one-hundredth of one cent or the nearest share, as applicable.</w:t>
      </w:r>
    </w:p>
    <w:p>
      <w:pPr>
        <w:spacing w:after="0" w:line="128" w:lineRule="exact"/>
        <w:rPr>
          <w:rFonts w:ascii="Arial" w:cs="Arial" w:eastAsia="Arial" w:hAnsi="Arial"/>
          <w:sz w:val="17"/>
          <w:szCs w:val="17"/>
          <w:color w:val="auto"/>
        </w:rPr>
      </w:pPr>
    </w:p>
    <w:p>
      <w:pPr>
        <w:ind w:left="4" w:right="100" w:hanging="4"/>
        <w:spacing w:after="0" w:line="296" w:lineRule="auto"/>
        <w:tabs>
          <w:tab w:leader="none" w:pos="229"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Notice of Adjustments</w:t>
      </w:r>
      <w:r>
        <w:rPr>
          <w:rFonts w:ascii="Arial" w:cs="Arial" w:eastAsia="Arial" w:hAnsi="Arial"/>
          <w:sz w:val="16"/>
          <w:szCs w:val="16"/>
          <w:color w:val="auto"/>
        </w:rPr>
        <w:t xml:space="preserve">. Upon the occurrence of each adjustment pursuant to this </w:t>
      </w:r>
      <w:r>
        <w:rPr>
          <w:rFonts w:ascii="Arial" w:cs="Arial" w:eastAsia="Arial" w:hAnsi="Arial"/>
          <w:sz w:val="16"/>
          <w:szCs w:val="16"/>
          <w:u w:val="single" w:color="auto"/>
          <w:color w:val="auto"/>
        </w:rPr>
        <w:t>Section 9</w:t>
      </w:r>
      <w:r>
        <w:rPr>
          <w:rFonts w:ascii="Arial" w:cs="Arial" w:eastAsia="Arial" w:hAnsi="Arial"/>
          <w:sz w:val="16"/>
          <w:szCs w:val="16"/>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w:t>
      </w:r>
    </w:p>
    <w:p>
      <w:pPr>
        <w:spacing w:after="0" w:line="53" w:lineRule="exact"/>
        <w:rPr>
          <w:rFonts w:ascii="Arial" w:cs="Arial" w:eastAsia="Arial" w:hAnsi="Arial"/>
          <w:sz w:val="16"/>
          <w:szCs w:val="16"/>
          <w:color w:val="auto"/>
        </w:rPr>
      </w:pPr>
    </w:p>
    <w:p>
      <w:pPr>
        <w:ind w:left="4" w:hanging="4"/>
        <w:spacing w:after="0" w:line="267" w:lineRule="auto"/>
        <w:tabs>
          <w:tab w:leader="none" w:pos="259"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Notice of Corporate Events</w:t>
      </w:r>
      <w:r>
        <w:rPr>
          <w:rFonts w:ascii="Arial" w:cs="Arial" w:eastAsia="Arial" w:hAnsi="Arial"/>
          <w:sz w:val="17"/>
          <w:szCs w:val="17"/>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the event such notice and the contents thereof shall be deemed to constitute material non-public information, the Company shall (on the same time frame set forth in the immediately prior sentence) offer the Holder the ability to execute a confidentiality agreement related thereto sufficient to allow Holder the ability to receive such notice, and the Company shall deliver such notice immediately upon execution of such confidentiality agreement. In addition, if while this Warrant is outstanding, the Company authorizes or approves, enters into any agreement contemplating or solicits stockholder approval for any Fundamental Transaction contemplated by </w:t>
      </w:r>
      <w:r>
        <w:rPr>
          <w:rFonts w:ascii="Arial" w:cs="Arial" w:eastAsia="Arial" w:hAnsi="Arial"/>
          <w:sz w:val="17"/>
          <w:szCs w:val="17"/>
          <w:u w:val="single" w:color="auto"/>
          <w:color w:val="auto"/>
        </w:rPr>
        <w:t>Section 9(c)</w:t>
      </w:r>
      <w:r>
        <w:rPr>
          <w:rFonts w:ascii="Arial" w:cs="Arial" w:eastAsia="Arial" w:hAnsi="Arial"/>
          <w:sz w:val="17"/>
          <w:szCs w:val="17"/>
          <w:color w:val="auto"/>
        </w:rPr>
        <w:t xml:space="preserve">, other than a Fundamental Transaction under clause (iii) of </w:t>
      </w:r>
      <w:r>
        <w:rPr>
          <w:rFonts w:ascii="Arial" w:cs="Arial" w:eastAsia="Arial" w:hAnsi="Arial"/>
          <w:sz w:val="17"/>
          <w:szCs w:val="17"/>
          <w:u w:val="single" w:color="auto"/>
          <w:color w:val="auto"/>
        </w:rPr>
        <w:t>Section 9(c)</w:t>
      </w:r>
      <w:r>
        <w:rPr>
          <w:rFonts w:ascii="Arial" w:cs="Arial" w:eastAsia="Arial" w:hAnsi="Arial"/>
          <w:sz w:val="17"/>
          <w:szCs w:val="17"/>
          <w:color w:val="auto"/>
        </w:rPr>
        <w:t>, then the Company shall deliver to the Holder a notice of such Fundamental Transaction at least thirty (30) days prior to the date such Fundamental Transaction is consummated except that, if such notice and the contents thereof shall be deemed to constitute material non-public information, delivery shall be conditioned on Holder entering into a confidentiality agreement as described above. The exercise of this Warrant may, at the election of the Holder, be conditioned so as to occur contemporaneously with a Fundamental Transaction.</w:t>
      </w:r>
    </w:p>
    <w:p>
      <w:pPr>
        <w:sectPr>
          <w:pgSz w:w="11900" w:h="16838" w:orient="portrait"/>
          <w:cols w:equalWidth="0" w:num="1">
            <w:col w:w="11004"/>
          </w:cols>
          <w:pgMar w:left="436" w:top="274" w:right="459" w:bottom="1440" w:gutter="0" w:footer="0" w:header="0"/>
        </w:sectPr>
      </w:pPr>
    </w:p>
    <w:bookmarkStart w:id="53" w:name="page54"/>
    <w:bookmarkEnd w:id="53"/>
    <w:p>
      <w:pPr>
        <w:ind w:left="4" w:right="140" w:hanging="4"/>
        <w:spacing w:after="0" w:line="286" w:lineRule="auto"/>
        <w:tabs>
          <w:tab w:leader="none" w:pos="274"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Cashless Exercise Price</w:t>
      </w:r>
      <w:r>
        <w:rPr>
          <w:rFonts w:ascii="Arial" w:cs="Arial" w:eastAsia="Arial" w:hAnsi="Arial"/>
          <w:sz w:val="17"/>
          <w:szCs w:val="17"/>
          <w:color w:val="auto"/>
        </w:rPr>
        <w:t>. Notwithstanding anything contained herein to the contrary, the Holder may, in its sole discretion, satisfy its</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 to pay the Exercise Price through a “cashless exercise,” in which event the Company shall issue to the Holder the number of Warrant Shares in an exchange of securities effected pursuant to Section 3(a)(9) of the Securities Act as determined as follows:</w:t>
      </w:r>
    </w:p>
    <w:p>
      <w:pPr>
        <w:spacing w:after="0" w:line="57" w:lineRule="exact"/>
        <w:rPr>
          <w:sz w:val="20"/>
          <w:szCs w:val="20"/>
          <w:color w:val="auto"/>
        </w:rPr>
      </w:pPr>
    </w:p>
    <w:p>
      <w:pPr>
        <w:ind w:left="4"/>
        <w:spacing w:after="0"/>
        <w:rPr>
          <w:sz w:val="20"/>
          <w:szCs w:val="20"/>
          <w:color w:val="auto"/>
        </w:rPr>
      </w:pPr>
      <w:r>
        <w:rPr>
          <w:rFonts w:ascii="Arial" w:cs="Arial" w:eastAsia="Arial" w:hAnsi="Arial"/>
          <w:sz w:val="18"/>
          <w:szCs w:val="18"/>
          <w:color w:val="auto"/>
        </w:rPr>
        <w:t>X = Y(A-B)/A</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“X” equals the number of Warrant Shares to be issued to the Holder;</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“Y” equals the total number of Warrant Shares with respect to which this Warrant is then being exercised;</w:t>
      </w:r>
    </w:p>
    <w:p>
      <w:pPr>
        <w:spacing w:after="0" w:line="117" w:lineRule="exact"/>
        <w:rPr>
          <w:sz w:val="20"/>
          <w:szCs w:val="20"/>
          <w:color w:val="auto"/>
        </w:rPr>
      </w:pPr>
    </w:p>
    <w:p>
      <w:pPr>
        <w:ind w:left="4" w:right="680"/>
        <w:spacing w:after="0" w:line="277" w:lineRule="auto"/>
        <w:rPr>
          <w:sz w:val="20"/>
          <w:szCs w:val="20"/>
          <w:color w:val="auto"/>
        </w:rPr>
      </w:pPr>
      <w:r>
        <w:rPr>
          <w:rFonts w:ascii="Arial" w:cs="Arial" w:eastAsia="Arial" w:hAnsi="Arial"/>
          <w:sz w:val="18"/>
          <w:szCs w:val="18"/>
          <w:color w:val="auto"/>
        </w:rPr>
        <w:t>“A” equals the Closing Sale Price per share of Common Stock (as reported by Bloomberg Financial Markets) as of the Trading Day on the date immediately preceding the Exercise Date; and</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“B” equals the Exercise Price per Warrant Share then in effect on the Exercise Date.</w:t>
      </w:r>
    </w:p>
    <w:p>
      <w:pPr>
        <w:spacing w:after="0" w:line="225"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 xml:space="preserve">For purposes of Rule 144 promulgated under the Securities Act, it is intended, understood and acknowledged that the Warrant Shares issued in such a “cashless exercise” transaction shall be deemed to have been acquired by the Holder, and the holding period for the Warrant Shares shall be deemed to have commenced, on the Original Issue Date (provided that the Commission continues to take the position that such treatment is proper at the time of such exercise). In the event that the Registration Statement or another registration statement registering the issuance of Warrant Shares is, for any reason, not effective at the time of exercise of this Warrant, then this Warrant may only be exercised through a cashless exercise, as set forth in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(Buy-In remedy) and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(payment of cash in lieu of fractional shares), in no event will the exercise of this Warrant be settled in cash. For the avoidance of doubt, in the event that the Registration Statement or another registration statement registering the issuance of the Warrant Shares is, for any reason, not effective at the time of exercise of this Warrant, then a cashless exercise pursuant to this Section 10 in exchange for unregistered Warrant Shares in accordance with Section 3(a)(9) of the Securities Act shall be permitted.</w:t>
      </w:r>
    </w:p>
    <w:p>
      <w:pPr>
        <w:spacing w:after="0" w:line="58" w:lineRule="exact"/>
        <w:rPr>
          <w:sz w:val="20"/>
          <w:szCs w:val="20"/>
          <w:color w:val="auto"/>
        </w:rPr>
      </w:pPr>
    </w:p>
    <w:p>
      <w:pPr>
        <w:ind w:left="264" w:hanging="264"/>
        <w:spacing w:after="0"/>
        <w:tabs>
          <w:tab w:leader="none" w:pos="264"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Limitations on Exercise</w:t>
      </w:r>
      <w:r>
        <w:rPr>
          <w:rFonts w:ascii="Arial" w:cs="Arial" w:eastAsia="Arial" w:hAnsi="Arial"/>
          <w:sz w:val="18"/>
          <w:szCs w:val="18"/>
          <w:color w:val="auto"/>
        </w:rPr>
        <w:t>.</w:t>
      </w:r>
    </w:p>
    <w:p>
      <w:pPr>
        <w:spacing w:after="0" w:line="117" w:lineRule="exact"/>
        <w:rPr>
          <w:sz w:val="20"/>
          <w:szCs w:val="20"/>
          <w:color w:val="auto"/>
        </w:rPr>
      </w:pPr>
    </w:p>
    <w:p>
      <w:pPr>
        <w:ind w:left="4" w:hanging="4"/>
        <w:spacing w:after="0" w:line="283" w:lineRule="auto"/>
        <w:tabs>
          <w:tab w:leader="none" w:pos="2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the Company shall not effect any exercise of this Warrant, and the Holder shall not be entitled to exercise this Warrant for a number of Warrant Shares in excess of that number of Warrant Shares which, upon giving effect or immediately prior to such exercise, would cause (i) the aggregate number of shares of Common Stock beneficially owned by the Holder, its Affiliates and any other Persons whose beneficial ownership of Common Stock would be aggregated with the Holder’s for purposes of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to exceed 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total number of issued and outstanding shares of Common Stock of the Company following such exercise, or (ii) the combined voting power of the securities of the Company beneficially owned by the Holder and its Affiliates and any other Persons whose beneficial ownership of Common Stock would be aggregated with the Holder’s for purposes of Section 13(d) of the Exchange Act to exceed 9.99% of the combined voting power of all of the securities of the Company then outstanding following such exercise. For purposes of this Warrant, in determining the number of outstanding shares of Common Stock, the Holder may rely on the number of outstanding shares of Common Stock as reflected in (x) the Company’s most recent Form 10-Q or Form 10-K, as the case may be, filed with the Commission prior to the Exercise Date, (y) a more recent public announcement by the Company or (z) any other notice by the Company or the Transfer Agent setting forth the number of shares of Common Stock outstanding. Upon the written request of the Holder, the Company shall within three</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(3) Trading Days confirm in writing or by electronic mail to the Holder the number of shares of Common Stock then outstanding. In any case, the</w:t>
      </w:r>
    </w:p>
    <w:p>
      <w:pPr>
        <w:sectPr>
          <w:pgSz w:w="11900" w:h="16838" w:orient="portrait"/>
          <w:cols w:equalWidth="0" w:num="1">
            <w:col w:w="11004"/>
          </w:cols>
          <w:pgMar w:left="436" w:top="274" w:right="459" w:bottom="1440" w:gutter="0" w:footer="0" w:header="0"/>
        </w:sectPr>
      </w:pPr>
    </w:p>
    <w:bookmarkStart w:id="54" w:name="page55"/>
    <w:bookmarkEnd w:id="54"/>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other percentage not in excess of 19.99% specified in such notice; provided that any such increase or decrease will not be effective until the sixty-first (61st) day after such notice is delivered to the Company. For purposes of this </w:t>
      </w:r>
      <w:r>
        <w:rPr>
          <w:rFonts w:ascii="Arial" w:cs="Arial" w:eastAsia="Arial" w:hAnsi="Arial"/>
          <w:sz w:val="17"/>
          <w:szCs w:val="17"/>
          <w:u w:val="single" w:color="auto"/>
          <w:color w:val="auto"/>
        </w:rPr>
        <w:t>Section 11(a)</w:t>
      </w:r>
      <w:r>
        <w:rPr>
          <w:rFonts w:ascii="Arial" w:cs="Arial" w:eastAsia="Arial" w:hAnsi="Arial"/>
          <w:sz w:val="17"/>
          <w:szCs w:val="17"/>
          <w:color w:val="auto"/>
        </w:rPr>
        <w:t>, the aggregate number of shares of Common Stock or voting securities beneficially owned by the Holder and its Affiliates and any other Persons whose beneficial ownership of Common Stock would be aggregated with the Holder’s for purposes of Section 13(d) of the Exchange Act shall include the shares of Common Stock issuable upon the exercise of this Warrant with respect to which such determination is being made, but shall exclude the number of shares of Common Stock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is subject to a limitation on conversion or exercise analogous to the limitation contained herein and is beneficially owned by the Holder or any of its Affiliates and other Persons whose beneficial ownership of Common Stock would be aggregated with the Holder’s for purposes of Section 13(d) of the Exchange Act.</w:t>
      </w:r>
    </w:p>
    <w:p>
      <w:pPr>
        <w:spacing w:after="0" w:line="74" w:lineRule="exact"/>
        <w:rPr>
          <w:sz w:val="20"/>
          <w:szCs w:val="20"/>
          <w:color w:val="auto"/>
        </w:rPr>
      </w:pPr>
    </w:p>
    <w:p>
      <w:pPr>
        <w:jc w:val="both"/>
        <w:ind w:left="4" w:right="140" w:hanging="4"/>
        <w:spacing w:after="0" w:line="263" w:lineRule="auto"/>
        <w:tabs>
          <w:tab w:leader="none" w:pos="259"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not restrict the number of shares of Common Stock which a Holder may receive or beneficially own in order to determine the amount of securities or other consideration that such Holder may receive in the event of a Fundamental Transaction as contemplated in </w:t>
      </w:r>
      <w:r>
        <w:rPr>
          <w:rFonts w:ascii="Arial" w:cs="Arial" w:eastAsia="Arial" w:hAnsi="Arial"/>
          <w:sz w:val="18"/>
          <w:szCs w:val="18"/>
          <w:u w:val="single" w:color="auto"/>
          <w:color w:val="auto"/>
        </w:rPr>
        <w:t>Section 9(c)</w:t>
      </w:r>
      <w:r>
        <w:rPr>
          <w:rFonts w:ascii="Arial" w:cs="Arial" w:eastAsia="Arial" w:hAnsi="Arial"/>
          <w:sz w:val="18"/>
          <w:szCs w:val="18"/>
          <w:color w:val="auto"/>
        </w:rPr>
        <w:t xml:space="preserve"> of this Warrant.</w:t>
      </w:r>
    </w:p>
    <w:p>
      <w:pPr>
        <w:spacing w:after="0" w:line="76" w:lineRule="exact"/>
        <w:rPr>
          <w:sz w:val="20"/>
          <w:szCs w:val="20"/>
          <w:color w:val="auto"/>
        </w:rPr>
      </w:pPr>
    </w:p>
    <w:p>
      <w:pPr>
        <w:jc w:val="both"/>
        <w:ind w:left="4" w:right="220" w:hanging="4"/>
        <w:spacing w:after="0" w:line="286" w:lineRule="auto"/>
        <w:tabs>
          <w:tab w:leader="none" w:pos="274"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No Fractional Shares</w:t>
      </w:r>
      <w:r>
        <w:rPr>
          <w:rFonts w:ascii="Arial" w:cs="Arial" w:eastAsia="Arial" w:hAnsi="Arial"/>
          <w:sz w:val="17"/>
          <w:szCs w:val="17"/>
          <w:color w:val="auto"/>
        </w:rPr>
        <w:t>. No fractional Warrant Shares will be issued in connection with any exercise of this Warrant. In lieu of any fractional shares</w:t>
      </w:r>
      <w:r>
        <w:rPr>
          <w:rFonts w:ascii="Arial" w:cs="Arial" w:eastAsia="Arial" w:hAnsi="Arial"/>
          <w:sz w:val="17"/>
          <w:szCs w:val="17"/>
          <w:i w:val="1"/>
          <w:iCs w:val="1"/>
          <w:color w:val="auto"/>
        </w:rPr>
        <w:t xml:space="preserve"> </w:t>
      </w:r>
      <w:r>
        <w:rPr>
          <w:rFonts w:ascii="Arial" w:cs="Arial" w:eastAsia="Arial" w:hAnsi="Arial"/>
          <w:sz w:val="17"/>
          <w:szCs w:val="17"/>
          <w:color w:val="auto"/>
        </w:rPr>
        <w:t>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57" w:lineRule="exact"/>
        <w:rPr>
          <w:rFonts w:ascii="Arial" w:cs="Arial" w:eastAsia="Arial" w:hAnsi="Arial"/>
          <w:sz w:val="17"/>
          <w:szCs w:val="17"/>
          <w:color w:val="auto"/>
        </w:rPr>
      </w:pPr>
    </w:p>
    <w:p>
      <w:pPr>
        <w:ind w:left="4" w:right="20" w:hanging="4"/>
        <w:spacing w:after="0" w:line="290" w:lineRule="auto"/>
        <w:tabs>
          <w:tab w:leader="none" w:pos="274"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Any and all notices or other communications or deliveries hereunder (including, without limitation, any Exercise Notice) shall be in writing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shall be deemed given and effective on the earliest of (i) the date of transmission, if such notice or communication is delivered via confirmed e-mail prior to 5:30 P.M., New York City time, on a Trading Day so long as the sender of an e-mail has not received an automated notice of delivery failure from the proposed recipient’s computer server, (ii) the next Trading Day after the date of transmission, if such notice or communication is delivered via confirmed e-mail on a day that is not a Trading Day or later than 5:30 P.M., New York City time, on any Trading Day so long as the sender of an e-mail has not received an automated notice of delivery failure from the proposed recipient’s computer server, (iii) the Trading Day following the date of mailing, if sent by nationally recognized overnight courier service specifying next business day delivery, or (iv) upon actual receipt by the Person to whom such notice is required to be given, if by hand delivery. The addresses and e-mail addresses for such communications shall be:</w:t>
      </w:r>
    </w:p>
    <w:p>
      <w:pPr>
        <w:spacing w:after="0" w:line="57"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ALX Oncology Holdings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323 Allerton Avenue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-19050</wp:posOffset>
            </wp:positionV>
            <wp:extent cx="285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Email: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-19050</wp:posOffset>
            </wp:positionV>
            <wp:extent cx="285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91"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to the Holder, to its address or e-mail address set forth herein or on the books and records of the Company.</w:t>
      </w:r>
    </w:p>
    <w:p>
      <w:pPr>
        <w:spacing w:after="0" w:line="225"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Or, in each of the above instances, to such other address or e-mail address as the recipient party has specified by written notice given to each other party at least five (5) days prior to the effectiveness of such change.</w:t>
      </w:r>
    </w:p>
    <w:p>
      <w:pPr>
        <w:sectPr>
          <w:pgSz w:w="11900" w:h="16838" w:orient="portrait"/>
          <w:cols w:equalWidth="0" w:num="1">
            <w:col w:w="10984"/>
          </w:cols>
          <w:pgMar w:left="436" w:top="274" w:right="479" w:bottom="1440" w:gutter="0" w:footer="0" w:header="0"/>
        </w:sectPr>
      </w:pPr>
    </w:p>
    <w:bookmarkStart w:id="55" w:name="page56"/>
    <w:bookmarkEnd w:id="55"/>
    <w:p>
      <w:pPr>
        <w:ind w:left="264" w:hanging="264"/>
        <w:spacing w:after="0"/>
        <w:tabs>
          <w:tab w:leader="none" w:pos="264"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Warrant Agent</w:t>
      </w:r>
      <w:r>
        <w:rPr>
          <w:rFonts w:ascii="Arial" w:cs="Arial" w:eastAsia="Arial" w:hAnsi="Arial"/>
          <w:sz w:val="16"/>
          <w:szCs w:val="16"/>
          <w:color w:val="auto"/>
        </w:rPr>
        <w:t>. The Company shall initially serve as warrant agent under this Warrant. Upon thirty (30) days’ notice to the Holder, the Company</w:t>
      </w:r>
    </w:p>
    <w:p>
      <w:pPr>
        <w:spacing w:after="0" w:line="46" w:lineRule="exact"/>
        <w:rPr>
          <w:rFonts w:ascii="Arial" w:cs="Arial" w:eastAsia="Arial" w:hAnsi="Arial"/>
          <w:sz w:val="16"/>
          <w:szCs w:val="16"/>
          <w:color w:val="auto"/>
        </w:rPr>
      </w:pPr>
    </w:p>
    <w:p>
      <w:pPr>
        <w:ind w:left="4" w:right="40"/>
        <w:spacing w:after="0" w:line="271" w:lineRule="auto"/>
        <w:rPr>
          <w:rFonts w:ascii="Arial" w:cs="Arial" w:eastAsia="Arial" w:hAnsi="Arial"/>
          <w:sz w:val="16"/>
          <w:szCs w:val="16"/>
          <w:color w:val="auto"/>
        </w:rPr>
      </w:pPr>
      <w:r>
        <w:rPr>
          <w:rFonts w:ascii="Arial" w:cs="Arial" w:eastAsia="Arial" w:hAnsi="Arial"/>
          <w:sz w:val="17"/>
          <w:szCs w:val="17"/>
          <w:color w:val="auto"/>
        </w:rPr>
        <w:t>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70" w:lineRule="exact"/>
        <w:rPr>
          <w:rFonts w:ascii="Arial" w:cs="Arial" w:eastAsia="Arial" w:hAnsi="Arial"/>
          <w:sz w:val="16"/>
          <w:szCs w:val="16"/>
          <w:color w:val="auto"/>
        </w:rPr>
      </w:pPr>
    </w:p>
    <w:p>
      <w:pPr>
        <w:ind w:left="264" w:hanging="264"/>
        <w:spacing w:after="0"/>
        <w:tabs>
          <w:tab w:leader="none" w:pos="264"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left="4" w:hanging="4"/>
        <w:spacing w:after="0" w:line="270" w:lineRule="auto"/>
        <w:tabs>
          <w:tab w:leader="none" w:pos="248"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No Rights as a Stockholder</w:t>
      </w:r>
      <w:r>
        <w:rPr>
          <w:rFonts w:ascii="Arial" w:cs="Arial" w:eastAsia="Arial" w:hAnsi="Arial"/>
          <w:sz w:val="17"/>
          <w:szCs w:val="17"/>
          <w:color w:val="auto"/>
        </w:rPr>
        <w:t>. The Holder, solely in such Person’s capacity as a holder of this Warrant, shall not be entitled to vote or, except as provided herein, receive dividends or be deemed the holder of share capital of the Company for any purpose (other than for tax purposes),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except as provided herein,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72" w:lineRule="exact"/>
        <w:rPr>
          <w:rFonts w:ascii="Arial" w:cs="Arial" w:eastAsia="Arial" w:hAnsi="Arial"/>
          <w:sz w:val="17"/>
          <w:szCs w:val="17"/>
          <w:color w:val="auto"/>
        </w:rPr>
      </w:pPr>
    </w:p>
    <w:p>
      <w:pPr>
        <w:ind w:left="4" w:right="60" w:hanging="4"/>
        <w:spacing w:after="0" w:line="289" w:lineRule="auto"/>
        <w:tabs>
          <w:tab w:leader="none" w:pos="259"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Authorized Shares</w:t>
      </w:r>
      <w:r>
        <w:rPr>
          <w:rFonts w:ascii="Arial" w:cs="Arial" w:eastAsia="Arial" w:hAnsi="Arial"/>
          <w:sz w:val="16"/>
          <w:szCs w:val="16"/>
          <w:color w:val="auto"/>
        </w:rPr>
        <w:t>.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58" w:lineRule="exact"/>
        <w:rPr>
          <w:rFonts w:ascii="Arial" w:cs="Arial" w:eastAsia="Arial" w:hAnsi="Arial"/>
          <w:sz w:val="16"/>
          <w:szCs w:val="16"/>
          <w:color w:val="auto"/>
        </w:rPr>
      </w:pPr>
    </w:p>
    <w:p>
      <w:pPr>
        <w:ind w:left="4" w:right="20" w:hanging="4"/>
        <w:spacing w:after="0" w:line="296" w:lineRule="auto"/>
        <w:tabs>
          <w:tab w:leader="none" w:pos="248"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pacing w:after="0" w:line="53" w:lineRule="exact"/>
        <w:rPr>
          <w:rFonts w:ascii="Arial" w:cs="Arial" w:eastAsia="Arial" w:hAnsi="Arial"/>
          <w:sz w:val="16"/>
          <w:szCs w:val="16"/>
          <w:color w:val="auto"/>
        </w:rPr>
      </w:pPr>
    </w:p>
    <w:p>
      <w:pPr>
        <w:ind w:left="264" w:hanging="264"/>
        <w:spacing w:after="0"/>
        <w:tabs>
          <w:tab w:leader="none" w:pos="264"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the Warrants may be amended and the Company may take any</w:t>
      </w:r>
    </w:p>
    <w:p>
      <w:pPr>
        <w:spacing w:after="0" w:line="46" w:lineRule="exact"/>
        <w:rPr>
          <w:rFonts w:ascii="Arial" w:cs="Arial" w:eastAsia="Arial" w:hAnsi="Arial"/>
          <w:sz w:val="16"/>
          <w:szCs w:val="16"/>
          <w:color w:val="auto"/>
        </w:rPr>
      </w:pPr>
    </w:p>
    <w:p>
      <w:pPr>
        <w:ind w:left="4" w:right="200"/>
        <w:spacing w:after="0" w:line="260" w:lineRule="auto"/>
        <w:rPr>
          <w:rFonts w:ascii="Arial" w:cs="Arial" w:eastAsia="Arial" w:hAnsi="Arial"/>
          <w:sz w:val="16"/>
          <w:szCs w:val="16"/>
          <w:color w:val="auto"/>
        </w:rPr>
      </w:pPr>
      <w:r>
        <w:rPr>
          <w:rFonts w:ascii="Arial" w:cs="Arial" w:eastAsia="Arial" w:hAnsi="Arial"/>
          <w:sz w:val="18"/>
          <w:szCs w:val="18"/>
          <w:color w:val="auto"/>
        </w:rPr>
        <w:t>action herein prohibited, or omit to perform any act herein required to be performed by it, only if the Company has obtained the written consent of the Holder.</w:t>
      </w:r>
    </w:p>
    <w:p>
      <w:pPr>
        <w:spacing w:after="0" w:line="77" w:lineRule="exact"/>
        <w:rPr>
          <w:rFonts w:ascii="Arial" w:cs="Arial" w:eastAsia="Arial" w:hAnsi="Arial"/>
          <w:sz w:val="16"/>
          <w:szCs w:val="16"/>
          <w:color w:val="auto"/>
        </w:rPr>
      </w:pPr>
    </w:p>
    <w:p>
      <w:pPr>
        <w:ind w:left="244" w:hanging="244"/>
        <w:spacing w:after="0"/>
        <w:tabs>
          <w:tab w:leader="none" w:pos="244"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Acceptance</w:t>
      </w:r>
      <w:r>
        <w:rPr>
          <w:rFonts w:ascii="Arial" w:cs="Arial" w:eastAsia="Arial" w:hAnsi="Arial"/>
          <w:sz w:val="16"/>
          <w:szCs w:val="16"/>
          <w:color w:val="auto"/>
        </w:rPr>
        <w:t>. Receipt of this Warrant by the Holder shall constitute acceptance of and agreement to all of the terms and conditions contained herein.</w:t>
      </w:r>
    </w:p>
    <w:p>
      <w:pPr>
        <w:spacing w:after="0" w:line="140" w:lineRule="exact"/>
        <w:rPr>
          <w:rFonts w:ascii="Arial" w:cs="Arial" w:eastAsia="Arial" w:hAnsi="Arial"/>
          <w:sz w:val="16"/>
          <w:szCs w:val="16"/>
          <w:color w:val="auto"/>
        </w:rPr>
      </w:pPr>
    </w:p>
    <w:p>
      <w:pPr>
        <w:ind w:left="4" w:right="60" w:hanging="4"/>
        <w:spacing w:after="0" w:line="254" w:lineRule="auto"/>
        <w:tabs>
          <w:tab w:leader="none" w:pos="229"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Tax Treatment</w:t>
      </w:r>
      <w:r>
        <w:rPr>
          <w:rFonts w:ascii="Arial" w:cs="Arial" w:eastAsia="Arial" w:hAnsi="Arial"/>
          <w:sz w:val="18"/>
          <w:szCs w:val="18"/>
          <w:color w:val="auto"/>
        </w:rPr>
        <w:t>. The Holder and the Company intend that the Warrant be treated for United States federal and state income tax purposes as capital stock of the Company and (ii) that the exercise of the Warrant for common stock of the Company be treated as a “reorganization” within the meaning of Section 368(a) of the Internal Revenue Code of 1986 (the “</w:t>
      </w:r>
      <w:r>
        <w:rPr>
          <w:rFonts w:ascii="Arial" w:cs="Arial" w:eastAsia="Arial" w:hAnsi="Arial"/>
          <w:sz w:val="18"/>
          <w:szCs w:val="18"/>
          <w:b w:val="1"/>
          <w:bCs w:val="1"/>
          <w:color w:val="auto"/>
        </w:rPr>
        <w:t>Code</w:t>
      </w:r>
      <w:r>
        <w:rPr>
          <w:rFonts w:ascii="Arial" w:cs="Arial" w:eastAsia="Arial" w:hAnsi="Arial"/>
          <w:sz w:val="18"/>
          <w:szCs w:val="18"/>
          <w:color w:val="auto"/>
        </w:rPr>
        <w:t>”), such treatment described in this sentence, the “</w:t>
      </w:r>
      <w:r>
        <w:rPr>
          <w:rFonts w:ascii="Arial" w:cs="Arial" w:eastAsia="Arial" w:hAnsi="Arial"/>
          <w:sz w:val="18"/>
          <w:szCs w:val="18"/>
          <w:b w:val="1"/>
          <w:bCs w:val="1"/>
          <w:color w:val="auto"/>
        </w:rPr>
        <w:t>Intended Tax Treatment</w:t>
      </w:r>
      <w:r>
        <w:rPr>
          <w:rFonts w:ascii="Arial" w:cs="Arial" w:eastAsia="Arial" w:hAnsi="Arial"/>
          <w:sz w:val="18"/>
          <w:szCs w:val="18"/>
          <w:color w:val="auto"/>
        </w:rPr>
        <w:t>”. Absent a contrary “determination” (within the meaning of Section 1313(a) of the Code or any corresponding provision of state income tax law) the Holder and the Company shall file all relevant income tax returns consistent with the Intended Tax Treatment, shall notify the other party of any challenge to such treatment by a taxing authority, and shall use reasonable efforts to defend such treatment in connection with any United States federal or state income tax audit or other proceeding.</w:t>
      </w:r>
    </w:p>
    <w:p>
      <w:pPr>
        <w:sectPr>
          <w:pgSz w:w="11900" w:h="16838" w:orient="portrait"/>
          <w:cols w:equalWidth="0" w:num="1">
            <w:col w:w="11004"/>
          </w:cols>
          <w:pgMar w:left="436" w:top="274" w:right="459" w:bottom="1440" w:gutter="0" w:footer="0" w:header="0"/>
        </w:sectPr>
      </w:pPr>
    </w:p>
    <w:bookmarkStart w:id="56" w:name="page57"/>
    <w:bookmarkEnd w:id="56"/>
    <w:p>
      <w:pPr>
        <w:ind w:left="4" w:hanging="4"/>
        <w:spacing w:after="0" w:line="268" w:lineRule="auto"/>
        <w:tabs>
          <w:tab w:leader="none" w:pos="259"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 Jurisdiction</w:t>
      </w:r>
      <w:r>
        <w:rPr>
          <w:rFonts w:ascii="Arial" w:cs="Arial" w:eastAsia="Arial" w:hAnsi="Arial"/>
          <w:sz w:val="17"/>
          <w:szCs w:val="17"/>
          <w:color w:val="auto"/>
        </w:rPr>
        <w:t>. ALL QUESTIONS CONCERNING THE CONSTRUCTION, VALIDITY, ENFORCEMENT AND INTERPRETATION OF THIS WARRANT SHALL BE GOVERNED BY AND CONSTRUED AND ENFORCED IN ACCORDANCE WITH THE LAWS OF THE STATE OF DELAWARE WITHOUT REGARD TO THE PRINCIPLES OF CONFLICTS OF LAW THEREOF. EACH OF THE COMPANY AND THE HOLDER HEREBY IRREVOCABLY SUBMITS TO THE EXCLUSIVE JURISDICTION OF THE STATE AND FEDERAL COURTS SITTING IN THE STATE OF DELAWARE, BOROUGH OF MANHATTAN, FOR THE ADJUDICATION OF ANY DISPUTE HEREUNDER OR IN CONNECTION HEREWITH OR WITH ANY TRANSACTION CONTEMPLATED HEREBY OR DISCUSSED HEREIN (INCLUDING WITH RESPECT TO THE ENFORCEMENT OF THE WARRANT OR ANY OF THE DOCUMENTS DELIVERED HEREUNDER),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73" w:lineRule="exact"/>
        <w:rPr>
          <w:rFonts w:ascii="Arial" w:cs="Arial" w:eastAsia="Arial" w:hAnsi="Arial"/>
          <w:sz w:val="17"/>
          <w:szCs w:val="17"/>
          <w:color w:val="auto"/>
        </w:rPr>
      </w:pPr>
    </w:p>
    <w:p>
      <w:pPr>
        <w:ind w:left="4" w:right="60" w:hanging="4"/>
        <w:spacing w:after="0" w:line="277" w:lineRule="auto"/>
        <w:tabs>
          <w:tab w:leader="none" w:pos="259"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Warrant and shall not be deemed to limit or affect any of the provisions hereof.</w:t>
      </w:r>
    </w:p>
    <w:p>
      <w:pPr>
        <w:spacing w:after="0" w:line="62" w:lineRule="exact"/>
        <w:rPr>
          <w:rFonts w:ascii="Arial" w:cs="Arial" w:eastAsia="Arial" w:hAnsi="Arial"/>
          <w:sz w:val="18"/>
          <w:szCs w:val="18"/>
          <w:color w:val="auto"/>
        </w:rPr>
      </w:pPr>
    </w:p>
    <w:p>
      <w:pPr>
        <w:ind w:left="4" w:right="20" w:hanging="4"/>
        <w:spacing w:after="0" w:line="259" w:lineRule="auto"/>
        <w:tabs>
          <w:tab w:leader="none" w:pos="219"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spacing w:after="0" w:line="18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0984"/>
          </w:cols>
          <w:pgMar w:left="436" w:top="274" w:right="47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duly executed by its authorized officer as of the date first indicated above.</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ALX ONCOLOGY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080"/>
        <w:spacing w:after="0"/>
        <w:rPr>
          <w:sz w:val="20"/>
          <w:szCs w:val="20"/>
          <w:color w:val="auto"/>
        </w:rPr>
      </w:pPr>
      <w:r>
        <w:rPr>
          <w:rFonts w:ascii="Arial" w:cs="Arial" w:eastAsia="Arial" w:hAnsi="Arial"/>
          <w:sz w:val="18"/>
          <w:szCs w:val="18"/>
          <w:i w:val="1"/>
          <w:iCs w:val="1"/>
          <w:color w:val="auto"/>
        </w:rPr>
        <w:t>[Signature Page to Prefunded Warrant]</w:t>
      </w:r>
    </w:p>
    <w:p>
      <w:pPr>
        <w:sectPr>
          <w:pgSz w:w="11900" w:h="16838" w:orient="portrait"/>
          <w:cols w:equalWidth="0" w:num="1">
            <w:col w:w="10480"/>
          </w:cols>
          <w:pgMar w:left="440" w:top="274" w:right="979" w:bottom="1440" w:gutter="0" w:footer="0" w:header="0"/>
        </w:sectPr>
      </w:pPr>
    </w:p>
    <w:bookmarkStart w:id="58" w:name="page59"/>
    <w:bookmarkEnd w:id="58"/>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117"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FORM OF EXERCISE NOTICE</w:t>
      </w:r>
    </w:p>
    <w:p>
      <w:pPr>
        <w:spacing w:after="0" w:line="121"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[To be executed by the Holder to purchase Warrant Shares under the Warrant]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right="880" w:hanging="4"/>
        <w:spacing w:after="0" w:line="342" w:lineRule="auto"/>
        <w:tabs>
          <w:tab w:leader="none" w:pos="259"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undersigned is the Holder of Warrant No. ___ (the “Warrant”) issued by ALX Oncology Holdings Inc., a Delaware corporation (the “Company”). Capitalized terms used herein and not otherwise defined herein have the respective meanings set forth in the Warrant.</w:t>
      </w:r>
    </w:p>
    <w:p>
      <w:pPr>
        <w:spacing w:after="0" w:line="15" w:lineRule="exact"/>
        <w:rPr>
          <w:rFonts w:ascii="Arial" w:cs="Arial" w:eastAsia="Arial" w:hAnsi="Arial"/>
          <w:sz w:val="16"/>
          <w:szCs w:val="16"/>
          <w:color w:val="auto"/>
        </w:rPr>
      </w:pPr>
    </w:p>
    <w:p>
      <w:pPr>
        <w:ind w:left="264" w:hanging="264"/>
        <w:spacing w:after="0"/>
        <w:tabs>
          <w:tab w:leader="none" w:pos="2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undersigned hereby exercises its right to purchase Warrant Shares pursuant to the Warrant.</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Holder intends that payment of the Exercise Price shall be made as (check one):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71"/>
        </w:numPr>
        <w:rPr>
          <w:rFonts w:ascii="Arial" w:cs="Arial" w:eastAsia="Arial" w:hAnsi="Arial"/>
          <w:sz w:val="18"/>
          <w:szCs w:val="18"/>
          <w:color w:val="auto"/>
        </w:rPr>
      </w:pPr>
      <w:r>
        <w:rPr>
          <w:rFonts w:ascii="Arial" w:cs="Arial" w:eastAsia="Arial" w:hAnsi="Arial"/>
          <w:sz w:val="18"/>
          <w:szCs w:val="18"/>
          <w:color w:val="auto"/>
        </w:rPr>
        <w:t>“Cashless Exercise” under Section 10 of the Warrant (assumed election absent express election to the contrary)</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71"/>
        </w:numPr>
        <w:rPr>
          <w:rFonts w:ascii="Arial" w:cs="Arial" w:eastAsia="Arial" w:hAnsi="Arial"/>
          <w:sz w:val="18"/>
          <w:szCs w:val="18"/>
          <w:color w:val="auto"/>
        </w:rPr>
      </w:pPr>
      <w:r>
        <w:rPr>
          <w:rFonts w:ascii="Arial" w:cs="Arial" w:eastAsia="Arial" w:hAnsi="Arial"/>
          <w:sz w:val="18"/>
          <w:szCs w:val="18"/>
          <w:color w:val="auto"/>
        </w:rPr>
        <w:t>Cash Exercise</w:t>
      </w:r>
    </w:p>
    <w:p>
      <w:pPr>
        <w:spacing w:after="0" w:line="117" w:lineRule="exact"/>
        <w:rPr>
          <w:rFonts w:ascii="Arial" w:cs="Arial" w:eastAsia="Arial" w:hAnsi="Arial"/>
          <w:sz w:val="18"/>
          <w:szCs w:val="18"/>
          <w:color w:val="auto"/>
        </w:rPr>
      </w:pPr>
    </w:p>
    <w:p>
      <w:pPr>
        <w:ind w:left="4" w:right="640" w:hanging="4"/>
        <w:spacing w:after="0" w:line="277" w:lineRule="auto"/>
        <w:tabs>
          <w:tab w:leader="none" w:pos="259"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Holder has elected a Cash Exercise, the Holder shall pay the sum of $ __________ in immediately available funds to the Company in accordance with the terms of the Warrant.</w:t>
      </w:r>
    </w:p>
    <w:p>
      <w:pPr>
        <w:spacing w:after="0" w:line="62" w:lineRule="exact"/>
        <w:rPr>
          <w:rFonts w:ascii="Arial" w:cs="Arial" w:eastAsia="Arial" w:hAnsi="Arial"/>
          <w:sz w:val="18"/>
          <w:szCs w:val="18"/>
          <w:color w:val="auto"/>
        </w:rPr>
      </w:pPr>
    </w:p>
    <w:p>
      <w:pPr>
        <w:ind w:left="4" w:right="140" w:hanging="4"/>
        <w:spacing w:after="0" w:line="277" w:lineRule="auto"/>
        <w:tabs>
          <w:tab w:leader="none" w:pos="259" w:val="left"/>
        </w:tabs>
        <w:numPr>
          <w:ilvl w:val="0"/>
          <w:numId w:val="71"/>
        </w:numPr>
        <w:rPr>
          <w:rFonts w:ascii="Arial" w:cs="Arial" w:eastAsia="Arial" w:hAnsi="Arial"/>
          <w:sz w:val="18"/>
          <w:szCs w:val="18"/>
          <w:color w:val="auto"/>
        </w:rPr>
      </w:pPr>
      <w:r>
        <w:rPr>
          <w:rFonts w:ascii="Arial" w:cs="Arial" w:eastAsia="Arial" w:hAnsi="Arial"/>
          <w:sz w:val="18"/>
          <w:szCs w:val="18"/>
          <w:color w:val="auto"/>
        </w:rPr>
        <w:t>Pursuant to this Exercise Notice, the Company shall deliver to the Holder Warrant Shares determined in accordance with the terms of the Warrant. The Warrant Shares shall be delivered to the following DWAC Account Number:        </w:t>
      </w:r>
    </w:p>
    <w:p>
      <w:pPr>
        <w:spacing w:after="0" w:line="62" w:lineRule="exact"/>
        <w:rPr>
          <w:rFonts w:ascii="Arial" w:cs="Arial" w:eastAsia="Arial" w:hAnsi="Arial"/>
          <w:sz w:val="18"/>
          <w:szCs w:val="18"/>
          <w:color w:val="auto"/>
        </w:rPr>
      </w:pPr>
    </w:p>
    <w:p>
      <w:pPr>
        <w:ind w:left="4" w:hanging="4"/>
        <w:spacing w:after="0" w:line="257" w:lineRule="auto"/>
        <w:tabs>
          <w:tab w:leader="none" w:pos="259" w:val="left"/>
        </w:tabs>
        <w:numPr>
          <w:ilvl w:val="0"/>
          <w:numId w:val="71"/>
        </w:numPr>
        <w:rPr>
          <w:rFonts w:ascii="Arial" w:cs="Arial" w:eastAsia="Arial" w:hAnsi="Arial"/>
          <w:sz w:val="18"/>
          <w:szCs w:val="18"/>
          <w:color w:val="auto"/>
        </w:rPr>
      </w:pPr>
      <w:r>
        <w:rPr>
          <w:rFonts w:ascii="Arial" w:cs="Arial" w:eastAsia="Arial" w:hAnsi="Arial"/>
          <w:sz w:val="18"/>
          <w:szCs w:val="18"/>
          <w:color w:val="auto"/>
        </w:rPr>
        <w:t>By its delivery of this Exercise Notice, the undersigned represents and warrants to the Company that in giving effect to the exercise evidenced hereby the Holder, its Affiliates and any other Person whose beneficial ownership of Common Stock would be aggregated with the Holder’s for purposes of Section 13(d) of the Exchange Act will not beneficially own in excess of the number of shares of Common Stock (as determined in accordance with Section 13(d) of the Securities Exchange Act of 1934, as amended) permitted to be owned under Section 11(a) of the Warrant to which this notice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-788035</wp:posOffset>
            </wp:positionV>
            <wp:extent cx="13201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9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-10160</wp:posOffset>
            </wp:positionV>
            <wp:extent cx="24276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27605" cy="8255"/>
                    </a:xfrm>
                    <a:prstGeom prst="rect">
                      <a:avLst/>
                    </a:prstGeom>
                    <a:noFill/>
                  </pic:spPr>
                </pic:pic>
              </a:graphicData>
            </a:graphic>
          </wp:anchor>
        </w:drawing>
      </w:r>
    </w:p>
    <w:p>
      <w:pPr>
        <w:spacing w:after="0" w:line="97"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of Holder: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-10160</wp:posOffset>
            </wp:positionV>
            <wp:extent cx="18567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spacing w:after="0" w:line="97"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-10160</wp:posOffset>
            </wp:positionV>
            <wp:extent cx="25990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99055" cy="8890"/>
                    </a:xfrm>
                    <a:prstGeom prst="rect">
                      <a:avLst/>
                    </a:prstGeom>
                    <a:noFill/>
                  </pic:spPr>
                </pic:pic>
              </a:graphicData>
            </a:graphic>
          </wp:anchor>
        </w:drawing>
      </w:r>
    </w:p>
    <w:p>
      <w:pPr>
        <w:spacing w:after="0" w:line="97"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-10160</wp:posOffset>
            </wp:positionV>
            <wp:extent cx="24276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27605" cy="8255"/>
                    </a:xfrm>
                    <a:prstGeom prst="rect">
                      <a:avLst/>
                    </a:prstGeom>
                    <a:noFill/>
                  </pic:spPr>
                </pic:pic>
              </a:graphicData>
            </a:graphic>
          </wp:anchor>
        </w:drawing>
      </w:r>
    </w:p>
    <w:p>
      <w:pPr>
        <w:spacing w:after="0" w:line="97" w:lineRule="exact"/>
        <w:rPr>
          <w:sz w:val="20"/>
          <w:szCs w:val="20"/>
          <w:color w:val="auto"/>
        </w:rPr>
      </w:pPr>
    </w:p>
    <w:p>
      <w:pPr>
        <w:ind w:left="4"/>
        <w:spacing w:after="0"/>
        <w:rPr>
          <w:sz w:val="20"/>
          <w:szCs w:val="20"/>
          <w:color w:val="auto"/>
        </w:rPr>
      </w:pPr>
      <w:r>
        <w:rPr>
          <w:rFonts w:ascii="Arial" w:cs="Arial" w:eastAsia="Arial" w:hAnsi="Arial"/>
          <w:sz w:val="18"/>
          <w:szCs w:val="18"/>
          <w:color w:val="auto"/>
        </w:rPr>
        <w:t>Title: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-10160</wp:posOffset>
            </wp:positionV>
            <wp:extent cx="25133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13330" cy="8890"/>
                    </a:xfrm>
                    <a:prstGeom prst="rect">
                      <a:avLst/>
                    </a:prstGeom>
                    <a:noFill/>
                  </pic:spPr>
                </pic:pic>
              </a:graphicData>
            </a:graphic>
          </wp:anchor>
        </w:drawing>
      </w:r>
    </w:p>
    <w:p>
      <w:pPr>
        <w:spacing w:after="0" w:line="205"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(Signature must conform in all respects to name of Holder as specified on the face of the Warrant)</w:t>
      </w:r>
    </w:p>
    <w:p>
      <w:pPr>
        <w:sectPr>
          <w:pgSz w:w="11900" w:h="16838" w:orient="portrait"/>
          <w:cols w:equalWidth="0" w:num="1">
            <w:col w:w="10924"/>
          </w:cols>
          <w:pgMar w:left="436" w:top="270" w:right="539" w:bottom="1440" w:gutter="0" w:footer="0" w:header="0"/>
        </w:sectPr>
      </w:pPr>
    </w:p>
    <w:bookmarkStart w:id="59" w:name="page60"/>
    <w:bookmarkEnd w:id="59"/>
    <w:p>
      <w:pPr>
        <w:ind w:left="10184"/>
        <w:spacing w:after="0"/>
        <w:rPr>
          <w:sz w:val="20"/>
          <w:szCs w:val="20"/>
          <w:color w:val="auto"/>
        </w:rPr>
      </w:pPr>
      <w:r>
        <w:rPr>
          <w:rFonts w:ascii="Arial" w:cs="Arial" w:eastAsia="Arial" w:hAnsi="Arial"/>
          <w:sz w:val="16"/>
          <w:szCs w:val="16"/>
          <w:b w:val="1"/>
          <w:bCs w:val="1"/>
          <w:color w:val="auto"/>
        </w:rPr>
        <w:t>Exhibit 5.1</w:t>
      </w:r>
    </w:p>
    <w:p>
      <w:pPr>
        <w:spacing w:after="0" w:line="279" w:lineRule="exact"/>
        <w:rPr>
          <w:sz w:val="20"/>
          <w:szCs w:val="20"/>
          <w:color w:val="auto"/>
        </w:rPr>
      </w:pPr>
    </w:p>
    <w:p>
      <w:pPr>
        <w:ind w:left="8164"/>
        <w:spacing w:after="0"/>
        <w:rPr>
          <w:sz w:val="20"/>
          <w:szCs w:val="20"/>
          <w:color w:val="auto"/>
        </w:rPr>
      </w:pPr>
      <w:r>
        <w:rPr>
          <w:rFonts w:ascii="Arial" w:cs="Arial" w:eastAsia="Arial" w:hAnsi="Arial"/>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097280" cy="411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spacing w:after="0" w:line="3" w:lineRule="exact"/>
        <w:rPr>
          <w:sz w:val="20"/>
          <w:szCs w:val="20"/>
          <w:color w:val="auto"/>
        </w:rPr>
      </w:pPr>
    </w:p>
    <w:p>
      <w:pPr>
        <w:ind w:left="8164"/>
        <w:spacing w:after="0"/>
        <w:rPr>
          <w:sz w:val="20"/>
          <w:szCs w:val="20"/>
          <w:color w:val="auto"/>
        </w:rPr>
      </w:pPr>
      <w:r>
        <w:rPr>
          <w:rFonts w:ascii="Arial" w:cs="Arial" w:eastAsia="Arial" w:hAnsi="Arial"/>
          <w:sz w:val="18"/>
          <w:szCs w:val="18"/>
          <w:color w:val="auto"/>
        </w:rPr>
        <w:t>Professional Corporation</w:t>
      </w:r>
    </w:p>
    <w:p>
      <w:pPr>
        <w:spacing w:after="0" w:line="116" w:lineRule="exact"/>
        <w:rPr>
          <w:sz w:val="20"/>
          <w:szCs w:val="20"/>
          <w:color w:val="auto"/>
        </w:rPr>
      </w:pPr>
    </w:p>
    <w:p>
      <w:pPr>
        <w:ind w:left="8164"/>
        <w:spacing w:after="0"/>
        <w:rPr>
          <w:sz w:val="20"/>
          <w:szCs w:val="20"/>
          <w:color w:val="auto"/>
        </w:rPr>
      </w:pPr>
      <w:r>
        <w:rPr>
          <w:rFonts w:ascii="Arial" w:cs="Arial" w:eastAsia="Arial" w:hAnsi="Arial"/>
          <w:sz w:val="18"/>
          <w:szCs w:val="18"/>
          <w:color w:val="auto"/>
        </w:rPr>
        <w:t>650 Page Mill Road</w:t>
      </w:r>
    </w:p>
    <w:p>
      <w:pPr>
        <w:spacing w:after="0" w:line="23" w:lineRule="exact"/>
        <w:rPr>
          <w:sz w:val="20"/>
          <w:szCs w:val="20"/>
          <w:color w:val="auto"/>
        </w:rPr>
      </w:pPr>
    </w:p>
    <w:p>
      <w:pPr>
        <w:ind w:left="8164"/>
        <w:spacing w:after="0"/>
        <w:rPr>
          <w:sz w:val="20"/>
          <w:szCs w:val="20"/>
          <w:color w:val="auto"/>
        </w:rPr>
      </w:pPr>
      <w:r>
        <w:rPr>
          <w:rFonts w:ascii="Arial" w:cs="Arial" w:eastAsia="Arial" w:hAnsi="Arial"/>
          <w:sz w:val="18"/>
          <w:szCs w:val="18"/>
          <w:color w:val="auto"/>
        </w:rPr>
        <w:t>Palo Alto, California 94304-1050</w:t>
      </w:r>
    </w:p>
    <w:p>
      <w:pPr>
        <w:spacing w:after="0" w:line="116" w:lineRule="exact"/>
        <w:rPr>
          <w:sz w:val="20"/>
          <w:szCs w:val="20"/>
          <w:color w:val="auto"/>
        </w:rPr>
      </w:pPr>
    </w:p>
    <w:p>
      <w:pPr>
        <w:ind w:left="8164"/>
        <w:spacing w:after="0"/>
        <w:rPr>
          <w:sz w:val="20"/>
          <w:szCs w:val="20"/>
          <w:color w:val="auto"/>
        </w:rPr>
      </w:pPr>
      <w:r>
        <w:rPr>
          <w:rFonts w:ascii="Arial" w:cs="Arial" w:eastAsia="Arial" w:hAnsi="Arial"/>
          <w:sz w:val="15"/>
          <w:szCs w:val="15"/>
          <w:color w:val="auto"/>
        </w:rPr>
        <w:t>O</w:t>
      </w:r>
      <w:r>
        <w:rPr>
          <w:rFonts w:ascii="Arial" w:cs="Arial" w:eastAsia="Arial" w:hAnsi="Arial"/>
          <w:sz w:val="17"/>
          <w:szCs w:val="17"/>
          <w:color w:val="auto"/>
        </w:rPr>
        <w:t>: 650.493.9300</w:t>
      </w:r>
    </w:p>
    <w:p>
      <w:pPr>
        <w:spacing w:after="0" w:line="35" w:lineRule="exact"/>
        <w:rPr>
          <w:sz w:val="20"/>
          <w:szCs w:val="20"/>
          <w:color w:val="auto"/>
        </w:rPr>
      </w:pPr>
    </w:p>
    <w:p>
      <w:pPr>
        <w:ind w:left="8164"/>
        <w:spacing w:after="0"/>
        <w:rPr>
          <w:sz w:val="20"/>
          <w:szCs w:val="20"/>
          <w:color w:val="auto"/>
        </w:rPr>
      </w:pPr>
      <w:r>
        <w:rPr>
          <w:rFonts w:ascii="Arial" w:cs="Arial" w:eastAsia="Arial" w:hAnsi="Arial"/>
          <w:sz w:val="15"/>
          <w:szCs w:val="15"/>
          <w:color w:val="auto"/>
        </w:rPr>
        <w:t>F</w:t>
      </w:r>
      <w:r>
        <w:rPr>
          <w:rFonts w:ascii="Arial" w:cs="Arial" w:eastAsia="Arial" w:hAnsi="Arial"/>
          <w:sz w:val="17"/>
          <w:szCs w:val="17"/>
          <w:color w:val="auto"/>
        </w:rPr>
        <w:t>: 650.493.6811</w:t>
      </w:r>
    </w:p>
    <w:p>
      <w:pPr>
        <w:spacing w:after="0" w:line="23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October 4,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ALX Oncology Holdings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323 Allerton Avenue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South San Francisco, California 94080</w:t>
      </w:r>
    </w:p>
    <w:p>
      <w:pPr>
        <w:spacing w:after="0" w:line="234"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u w:val="single" w:color="auto"/>
          <w:color w:val="auto"/>
        </w:rPr>
        <w:t>Follow-On Public Offering of ALX Oncology Holdings Inc.</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4" w:right="80"/>
        <w:spacing w:after="0" w:line="298" w:lineRule="auto"/>
        <w:rPr>
          <w:sz w:val="20"/>
          <w:szCs w:val="20"/>
          <w:color w:val="auto"/>
        </w:rPr>
      </w:pPr>
      <w:r>
        <w:rPr>
          <w:rFonts w:ascii="Arial" w:cs="Arial" w:eastAsia="Arial" w:hAnsi="Arial"/>
          <w:sz w:val="16"/>
          <w:szCs w:val="16"/>
          <w:color w:val="auto"/>
        </w:rPr>
        <w:t>We have acted as counsel to ALX Oncology Holdings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filing by the Company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on March 25, 2022 of a Registration Statement on Form S-3 (Registration No. 333-263863), as amended on May 13, 2022, under the Securities Act of 1933, as amended, and declared effective on May 25, 2022 (the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the prospectus contained within the Registration Statement (the “</w:t>
      </w:r>
      <w:r>
        <w:rPr>
          <w:rFonts w:ascii="Arial" w:cs="Arial" w:eastAsia="Arial" w:hAnsi="Arial"/>
          <w:sz w:val="16"/>
          <w:szCs w:val="16"/>
          <w:b w:val="1"/>
          <w:bCs w:val="1"/>
          <w:color w:val="auto"/>
        </w:rPr>
        <w:t>Base Prospectus</w:t>
      </w:r>
      <w:r>
        <w:rPr>
          <w:rFonts w:ascii="Arial" w:cs="Arial" w:eastAsia="Arial" w:hAnsi="Arial"/>
          <w:sz w:val="16"/>
          <w:szCs w:val="16"/>
          <w:color w:val="auto"/>
        </w:rPr>
        <w:t>”), and the prospectus supplement to the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dated October 4, 2023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and together with the Base Prospectus, the “</w:t>
      </w:r>
      <w:r>
        <w:rPr>
          <w:rFonts w:ascii="Arial" w:cs="Arial" w:eastAsia="Arial" w:hAnsi="Arial"/>
          <w:sz w:val="16"/>
          <w:szCs w:val="16"/>
          <w:b w:val="1"/>
          <w:bCs w:val="1"/>
          <w:color w:val="auto"/>
        </w:rPr>
        <w:t>Prospectus</w:t>
      </w:r>
      <w:r>
        <w:rPr>
          <w:rFonts w:ascii="Arial" w:cs="Arial" w:eastAsia="Arial" w:hAnsi="Arial"/>
          <w:sz w:val="16"/>
          <w:szCs w:val="16"/>
          <w:color w:val="auto"/>
        </w:rPr>
        <w:t>”).</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Prospectus Supplement relates to the offering of the Company of up to 7,370,690 shares of the Company’s common stock, $0.001 par value per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share (the “</w:t>
      </w:r>
      <w:r>
        <w:rPr>
          <w:rFonts w:ascii="Arial" w:cs="Arial" w:eastAsia="Arial" w:hAnsi="Arial"/>
          <w:sz w:val="16"/>
          <w:szCs w:val="16"/>
          <w:b w:val="1"/>
          <w:bCs w:val="1"/>
          <w:color w:val="auto"/>
        </w:rPr>
        <w:t>Shares</w:t>
      </w:r>
      <w:r>
        <w:rPr>
          <w:rFonts w:ascii="Arial" w:cs="Arial" w:eastAsia="Arial" w:hAnsi="Arial"/>
          <w:sz w:val="16"/>
          <w:szCs w:val="16"/>
          <w:color w:val="auto"/>
        </w:rPr>
        <w:t>”), including up to 1,293,103 shares that may be sold pursuant to exercise of an option to purchase additional shares granted to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underwriters, and pre-funded warrants (the “</w:t>
      </w:r>
      <w:r>
        <w:rPr>
          <w:rFonts w:ascii="Arial" w:cs="Arial" w:eastAsia="Arial" w:hAnsi="Arial"/>
          <w:sz w:val="17"/>
          <w:szCs w:val="17"/>
          <w:b w:val="1"/>
          <w:bCs w:val="1"/>
          <w:color w:val="auto"/>
        </w:rPr>
        <w:t>Warrants</w:t>
      </w:r>
      <w:r>
        <w:rPr>
          <w:rFonts w:ascii="Arial" w:cs="Arial" w:eastAsia="Arial" w:hAnsi="Arial"/>
          <w:sz w:val="17"/>
          <w:szCs w:val="17"/>
          <w:color w:val="auto"/>
        </w:rPr>
        <w:t>”) to purchase up to an aggregate of 1,250,000 shares of the Company’s common stock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Warrant Shares</w:t>
      </w:r>
      <w:r>
        <w:rPr>
          <w:rFonts w:ascii="Arial" w:cs="Arial" w:eastAsia="Arial" w:hAnsi="Arial"/>
          <w:sz w:val="16"/>
          <w:szCs w:val="16"/>
          <w:color w:val="auto"/>
        </w:rPr>
        <w:t>”). The offering of the Shares and the Warrants is being made pursuant to that certain underwriting agreement, dated October 4, 2023,</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by and among the Company and Piper Sandler &amp; Co. and Cantor Fitzgerald &amp; Co., as representatives of the several underwriters named therein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Underwriting Agreement</w:t>
      </w:r>
      <w:r>
        <w:rPr>
          <w:rFonts w:ascii="Arial" w:cs="Arial" w:eastAsia="Arial" w:hAnsi="Arial"/>
          <w:sz w:val="18"/>
          <w:szCs w:val="18"/>
          <w:color w:val="auto"/>
        </w:rPr>
        <w:t>”).</w:t>
      </w:r>
    </w:p>
    <w:p>
      <w:pPr>
        <w:spacing w:after="0" w:line="211" w:lineRule="exact"/>
        <w:rPr>
          <w:sz w:val="20"/>
          <w:szCs w:val="20"/>
          <w:color w:val="auto"/>
        </w:rPr>
      </w:pPr>
    </w:p>
    <w:p>
      <w:pPr>
        <w:ind w:left="4" w:right="80"/>
        <w:spacing w:after="0" w:line="286" w:lineRule="auto"/>
        <w:rPr>
          <w:sz w:val="20"/>
          <w:szCs w:val="20"/>
          <w:color w:val="auto"/>
        </w:rPr>
      </w:pPr>
      <w:r>
        <w:rPr>
          <w:rFonts w:ascii="Arial" w:cs="Arial" w:eastAsia="Arial" w:hAnsi="Arial"/>
          <w:sz w:val="16"/>
          <w:szCs w:val="16"/>
          <w:color w:val="auto"/>
        </w:rPr>
        <w:t>We have examined copies of the Registration Statement, together with the documents incorporated by reference therein, and the Prospectus. In addition, we have examined originals or copies, certified or otherwise identified to our satisfaction, of such other instruments, documents, certificates and records which we have deemed relevant and necessary for the basis of our opinion hereinafter expressed. In such examination, we have assumed: (i) the authenticity of original documents and the genuineness of all signatures; (ii) the conformity to the originals of all documents submitted to us as copies;</w:t>
      </w:r>
    </w:p>
    <w:p>
      <w:pPr>
        <w:spacing w:after="0" w:line="1" w:lineRule="exact"/>
        <w:rPr>
          <w:sz w:val="20"/>
          <w:szCs w:val="20"/>
          <w:color w:val="auto"/>
        </w:rPr>
      </w:pPr>
    </w:p>
    <w:p>
      <w:pPr>
        <w:ind w:left="4" w:right="140" w:hanging="4"/>
        <w:spacing w:after="0" w:line="288" w:lineRule="auto"/>
        <w:tabs>
          <w:tab w:leader="none" w:pos="319"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truth, accuracy and completeness of the information, representations and warranties contained in the records, documents, instruments and certificates we have reviewed; (iv) that the Underwriting Agreement has been duly authorized and validly executed and delivered by the parties thereto (other than the Company); (v) that the Shares, the Warrants and the Warrant Shares will be issued and sold in compliance with applicable U.S. federal and state securities laws and in the manner stated in the Registration Statement and the Prospectus; (vi) that any Warrant Shares issuable upon exercise of the Warrants being offered will be duly authorized, created and, if appropriate, reserved for issuance upon such conversion, exchange, redemption or exercise; (vii) with respect to the Shares offered by the Company, that there will be sufficient shares of common stock authorized under the Company’s organizational documents that are not otherwise reserved for issuance; and (viii) the legal capacity of all natural persons.</w:t>
      </w:r>
    </w:p>
    <w:p>
      <w:pPr>
        <w:spacing w:after="0" w:line="96" w:lineRule="exact"/>
        <w:rPr>
          <w:sz w:val="20"/>
          <w:szCs w:val="20"/>
          <w:color w:val="auto"/>
        </w:rPr>
      </w:pPr>
    </w:p>
    <w:p>
      <w:pPr>
        <w:jc w:val="center"/>
        <w:ind w:right="16"/>
        <w:spacing w:after="0" w:line="414" w:lineRule="auto"/>
        <w:rPr>
          <w:sz w:val="20"/>
          <w:szCs w:val="20"/>
          <w:color w:val="auto"/>
        </w:rPr>
      </w:pPr>
      <w:r>
        <w:rPr>
          <w:rFonts w:ascii="Arial" w:cs="Arial" w:eastAsia="Arial" w:hAnsi="Arial"/>
          <w:sz w:val="14"/>
          <w:szCs w:val="14"/>
          <w:color w:val="auto"/>
        </w:rPr>
        <w:t>AUSTIN   BEIJING   BOSTON   BOULDER   BRUSSELS   HONG KONG   LONDON   LOS ANGELES   NEW YORK   PALO ALTO SALT LAKE CITY   SAN DIEGO   SAN FRANCISCO   SEATTLE   SHANGHAI   WASHINGTON, DC   WILMINGTON, DE</w:t>
      </w:r>
    </w:p>
    <w:p>
      <w:pPr>
        <w:sectPr>
          <w:pgSz w:w="11900" w:h="16838" w:orient="portrait"/>
          <w:cols w:equalWidth="0" w:num="1">
            <w:col w:w="11024"/>
          </w:cols>
          <w:pgMar w:left="436" w:top="121" w:right="4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48640" cy="205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ALX Oncology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4,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Based on and subject to the foregoing, we are of the opinion that (i) the Shares have been duly authorized by the Company and, when issued and delivered by the Company against payment therefor in accordance with the terms of the Underwriting Agreement, will be validly issued, fully paid and nonassessable; (ii) the Warrants have been duly authorized by the Company and, when issued, delivered and paid for in accordance with the terms of the Underwriting Agreement, will constitute valid and legally binding obligations of the Company; and (iii) the Warrant Shares have been duly authorized by the Company and, when issued and delivered by the Company upon exercise of the Warrants in accordance with the terms of the Warrants, will be validly issued, fully paid and nonassessable.</w:t>
      </w:r>
    </w:p>
    <w:p>
      <w:pPr>
        <w:spacing w:after="0" w:line="19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express no opinion herein as to the laws of any state or jurisdiction other than the General Corporation Law of the State of Delaware (including the statutory provisions and all applicable judicial decisions interpreting those laws) and the federal laws of the United States of America.</w:t>
      </w:r>
    </w:p>
    <w:p>
      <w:pPr>
        <w:spacing w:after="0" w:line="12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express no opinion as to (i) the effect of any bankruptcy, insolvency, reorganization, arrangement, fraudulent conveyance, moratorium or other similar laws relating to or affecting the rights of creditors generally, (ii) rights to indemnification and contribution which may be limited by applicable law or equitable principles, or (iii) the effect of general principles of equity, including, without limitation, concepts of materiality, reasonableness, good faith and fair dealing, the effect of judicial discretion and the possible unavailability of specific performance, injunctive relief or other equitable relief, and the limitations on rights of acceleration, whether considered in a proceeding in equity or at law.</w:t>
      </w:r>
    </w:p>
    <w:p>
      <w:pPr>
        <w:spacing w:after="0" w:line="17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hereby consent to the filing of this opinion as an exhibit to the Company’s Current Report on Form 8-K filed on or about the date hereof for incorporation by reference into the Registration Statement and to the use of our name wherever it appears in the Registration Statement, the Prospectus and in any amendment or supplement thereto. In giving such consent, we do not believe that we are “experts” within the meaning of such term as used in the Securities Act of 1933, as amended, or the rules and regulations of the Commission issued thereunder with respect to any part of the Registration Statement, including this opinion as an exhibit or otherwise.</w:t>
      </w:r>
    </w:p>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Wilson Sonsini Goodrich &amp; Rosati</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0980"/>
          </w:cols>
          <w:pgMar w:left="440" w:top="706" w:right="47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2731770</wp:posOffset>
            </wp:positionH>
            <wp:positionV relativeFrom="paragraph">
              <wp:posOffset>171450</wp:posOffset>
            </wp:positionV>
            <wp:extent cx="1525905" cy="685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2590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ALX Oncology Announces Pricing of Public Offering</w:t>
      </w:r>
    </w:p>
    <w:p>
      <w:pPr>
        <w:spacing w:after="0" w:line="22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b w:val="1"/>
          <w:bCs w:val="1"/>
          <w:color w:val="auto"/>
        </w:rPr>
        <w:t xml:space="preserve">SOUTH SAN FRANCISCO, Calif., October 5, 2023 (GLOBE NEWSWIRE) — </w:t>
      </w:r>
      <w:r>
        <w:rPr>
          <w:rFonts w:ascii="Arial" w:cs="Arial" w:eastAsia="Arial" w:hAnsi="Arial"/>
          <w:sz w:val="17"/>
          <w:szCs w:val="17"/>
          <w:color w:val="auto"/>
        </w:rPr>
        <w:t>ALX Oncology Holdings Inc., (“ALX Oncology” 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(Nasdaq: ALXO), an immuno-oncology company developing therapies that block the CD47 immune checkpoint pathway, today announced the pricing of its previously announced underwritten public offering of common stock and pre-funded warrants. ALX Oncology is selling 7,370,690 shares of common stock and, in lieu of common stock to certain investors, pre-funded warrants to purchase 1,250,000 shares of common stock in the offering. The shares of common stock are being sold at a public offering price of $6.38 per share, the closing price on October 4, 2023, and the pre-funded warrants are being sold at a public offering price of $6.379 per pre-funded warrant, which represents the per share public offering price for each common share less the $0.001 per share exercise price for each pre-funded warrant. The gross proceeds to ALX Oncology from this offering are expected to be approximately $55.0 million, before deducting the underwriting discounts and commissions and other estimated offering expenses, and excluding the exercise of any pre-funded warrants. All shares of common stock and pre-funded warrants to be sold in the offering are being offered by the Company. In addition, ALX Oncology has granted the underwriters a 30-day option to purchase up to an additional 1,293,103 shares of its common stock at the public offering price per share less underwriting discounts and commissions. The offering is expected to close on or about October 10, 2023, subject to the satisfaction of customary closing conditions.</w:t>
      </w:r>
    </w:p>
    <w:p>
      <w:pPr>
        <w:spacing w:after="0" w:line="18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ALX Oncology anticipates using the net proceeds from the offering to fund the continued clinical development of evorpacept and the related clinical trials, including our ASPEN-06 clinical trial, and for working capital and other general corporate purposes.</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Piper Sandler and Cantor are acting as joint lead book-running managers for the offering. UBS Investment Bank is also acting as a book-running manager for the offering. LifeSci Capital and H.C. Wainwright &amp; Co. are acting as lead managers for the offering.</w:t>
      </w:r>
    </w:p>
    <w:p>
      <w:pPr>
        <w:spacing w:after="0" w:line="17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securities described above are being offered by ALX Oncology pursuant to a shelf registration statement previously filed with and declared effective by the Securities and Exchange Commission (the “SEC”). A preliminary prospectus supplement related to the offering has been filed with the SEC and is available on the SEC’s website at www.sec.gov. A final prospectus supplement related to the offering will be filed with the SEC and will be available on the SEC’s website at www.sec.gov. Copies of the final prospectus supplement and the accompanying prospectus relating to this offering may be obtained, when available, from: Piper Sandler &amp; Co., Attention: Prospectus Department, 800 Nicollet Mall, J12S03, Minneapolis, Minnesota 55402, by telephone at (800) 747-3924, or by email at prospectus@psc.com; or Cantor Fitzgerald &amp; Co., Attention: Capital Markets, 110 East 59th Street, 6th Floor, New York, New York 10022, or by email at prospectus@cantor.com or UBS Securities LLC, Attention: Prospectus Department, 1285 Avenue of the Americas, New York, NY 10019, by telephone at (888) 827-7275 or by email at ol-prospectus-request@ubs.com.</w:t>
      </w:r>
    </w:p>
    <w:p>
      <w:pPr>
        <w:sectPr>
          <w:pgSz w:w="11900" w:h="16838" w:orient="portrait"/>
          <w:cols w:equalWidth="0" w:num="1">
            <w:col w:w="11020"/>
          </w:cols>
          <w:pgMar w:left="440" w:top="121" w:right="439" w:bottom="1440" w:gutter="0" w:footer="0" w:header="0"/>
        </w:sectPr>
      </w:pPr>
    </w:p>
    <w:bookmarkStart w:id="62" w:name="page63"/>
    <w:bookmarkEnd w:id="62"/>
    <w:p>
      <w:pPr>
        <w:ind w:left="4"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ALX Oncology</w:t>
      </w:r>
    </w:p>
    <w:p>
      <w:pPr>
        <w:spacing w:after="0" w:line="121" w:lineRule="exact"/>
        <w:rPr>
          <w:sz w:val="20"/>
          <w:szCs w:val="20"/>
          <w:color w:val="auto"/>
        </w:rPr>
      </w:pPr>
    </w:p>
    <w:p>
      <w:pPr>
        <w:ind w:left="4" w:right="80"/>
        <w:spacing w:after="0" w:line="255" w:lineRule="auto"/>
        <w:rPr>
          <w:sz w:val="20"/>
          <w:szCs w:val="20"/>
          <w:color w:val="auto"/>
        </w:rPr>
      </w:pPr>
      <w:r>
        <w:rPr>
          <w:rFonts w:ascii="Arial" w:cs="Arial" w:eastAsia="Arial" w:hAnsi="Arial"/>
          <w:sz w:val="18"/>
          <w:szCs w:val="18"/>
          <w:color w:val="auto"/>
        </w:rPr>
        <w:t>ALX Oncology is a publicly traded, clinical-stage immuno-oncology company focused on helping patients fight cancer by developing therapies that block the CD47 immune checkpoint inhibitor and bridge the innate and adaptive immune system. ALX Oncology’s lead product candidate, evorpacept, is a next generation CD47 blocking therapeutic that combines a high-affinity CD47 binding domain with an inactivated, proprietary Fc domain. Evorpacept has demonstrated promising clinical responses across a range of hematologic and solid malignancies in combination with a number of leading anti-cancer antibodies. ALX Oncology is currently focusing on combining evorpacept with anti-cancer antibodies, ADCs, and PD-1/PD-L1 immune checkpoint inhibitors.</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This announcement contains forward-looking statements, including statements relating to ALX Oncology’s expectations regarding the anticipated use of proceeds, and the completion of the public offering. These statements are subject to significant risks and uncertainties and actual results could differ materially from those projected. ALX Oncology cautions investors not to place undue reliance on the forward-looking statements contained in this release. These risks and uncertainties include, without limitation, risks and uncertainties related to market conditions, and the satisfaction of customary closing conditions related to the public offering. There can be no assurance that the Company will be able to complete the public offering.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spacing w:after="0" w:line="28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Peter Garcia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Financial Officer, ALX Oncology</w:t>
      </w:r>
    </w:p>
    <w:p>
      <w:pPr>
        <w:spacing w:after="0" w:line="9" w:lineRule="exact"/>
        <w:rPr>
          <w:sz w:val="20"/>
          <w:szCs w:val="20"/>
          <w:color w:val="auto"/>
        </w:rPr>
      </w:pPr>
    </w:p>
    <w:p>
      <w:pPr>
        <w:jc w:val="both"/>
        <w:ind w:left="4" w:right="9220" w:hanging="4"/>
        <w:spacing w:after="0" w:line="323" w:lineRule="auto"/>
        <w:tabs>
          <w:tab w:leader="none" w:pos="439"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466-7125 Ext. 113 </w:t>
      </w:r>
      <w:r>
        <w:rPr>
          <w:rFonts w:ascii="Arial" w:cs="Arial" w:eastAsia="Arial" w:hAnsi="Arial"/>
          <w:sz w:val="16"/>
          <w:szCs w:val="16"/>
          <w:u w:val="single" w:color="auto"/>
          <w:color w:val="auto"/>
        </w:rPr>
        <w:t>peter@alxoncology.com</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Malini Chatterjee, Ph.D.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Blueprint Life Science Group</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mchatterjee@bplifescience.com</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Karen Sharma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MacDougall</w:t>
      </w:r>
    </w:p>
    <w:p>
      <w:pPr>
        <w:spacing w:after="0" w:line="9" w:lineRule="exact"/>
        <w:rPr>
          <w:sz w:val="20"/>
          <w:szCs w:val="20"/>
          <w:color w:val="auto"/>
        </w:rPr>
      </w:pPr>
    </w:p>
    <w:p>
      <w:pPr>
        <w:ind w:left="444" w:hanging="444"/>
        <w:spacing w:after="0"/>
        <w:tabs>
          <w:tab w:leader="none" w:pos="444" w:val="left"/>
        </w:tabs>
        <w:numPr>
          <w:ilvl w:val="0"/>
          <w:numId w:val="74"/>
        </w:numPr>
        <w:rPr>
          <w:rFonts w:ascii="Arial" w:cs="Arial" w:eastAsia="Arial" w:hAnsi="Arial"/>
          <w:sz w:val="18"/>
          <w:szCs w:val="18"/>
          <w:color w:val="auto"/>
        </w:rPr>
      </w:pPr>
      <w:r>
        <w:rPr>
          <w:rFonts w:ascii="Arial" w:cs="Arial" w:eastAsia="Arial" w:hAnsi="Arial"/>
          <w:sz w:val="18"/>
          <w:szCs w:val="18"/>
          <w:color w:val="auto"/>
        </w:rPr>
        <w:t>235-3060</w:t>
      </w:r>
    </w:p>
    <w:p>
      <w:pPr>
        <w:spacing w:after="0" w:line="9"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u w:val="single" w:color="auto"/>
          <w:color w:val="auto"/>
        </w:rPr>
        <w:t>alx@macbiocom.com</w:t>
      </w:r>
    </w:p>
    <w:sectPr>
      <w:pgSz w:w="11900" w:h="16838" w:orient="portrait"/>
      <w:cols w:equalWidth="0" w:num="1">
        <w:col w:w="10984"/>
      </w:cols>
      <w:pgMar w:left="436"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1)"/>
      <w:numFmt w:val="lowerRoman"/>
      <w:start w:val="1"/>
    </w:lvl>
  </w:abstractNum>
  <w:abstractNum w:abstractNumId="2">
    <w:nsid w:val="2463B9EA"/>
    <w:multiLevelType w:val="hybridMultilevel"/>
    <w:lvl w:ilvl="0">
      <w:lvlJc w:val="left"/>
      <w:lvlText w:val="(%1)"/>
      <w:numFmt w:val="lowerLetter"/>
      <w:start w:val="4"/>
    </w:lvl>
  </w:abstractNum>
  <w:abstractNum w:abstractNumId="3">
    <w:nsid w:val="5E884ADC"/>
    <w:multiLevelType w:val="hybridMultilevel"/>
    <w:lvl w:ilvl="0">
      <w:lvlJc w:val="left"/>
      <w:lvlText w:val="(%1)"/>
      <w:numFmt w:val="lowerLetter"/>
      <w:start w:val="1"/>
    </w:lvl>
  </w:abstractNum>
  <w:abstractNum w:abstractNumId="4">
    <w:nsid w:val="51EAD36B"/>
    <w:multiLevelType w:val="hybridMultilevel"/>
    <w:lvl w:ilvl="0">
      <w:lvlJc w:val="left"/>
      <w:lvlText w:val="(%1)"/>
      <w:numFmt w:val="lowerLetter"/>
      <w:start w:val="3"/>
    </w:lvl>
  </w:abstractNum>
  <w:abstractNum w:abstractNumId="5">
    <w:nsid w:val="2D517796"/>
    <w:multiLevelType w:val="hybridMultilevel"/>
    <w:lvl w:ilvl="0">
      <w:lvlJc w:val="left"/>
      <w:lvlText w:val="(%1)"/>
      <w:numFmt w:val="lowerLetter"/>
      <w:start w:val="8"/>
    </w:lvl>
  </w:abstractNum>
  <w:abstractNum w:abstractNumId="6">
    <w:nsid w:val="580BD78F"/>
    <w:multiLevelType w:val="hybridMultilevel"/>
    <w:lvl w:ilvl="0">
      <w:lvlJc w:val="left"/>
      <w:lvlText w:val="%1"/>
      <w:numFmt w:val="lowerLetter"/>
      <w:start w:val="1"/>
    </w:lvl>
    <w:lvl w:ilvl="1">
      <w:lvlJc w:val="left"/>
      <w:lvlText w:val="(%2)"/>
      <w:numFmt w:val="lowerLetter"/>
      <w:start w:val="11"/>
    </w:lvl>
  </w:abstractNum>
  <w:abstractNum w:abstractNumId="7">
    <w:nsid w:val="153EA438"/>
    <w:multiLevelType w:val="hybridMultilevel"/>
    <w:lvl w:ilvl="0">
      <w:lvlJc w:val="left"/>
      <w:lvlText w:val="(%1)"/>
      <w:numFmt w:val="lowerLetter"/>
      <w:start w:val="35"/>
    </w:lvl>
    <w:lvl w:ilvl="1">
      <w:lvlJc w:val="left"/>
      <w:lvlText w:val="(%2)"/>
      <w:numFmt w:val="lowerLetter"/>
      <w:start w:val="12"/>
    </w:lvl>
  </w:abstractNum>
  <w:abstractNum w:abstractNumId="8">
    <w:nsid w:val="3855585C"/>
    <w:multiLevelType w:val="hybridMultilevel"/>
    <w:lvl w:ilvl="0">
      <w:lvlJc w:val="left"/>
      <w:lvlText w:val="(%1)"/>
      <w:numFmt w:val="lowerLetter"/>
      <w:start w:val="14"/>
    </w:lvl>
  </w:abstractNum>
  <w:abstractNum w:abstractNumId="9">
    <w:nsid w:val="70A64E2A"/>
    <w:multiLevelType w:val="hybridMultilevel"/>
    <w:lvl w:ilvl="0">
      <w:lvlJc w:val="left"/>
      <w:lvlText w:val="(%1)"/>
      <w:numFmt w:val="lowerLetter"/>
      <w:start w:val="9"/>
    </w:lvl>
    <w:lvl w:ilvl="1">
      <w:lvlJc w:val="left"/>
      <w:lvlText w:val="(%2)"/>
      <w:numFmt w:val="lowerLetter"/>
      <w:start w:val="18"/>
    </w:lvl>
  </w:abstractNum>
  <w:abstractNum w:abstractNumId="10">
    <w:nsid w:val="6A2342EC"/>
    <w:multiLevelType w:val="hybridMultilevel"/>
    <w:lvl w:ilvl="0">
      <w:lvlJc w:val="left"/>
      <w:lvlText w:val="(%1)"/>
      <w:numFmt w:val="lowerLetter"/>
      <w:start w:val="35"/>
    </w:lvl>
    <w:lvl w:ilvl="1">
      <w:lvlJc w:val="left"/>
      <w:lvlText w:val="(%2)"/>
      <w:numFmt w:val="lowerLetter"/>
      <w:start w:val="20"/>
    </w:lvl>
  </w:abstractNum>
  <w:abstractNum w:abstractNumId="11">
    <w:nsid w:val="2A487CB0"/>
    <w:multiLevelType w:val="hybridMultilevel"/>
    <w:lvl w:ilvl="0">
      <w:lvlJc w:val="left"/>
      <w:lvlText w:val="(%1)"/>
      <w:numFmt w:val="upperLetter"/>
      <w:start w:val="1"/>
    </w:lvl>
  </w:abstractNum>
  <w:abstractNum w:abstractNumId="12">
    <w:nsid w:val="1D4ED43B"/>
    <w:multiLevelType w:val="hybridMultilevel"/>
    <w:lvl w:ilvl="0">
      <w:lvlJc w:val="left"/>
      <w:lvlText w:val="(%1)"/>
      <w:numFmt w:val="lowerLetter"/>
      <w:start w:val="21"/>
    </w:lvl>
  </w:abstractNum>
  <w:abstractNum w:abstractNumId="13">
    <w:nsid w:val="725A06FB"/>
    <w:multiLevelType w:val="hybridMultilevel"/>
    <w:lvl w:ilvl="0">
      <w:lvlJc w:val="left"/>
      <w:lvlText w:val="(%1)"/>
      <w:numFmt w:val="lowerLetter"/>
      <w:start w:val="25"/>
    </w:lvl>
  </w:abstractNum>
  <w:abstractNum w:abstractNumId="14">
    <w:nsid w:val="2CD89A32"/>
    <w:multiLevelType w:val="hybridMultilevel"/>
    <w:lvl w:ilvl="0">
      <w:lvlJc w:val="left"/>
      <w:lvlText w:val="%1"/>
      <w:numFmt w:val="lowerLetter"/>
      <w:start w:val="1"/>
    </w:lvl>
    <w:lvl w:ilvl="1">
      <w:lvlJc w:val="left"/>
      <w:lvlText w:val="(%2)"/>
      <w:numFmt w:val="lowerLetter"/>
      <w:start w:val="27"/>
    </w:lvl>
  </w:abstractNum>
  <w:abstractNum w:abstractNumId="15">
    <w:nsid w:val="57E4CCAF"/>
    <w:multiLevelType w:val="hybridMultilevel"/>
    <w:lvl w:ilvl="0">
      <w:lvlJc w:val="left"/>
      <w:lvlText w:val="(%1)"/>
      <w:numFmt w:val="lowerLetter"/>
      <w:start w:val="35"/>
    </w:lvl>
    <w:lvl w:ilvl="1">
      <w:lvlJc w:val="left"/>
      <w:lvlText w:val="(%2)"/>
      <w:numFmt w:val="lowerLetter"/>
      <w:start w:val="28"/>
    </w:lvl>
  </w:abstractNum>
  <w:abstractNum w:abstractNumId="16">
    <w:nsid w:val="7A6D8D3C"/>
    <w:multiLevelType w:val="hybridMultilevel"/>
    <w:lvl w:ilvl="0">
      <w:lvlJc w:val="left"/>
      <w:lvlText w:val="(%1)"/>
      <w:numFmt w:val="lowerLetter"/>
      <w:start w:val="29"/>
    </w:lvl>
  </w:abstractNum>
  <w:abstractNum w:abstractNumId="17">
    <w:nsid w:val="4B588F54"/>
    <w:multiLevelType w:val="hybridMultilevel"/>
    <w:lvl w:ilvl="0">
      <w:lvlJc w:val="left"/>
      <w:lvlText w:val="(%1)"/>
      <w:numFmt w:val="lowerLetter"/>
      <w:start w:val="37"/>
    </w:lvl>
  </w:abstractNum>
  <w:abstractNum w:abstractNumId="18">
    <w:nsid w:val="542289EC"/>
    <w:multiLevelType w:val="hybridMultilevel"/>
    <w:lvl w:ilvl="0">
      <w:lvlJc w:val="left"/>
      <w:lvlText w:val="%1"/>
      <w:numFmt w:val="lowerRoman"/>
      <w:start w:val="1"/>
    </w:lvl>
    <w:lvl w:ilvl="1">
      <w:lvlJc w:val="left"/>
      <w:lvlText w:val="(%2)"/>
      <w:numFmt w:val="lowerLetter"/>
      <w:start w:val="41"/>
    </w:lvl>
  </w:abstractNum>
  <w:abstractNum w:abstractNumId="19">
    <w:nsid w:val="6DE91B18"/>
    <w:multiLevelType w:val="hybridMultilevel"/>
    <w:lvl w:ilvl="0">
      <w:lvlJc w:val="left"/>
      <w:lvlText w:val="(%1)"/>
      <w:numFmt w:val="lowerRoman"/>
      <w:start w:val="4"/>
    </w:lvl>
    <w:lvl w:ilvl="1">
      <w:lvlJc w:val="left"/>
      <w:lvlText w:val="(%2)"/>
      <w:numFmt w:val="lowerLetter"/>
      <w:start w:val="43"/>
    </w:lvl>
  </w:abstractNum>
  <w:abstractNum w:abstractNumId="20">
    <w:nsid w:val="38437FDB"/>
    <w:multiLevelType w:val="hybridMultilevel"/>
    <w:lvl w:ilvl="0">
      <w:lvlJc w:val="left"/>
      <w:lvlText w:val="(%1)"/>
      <w:numFmt w:val="lowerLetter"/>
      <w:start w:val="44"/>
    </w:lvl>
  </w:abstractNum>
  <w:abstractNum w:abstractNumId="21">
    <w:nsid w:val="7644A45C"/>
    <w:multiLevelType w:val="hybridMultilevel"/>
    <w:lvl w:ilvl="0">
      <w:lvlJc w:val="left"/>
      <w:lvlText w:val="(%1)"/>
      <w:numFmt w:val="lowerLetter"/>
      <w:start w:val="48"/>
    </w:lvl>
  </w:abstractNum>
  <w:abstractNum w:abstractNumId="22">
    <w:nsid w:val="32FFF902"/>
    <w:multiLevelType w:val="hybridMultilevel"/>
    <w:lvl w:ilvl="0">
      <w:lvlJc w:val="left"/>
      <w:lvlText w:val="(%1)"/>
      <w:numFmt w:val="lowerLetter"/>
      <w:start w:val="1"/>
    </w:lvl>
  </w:abstractNum>
  <w:abstractNum w:abstractNumId="23">
    <w:nsid w:val="684A481A"/>
    <w:multiLevelType w:val="hybridMultilevel"/>
    <w:lvl w:ilvl="0">
      <w:lvlJc w:val="left"/>
      <w:lvlText w:val="(%1)"/>
      <w:numFmt w:val="lowerLetter"/>
      <w:start w:val="2"/>
    </w:lvl>
  </w:abstractNum>
  <w:abstractNum w:abstractNumId="24">
    <w:nsid w:val="579478FE"/>
    <w:multiLevelType w:val="hybridMultilevel"/>
    <w:lvl w:ilvl="0">
      <w:lvlJc w:val="left"/>
      <w:lvlText w:val="%1"/>
      <w:numFmt w:val="lowerLetter"/>
      <w:start w:val="1"/>
    </w:lvl>
    <w:lvl w:ilvl="1">
      <w:lvlJc w:val="left"/>
      <w:lvlText w:val="(%2)"/>
      <w:numFmt w:val="lowerLetter"/>
      <w:start w:val="35"/>
    </w:lvl>
  </w:abstractNum>
  <w:abstractNum w:abstractNumId="25">
    <w:nsid w:val="749ABB43"/>
    <w:multiLevelType w:val="hybridMultilevel"/>
    <w:lvl w:ilvl="0">
      <w:lvlJc w:val="left"/>
      <w:lvlText w:val="(%1)"/>
      <w:numFmt w:val="lowerLetter"/>
      <w:start w:val="6"/>
    </w:lvl>
    <w:lvl w:ilvl="1">
      <w:lvlJc w:val="left"/>
      <w:lvlText w:val="%2"/>
      <w:numFmt w:val="lowerLetter"/>
      <w:start w:val="1"/>
    </w:lvl>
  </w:abstractNum>
  <w:abstractNum w:abstractNumId="26">
    <w:nsid w:val="3DC240FB"/>
    <w:multiLevelType w:val="hybridMultilevel"/>
    <w:lvl w:ilvl="0">
      <w:lvlJc w:val="left"/>
      <w:lvlText w:val="(%1)"/>
      <w:numFmt w:val="lowerLetter"/>
      <w:start w:val="1"/>
    </w:lvl>
  </w:abstractNum>
  <w:abstractNum w:abstractNumId="27">
    <w:nsid w:val="1BA026FA"/>
    <w:multiLevelType w:val="hybridMultilevel"/>
    <w:lvl w:ilvl="0">
      <w:lvlJc w:val="left"/>
      <w:lvlText w:val="(%1)"/>
      <w:numFmt w:val="lowerLetter"/>
      <w:start w:val="2"/>
    </w:lvl>
  </w:abstractNum>
  <w:abstractNum w:abstractNumId="28">
    <w:nsid w:val="79A1DEAA"/>
    <w:multiLevelType w:val="hybridMultilevel"/>
    <w:lvl w:ilvl="0">
      <w:lvlJc w:val="left"/>
      <w:lvlText w:val="(%1)"/>
      <w:numFmt w:val="lowerLetter"/>
      <w:start w:val="5"/>
    </w:lvl>
  </w:abstractNum>
  <w:abstractNum w:abstractNumId="29">
    <w:nsid w:val="75C6C33A"/>
    <w:multiLevelType w:val="hybridMultilevel"/>
    <w:lvl w:ilvl="0">
      <w:lvlJc w:val="left"/>
      <w:lvlText w:val="(%1)"/>
      <w:numFmt w:val="lowerLetter"/>
      <w:start w:val="8"/>
    </w:lvl>
  </w:abstractNum>
  <w:abstractNum w:abstractNumId="30">
    <w:nsid w:val="12E685FB"/>
    <w:multiLevelType w:val="hybridMultilevel"/>
    <w:lvl w:ilvl="0">
      <w:lvlJc w:val="left"/>
      <w:lvlText w:val="%1"/>
      <w:numFmt w:val="lowerLetter"/>
      <w:start w:val="1"/>
    </w:lvl>
    <w:lvl w:ilvl="1">
      <w:lvlJc w:val="left"/>
      <w:lvlText w:val="(%2)"/>
      <w:numFmt w:val="lowerLetter"/>
      <w:start w:val="14"/>
    </w:lvl>
  </w:abstractNum>
  <w:abstractNum w:abstractNumId="31">
    <w:nsid w:val="70C6A529"/>
    <w:multiLevelType w:val="hybridMultilevel"/>
    <w:lvl w:ilvl="0">
      <w:lvlJc w:val="left"/>
      <w:lvlText w:val="(%1)"/>
      <w:numFmt w:val="lowerLetter"/>
      <w:start w:val="61"/>
    </w:lvl>
    <w:lvl w:ilvl="1">
      <w:lvlJc w:val="left"/>
      <w:lvlText w:val="(%2)"/>
      <w:numFmt w:val="lowerLetter"/>
      <w:start w:val="15"/>
    </w:lvl>
  </w:abstractNum>
  <w:abstractNum w:abstractNumId="32">
    <w:nsid w:val="520EEDD1"/>
    <w:multiLevelType w:val="hybridMultilevel"/>
    <w:lvl w:ilvl="0">
      <w:lvlJc w:val="left"/>
      <w:lvlText w:val="(%1)"/>
      <w:numFmt w:val="lowerLetter"/>
      <w:start w:val="16"/>
    </w:lvl>
  </w:abstractNum>
  <w:abstractNum w:abstractNumId="33">
    <w:nsid w:val="374A3FE6"/>
    <w:multiLevelType w:val="hybridMultilevel"/>
    <w:lvl w:ilvl="0">
      <w:lvlJc w:val="left"/>
      <w:lvlText w:val="(%1)"/>
      <w:numFmt w:val="lowerRoman"/>
      <w:start w:val="7"/>
    </w:lvl>
  </w:abstractNum>
  <w:abstractNum w:abstractNumId="34">
    <w:nsid w:val="4F4EF005"/>
    <w:multiLevelType w:val="hybridMultilevel"/>
    <w:lvl w:ilvl="0">
      <w:lvlJc w:val="left"/>
      <w:lvlText w:val="(%1)"/>
      <w:numFmt w:val="lowerRoman"/>
      <w:start w:val="6"/>
    </w:lvl>
  </w:abstractNum>
  <w:abstractNum w:abstractNumId="35">
    <w:nsid w:val="23F9C13C"/>
    <w:multiLevelType w:val="hybridMultilevel"/>
    <w:lvl w:ilvl="0">
      <w:lvlJc w:val="left"/>
      <w:lvlText w:val="(%1)"/>
      <w:numFmt w:val="lowerRoman"/>
      <w:start w:val="11"/>
    </w:lvl>
  </w:abstractNum>
  <w:abstractNum w:abstractNumId="36">
    <w:nsid w:val="649BB77C"/>
    <w:multiLevelType w:val="hybridMultilevel"/>
    <w:lvl w:ilvl="0">
      <w:lvlJc w:val="left"/>
      <w:lvlText w:val="(%1)"/>
      <w:numFmt w:val="lowerLetter"/>
      <w:start w:val="1"/>
    </w:lvl>
    <w:lvl w:ilvl="1">
      <w:lvlJc w:val="left"/>
      <w:lvlText w:val="(%2)"/>
      <w:numFmt w:val="lowerRoman"/>
      <w:start w:val="1"/>
    </w:lvl>
  </w:abstractNum>
  <w:abstractNum w:abstractNumId="37">
    <w:nsid w:val="275AC794"/>
    <w:multiLevelType w:val="hybridMultilevel"/>
    <w:lvl w:ilvl="0">
      <w:lvlJc w:val="left"/>
      <w:lvlText w:val="(%1)"/>
      <w:numFmt w:val="lowerLetter"/>
      <w:start w:val="6"/>
    </w:lvl>
    <w:lvl w:ilvl="1">
      <w:lvlJc w:val="left"/>
      <w:lvlText w:val="(%2)"/>
      <w:numFmt w:val="lowerRoman"/>
      <w:start w:val="1"/>
    </w:lvl>
  </w:abstractNum>
  <w:abstractNum w:abstractNumId="38">
    <w:nsid w:val="39386575"/>
    <w:multiLevelType w:val="hybridMultilevel"/>
    <w:lvl w:ilvl="0">
      <w:lvlJc w:val="left"/>
      <w:lvlText w:val="(%1)"/>
      <w:numFmt w:val="lowerLetter"/>
      <w:start w:val="13"/>
    </w:lvl>
  </w:abstractNum>
  <w:abstractNum w:abstractNumId="39">
    <w:nsid w:val="1CF10FD8"/>
    <w:multiLevelType w:val="hybridMultilevel"/>
    <w:lvl w:ilvl="0">
      <w:lvlJc w:val="left"/>
      <w:lvlText w:val="(%1)"/>
      <w:numFmt w:val="lowerLetter"/>
      <w:start w:val="1"/>
    </w:lvl>
  </w:abstractNum>
  <w:abstractNum w:abstractNumId="40">
    <w:nsid w:val="180115BE"/>
    <w:multiLevelType w:val="hybridMultilevel"/>
    <w:lvl w:ilvl="0">
      <w:lvlJc w:val="left"/>
      <w:lvlText w:val="(%1)"/>
      <w:numFmt w:val="lowerLetter"/>
      <w:start w:val="35"/>
    </w:lvl>
    <w:lvl w:ilvl="1">
      <w:lvlJc w:val="left"/>
      <w:lvlText w:val="%2"/>
      <w:numFmt w:val="lowerLetter"/>
      <w:start w:val="1"/>
    </w:lvl>
  </w:abstractNum>
  <w:abstractNum w:abstractNumId="41">
    <w:nsid w:val="235BA861"/>
    <w:multiLevelType w:val="hybridMultilevel"/>
    <w:lvl w:ilvl="0">
      <w:lvlJc w:val="left"/>
      <w:lvlText w:val="(%1)"/>
      <w:numFmt w:val="lowerLetter"/>
      <w:start w:val="9"/>
    </w:lvl>
    <w:lvl w:ilvl="1">
      <w:lvlJc w:val="left"/>
      <w:lvlText w:val="(%2)"/>
      <w:numFmt w:val="lowerLetter"/>
      <w:start w:val="2"/>
    </w:lvl>
  </w:abstractNum>
  <w:abstractNum w:abstractNumId="42">
    <w:nsid w:val="47398C89"/>
    <w:multiLevelType w:val="hybridMultilevel"/>
    <w:lvl w:ilvl="0">
      <w:lvlJc w:val="left"/>
      <w:lvlText w:val="(%1)"/>
      <w:numFmt w:val="lowerLetter"/>
      <w:start w:val="3"/>
    </w:lvl>
  </w:abstractNum>
  <w:abstractNum w:abstractNumId="43">
    <w:nsid w:val="354FE9F9"/>
    <w:multiLevelType w:val="hybridMultilevel"/>
    <w:lvl w:ilvl="0">
      <w:lvlJc w:val="left"/>
      <w:lvlText w:val="(%1)"/>
      <w:numFmt w:val="lowerRoman"/>
      <w:start w:val="3"/>
    </w:lvl>
  </w:abstractNum>
  <w:abstractNum w:abstractNumId="44">
    <w:nsid w:val="15B5AF5C"/>
    <w:multiLevelType w:val="hybridMultilevel"/>
    <w:lvl w:ilvl="0">
      <w:lvlJc w:val="left"/>
      <w:lvlText w:val="(%1)"/>
      <w:numFmt w:val="lowerLetter"/>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1."/>
      <w:numFmt w:val="lowerRoman"/>
      <w:start w:val="1"/>
    </w:lvl>
  </w:abstractNum>
  <w:abstractNum w:abstractNumId="47">
    <w:nsid w:val="10233C99"/>
    <w:multiLevelType w:val="hybridMultilevel"/>
    <w:lvl w:ilvl="0">
      <w:lvlJc w:val="left"/>
      <w:lvlText w:val="%1."/>
      <w:numFmt w:val="lowerRoman"/>
      <w:start w:val="1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lvl w:ilvl="1">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1)"/>
      <w:numFmt w:val="lowerLetter"/>
      <w:start w:val="1"/>
    </w:lvl>
  </w:abstractNum>
  <w:abstractNum w:abstractNumId="52">
    <w:nsid w:val="579BE4F1"/>
    <w:multiLevelType w:val="hybridMultilevel"/>
    <w:lvl w:ilvl="0">
      <w:lvlJc w:val="left"/>
      <w:lvlText w:val="(%1)"/>
      <w:numFmt w:val="lowerLetter"/>
      <w:start w:val="8"/>
    </w:lvl>
  </w:abstractNum>
  <w:abstractNum w:abstractNumId="53">
    <w:nsid w:val="310C50B3"/>
    <w:multiLevelType w:val="hybridMultilevel"/>
    <w:lvl w:ilvl="0">
      <w:lvlJc w:val="left"/>
      <w:lvlText w:val="%1."/>
      <w:numFmt w:val="decimal"/>
      <w:start w:val="2"/>
    </w:lvl>
  </w:abstractNum>
  <w:abstractNum w:abstractNumId="54">
    <w:nsid w:val="5FF87E05"/>
    <w:multiLevelType w:val="hybridMultilevel"/>
    <w:lvl w:ilvl="0">
      <w:lvlJc w:val="left"/>
      <w:lvlText w:val="(%1)"/>
      <w:numFmt w:val="lowerLetter"/>
      <w:start w:val="1"/>
    </w:lvl>
  </w:abstractNum>
  <w:abstractNum w:abstractNumId="55">
    <w:nsid w:val="2F305DEF"/>
    <w:multiLevelType w:val="hybridMultilevel"/>
    <w:lvl w:ilvl="0">
      <w:lvlJc w:val="left"/>
      <w:lvlText w:val="%1."/>
      <w:numFmt w:val="decimal"/>
      <w:start w:val="5"/>
    </w:lvl>
  </w:abstractNum>
  <w:abstractNum w:abstractNumId="56">
    <w:nsid w:val="25A70BF7"/>
    <w:multiLevelType w:val="hybridMultilevel"/>
    <w:lvl w:ilvl="0">
      <w:lvlJc w:val="left"/>
      <w:lvlText w:val="(%1)"/>
      <w:numFmt w:val="lowerLetter"/>
      <w:start w:val="1"/>
    </w:lvl>
  </w:abstractNum>
  <w:abstractNum w:abstractNumId="57">
    <w:nsid w:val="1DBABF00"/>
    <w:multiLevelType w:val="hybridMultilevel"/>
    <w:lvl w:ilvl="0">
      <w:lvlJc w:val="left"/>
      <w:lvlText w:val="(%1)"/>
      <w:numFmt w:val="lowerLetter"/>
      <w:start w:val="2"/>
    </w:lvl>
  </w:abstractNum>
  <w:abstractNum w:abstractNumId="58">
    <w:nsid w:val="4AD084E9"/>
    <w:multiLevelType w:val="hybridMultilevel"/>
    <w:lvl w:ilvl="0">
      <w:lvlJc w:val="left"/>
      <w:lvlText w:val="%1."/>
      <w:numFmt w:val="decimal"/>
      <w:start w:val="6"/>
    </w:lvl>
  </w:abstractNum>
  <w:abstractNum w:abstractNumId="59">
    <w:nsid w:val="1F48EAA1"/>
    <w:multiLevelType w:val="hybridMultilevel"/>
    <w:lvl w:ilvl="0">
      <w:lvlJc w:val="left"/>
      <w:lvlText w:val="%1."/>
      <w:numFmt w:val="decimal"/>
      <w:start w:val="8"/>
    </w:lvl>
  </w:abstractNum>
  <w:abstractNum w:abstractNumId="60">
    <w:nsid w:val="1381823A"/>
    <w:multiLevelType w:val="hybridMultilevel"/>
    <w:lvl w:ilvl="0">
      <w:lvlJc w:val="left"/>
      <w:lvlText w:val="(%1)"/>
      <w:numFmt w:val="lowerLetter"/>
      <w:start w:val="1"/>
    </w:lvl>
  </w:abstractNum>
  <w:abstractNum w:abstractNumId="61">
    <w:nsid w:val="5DB70AE5"/>
    <w:multiLevelType w:val="hybridMultilevel"/>
    <w:lvl w:ilvl="0">
      <w:lvlJc w:val="left"/>
      <w:lvlText w:val="(%1)"/>
      <w:numFmt w:val="lowerLetter"/>
      <w:start w:val="4"/>
    </w:lvl>
  </w:abstractNum>
  <w:abstractNum w:abstractNumId="62">
    <w:nsid w:val="100F8FCA"/>
    <w:multiLevelType w:val="hybridMultilevel"/>
    <w:lvl w:ilvl="0">
      <w:lvlJc w:val="left"/>
      <w:lvlText w:val="%1."/>
      <w:numFmt w:val="decimal"/>
      <w:start w:val="10"/>
    </w:lvl>
  </w:abstractNum>
  <w:abstractNum w:abstractNumId="63">
    <w:nsid w:val="6590700B"/>
    <w:multiLevelType w:val="hybridMultilevel"/>
    <w:lvl w:ilvl="0">
      <w:lvlJc w:val="left"/>
      <w:lvlText w:val="%1."/>
      <w:numFmt w:val="decimal"/>
      <w:start w:val="11"/>
    </w:lvl>
  </w:abstractNum>
  <w:abstractNum w:abstractNumId="64">
    <w:nsid w:val="15014ACB"/>
    <w:multiLevelType w:val="hybridMultilevel"/>
    <w:lvl w:ilvl="0">
      <w:lvlJc w:val="left"/>
      <w:lvlText w:val="(%1)"/>
      <w:numFmt w:val="lowerLetter"/>
      <w:start w:val="1"/>
    </w:lvl>
  </w:abstractNum>
  <w:abstractNum w:abstractNumId="65">
    <w:nsid w:val="5F5E7FD0"/>
    <w:multiLevelType w:val="hybridMultilevel"/>
    <w:lvl w:ilvl="0">
      <w:lvlJc w:val="left"/>
      <w:lvlText w:val="(%1)"/>
      <w:numFmt w:val="lowerLetter"/>
      <w:start w:val="2"/>
    </w:lvl>
  </w:abstractNum>
  <w:abstractNum w:abstractNumId="66">
    <w:nsid w:val="98A3148"/>
    <w:multiLevelType w:val="hybridMultilevel"/>
    <w:lvl w:ilvl="0">
      <w:lvlJc w:val="left"/>
      <w:lvlText w:val="%1."/>
      <w:numFmt w:val="decimal"/>
      <w:start w:val="12"/>
    </w:lvl>
  </w:abstractNum>
  <w:abstractNum w:abstractNumId="67">
    <w:nsid w:val="799D0247"/>
    <w:multiLevelType w:val="hybridMultilevel"/>
    <w:lvl w:ilvl="0">
      <w:lvlJc w:val="left"/>
      <w:lvlText w:val="%1."/>
      <w:numFmt w:val="decimal"/>
      <w:start w:val="14"/>
    </w:lvl>
  </w:abstractNum>
  <w:abstractNum w:abstractNumId="68">
    <w:nsid w:val="6B94764"/>
    <w:multiLevelType w:val="hybridMultilevel"/>
    <w:lvl w:ilvl="0">
      <w:lvlJc w:val="left"/>
      <w:lvlText w:val="(%1)"/>
      <w:numFmt w:val="lowerLetter"/>
      <w:start w:val="1"/>
    </w:lvl>
  </w:abstractNum>
  <w:abstractNum w:abstractNumId="69">
    <w:nsid w:val="42C296BD"/>
    <w:multiLevelType w:val="hybridMultilevel"/>
    <w:lvl w:ilvl="0">
      <w:lvlJc w:val="left"/>
      <w:lvlText w:val="(%1)"/>
      <w:numFmt w:val="lowerLetter"/>
      <w:start w:val="7"/>
    </w:lvl>
  </w:abstractNum>
  <w:abstractNum w:abstractNumId="70">
    <w:nsid w:val="168E121F"/>
    <w:multiLevelType w:val="hybridMultilevel"/>
    <w:lvl w:ilvl="0">
      <w:lvlJc w:val="left"/>
      <w:lvlText w:val="(%1)"/>
      <w:numFmt w:val="decimal"/>
      <w:start w:val="1"/>
    </w:lvl>
    <w:lvl w:ilvl="1">
      <w:lvlJc w:val="left"/>
      <w:lvlText w:val="•"/>
      <w:numFmt w:val="bullet"/>
      <w:start w:val="1"/>
    </w:lvl>
  </w:abstractNum>
  <w:abstractNum w:abstractNumId="71">
    <w:nsid w:val="1EBA5D23"/>
    <w:multiLevelType w:val="hybridMultilevel"/>
    <w:lvl w:ilvl="0">
      <w:lvlJc w:val="left"/>
      <w:lvlText w:val="(%1)"/>
      <w:numFmt w:val="lowerRoman"/>
      <w:start w:val="3"/>
    </w:lvl>
  </w:abstractNum>
  <w:abstractNum w:abstractNumId="72">
    <w:nsid w:val="661E3F1E"/>
    <w:multiLevelType w:val="hybridMultilevel"/>
    <w:lvl w:ilvl="0">
      <w:lvlJc w:val="left"/>
      <w:lvlText w:val="(%1)"/>
      <w:numFmt w:val="decimal"/>
      <w:start w:val="650"/>
    </w:lvl>
  </w:abstractNum>
  <w:abstractNum w:abstractNumId="73">
    <w:nsid w:val="5DC79EA8"/>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2023-10-06T05:24:26Z</dcterms:created>
  <dcterms:modified xsi:type="dcterms:W3CDTF">2023-10-06T05:24:26Z</dcterms:modified>
</cp:coreProperties>
</file>