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40"/>
        <w:spacing w:after="0"/>
        <w:rPr>
          <w:sz w:val="20"/>
          <w:szCs w:val="20"/>
          <w:color w:val="auto"/>
        </w:rPr>
      </w:pPr>
      <w:r>
        <w:rPr>
          <w:rFonts w:ascii="Times New Roman" w:cs="Times New Roman" w:eastAsia="Times New Roman" w:hAnsi="Times New Roman"/>
          <w:sz w:val="17"/>
          <w:szCs w:val="17"/>
          <w:color w:val="auto"/>
        </w:rPr>
        <w:t>Wilson Sonsini Goodrich &amp; Rosati</w:t>
      </w:r>
    </w:p>
    <w:p>
      <w:pPr>
        <w:spacing w:after="0" w:line="39"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9"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9"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2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650.493.6811</w:t>
      </w:r>
    </w:p>
    <w:p>
      <w:pPr>
        <w:spacing w:after="0" w:line="3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May 24,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20549-3720</w:t>
      </w:r>
    </w:p>
    <w:p>
      <w:pPr>
        <w:spacing w:after="0" w:line="99" w:lineRule="exact"/>
        <w:rPr>
          <w:sz w:val="24"/>
          <w:szCs w:val="24"/>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Daniel Crawford</w:t>
      </w:r>
    </w:p>
    <w:p>
      <w:pPr>
        <w:spacing w:after="0" w:line="248" w:lineRule="exact"/>
        <w:rPr>
          <w:sz w:val="24"/>
          <w:szCs w:val="24"/>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ALX Oncology Holdings,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March 25, 2022, Amended on May 13, 2022</w:t>
      </w:r>
    </w:p>
    <w:p>
      <w:pPr>
        <w:sectPr>
          <w:pgSz w:w="11900" w:h="16838" w:orient="portrait"/>
          <w:cols w:equalWidth="0" w:num="1">
            <w:col w:w="10940"/>
          </w:cols>
          <w:pgMar w:left="440" w:top="229" w:right="519" w:bottom="1440" w:gutter="0" w:footer="0" w:header="0"/>
        </w:sectPr>
      </w:pPr>
    </w:p>
    <w:p>
      <w:pPr>
        <w:spacing w:after="0" w:line="9" w:lineRule="exact"/>
        <w:rPr>
          <w:sz w:val="24"/>
          <w:szCs w:val="24"/>
          <w:color w:val="auto"/>
        </w:rPr>
      </w:pPr>
    </w:p>
    <w:p>
      <w:pPr>
        <w:ind w:left="980"/>
        <w:spacing w:after="0" w:line="253" w:lineRule="auto"/>
        <w:rPr>
          <w:sz w:val="20"/>
          <w:szCs w:val="20"/>
          <w:color w:val="auto"/>
        </w:rPr>
      </w:pPr>
      <w:r>
        <w:rPr>
          <w:rFonts w:ascii="Times New Roman" w:cs="Times New Roman" w:eastAsia="Times New Roman" w:hAnsi="Times New Roman"/>
          <w:sz w:val="18"/>
          <w:szCs w:val="18"/>
          <w:b w:val="1"/>
          <w:bCs w:val="1"/>
          <w:color w:val="auto"/>
        </w:rPr>
        <w:t>File No. 333-263863 Acceleration Request Requested Date: Requested Time: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25, 2022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4:05 p.m. Eastern Time,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 as soon thereafter as practicable</w:t>
      </w:r>
    </w:p>
    <w:p>
      <w:pPr>
        <w:spacing w:after="0" w:line="200" w:lineRule="exact"/>
        <w:rPr>
          <w:sz w:val="24"/>
          <w:szCs w:val="24"/>
          <w:color w:val="auto"/>
        </w:rPr>
      </w:pPr>
    </w:p>
    <w:p>
      <w:pPr>
        <w:sectPr>
          <w:pgSz w:w="11900" w:h="16838" w:orient="portrait"/>
          <w:cols w:equalWidth="0" w:num="2">
            <w:col w:w="2620" w:space="240"/>
            <w:col w:w="8080"/>
          </w:cols>
          <w:pgMar w:left="440" w:top="229" w:right="51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ALX Oncology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respectfully requests that the above-referenced Registration Statement on Form S-3 (File No. 333-263863)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w:t>
      </w:r>
    </w:p>
    <w:p>
      <w:pPr>
        <w:spacing w:after="0" w:line="180" w:lineRule="exact"/>
        <w:rPr>
          <w:sz w:val="24"/>
          <w:szCs w:val="24"/>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our counsel, Wilson Sonsini Goodrich &amp; Rosati, Professional Corporation, by calling Michael E. Coke at (650) 565-3596.</w:t>
      </w:r>
    </w:p>
    <w:p>
      <w:pPr>
        <w:spacing w:after="0" w:line="16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direct any questions or comments regarding this acceleration request to Michael E. Coke at (650) 565-3596.</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29" w:right="519" w:bottom="1440" w:gutter="0" w:footer="0" w:header="0"/>
          <w:type w:val="continuous"/>
        </w:sectPr>
      </w:pPr>
    </w:p>
    <w:p>
      <w:pPr>
        <w:spacing w:after="0" w:line="223" w:lineRule="exact"/>
        <w:rPr>
          <w:sz w:val="24"/>
          <w:szCs w:val="24"/>
          <w:color w:val="auto"/>
        </w:rPr>
      </w:pPr>
    </w:p>
    <w:p>
      <w:pPr>
        <w:ind w:left="1180"/>
        <w:spacing w:after="0"/>
        <w:tabs>
          <w:tab w:leader="none" w:pos="1960" w:val="left"/>
          <w:tab w:leader="none" w:pos="2800" w:val="left"/>
        </w:tabs>
        <w:rPr>
          <w:sz w:val="20"/>
          <w:szCs w:val="20"/>
          <w:color w:val="auto"/>
        </w:rPr>
      </w:pPr>
      <w:r>
        <w:rPr>
          <w:rFonts w:ascii="Times New Roman" w:cs="Times New Roman" w:eastAsia="Times New Roman" w:hAnsi="Times New Roman"/>
          <w:sz w:val="14"/>
          <w:szCs w:val="14"/>
          <w:color w:val="auto"/>
        </w:rPr>
        <w:t>AUSTIN</w:t>
      </w:r>
      <w:r>
        <w:rPr>
          <w:sz w:val="20"/>
          <w:szCs w:val="20"/>
          <w:color w:val="auto"/>
        </w:rPr>
        <w:tab/>
      </w:r>
      <w:r>
        <w:rPr>
          <w:rFonts w:ascii="Times New Roman" w:cs="Times New Roman" w:eastAsia="Times New Roman" w:hAnsi="Times New Roman"/>
          <w:sz w:val="14"/>
          <w:szCs w:val="14"/>
          <w:color w:val="auto"/>
        </w:rPr>
        <w:t>BEIJING</w:t>
      </w:r>
      <w:r>
        <w:rPr>
          <w:sz w:val="20"/>
          <w:szCs w:val="20"/>
          <w:color w:val="auto"/>
        </w:rPr>
        <w:tab/>
      </w:r>
      <w:r>
        <w:rPr>
          <w:rFonts w:ascii="Times New Roman" w:cs="Times New Roman" w:eastAsia="Times New Roman" w:hAnsi="Times New Roman"/>
          <w:sz w:val="14"/>
          <w:szCs w:val="14"/>
          <w:color w:val="auto"/>
        </w:rPr>
        <w:t>BOSTON</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BRUSSELS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tabs>
          <w:tab w:leader="none" w:pos="1120" w:val="left"/>
          <w:tab w:leader="none" w:pos="2020" w:val="left"/>
          <w:tab w:leader="none" w:pos="3280" w:val="left"/>
          <w:tab w:leader="none" w:pos="4320" w:val="left"/>
        </w:tabs>
        <w:rPr>
          <w:sz w:val="20"/>
          <w:szCs w:val="20"/>
          <w:color w:val="auto"/>
        </w:rPr>
      </w:pPr>
      <w:r>
        <w:rPr>
          <w:rFonts w:ascii="Times New Roman" w:cs="Times New Roman" w:eastAsia="Times New Roman" w:hAnsi="Times New Roman"/>
          <w:sz w:val="14"/>
          <w:szCs w:val="14"/>
          <w:color w:val="auto"/>
        </w:rPr>
        <w:t>HONG KONG</w:t>
      </w:r>
      <w:r>
        <w:rPr>
          <w:sz w:val="20"/>
          <w:szCs w:val="20"/>
          <w:color w:val="auto"/>
        </w:rPr>
        <w:tab/>
      </w:r>
      <w:r>
        <w:rPr>
          <w:rFonts w:ascii="Times New Roman" w:cs="Times New Roman" w:eastAsia="Times New Roman" w:hAnsi="Times New Roman"/>
          <w:sz w:val="14"/>
          <w:szCs w:val="14"/>
          <w:color w:val="auto"/>
        </w:rPr>
        <w:t>LONDON</w:t>
      </w:r>
      <w:r>
        <w:rPr>
          <w:sz w:val="20"/>
          <w:szCs w:val="20"/>
          <w:color w:val="auto"/>
        </w:rPr>
        <w:tab/>
      </w: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4"/>
          <w:szCs w:val="14"/>
          <w:color w:val="auto"/>
        </w:rPr>
        <w:t>NEW YORK</w:t>
      </w:r>
      <w:r>
        <w:rPr>
          <w:sz w:val="20"/>
          <w:szCs w:val="20"/>
          <w:color w:val="auto"/>
        </w:rPr>
        <w:tab/>
      </w:r>
      <w:r>
        <w:rPr>
          <w:rFonts w:ascii="Times New Roman" w:cs="Times New Roman" w:eastAsia="Times New Roman" w:hAnsi="Times New Roman"/>
          <w:sz w:val="14"/>
          <w:szCs w:val="14"/>
          <w:color w:val="auto"/>
        </w:rPr>
        <w:t>PALO ALTO</w:t>
      </w:r>
    </w:p>
    <w:p>
      <w:pPr>
        <w:spacing w:after="0" w:line="96" w:lineRule="exact"/>
        <w:rPr>
          <w:sz w:val="24"/>
          <w:szCs w:val="24"/>
          <w:color w:val="auto"/>
        </w:rPr>
      </w:pPr>
    </w:p>
    <w:p>
      <w:pPr>
        <w:sectPr>
          <w:pgSz w:w="11900" w:h="16838" w:orient="portrait"/>
          <w:cols w:equalWidth="0" w:num="3">
            <w:col w:w="3400" w:space="320"/>
            <w:col w:w="700" w:space="300"/>
            <w:col w:w="6220"/>
          </w:cols>
          <w:pgMar w:left="440" w:top="229" w:right="519" w:bottom="1440" w:gutter="0" w:footer="0" w:header="0"/>
          <w:type w:val="continuous"/>
        </w:sectPr>
      </w:pPr>
    </w:p>
    <w:p>
      <w:pPr>
        <w:ind w:left="1940"/>
        <w:spacing w:after="0"/>
        <w:tabs>
          <w:tab w:leader="none" w:pos="2980" w:val="left"/>
          <w:tab w:leader="none" w:pos="4400" w:val="left"/>
          <w:tab w:leader="none" w:pos="5280" w:val="left"/>
          <w:tab w:leader="none" w:pos="6320" w:val="left"/>
          <w:tab w:leader="none" w:pos="7840" w:val="left"/>
        </w:tabs>
        <w:rPr>
          <w:sz w:val="20"/>
          <w:szCs w:val="20"/>
          <w:color w:val="auto"/>
        </w:rPr>
      </w:pPr>
      <w:r>
        <w:rPr>
          <w:rFonts w:ascii="Times New Roman" w:cs="Times New Roman" w:eastAsia="Times New Roman" w:hAnsi="Times New Roman"/>
          <w:sz w:val="14"/>
          <w:szCs w:val="14"/>
          <w:color w:val="auto"/>
        </w:rPr>
        <w:t>SAN DIEGO</w:t>
      </w:r>
      <w:r>
        <w:rPr>
          <w:sz w:val="20"/>
          <w:szCs w:val="20"/>
          <w:color w:val="auto"/>
        </w:rPr>
        <w:tab/>
      </w:r>
      <w:r>
        <w:rPr>
          <w:rFonts w:ascii="Times New Roman" w:cs="Times New Roman" w:eastAsia="Times New Roman" w:hAnsi="Times New Roman"/>
          <w:sz w:val="14"/>
          <w:szCs w:val="14"/>
          <w:color w:val="auto"/>
        </w:rPr>
        <w:t>SAN FRANCISCO</w:t>
      </w:r>
      <w:r>
        <w:rPr>
          <w:sz w:val="20"/>
          <w:szCs w:val="20"/>
          <w:color w:val="auto"/>
        </w:rPr>
        <w:tab/>
      </w:r>
      <w:r>
        <w:rPr>
          <w:rFonts w:ascii="Times New Roman" w:cs="Times New Roman" w:eastAsia="Times New Roman" w:hAnsi="Times New Roman"/>
          <w:sz w:val="14"/>
          <w:szCs w:val="14"/>
          <w:color w:val="auto"/>
        </w:rPr>
        <w:t>SEATTLE</w:t>
      </w:r>
      <w:r>
        <w:rPr>
          <w:sz w:val="20"/>
          <w:szCs w:val="20"/>
          <w:color w:val="auto"/>
        </w:rPr>
        <w:tab/>
      </w:r>
      <w:r>
        <w:rPr>
          <w:rFonts w:ascii="Times New Roman" w:cs="Times New Roman" w:eastAsia="Times New Roman" w:hAnsi="Times New Roman"/>
          <w:sz w:val="14"/>
          <w:szCs w:val="14"/>
          <w:color w:val="auto"/>
        </w:rPr>
        <w:t>SHANGHAI</w:t>
      </w:r>
      <w:r>
        <w:rPr>
          <w:sz w:val="20"/>
          <w:szCs w:val="20"/>
          <w:color w:val="auto"/>
        </w:rPr>
        <w:tab/>
      </w:r>
      <w:r>
        <w:rPr>
          <w:rFonts w:ascii="Times New Roman" w:cs="Times New Roman" w:eastAsia="Times New Roman" w:hAnsi="Times New Roman"/>
          <w:sz w:val="14"/>
          <w:szCs w:val="14"/>
          <w:color w:val="auto"/>
        </w:rPr>
        <w:t>WASHINGTON, DC</w:t>
      </w:r>
      <w:r>
        <w:rPr>
          <w:sz w:val="20"/>
          <w:szCs w:val="20"/>
          <w:color w:val="auto"/>
        </w:rPr>
        <w:tab/>
      </w:r>
      <w:r>
        <w:rPr>
          <w:rFonts w:ascii="Times New Roman" w:cs="Times New Roman" w:eastAsia="Times New Roman" w:hAnsi="Times New Roman"/>
          <w:sz w:val="14"/>
          <w:szCs w:val="14"/>
          <w:color w:val="auto"/>
        </w:rPr>
        <w:t>WILMINGTON, DE</w:t>
      </w:r>
    </w:p>
    <w:p>
      <w:pPr>
        <w:sectPr>
          <w:pgSz w:w="11900" w:h="16838" w:orient="portrait"/>
          <w:cols w:equalWidth="0" w:num="1">
            <w:col w:w="10940"/>
          </w:cols>
          <w:pgMar w:left="440" w:top="229" w:right="51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11200" cy="334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11200" cy="33401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24,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7"/>
          <w:szCs w:val="17"/>
          <w:b w:val="1"/>
          <w:bCs w:val="1"/>
          <w:color w:val="auto"/>
        </w:rPr>
        <w:t>ALX Oncology Holdings, Inc.</w:t>
      </w:r>
    </w:p>
    <w:p>
      <w:pPr>
        <w:spacing w:after="0" w:line="24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Peter Garcia</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Peter Garcia</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4" w:lineRule="exact"/>
        <w:rPr>
          <w:sz w:val="20"/>
          <w:szCs w:val="20"/>
          <w:color w:val="auto"/>
        </w:rPr>
      </w:pPr>
    </w:p>
    <w:p>
      <w:pPr>
        <w:ind w:left="444" w:right="3619" w:hanging="444"/>
        <w:spacing w:after="0" w:line="312"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E. Coke, Wilson Sonsini Goodrich &amp; Rosati, Professional Corporation Christina L. Poulsen, Wilson Sonsini Goodrich &amp; Rosati, Professional Corporation</w:t>
      </w:r>
    </w:p>
    <w:sectPr>
      <w:pgSz w:w="11900" w:h="16838" w:orient="portrait"/>
      <w:cols w:equalWidth="0" w:num="1">
        <w:col w:w="10023"/>
      </w:cols>
      <w:pgMar w:left="436"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2022-06-23T23:10:36Z</dcterms:created>
  <dcterms:modified xsi:type="dcterms:W3CDTF">2022-06-23T23:10:36Z</dcterms:modified>
</cp:coreProperties>
</file>