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#00166B105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4,279,681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4,280,516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4,280,516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10.522%</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4,280,516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4,280,516</w:t>
      </w:r>
    </w:p>
    <w:p>
      <w:pPr>
        <w:spacing w:after="0"/>
        <w:rPr>
          <w:sz w:val="20"/>
          <w:szCs w:val="20"/>
          <w:color w:val="auto"/>
        </w:rPr>
      </w:pPr>
      <w:r>
        <w:rPr>
          <w:rFonts w:ascii="Courier New" w:cs="Courier New" w:eastAsia="Courier New" w:hAnsi="Courier New"/>
          <w:sz w:val="18"/>
          <w:szCs w:val="18"/>
          <w:color w:val="auto"/>
        </w:rPr>
        <w:t>Item 11: 10.522%</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323 Allerton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00166B105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4,280,516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10.522%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4,280,516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August 9, 2022, agree and consent to the joint filing on their behalf of this Schedule 13G in connection with their beneficial ownership of the COMMON STOCK of ALX ONCOLOGY HOLDINGS INC at July 29,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2022-08-10T07:12:45Z</dcterms:created>
  <dcterms:modified xsi:type="dcterms:W3CDTF">2022-08-10T07:12:45Z</dcterms:modified>
</cp:coreProperties>
</file>