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2</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ALX ONCOLOGY HOLDINGS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par value $0.001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03/31/2026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HBM Healthcare Investments (Cayman) Ltd.</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CAYMAN ISLANDS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8,590,692.00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8,590,692.00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8,590,692.00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6.5 %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Voting and investment power over the shares held by HBM Healthcare Investments (Cayman) Ltd. is exercised by the board of directors of HBM Healthcare Investments (Cayman) Ltd. (the "Board"). The Board consists of Jean-Marc LeSieur, Richard H. Coles, Sophia Harris, Dr. Andreas Wicki, Mark Kronenfeld, M.D., and Richard Paul Woodhouse, none of whom has individual voting or investment power with respect to the shares.</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03"/>
        <w:gridCol w:w="8947"/>
        <w:gridCol w:w="155"/>
      </w:tblGrid>
      <w:tr>
        <w:trPr/>
        <w:tc>
          <w:tcPr>
            <w:tcW w:w="1103" w:type="dxa"/>
            <w:tcBorders/>
            <w:vAlign w:val="center"/>
          </w:tcPr>
          <w:p>
            <w:pPr>
              <w:pStyle w:val="TableContents"/>
              <w:bidi w:val="0"/>
              <w:spacing w:before="0" w:after="283"/>
              <w:jc w:val="left"/>
              <w:rPr/>
            </w:pPr>
            <w:r>
              <w:rPr/>
              <w:t>Item 1.</w:t>
            </w:r>
          </w:p>
        </w:tc>
        <w:tc>
          <w:tcPr>
            <w:tcW w:w="8947"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(a)</w:t>
            </w:r>
          </w:p>
        </w:tc>
        <w:tc>
          <w:tcPr>
            <w:tcW w:w="8947" w:type="dxa"/>
            <w:tcBorders/>
            <w:vAlign w:val="center"/>
          </w:tcPr>
          <w:p>
            <w:pPr>
              <w:pStyle w:val="TableContents"/>
              <w:bidi w:val="0"/>
              <w:jc w:val="left"/>
              <w:rPr/>
            </w:pPr>
            <w:r>
              <w:rPr/>
              <w:t xml:space="preserve">Name of issuer: </w:t>
            </w:r>
          </w:p>
          <w:p>
            <w:pPr>
              <w:pStyle w:val="TableContents"/>
              <w:bidi w:val="0"/>
              <w:spacing w:before="0" w:after="0"/>
              <w:jc w:val="left"/>
              <w:rPr/>
            </w:pPr>
            <w:r>
              <w:rPr/>
              <w:t>ALX ONCOLOGY HOLDINGS INC</w:t>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(b)</w:t>
            </w:r>
          </w:p>
        </w:tc>
        <w:tc>
          <w:tcPr>
            <w:tcW w:w="8947"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323 Allerton Avenue, South San Francisco, CA, 94080</w:t>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Item 2.</w:t>
            </w:r>
          </w:p>
        </w:tc>
        <w:tc>
          <w:tcPr>
            <w:tcW w:w="8947"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(a)</w:t>
            </w:r>
          </w:p>
        </w:tc>
        <w:tc>
          <w:tcPr>
            <w:tcW w:w="8947" w:type="dxa"/>
            <w:tcBorders/>
            <w:vAlign w:val="center"/>
          </w:tcPr>
          <w:p>
            <w:pPr>
              <w:pStyle w:val="TableContents"/>
              <w:bidi w:val="0"/>
              <w:jc w:val="left"/>
              <w:rPr/>
            </w:pPr>
            <w:r>
              <w:rPr/>
              <w:t xml:space="preserve">Name of person filing: </w:t>
            </w:r>
          </w:p>
          <w:p>
            <w:pPr>
              <w:pStyle w:val="TableContents"/>
              <w:bidi w:val="0"/>
              <w:spacing w:before="0" w:after="0"/>
              <w:jc w:val="left"/>
              <w:rPr/>
            </w:pPr>
            <w:r>
              <w:rPr/>
              <w:t>HBM Healthcare Investments (Cayman) Ltd. (the "Reporting Person")</w:t>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(b)</w:t>
            </w:r>
          </w:p>
        </w:tc>
        <w:tc>
          <w:tcPr>
            <w:tcW w:w="8947"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Governors Square, 23 Lime Tree Bay Avenue, PO Box 30852, Grand Cayman, KY1-1204, Cayman Islands</w:t>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(c)</w:t>
            </w:r>
          </w:p>
        </w:tc>
        <w:tc>
          <w:tcPr>
            <w:tcW w:w="8947" w:type="dxa"/>
            <w:tcBorders/>
            <w:vAlign w:val="center"/>
          </w:tcPr>
          <w:p>
            <w:pPr>
              <w:pStyle w:val="TableContents"/>
              <w:bidi w:val="0"/>
              <w:jc w:val="left"/>
              <w:rPr/>
            </w:pPr>
            <w:r>
              <w:rPr/>
              <w:t xml:space="preserve">Citizenship: </w:t>
            </w:r>
          </w:p>
          <w:p>
            <w:pPr>
              <w:pStyle w:val="TableContents"/>
              <w:bidi w:val="0"/>
              <w:spacing w:before="0" w:after="0"/>
              <w:jc w:val="left"/>
              <w:rPr/>
            </w:pPr>
            <w:r>
              <w:rPr/>
              <w:t>Cayman Islands, British West Indies</w:t>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(d)</w:t>
            </w:r>
          </w:p>
        </w:tc>
        <w:tc>
          <w:tcPr>
            <w:tcW w:w="8947"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$0.001 per share</w:t>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(e)</w:t>
            </w:r>
          </w:p>
        </w:tc>
        <w:tc>
          <w:tcPr>
            <w:tcW w:w="8947"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Item 3.</w:t>
            </w:r>
          </w:p>
        </w:tc>
        <w:tc>
          <w:tcPr>
            <w:tcW w:w="8947"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(a)</w:t>
            </w:r>
          </w:p>
        </w:tc>
        <w:tc>
          <w:tcPr>
            <w:tcW w:w="8947"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(b)</w:t>
            </w:r>
          </w:p>
        </w:tc>
        <w:tc>
          <w:tcPr>
            <w:tcW w:w="8947"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(c)</w:t>
            </w:r>
          </w:p>
        </w:tc>
        <w:tc>
          <w:tcPr>
            <w:tcW w:w="8947"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(d)</w:t>
            </w:r>
          </w:p>
        </w:tc>
        <w:tc>
          <w:tcPr>
            <w:tcW w:w="8947"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(e)</w:t>
            </w:r>
          </w:p>
        </w:tc>
        <w:tc>
          <w:tcPr>
            <w:tcW w:w="8947"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(f)</w:t>
            </w:r>
          </w:p>
        </w:tc>
        <w:tc>
          <w:tcPr>
            <w:tcW w:w="8947"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(g)</w:t>
            </w:r>
          </w:p>
        </w:tc>
        <w:tc>
          <w:tcPr>
            <w:tcW w:w="8947"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(h)</w:t>
            </w:r>
          </w:p>
        </w:tc>
        <w:tc>
          <w:tcPr>
            <w:tcW w:w="8947"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(i)</w:t>
            </w:r>
          </w:p>
        </w:tc>
        <w:tc>
          <w:tcPr>
            <w:tcW w:w="8947"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(j)</w:t>
            </w:r>
          </w:p>
        </w:tc>
        <w:tc>
          <w:tcPr>
            <w:tcW w:w="8947"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(k)</w:t>
            </w:r>
          </w:p>
        </w:tc>
        <w:tc>
          <w:tcPr>
            <w:tcW w:w="8947"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 </w:t>
            </w:r>
          </w:p>
        </w:tc>
        <w:tc>
          <w:tcPr>
            <w:tcW w:w="9102" w:type="dxa"/>
            <w:gridSpan w:val="2"/>
            <w:tcBorders/>
            <w:vAlign w:val="center"/>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Item 4.</w:t>
            </w:r>
          </w:p>
        </w:tc>
        <w:tc>
          <w:tcPr>
            <w:tcW w:w="8947"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(a)</w:t>
            </w:r>
          </w:p>
        </w:tc>
        <w:tc>
          <w:tcPr>
            <w:tcW w:w="8947"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As of March 31, 2026, the Reporting Person may be deemed the beneficial owner of 8,590,692 shares of Common Stock.</w:t>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(b)</w:t>
            </w:r>
          </w:p>
        </w:tc>
        <w:tc>
          <w:tcPr>
            <w:tcW w:w="8947"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As of March 31, 2026, the Reporting Person may be deemed the beneficial owner of approximately 6.5% of the shares of Common Stock outstanding. The percentage set forth herein is calculated based on 131,608,278 shares of Common Stock outstanding as of March 2, 2026, as reported in the Issuer's Annual Report on Form 10-K filed with the Securities and Exchange Commission on March 9, 2026.  % </w:t>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(c)</w:t>
            </w:r>
          </w:p>
        </w:tc>
        <w:tc>
          <w:tcPr>
            <w:tcW w:w="8947"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 </w:t>
            </w:r>
          </w:p>
        </w:tc>
        <w:tc>
          <w:tcPr>
            <w:tcW w:w="8947"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8,590,692</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 </w:t>
            </w:r>
          </w:p>
        </w:tc>
        <w:tc>
          <w:tcPr>
            <w:tcW w:w="8947"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 </w:t>
            </w:r>
          </w:p>
        </w:tc>
        <w:tc>
          <w:tcPr>
            <w:tcW w:w="8947"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8,590,692</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 </w:t>
            </w:r>
          </w:p>
        </w:tc>
        <w:tc>
          <w:tcPr>
            <w:tcW w:w="8947"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Item 5.</w:t>
            </w:r>
          </w:p>
        </w:tc>
        <w:tc>
          <w:tcPr>
            <w:tcW w:w="8947"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 </w:t>
            </w:r>
          </w:p>
        </w:tc>
        <w:tc>
          <w:tcPr>
            <w:tcW w:w="8947"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Item 6.</w:t>
            </w:r>
          </w:p>
        </w:tc>
        <w:tc>
          <w:tcPr>
            <w:tcW w:w="8947"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 </w:t>
            </w:r>
          </w:p>
        </w:tc>
        <w:tc>
          <w:tcPr>
            <w:tcW w:w="8947"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Item 7.</w:t>
            </w:r>
          </w:p>
        </w:tc>
        <w:tc>
          <w:tcPr>
            <w:tcW w:w="8947"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 </w:t>
            </w:r>
          </w:p>
        </w:tc>
        <w:tc>
          <w:tcPr>
            <w:tcW w:w="8947"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Item 8.</w:t>
            </w:r>
          </w:p>
        </w:tc>
        <w:tc>
          <w:tcPr>
            <w:tcW w:w="8947"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 </w:t>
            </w:r>
          </w:p>
        </w:tc>
        <w:tc>
          <w:tcPr>
            <w:tcW w:w="8947"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Item 9.</w:t>
            </w:r>
          </w:p>
        </w:tc>
        <w:tc>
          <w:tcPr>
            <w:tcW w:w="8947"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 </w:t>
            </w:r>
          </w:p>
        </w:tc>
        <w:tc>
          <w:tcPr>
            <w:tcW w:w="8947"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9206" w:type="dxa"/>
        <w:jc w:val="left"/>
        <w:tblInd w:w="0" w:type="dxa"/>
        <w:tblLayout w:type="fixed"/>
        <w:tblCellMar>
          <w:top w:w="28" w:type="dxa"/>
          <w:left w:w="28" w:type="dxa"/>
          <w:bottom w:w="28" w:type="dxa"/>
          <w:right w:w="28" w:type="dxa"/>
        </w:tblCellMar>
      </w:tblPr>
      <w:tblGrid>
        <w:gridCol w:w="4603"/>
        <w:gridCol w:w="4603"/>
      </w:tblGrid>
      <w:tr>
        <w:trPr/>
        <w:tc>
          <w:tcPr>
            <w:tcW w:w="4603" w:type="dxa"/>
            <w:tcBorders/>
            <w:vAlign w:val="center"/>
          </w:tcPr>
          <w:p>
            <w:pPr>
              <w:pStyle w:val="TableContents"/>
              <w:bidi w:val="0"/>
              <w:spacing w:before="0" w:after="0"/>
              <w:jc w:val="left"/>
              <w:rPr/>
            </w:pPr>
            <w:r>
              <w:rPr/>
              <w:t> </w:t>
            </w:r>
          </w:p>
          <w:tbl>
            <w:tblPr>
              <w:tblW w:w="4441" w:type="dxa"/>
              <w:jc w:val="left"/>
              <w:tblInd w:w="0" w:type="dxa"/>
              <w:tblLayout w:type="fixed"/>
              <w:tblCellMar>
                <w:top w:w="28" w:type="dxa"/>
                <w:left w:w="28" w:type="dxa"/>
                <w:bottom w:w="28" w:type="dxa"/>
                <w:right w:w="28" w:type="dxa"/>
              </w:tblCellMar>
            </w:tblPr>
            <w:tblGrid>
              <w:gridCol w:w="4441"/>
            </w:tblGrid>
            <w:tr>
              <w:trPr/>
              <w:tc>
                <w:tcPr>
                  <w:tcW w:w="4441" w:type="dxa"/>
                  <w:tcBorders/>
                  <w:vAlign w:val="center"/>
                </w:tcPr>
                <w:p>
                  <w:pPr>
                    <w:pStyle w:val="TableContents"/>
                    <w:bidi w:val="0"/>
                    <w:spacing w:before="0" w:after="0"/>
                    <w:jc w:val="left"/>
                    <w:rPr/>
                  </w:pPr>
                  <w:r>
                    <w:rPr/>
                    <w:t>HBM Healthcare Investments (Cayman) Ltd.</w:t>
                  </w:r>
                </w:p>
              </w:tc>
            </w:tr>
          </w:tbl>
          <w:p>
            <w:pPr>
              <w:pStyle w:val="TableContents"/>
              <w:bidi w:val="0"/>
              <w:spacing w:before="0" w:after="283"/>
              <w:jc w:val="left"/>
              <w:rPr/>
            </w:pPr>
            <w:r>
              <w:rPr/>
            </w:r>
          </w:p>
        </w:tc>
        <w:tc>
          <w:tcPr>
            <w:tcW w:w="460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83"/>
        <w:gridCol w:w="4322"/>
      </w:tblGrid>
      <w:tr>
        <w:trPr/>
        <w:tc>
          <w:tcPr>
            <w:tcW w:w="588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1"/>
              <w:gridCol w:w="9034"/>
            </w:tblGrid>
            <w:tr>
              <w:trPr/>
              <w:tc>
                <w:tcPr>
                  <w:tcW w:w="1171" w:type="dxa"/>
                  <w:tcBorders/>
                  <w:vAlign w:val="center"/>
                </w:tcPr>
                <w:p>
                  <w:pPr>
                    <w:pStyle w:val="TableContents"/>
                    <w:bidi w:val="0"/>
                    <w:spacing w:before="0" w:after="283"/>
                    <w:jc w:val="left"/>
                    <w:rPr/>
                  </w:pPr>
                  <w:r>
                    <w:rPr/>
                    <w:t>Signature:</w:t>
                  </w:r>
                </w:p>
              </w:tc>
              <w:tc>
                <w:tcPr>
                  <w:tcW w:w="9034" w:type="dxa"/>
                  <w:tcBorders/>
                  <w:vAlign w:val="center"/>
                </w:tcPr>
                <w:p>
                  <w:pPr>
                    <w:pStyle w:val="TableContents"/>
                    <w:bidi w:val="0"/>
                    <w:spacing w:before="0" w:after="283"/>
                    <w:jc w:val="left"/>
                    <w:rPr/>
                  </w:pPr>
                  <w:r>
                    <w:rPr/>
                    <w:t>/s/ Jean-Marc LeSieur</w:t>
                  </w:r>
                </w:p>
              </w:tc>
            </w:tr>
            <w:tr>
              <w:trPr/>
              <w:tc>
                <w:tcPr>
                  <w:tcW w:w="1171" w:type="dxa"/>
                  <w:tcBorders/>
                  <w:vAlign w:val="center"/>
                </w:tcPr>
                <w:p>
                  <w:pPr>
                    <w:pStyle w:val="TableContents"/>
                    <w:bidi w:val="0"/>
                    <w:spacing w:before="0" w:after="283"/>
                    <w:jc w:val="left"/>
                    <w:rPr/>
                  </w:pPr>
                  <w:r>
                    <w:rPr/>
                    <w:t>Name/Title:</w:t>
                  </w:r>
                </w:p>
              </w:tc>
              <w:tc>
                <w:tcPr>
                  <w:tcW w:w="9034" w:type="dxa"/>
                  <w:tcBorders/>
                  <w:vAlign w:val="center"/>
                </w:tcPr>
                <w:p>
                  <w:pPr>
                    <w:pStyle w:val="TableContents"/>
                    <w:bidi w:val="0"/>
                    <w:spacing w:before="0" w:after="283"/>
                    <w:jc w:val="left"/>
                    <w:rPr/>
                  </w:pPr>
                  <w:r>
                    <w:rPr/>
                    <w:t>Jean-Marc LeSieur, Managing Director</w:t>
                  </w:r>
                </w:p>
              </w:tc>
            </w:tr>
            <w:tr>
              <w:trPr/>
              <w:tc>
                <w:tcPr>
                  <w:tcW w:w="1171" w:type="dxa"/>
                  <w:tcBorders/>
                  <w:vAlign w:val="center"/>
                </w:tcPr>
                <w:p>
                  <w:pPr>
                    <w:pStyle w:val="TableContents"/>
                    <w:bidi w:val="0"/>
                    <w:spacing w:before="0" w:after="283"/>
                    <w:jc w:val="left"/>
                    <w:rPr/>
                  </w:pPr>
                  <w:r>
                    <w:rPr/>
                    <w:t>Date:</w:t>
                  </w:r>
                </w:p>
              </w:tc>
              <w:tc>
                <w:tcPr>
                  <w:tcW w:w="9034"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322"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894</Words>
  <Characters>4666</Characters>
  <CharactersWithSpaces>5551</CharactersWithSpaces>
  <Paragraphs>162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