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60"/>
        <w:spacing w:after="0" w:line="225" w:lineRule="auto"/>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1"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001-39386</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7"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3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6"/>
        </w:trPr>
        <w:tc>
          <w:tcPr>
            <w:tcW w:w="4380" w:type="dxa"/>
            <w:vAlign w:val="bottom"/>
          </w:tcPr>
          <w:p>
            <w:pPr>
              <w:jc w:val="center"/>
              <w:ind w:right="181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06"/>
        </w:trPr>
        <w:tc>
          <w:tcPr>
            <w:tcW w:w="4380" w:type="dxa"/>
            <w:vAlign w:val="bottom"/>
          </w:tcPr>
          <w:p>
            <w:pPr>
              <w:jc w:val="center"/>
              <w:ind w:right="1819"/>
              <w:spacing w:after="0" w:line="206" w:lineRule="exact"/>
              <w:rPr>
                <w:sz w:val="20"/>
                <w:szCs w:val="20"/>
                <w:color w:val="auto"/>
              </w:rPr>
            </w:pPr>
            <w:r>
              <w:rPr>
                <w:rFonts w:ascii="Times New Roman" w:cs="Times New Roman" w:eastAsia="Times New Roman" w:hAnsi="Times New Roman"/>
                <w:sz w:val="18"/>
                <w:szCs w:val="18"/>
                <w:b w:val="1"/>
                <w:bCs w:val="1"/>
                <w:color w:val="auto"/>
                <w:w w:val="98"/>
              </w:rPr>
              <w:t>323 Allerton Avenue</w:t>
            </w:r>
          </w:p>
        </w:tc>
        <w:tc>
          <w:tcPr>
            <w:tcW w:w="3040" w:type="dxa"/>
            <w:vAlign w:val="bottom"/>
          </w:tcPr>
          <w:p>
            <w:pPr>
              <w:spacing w:after="0"/>
              <w:rPr>
                <w:sz w:val="17"/>
                <w:szCs w:val="17"/>
                <w:color w:val="auto"/>
              </w:rPr>
            </w:pPr>
          </w:p>
        </w:tc>
      </w:tr>
      <w:tr>
        <w:trPr>
          <w:trHeight w:val="214"/>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0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650-466-7125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ALXO</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248" w:lineRule="exact"/>
        <w:rPr>
          <w:sz w:val="24"/>
          <w:szCs w:val="24"/>
          <w:color w:val="auto"/>
        </w:rPr>
      </w:pPr>
    </w:p>
    <w:p>
      <w:pPr>
        <w:ind w:right="40" w:firstLine="30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240" w:firstLine="30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140" w:firstLine="30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16" w:lineRule="exact"/>
        <w:rPr>
          <w:sz w:val="24"/>
          <w:szCs w:val="24"/>
          <w:color w:val="auto"/>
        </w:rPr>
      </w:pPr>
    </w:p>
    <w:p>
      <w:pPr>
        <w:ind w:right="280" w:firstLine="30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300" w:right="3420"/>
        <w:spacing w:after="0" w:line="22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1, 2022, the Registrant had 40,755,452 shares of common stock outstanding,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346075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8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285" w:lineRule="exact"/>
        <w:rPr>
          <w:sz w:val="20"/>
          <w:szCs w:val="20"/>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0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to fund our future operating expenses and capital expenditure requirements;</w:t>
      </w:r>
    </w:p>
    <w:p>
      <w:pPr>
        <w:spacing w:after="0" w:line="10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260" w:right="6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the geographic areas of focus and our ability to grow a sales team;</w:t>
      </w:r>
    </w:p>
    <w:p>
      <w:pPr>
        <w:spacing w:after="0" w:line="54"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1260" w:right="8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8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preclinical research activities, and for the manufacture of our product candidates;</w:t>
      </w:r>
    </w:p>
    <w:p>
      <w:pPr>
        <w:spacing w:after="0" w:line="10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0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0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the safety and efficacy of our product candidates, and other positive results;</w:t>
      </w:r>
    </w:p>
    <w:p>
      <w:pPr>
        <w:spacing w:after="0" w:line="10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0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17" w:lineRule="exact"/>
        <w:rPr>
          <w:rFonts w:ascii="Times New Roman" w:cs="Times New Roman" w:eastAsia="Times New Roman" w:hAnsi="Times New Roman"/>
          <w:sz w:val="18"/>
          <w:szCs w:val="18"/>
          <w:color w:val="auto"/>
        </w:rPr>
      </w:pPr>
    </w:p>
    <w:p>
      <w:pPr>
        <w:ind w:left="1260" w:right="18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that we may pursue;</w:t>
      </w:r>
    </w:p>
    <w:p>
      <w:pPr>
        <w:spacing w:after="0" w:line="54"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1260" w:right="52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54" w:lineRule="exact"/>
        <w:rPr>
          <w:rFonts w:ascii="Times New Roman" w:cs="Times New Roman" w:eastAsia="Times New Roman" w:hAnsi="Times New Roman"/>
          <w:sz w:val="18"/>
          <w:szCs w:val="18"/>
          <w:color w:val="auto"/>
        </w:rPr>
      </w:pPr>
    </w:p>
    <w:p>
      <w:pPr>
        <w:ind w:left="1260" w:right="68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w:t>
      </w:r>
    </w:p>
    <w:p>
      <w:pPr>
        <w:spacing w:after="0" w:line="40"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03" w:lineRule="exact"/>
        <w:rPr>
          <w:rFonts w:ascii="Times New Roman" w:cs="Times New Roman" w:eastAsia="Times New Roman" w:hAnsi="Times New Roman"/>
          <w:sz w:val="18"/>
          <w:szCs w:val="18"/>
          <w:color w:val="auto"/>
        </w:rPr>
      </w:pPr>
    </w:p>
    <w:p>
      <w:pPr>
        <w:ind w:left="1260" w:right="56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40"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w:t>
      </w:r>
    </w:p>
    <w:p>
      <w:pPr>
        <w:spacing w:after="0" w:line="10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rising interest rates, or geopolitical risks on our business;</w:t>
      </w:r>
    </w:p>
    <w:p>
      <w:pPr>
        <w:spacing w:after="0" w:line="117" w:lineRule="exact"/>
        <w:rPr>
          <w:rFonts w:ascii="Times New Roman" w:cs="Times New Roman" w:eastAsia="Times New Roman" w:hAnsi="Times New Roman"/>
          <w:sz w:val="18"/>
          <w:szCs w:val="18"/>
          <w:color w:val="auto"/>
        </w:rPr>
      </w:pPr>
    </w:p>
    <w:p>
      <w:pPr>
        <w:ind w:left="1260" w:right="38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and prospects of our acquisitions and other business development activities, and our ability to successfully capitalize on these opportunities;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left="1260" w:hanging="368"/>
        <w:spacing w:after="0" w:line="28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and cash equivalents, short-term and long-term investments, and the funds available from our term loan.</w:t>
      </w:r>
    </w:p>
    <w:p>
      <w:pPr>
        <w:spacing w:after="0" w:line="4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9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20" w:type="dxa"/>
            <w:vAlign w:val="bottom"/>
            <w:gridSpan w:val="12"/>
            <w:vMerge w:val="restart"/>
          </w:tcPr>
          <w:p>
            <w:pPr>
              <w:jc w:val="center"/>
              <w:ind w:right="2960"/>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3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20" w:type="dxa"/>
            <w:vAlign w:val="bottom"/>
            <w:gridSpan w:val="12"/>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38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342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7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40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8"/>
              </w:rPr>
              <w:t>Condensed Consolidated Balance</w:t>
            </w:r>
          </w:p>
        </w:tc>
        <w:tc>
          <w:tcPr>
            <w:tcW w:w="6740" w:type="dxa"/>
            <w:vAlign w:val="bottom"/>
            <w:gridSpan w:val="13"/>
          </w:tcPr>
          <w:p>
            <w:pPr>
              <w:ind w:left="6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20" w:type="dxa"/>
            <w:vAlign w:val="bottom"/>
            <w:gridSpan w:val="12"/>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Operations</w:t>
            </w: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292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220" w:type="dxa"/>
            <w:vAlign w:val="bottom"/>
            <w:gridSpan w:val="1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14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44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44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0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14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140" w:type="dxa"/>
            <w:vAlign w:val="bottom"/>
            <w:gridSpan w:val="8"/>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Condition and Results of Operations</w:t>
            </w: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400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w:t>
            </w:r>
          </w:p>
        </w:tc>
        <w:tc>
          <w:tcPr>
            <w:tcW w:w="5140" w:type="dxa"/>
            <w:vAlign w:val="bottom"/>
            <w:gridSpan w:val="8"/>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644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20" w:lineRule="exact"/>
              <w:rPr>
                <w:sz w:val="1"/>
                <w:szCs w:val="1"/>
                <w:color w:val="auto"/>
              </w:rPr>
            </w:pPr>
          </w:p>
        </w:tc>
        <w:tc>
          <w:tcPr>
            <w:tcW w:w="3640" w:type="dxa"/>
            <w:vAlign w:val="bottom"/>
            <w:gridSpan w:val="3"/>
            <w:vMerge w:val="restart"/>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430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1"/>
          </w:tcPr>
          <w:p>
            <w:pPr>
              <w:jc w:val="center"/>
              <w:ind w:right="344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8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36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tcBorders>
              <w:top w:val="single" w:sz="8" w:color="0000FF"/>
            </w:tcBorders>
            <w:gridSpan w:val="4"/>
          </w:tcPr>
          <w:p>
            <w:pPr>
              <w:spacing w:after="0"/>
              <w:rPr>
                <w:sz w:val="15"/>
                <w:szCs w:val="15"/>
                <w:color w:val="auto"/>
              </w:rPr>
            </w:pPr>
          </w:p>
        </w:tc>
        <w:tc>
          <w:tcPr>
            <w:tcW w:w="1160" w:type="dxa"/>
            <w:vAlign w:val="bottom"/>
            <w:tcBorders>
              <w:top w:val="single" w:sz="8" w:color="0000FF"/>
            </w:tcBorders>
            <w:gridSpan w:val="3"/>
          </w:tcPr>
          <w:p>
            <w:pPr>
              <w:spacing w:after="0"/>
              <w:rPr>
                <w:sz w:val="15"/>
                <w:szCs w:val="15"/>
                <w:color w:val="auto"/>
              </w:rPr>
            </w:pPr>
          </w:p>
        </w:tc>
        <w:tc>
          <w:tcPr>
            <w:tcW w:w="3640" w:type="dxa"/>
            <w:vAlign w:val="bottom"/>
            <w:gridSpan w:val="3"/>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3"/>
        </w:trPr>
        <w:tc>
          <w:tcPr>
            <w:tcW w:w="138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3"/>
          </w:tcPr>
          <w:p>
            <w:pPr>
              <w:spacing w:after="0"/>
              <w:rPr>
                <w:sz w:val="15"/>
                <w:szCs w:val="15"/>
                <w:color w:val="auto"/>
              </w:rPr>
            </w:pPr>
          </w:p>
        </w:tc>
        <w:tc>
          <w:tcPr>
            <w:tcW w:w="1040" w:type="dxa"/>
            <w:vAlign w:val="bottom"/>
            <w:gridSpan w:val="3"/>
          </w:tcPr>
          <w:p>
            <w:pPr>
              <w:spacing w:after="0"/>
              <w:rPr>
                <w:sz w:val="15"/>
                <w:szCs w:val="15"/>
                <w:color w:val="auto"/>
              </w:rPr>
            </w:pPr>
          </w:p>
        </w:tc>
        <w:tc>
          <w:tcPr>
            <w:tcW w:w="1980" w:type="dxa"/>
            <w:vAlign w:val="bottom"/>
            <w:gridSpan w:val="8"/>
          </w:tcPr>
          <w:p>
            <w:pPr>
              <w:spacing w:after="0"/>
              <w:rPr>
                <w:sz w:val="15"/>
                <w:szCs w:val="15"/>
                <w:color w:val="auto"/>
              </w:rPr>
            </w:pPr>
          </w:p>
        </w:tc>
        <w:tc>
          <w:tcPr>
            <w:tcW w:w="4800" w:type="dxa"/>
            <w:vAlign w:val="bottom"/>
            <w:gridSpan w:val="6"/>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3"/>
        </w:trPr>
        <w:tc>
          <w:tcPr>
            <w:tcW w:w="138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6"/>
              </w:rPr>
              <w:t>Unregistered</w:t>
            </w:r>
          </w:p>
        </w:tc>
        <w:tc>
          <w:tcPr>
            <w:tcW w:w="8220" w:type="dxa"/>
            <w:vAlign w:val="bottom"/>
            <w:gridSpan w:val="20"/>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4800" w:type="dxa"/>
            <w:vAlign w:val="bottom"/>
            <w:gridSpan w:val="6"/>
            <w:vMerge w:val="restart"/>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434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800" w:type="dxa"/>
            <w:vAlign w:val="bottom"/>
            <w:gridSpan w:val="6"/>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2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6780" w:type="dxa"/>
            <w:vAlign w:val="bottom"/>
            <w:gridSpan w:val="14"/>
            <w:vMerge w:val="restart"/>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3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780" w:type="dxa"/>
            <w:vAlign w:val="bottom"/>
            <w:gridSpan w:val="14"/>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380" w:type="dxa"/>
            <w:vAlign w:val="bottom"/>
            <w:gridSpan w:val="16"/>
            <w:vMerge w:val="restart"/>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176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380" w:type="dxa"/>
            <w:vAlign w:val="bottom"/>
            <w:gridSpan w:val="16"/>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40" w:type="dxa"/>
            <w:vAlign w:val="bottom"/>
            <w:gridSpan w:val="18"/>
            <w:vMerge w:val="restart"/>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13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840" w:type="dxa"/>
            <w:vAlign w:val="bottom"/>
            <w:gridSpan w:val="18"/>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40" w:type="dxa"/>
            <w:vAlign w:val="bottom"/>
            <w:gridSpan w:val="1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80" w:type="dxa"/>
            <w:vAlign w:val="bottom"/>
          </w:tcPr>
          <w:p>
            <w:pPr>
              <w:spacing w:after="0"/>
              <w:rPr>
                <w:sz w:val="24"/>
                <w:szCs w:val="24"/>
                <w:color w:val="auto"/>
              </w:rPr>
            </w:pPr>
          </w:p>
        </w:tc>
        <w:tc>
          <w:tcPr>
            <w:tcW w:w="91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757"/>
        </w:trPr>
        <w:tc>
          <w:tcPr>
            <w:tcW w:w="13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363,667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235,855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367,019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317,689</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380,183</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Payable and accrued liabilities due to related party</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8"/>
                <w:szCs w:val="18"/>
                <w:color w:val="auto"/>
              </w:rPr>
            </w:pPr>
          </w:p>
        </w:tc>
      </w:tr>
      <w:tr>
        <w:trPr>
          <w:trHeight w:val="209"/>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54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Common stock, $0.001 par value; 1,000,000,000 shares authorized</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754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as of September 30, 2022 and December 31, 2021; 40,748,290 and</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5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40,587,067 shares issued and outstanding as of September 30, 2022 and</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8"/>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583,184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564,993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(1,504 )</w:t>
            </w: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(294,758 )</w:t>
            </w: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(201,985 )</w:t>
            </w:r>
          </w:p>
        </w:tc>
      </w:tr>
      <w:tr>
        <w:trPr>
          <w:trHeight w:val="209"/>
        </w:trPr>
        <w:tc>
          <w:tcPr>
            <w:tcW w:w="75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286,963</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363,049</w:t>
            </w:r>
          </w:p>
        </w:tc>
        <w:tc>
          <w:tcPr>
            <w:tcW w:w="100" w:type="dxa"/>
            <w:vAlign w:val="bottom"/>
            <w:tcBorders>
              <w:top w:val="single" w:sz="8" w:color="CFF0FC"/>
            </w:tcBorders>
          </w:tcPr>
          <w:p>
            <w:pPr>
              <w:spacing w:after="0"/>
              <w:rPr>
                <w:sz w:val="18"/>
                <w:szCs w:val="18"/>
                <w:color w:val="auto"/>
              </w:rPr>
            </w:pPr>
          </w:p>
        </w:tc>
      </w:tr>
      <w:tr>
        <w:trPr>
          <w:trHeight w:val="250"/>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317,689</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380,183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-3488055</wp:posOffset>
            </wp:positionV>
            <wp:extent cx="7683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-2931160</wp:posOffset>
            </wp:positionV>
            <wp:extent cx="768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-1508125</wp:posOffset>
            </wp:positionV>
            <wp:extent cx="7683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-316230</wp:posOffset>
            </wp:positionV>
            <wp:extent cx="7683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1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gridSpan w:val="5"/>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92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73,203</w:t>
            </w:r>
          </w:p>
        </w:tc>
        <w:tc>
          <w:tcPr>
            <w:tcW w:w="26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3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95,217</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(95,217</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(55,083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(9 )</w:t>
            </w: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(12 )</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(27 )</w:t>
            </w:r>
          </w:p>
        </w:tc>
        <w:tc>
          <w:tcPr>
            <w:tcW w:w="5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(35,320 )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(24,566 )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(92,773 )</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(55,025 )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51"/>
        </w:trPr>
        <w:tc>
          <w:tcPr>
            <w:tcW w:w="452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of common stock used to</w:t>
            </w:r>
          </w:p>
        </w:tc>
        <w:tc>
          <w:tcPr>
            <w:tcW w:w="3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40,747,026</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40,396,188</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40,684,172</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40,234,159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compute net loss per shares, basic and diluted</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-1156970</wp:posOffset>
            </wp:positionV>
            <wp:extent cx="7747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-1156970</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-1156970</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-591185</wp:posOffset>
            </wp:positionV>
            <wp:extent cx="7747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-591185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-591185</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-282575</wp:posOffset>
            </wp:positionV>
            <wp:extent cx="3351530"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28321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1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jc w:val="center"/>
        <w:spacing w:after="0" w:line="234"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7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(35,320</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(24,566</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(92,773</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available-for-sale investments</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(248 )</w:t>
            </w: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(1,504 )</w:t>
            </w:r>
          </w:p>
        </w:tc>
        <w:tc>
          <w:tcPr>
            <w:tcW w:w="4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(35,568 )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(24,566 )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(94,277 )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(55,025 )</w:t>
            </w:r>
          </w:p>
        </w:tc>
      </w:tr>
      <w:tr>
        <w:trPr>
          <w:trHeight w:val="20"/>
        </w:trPr>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-170815</wp:posOffset>
            </wp:positionV>
            <wp:extent cx="7747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7683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41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line="234"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15"/>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5"/>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415"/>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Borders>
              <w:bottom w:val="single" w:sz="8" w:color="auto"/>
            </w:tcBorders>
            <w:gridSpan w:val="5"/>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15"/>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1240" w:type="dxa"/>
            <w:vAlign w:val="bottom"/>
            <w:gridSpan w:val="2"/>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40,587,067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564,993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(201,985</w:t>
            </w:r>
          </w:p>
        </w:tc>
        <w:tc>
          <w:tcPr>
            <w:tcW w:w="22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363,049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69,565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right"/>
              <w:ind w:right="25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equity incentive plans</w:t>
            </w: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5,501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tcBorders>
              <w:right w:val="single" w:sz="8" w:color="CFF0FC"/>
            </w:tcBorders>
            <w:gridSpan w:val="2"/>
            <w:shd w:val="clear" w:color="auto" w:fill="CFF0FC"/>
          </w:tcPr>
          <w:p>
            <w:pPr>
              <w:jc w:val="right"/>
              <w:ind w:right="25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right"/>
              <w:ind w:right="195"/>
              <w:spacing w:after="0"/>
              <w:rPr>
                <w:sz w:val="20"/>
                <w:szCs w:val="20"/>
                <w:color w:val="auto"/>
              </w:rPr>
            </w:pPr>
            <w:r>
              <w:rPr>
                <w:rFonts w:ascii="Times New Roman" w:cs="Times New Roman" w:eastAsia="Times New Roman" w:hAnsi="Times New Roman"/>
                <w:sz w:val="14"/>
                <w:szCs w:val="14"/>
                <w:color w:val="auto"/>
              </w:rPr>
              <w:t>(606 )</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(606 )</w:t>
            </w:r>
          </w:p>
        </w:tc>
        <w:tc>
          <w:tcPr>
            <w:tcW w:w="0" w:type="dxa"/>
            <w:vAlign w:val="bottom"/>
          </w:tcPr>
          <w:p>
            <w:pPr>
              <w:spacing w:after="0"/>
              <w:rPr>
                <w:sz w:val="1"/>
                <w:szCs w:val="1"/>
                <w:color w:val="auto"/>
              </w:rPr>
            </w:pPr>
          </w:p>
        </w:tc>
      </w:tr>
      <w:tr>
        <w:trPr>
          <w:trHeight w:val="185"/>
        </w:trPr>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investments</w:t>
            </w: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4"/>
                <w:szCs w:val="14"/>
                <w:color w:val="auto"/>
              </w:rPr>
              <w:t>(24,533 )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(24,533 )</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40,656,632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570,679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color w:val="auto"/>
              </w:rPr>
              <w:t>(606 )</w:t>
            </w:r>
          </w:p>
        </w:tc>
        <w:tc>
          <w:tcPr>
            <w:tcW w:w="120" w:type="dxa"/>
            <w:vAlign w:val="bottom"/>
          </w:tcPr>
          <w:p>
            <w:pPr>
              <w:spacing w:after="0"/>
              <w:rPr>
                <w:sz w:val="14"/>
                <w:szCs w:val="14"/>
                <w:color w:val="auto"/>
              </w:rPr>
            </w:pPr>
          </w:p>
        </w:tc>
        <w:tc>
          <w:tcPr>
            <w:tcW w:w="12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(226,518 )</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80" w:type="dxa"/>
            <w:vAlign w:val="bottom"/>
            <w:tcBorders>
              <w:top w:val="single" w:sz="8" w:color="auto"/>
            </w:tcBorders>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44,618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vMerge w:val="restart"/>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equity incentive plans</w:t>
            </w:r>
          </w:p>
        </w:tc>
        <w:tc>
          <w:tcPr>
            <w:tcW w:w="98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tcBorders>
              <w:right w:val="single" w:sz="8" w:color="CFF0FC"/>
            </w:tcBorders>
            <w:vMerge w:val="continue"/>
            <w:shd w:val="clear" w:color="auto" w:fill="CFF0FC"/>
          </w:tcPr>
          <w:p>
            <w:pPr>
              <w:spacing w:after="0"/>
              <w:rPr>
                <w:sz w:val="16"/>
                <w:szCs w:val="16"/>
                <w:color w:val="auto"/>
              </w:rPr>
            </w:pPr>
          </w:p>
        </w:tc>
        <w:tc>
          <w:tcPr>
            <w:tcW w:w="220" w:type="dxa"/>
            <w:vAlign w:val="bottom"/>
            <w:tcBorders>
              <w:right w:val="single" w:sz="8" w:color="CFF0FC"/>
            </w:tcBorders>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tcBorders>
              <w:right w:val="single" w:sz="8" w:color="CFF0FC"/>
            </w:tcBorders>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44,002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right"/>
              <w:ind w:right="25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tcBorders>
              <w:right w:val="single" w:sz="8" w:color="CFF0FC"/>
            </w:tcBorders>
            <w:gridSpan w:val="2"/>
            <w:shd w:val="clear" w:color="auto" w:fill="CFF0FC"/>
          </w:tcPr>
          <w:p>
            <w:pPr>
              <w:jc w:val="right"/>
              <w:ind w:right="25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right"/>
              <w:ind w:right="195"/>
              <w:spacing w:after="0"/>
              <w:rPr>
                <w:sz w:val="20"/>
                <w:szCs w:val="20"/>
                <w:color w:val="auto"/>
              </w:rPr>
            </w:pPr>
            <w:r>
              <w:rPr>
                <w:rFonts w:ascii="Times New Roman" w:cs="Times New Roman" w:eastAsia="Times New Roman" w:hAnsi="Times New Roman"/>
                <w:sz w:val="14"/>
                <w:szCs w:val="14"/>
                <w:color w:val="auto"/>
              </w:rPr>
              <w:t>(650 )</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(650 )</w:t>
            </w:r>
          </w:p>
        </w:tc>
        <w:tc>
          <w:tcPr>
            <w:tcW w:w="0" w:type="dxa"/>
            <w:vAlign w:val="bottom"/>
          </w:tcPr>
          <w:p>
            <w:pPr>
              <w:spacing w:after="0"/>
              <w:rPr>
                <w:sz w:val="1"/>
                <w:szCs w:val="1"/>
                <w:color w:val="auto"/>
              </w:rPr>
            </w:pPr>
          </w:p>
        </w:tc>
      </w:tr>
      <w:tr>
        <w:trPr>
          <w:trHeight w:val="185"/>
        </w:trPr>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investments</w:t>
            </w: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4"/>
                <w:szCs w:val="14"/>
                <w:color w:val="auto"/>
              </w:rPr>
              <w:t>(32,920 )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(32,920 )</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40,745,252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576,972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color w:val="auto"/>
              </w:rPr>
              <w:t>(1,256 )</w:t>
            </w:r>
          </w:p>
        </w:tc>
        <w:tc>
          <w:tcPr>
            <w:tcW w:w="120" w:type="dxa"/>
            <w:vAlign w:val="bottom"/>
          </w:tcPr>
          <w:p>
            <w:pPr>
              <w:spacing w:after="0"/>
              <w:rPr>
                <w:sz w:val="14"/>
                <w:szCs w:val="14"/>
                <w:color w:val="auto"/>
              </w:rPr>
            </w:pPr>
          </w:p>
        </w:tc>
        <w:tc>
          <w:tcPr>
            <w:tcW w:w="12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(259,438 )</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80" w:type="dxa"/>
            <w:vAlign w:val="bottom"/>
            <w:tcBorders>
              <w:top w:val="single" w:sz="8" w:color="auto"/>
            </w:tcBorders>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3,038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vMerge w:val="restart"/>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equity incentive plans</w:t>
            </w:r>
          </w:p>
        </w:tc>
        <w:tc>
          <w:tcPr>
            <w:tcW w:w="98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tcBorders>
              <w:right w:val="single" w:sz="8" w:color="CFF0FC"/>
            </w:tcBorders>
            <w:vMerge w:val="continue"/>
            <w:shd w:val="clear" w:color="auto" w:fill="CFF0FC"/>
          </w:tcPr>
          <w:p>
            <w:pPr>
              <w:spacing w:after="0"/>
              <w:rPr>
                <w:sz w:val="16"/>
                <w:szCs w:val="16"/>
                <w:color w:val="auto"/>
              </w:rPr>
            </w:pPr>
          </w:p>
        </w:tc>
        <w:tc>
          <w:tcPr>
            <w:tcW w:w="220" w:type="dxa"/>
            <w:vAlign w:val="bottom"/>
            <w:tcBorders>
              <w:right w:val="single" w:sz="8" w:color="CFF0FC"/>
            </w:tcBorders>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tcBorders>
              <w:right w:val="single" w:sz="8" w:color="CFF0FC"/>
            </w:tcBorders>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5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gridSpan w:val="2"/>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00" w:type="dxa"/>
            <w:vAlign w:val="bottom"/>
            <w:tcBorders>
              <w:right w:val="single" w:sz="8" w:color="CFF0FC"/>
            </w:tcBorders>
            <w:gridSpan w:val="2"/>
            <w:vMerge w:val="restart"/>
            <w:shd w:val="clear" w:color="auto" w:fill="CFF0FC"/>
          </w:tcPr>
          <w:p>
            <w:pPr>
              <w:jc w:val="right"/>
              <w:ind w:right="195"/>
              <w:spacing w:after="0"/>
              <w:rPr>
                <w:sz w:val="20"/>
                <w:szCs w:val="20"/>
                <w:color w:val="auto"/>
              </w:rPr>
            </w:pPr>
            <w:r>
              <w:rPr>
                <w:rFonts w:ascii="Times New Roman" w:cs="Times New Roman" w:eastAsia="Times New Roman" w:hAnsi="Times New Roman"/>
                <w:sz w:val="14"/>
                <w:szCs w:val="14"/>
                <w:color w:val="auto"/>
              </w:rPr>
              <w:t>(248 )</w:t>
            </w:r>
          </w:p>
        </w:tc>
        <w:tc>
          <w:tcPr>
            <w:tcW w:w="12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(248 )</w:t>
            </w:r>
          </w:p>
        </w:tc>
        <w:tc>
          <w:tcPr>
            <w:tcW w:w="0" w:type="dxa"/>
            <w:vAlign w:val="bottom"/>
          </w:tcPr>
          <w:p>
            <w:pPr>
              <w:spacing w:after="0"/>
              <w:rPr>
                <w:sz w:val="1"/>
                <w:szCs w:val="1"/>
                <w:color w:val="auto"/>
              </w:rPr>
            </w:pPr>
          </w:p>
        </w:tc>
      </w:tr>
      <w:tr>
        <w:trPr>
          <w:trHeight w:val="185"/>
        </w:trPr>
        <w:tc>
          <w:tcPr>
            <w:tcW w:w="28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investments</w:t>
            </w:r>
          </w:p>
        </w:tc>
        <w:tc>
          <w:tcPr>
            <w:tcW w:w="98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tcBorders>
              <w:right w:val="single" w:sz="8" w:color="CFF0FC"/>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5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(35,320 )</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(35,320 )</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40,748,290</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583,184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220" w:type="dxa"/>
            <w:vAlign w:val="bottom"/>
            <w:tcBorders>
              <w:bottom w:val="single" w:sz="8" w:color="CFF0FC"/>
              <w:right w:val="single" w:sz="8" w:color="CFF0FC"/>
            </w:tcBorders>
            <w:shd w:val="clear" w:color="auto" w:fill="CFF0FC"/>
          </w:tcPr>
          <w:p>
            <w:pPr>
              <w:jc w:val="right"/>
              <w:ind w:right="195"/>
              <w:spacing w:after="0"/>
              <w:rPr>
                <w:sz w:val="20"/>
                <w:szCs w:val="20"/>
                <w:color w:val="auto"/>
              </w:rPr>
            </w:pPr>
            <w:r>
              <w:rPr>
                <w:rFonts w:ascii="Times New Roman" w:cs="Times New Roman" w:eastAsia="Times New Roman" w:hAnsi="Times New Roman"/>
                <w:sz w:val="1"/>
                <w:szCs w:val="1"/>
                <w:color w:val="auto"/>
                <w:w w:val="429496728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(294,758</w:t>
            </w:r>
          </w:p>
        </w:tc>
        <w:tc>
          <w:tcPr>
            <w:tcW w:w="220" w:type="dxa"/>
            <w:vAlign w:val="bottom"/>
            <w:tcBorders>
              <w:bottom w:val="single" w:sz="8" w:color="CFF0FC"/>
            </w:tcBorders>
            <w:shd w:val="clear" w:color="auto" w:fill="CFF0FC"/>
          </w:tcPr>
          <w:p>
            <w:pPr>
              <w:jc w:val="right"/>
              <w:ind w:right="123"/>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286,963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95"/>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5"/>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495"/>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95"/>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9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1240" w:type="dxa"/>
            <w:vAlign w:val="bottom"/>
            <w:gridSpan w:val="2"/>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39,844,522</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548,327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(118,522</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429,845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364,047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right"/>
              <w:ind w:right="21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equity incentive plans</w:t>
            </w: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tcBorders>
              <w:right w:val="single" w:sz="8" w:color="CFF0FC"/>
            </w:tcBorders>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1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(14,185 )</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(14,185 )</w:t>
            </w:r>
          </w:p>
        </w:tc>
        <w:tc>
          <w:tcPr>
            <w:tcW w:w="0" w:type="dxa"/>
            <w:vAlign w:val="bottom"/>
          </w:tcPr>
          <w:p>
            <w:pPr>
              <w:spacing w:after="0"/>
              <w:rPr>
                <w:sz w:val="1"/>
                <w:szCs w:val="1"/>
                <w:color w:val="auto"/>
              </w:rPr>
            </w:pPr>
          </w:p>
        </w:tc>
      </w:tr>
      <w:tr>
        <w:trPr>
          <w:trHeight w:val="169"/>
        </w:trPr>
        <w:tc>
          <w:tcPr>
            <w:tcW w:w="2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40,208,569</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551,151</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(132,707</w:t>
            </w:r>
          </w:p>
        </w:tc>
        <w:tc>
          <w:tcPr>
            <w:tcW w:w="220" w:type="dxa"/>
            <w:vAlign w:val="bottom"/>
            <w:tcBorders>
              <w:bottom w:val="single" w:sz="8" w:color="CFF0FC"/>
            </w:tcBorders>
            <w:shd w:val="clear" w:color="auto" w:fill="CFF0FC"/>
          </w:tcPr>
          <w:p>
            <w:pPr>
              <w:jc w:val="right"/>
              <w:ind w:right="103"/>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418,484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114,488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right"/>
              <w:ind w:right="21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equity incentive plans</w:t>
            </w: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gridSpan w:val="2"/>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00" w:type="dxa"/>
            <w:vAlign w:val="bottom"/>
            <w:tcBorders>
              <w:right w:val="single" w:sz="8" w:color="CFF0FC"/>
            </w:tcBorders>
            <w:gridSpan w:val="2"/>
            <w:vMerge w:val="restart"/>
            <w:shd w:val="clear" w:color="auto" w:fill="CFF0FC"/>
          </w:tcPr>
          <w:p>
            <w:pPr>
              <w:jc w:val="right"/>
              <w:ind w:right="21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tcBorders>
              <w:right w:val="single" w:sz="8" w:color="CFF0FC"/>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1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4"/>
                <w:szCs w:val="14"/>
                <w:color w:val="auto"/>
              </w:rPr>
              <w:t>(16,274 )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(16,274 )</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40,325,270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(148,981 )</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ind w:left="200"/>
              <w:spacing w:after="0" w:line="133"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161,017</w:t>
            </w: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vMerge w:val="restart"/>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equity incentive plans</w:t>
            </w:r>
          </w:p>
        </w:tc>
        <w:tc>
          <w:tcPr>
            <w:tcW w:w="90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tcBorders>
              <w:right w:val="single" w:sz="8" w:color="CFF0FC"/>
            </w:tcBorders>
            <w:vMerge w:val="continue"/>
            <w:shd w:val="clear" w:color="auto" w:fill="CFF0FC"/>
          </w:tcPr>
          <w:p>
            <w:pPr>
              <w:spacing w:after="0"/>
              <w:rPr>
                <w:sz w:val="16"/>
                <w:szCs w:val="16"/>
                <w:color w:val="auto"/>
              </w:rPr>
            </w:pPr>
          </w:p>
        </w:tc>
        <w:tc>
          <w:tcPr>
            <w:tcW w:w="220" w:type="dxa"/>
            <w:vAlign w:val="bottom"/>
            <w:tcBorders>
              <w:right w:val="single" w:sz="8" w:color="CFF0FC"/>
            </w:tcBorders>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tcBorders>
              <w:right w:val="single" w:sz="8" w:color="CFF0FC"/>
            </w:tcBorders>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1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4"/>
                <w:szCs w:val="14"/>
                <w:color w:val="auto"/>
              </w:rPr>
              <w:t>(24,566 )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(24,566 )</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40,486,287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(173,547 )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-4396740</wp:posOffset>
            </wp:positionV>
            <wp:extent cx="7683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-4396740</wp:posOffset>
            </wp:positionV>
            <wp:extent cx="7683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-4396740</wp:posOffset>
            </wp:positionV>
            <wp:extent cx="6858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-4396740</wp:posOffset>
            </wp:positionV>
            <wp:extent cx="6858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-4396740</wp:posOffset>
            </wp:positionV>
            <wp:extent cx="6858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-3428365</wp:posOffset>
            </wp:positionV>
            <wp:extent cx="76835"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-3428365</wp:posOffset>
            </wp:positionV>
            <wp:extent cx="76835"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-3428365</wp:posOffset>
            </wp:positionV>
            <wp:extent cx="68580" cy="128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-3428365</wp:posOffset>
            </wp:positionV>
            <wp:extent cx="68580" cy="128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-3428365</wp:posOffset>
            </wp:positionV>
            <wp:extent cx="68580" cy="128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-2545080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-2528570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-2545080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-2528570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-2545080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-2528570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-2545080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-2528570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-2545080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-2528570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-1344930</wp:posOffset>
            </wp:positionV>
            <wp:extent cx="76835"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-1344930</wp:posOffset>
            </wp:positionV>
            <wp:extent cx="77470"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-1344930</wp:posOffset>
            </wp:positionV>
            <wp:extent cx="6858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-1344930</wp:posOffset>
            </wp:positionV>
            <wp:extent cx="6858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-1344930</wp:posOffset>
            </wp:positionV>
            <wp:extent cx="68580"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-702310</wp:posOffset>
            </wp:positionV>
            <wp:extent cx="7683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-702310</wp:posOffset>
            </wp:positionV>
            <wp:extent cx="7747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-702310</wp:posOffset>
            </wp:positionV>
            <wp:extent cx="6858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-702310</wp:posOffset>
            </wp:positionV>
            <wp:extent cx="6858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-702310</wp:posOffset>
            </wp:positionV>
            <wp:extent cx="6858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-145415</wp:posOffset>
            </wp:positionV>
            <wp:extent cx="7683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-145415</wp:posOffset>
            </wp:positionV>
            <wp:extent cx="7747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-145415</wp:posOffset>
            </wp:positionV>
            <wp:extent cx="6858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-145415</wp:posOffset>
            </wp:positionV>
            <wp:extent cx="6858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-145415</wp:posOffset>
            </wp:positionV>
            <wp:extent cx="6858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41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7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(92,773 )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(55,025 )</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costs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investments</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(256 )</w:t>
            </w: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(2,613 )</w:t>
            </w: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(2,042 )</w:t>
            </w: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(267 )</w:t>
            </w:r>
          </w:p>
        </w:tc>
        <w:tc>
          <w:tcPr>
            <w:tcW w:w="5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(10,653 )</w:t>
            </w: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Payable and accrued liabilities due to related party</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(836 )</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(68,555</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(315,820 )</w:t>
            </w: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(1,038 )</w:t>
            </w: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(405 )</w:t>
            </w:r>
          </w:p>
        </w:tc>
      </w:tr>
      <w:tr>
        <w:trPr>
          <w:trHeight w:val="20"/>
        </w:trPr>
        <w:tc>
          <w:tcPr>
            <w:tcW w:w="77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(246,358 )</w:t>
            </w:r>
          </w:p>
        </w:tc>
        <w:tc>
          <w:tcPr>
            <w:tcW w:w="5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(405 )</w:t>
            </w: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 under equity incentive plan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4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(281 )</w:t>
            </w:r>
          </w:p>
        </w:tc>
        <w:tc>
          <w:tcPr>
            <w:tcW w:w="5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1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(314,547 )</w:t>
            </w:r>
          </w:p>
        </w:tc>
        <w:tc>
          <w:tcPr>
            <w:tcW w:w="5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(49,070 )</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363,667</w:t>
            </w:r>
          </w:p>
        </w:tc>
        <w:tc>
          <w:tcPr>
            <w:tcW w:w="2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49,120</w:t>
            </w:r>
          </w:p>
        </w:tc>
        <w:tc>
          <w:tcPr>
            <w:tcW w:w="2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385,149</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77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Purchase of property and equipment in accounts payable and</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20"/>
                <w:szCs w:val="20"/>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 acquired under operating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 acquired under finance leases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49,054</w:t>
            </w:r>
          </w:p>
        </w:tc>
        <w:tc>
          <w:tcPr>
            <w:tcW w:w="2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385,149</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49,120</w:t>
            </w:r>
          </w:p>
        </w:tc>
        <w:tc>
          <w:tcPr>
            <w:tcW w:w="28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385,149</w:t>
            </w:r>
          </w:p>
        </w:tc>
        <w:tc>
          <w:tcPr>
            <w:tcW w:w="100" w:type="dxa"/>
            <w:vAlign w:val="bottom"/>
            <w:tcBorders>
              <w:top w:val="single" w:sz="8" w:color="CFF0FC"/>
            </w:tcBorders>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-1979295</wp:posOffset>
            </wp:positionV>
            <wp:extent cx="6858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41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spacing w:after="0" w:line="6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Company wholly-owns two subsidiaries, ALX Oncology Limited, incorporated in Ireland, and ScalmiBio, Inc., incorporated in Delaware. ALX Oncology Inc., incorporated in Delaware, and Alexo International Holdings Limited, incorporated in Malta are wholly-owned subsidiaries of ALX Oncology Limited. Alexo Therapeutics International, incorporated in the Cayman Islands, is a wholly-owned subsidiary of Alexo International Holdings Limited. Sirpant Therapeutics, incorporated in the Cayman Islands, is a wholly-owned subsidiary of Alexo Therapeutics International. All the companies are collectively known as the Subsidiaries.</w:t>
      </w:r>
    </w:p>
    <w:p>
      <w:pPr>
        <w:spacing w:after="0" w:line="87"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8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or GAAP, and applicable rules and regulations of the Securities and Exchange Commission, or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2021 filed with the SEC on February 28, 2022.</w:t>
      </w:r>
    </w:p>
    <w:p>
      <w:pPr>
        <w:spacing w:after="0" w:line="7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condensed consolidated balance sheet as of September 30, 2022 included herein was derived from the audited financial statements as of that date, but does not include all disclosures including notes required by GAAP.</w:t>
      </w:r>
    </w:p>
    <w:p>
      <w:pPr>
        <w:spacing w:after="0" w:line="6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2022.</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amounts in the prior period have been reclassified to conform to the current period presentation.</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60" w:firstLine="509"/>
        <w:spacing w:after="0" w:line="24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0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new or material changes to the significant accounting policies discussed in the Company’s Annual Report on Form 10-K for the year ended December 31, 2021 other than the below policy on Investments.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Investments consist of money market funds, U.S. Treasury securities, corporate debt securities, commercial paper, and asset-backed securities. The Company’s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 classifications at each balance sheet date. Investments with contractual maturities greater than 12 months at date of purchase are considered long-term investments.</w:t>
      </w:r>
    </w:p>
    <w:p>
      <w:pPr>
        <w:spacing w:after="0" w:line="7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expense, net in the condensed consolidated statements of operations, and an allowance for credit loss is recorded on the condensed consolidated balance sheets. In circumstances when the decline in fair value is non-credit related, the difference is reported in accumulated other comprehensive loss, net of tax as a separate component of consolidated stockholders’ equity.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08"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are determined in accordance with the fair value hierarchy established in ASC 820, Fair Value Measurements and Disclosures.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 such as quoted prices in active markets;</w:t>
      </w:r>
    </w:p>
    <w:p>
      <w:pPr>
        <w:spacing w:after="0" w:line="104"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3—Unobservable inputs in which there is little or no market data, which require the reporting entity to develop its own assumptions.</w:t>
      </w:r>
    </w:p>
    <w:p>
      <w:pPr>
        <w:spacing w:after="0" w:line="10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 classifies money market funds and U.S. treasury securities as Level 1 within the fair value hierarchy as the fair value is based on quoted prices. The Company classifies its investments in corporate debt securities, commercial paper, and asset-backed securities as Level 2 within the fair value hierarchy as the fair value is estimated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11" w:name="page12"/>
    <w:bookmarkEnd w:id="11"/>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investments, which consist of cash equivalents and investments classified as available-for-sale investments, that are measured at fair value on a recurring basis as of September 30, 2022 and December 31, 2021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Hierarchy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300" w:type="dxa"/>
            <w:vAlign w:val="bottom"/>
            <w:tcBorders>
              <w:top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39,271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(741 )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56,371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(653 )</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1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13,512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(79 )</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5,088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284,848</w:t>
            </w:r>
          </w:p>
        </w:tc>
        <w:tc>
          <w:tcPr>
            <w:tcW w:w="2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Hierarchy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357,181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-1036320</wp:posOffset>
            </wp:positionV>
            <wp:extent cx="7683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-1036320</wp:posOffset>
            </wp:positionV>
            <wp:extent cx="685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-1036320</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cash equivalents and available-for-sale investments by classification included in the condensed consolidated balance sheets was as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follows (in thousands):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3"/>
                <w:szCs w:val="23"/>
                <w:color w:val="auto"/>
              </w:rPr>
            </w:pPr>
          </w:p>
        </w:tc>
      </w:tr>
      <w:tr>
        <w:trPr>
          <w:trHeight w:val="238"/>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39,271</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357,181</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235,855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283,344</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357,181</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in the above table excludes bank account cash of $9.8 million and $6.5 million as of September 30, 2022 and December 31, 2021, respectively.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cash equivalents and available-for-sale investments by contractual maturity was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275,126</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357,181</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Maturing after one year through five years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283,344</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spacing w:after="0" w:line="82"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fair value measurement levels during the three months and nine months ended September 30, 2022 and 2021 and there were no financial instruments classified as Level 3 as of September 30, 2022.</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2022, accrued interest receivable related to the Company’s investments was $0.7 million and was included in prepaid expenses and other current assets on the condensed consolidated balance sheet.</w:t>
      </w:r>
    </w:p>
    <w:p>
      <w:pPr>
        <w:spacing w:after="0" w:line="40"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As of September 30, 2022, the unrealized losses for available-for-sale investments were non-credit related and the Company does not intend to sell the investments that were in an unrealized loss position, nor will it be required to sell those investments before recovery of their amortized costs basis, which may be maturity. As of September 30, 2022, no allowance for credit losses for the Company’s investments was recorded. During the three months and nine months ended September 30, 2022, the Company did not recognize any impairment losses related to investments.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ind w:left="520" w:right="8120" w:hanging="512"/>
        <w:spacing w:after="0" w:line="391" w:lineRule="auto"/>
        <w:tabs>
          <w:tab w:leader="none" w:pos="26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Property and Equipment, Net</w:t>
      </w:r>
    </w:p>
    <w:p>
      <w:pPr>
        <w:spacing w:after="0" w:line="1" w:lineRule="exact"/>
        <w:rPr>
          <w:rFonts w:ascii="Times New Roman" w:cs="Times New Roman" w:eastAsia="Times New Roman" w:hAnsi="Times New Roman"/>
          <w:sz w:val="17"/>
          <w:szCs w:val="17"/>
          <w:b w:val="1"/>
          <w:bCs w:val="1"/>
          <w:color w:val="auto"/>
        </w:rPr>
      </w:pP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presents the components of property and equipment, net as of September 30, 2022 and December 31, 2021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top w:val="single" w:sz="8" w:color="CFF0FC"/>
            </w:tcBorders>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(300 )</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r>
      <w:tr>
        <w:trPr>
          <w:trHeight w:val="209"/>
        </w:trPr>
        <w:tc>
          <w:tcPr>
            <w:tcW w:w="75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top w:val="single" w:sz="8" w:color="CFF0FC"/>
            </w:tcBorders>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-453390</wp:posOffset>
            </wp:positionV>
            <wp:extent cx="6858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$0.1 million and $0.2 million for the three months and nine months ended September 30, 2022 respectively, and nominal for the three months and nine months ended September 30, 2021.</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components of other assets as of September 30, 2022 and December 31, 2021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7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prepaid clinical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prepaid contract manufacturing costs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0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components of accrued expenses and other current liabilities as of September 30, 2022 and December 31, 2021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7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contract manufacturing</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clinical and nonclinical study costs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conjunction with the adoption of ASC 842 on January 1, 2021, the Company evaluated its vendor contracts to identify embedded leases, if any, and noted that a pharmaceutical support services agreement entered into in May 2016 included leases under ASC 842 because the Company has the right to direct the use of certain equipment. The embedded leases commenced in September 2020 and expire in August 2023 with no stated option to extend the term. The Company classified the leases as finance leases.</w:t>
      </w:r>
    </w:p>
    <w:p>
      <w:pPr>
        <w:spacing w:after="0" w:line="6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May 2021, the Company entered into a lease agreement for approximately 10,000 square feet of office space located in South San Francisco, California. The lease commenced on June 6, 2021 and expires on August 31, 2026. The lease does not provide an option to extend after it expires. The total lease payments for the life of the lease are approximately $2.0 million. The Company classified the lease as an operating lease.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3" w:name="page14"/>
    <w:bookmarkEnd w:id="13"/>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In February 2022, the Company entered into a lease agreement totaling approximately 11,074 square feet of office and laboratory space located in Palo Alto, California. The lease consists of two premises and expires in February 2030. The lease provides for an option to extend for two years after expiration. The lease for one premise commenced in February 2022 and the second premise commenced in April 2022. The lease provides for an annual base rent of approximately $0.8 million, which increases on an annual basis by 3%. The total lease payments for the life of the lease are approximately $7.0 million. The Company is also responsible for leasehold improvement costs related to the second premise, which are expected to be approximately $2.0 million, of which $1.5 million is to be paid with interest at a rate of 7% per annum as additional payments over the life of the lease. The Company classified the lease as an operating lease. Under the terms of the lease agreement, the Company issued a letter of credit to the landlord in the amount of $0.1 million, which is collateralized by a restricted cash deposit of $0.1 million (see Note 4 “Other Assets”).</w:t>
      </w:r>
    </w:p>
    <w:p>
      <w:pPr>
        <w:spacing w:after="0" w:line="71"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the right-of-use asset, or ROU, recorded for operating leases and finance leases was $5.9 million and $0.4 million, respectively. These amounts were included in other assets on the condensed consolidated balance sheets.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maturities and balance sheet information of the Company’s operating and finance lease liabilities as of September 30, 2022 (in thousands, except lease term and discount rate):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gridSpan w:val="2"/>
          </w:tcPr>
          <w:p>
            <w:pPr>
              <w:spacing w:after="0"/>
              <w:rPr>
                <w:sz w:val="20"/>
                <w:szCs w:val="20"/>
                <w:color w:val="auto"/>
              </w:rPr>
            </w:pPr>
          </w:p>
        </w:tc>
      </w:tr>
      <w:tr>
        <w:trPr>
          <w:trHeight w:val="196"/>
        </w:trPr>
        <w:tc>
          <w:tcPr>
            <w:tcW w:w="7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40" w:type="dxa"/>
            <w:vAlign w:val="bottom"/>
          </w:tcPr>
          <w:p>
            <w:pPr>
              <w:spacing w:after="0"/>
              <w:rPr>
                <w:sz w:val="17"/>
                <w:szCs w:val="17"/>
                <w:color w:val="auto"/>
              </w:rPr>
            </w:pPr>
          </w:p>
        </w:tc>
        <w:tc>
          <w:tcPr>
            <w:tcW w:w="16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(remaining 3 months)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(2,097 )</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197"/>
        </w:trPr>
        <w:tc>
          <w:tcPr>
            <w:tcW w:w="7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5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Lease liabilities: current </w:t>
            </w:r>
            <w:r>
              <w:rPr>
                <w:rFonts w:ascii="Times New Roman" w:cs="Times New Roman" w:eastAsia="Times New Roman" w:hAnsi="Times New Roman"/>
                <w:sz w:val="24"/>
                <w:szCs w:val="24"/>
                <w:color w:val="auto"/>
                <w:vertAlign w:val="superscript"/>
              </w:rPr>
              <w:t>(i)</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Lease liabilities: non-current </w:t>
            </w:r>
            <w:r>
              <w:rPr>
                <w:rFonts w:ascii="Times New Roman" w:cs="Times New Roman" w:eastAsia="Times New Roman" w:hAnsi="Times New Roman"/>
                <w:sz w:val="24"/>
                <w:szCs w:val="24"/>
                <w:color w:val="auto"/>
                <w:vertAlign w:val="superscript"/>
              </w:rPr>
              <w:t>(ii)</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197"/>
        </w:trPr>
        <w:tc>
          <w:tcPr>
            <w:tcW w:w="7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8.4 %</w:t>
            </w:r>
          </w:p>
        </w:tc>
        <w:tc>
          <w:tcPr>
            <w:tcW w:w="24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-1031240</wp:posOffset>
            </wp:positionV>
            <wp:extent cx="1311275"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11275"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-448310</wp:posOffset>
            </wp:positionV>
            <wp:extent cx="1311275"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11275" cy="163195"/>
                    </a:xfrm>
                    <a:prstGeom prst="rect">
                      <a:avLst/>
                    </a:prstGeom>
                    <a:noFill/>
                  </pic:spPr>
                </pic:pic>
              </a:graphicData>
            </a:graphic>
          </wp:anchor>
        </w:drawing>
      </w:r>
    </w:p>
    <w:p>
      <w:pPr>
        <w:spacing w:after="0" w:line="42" w:lineRule="exact"/>
        <w:rPr>
          <w:sz w:val="20"/>
          <w:szCs w:val="20"/>
          <w:color w:val="auto"/>
        </w:rPr>
      </w:pPr>
    </w:p>
    <w:p>
      <w:pPr>
        <w:ind w:left="760" w:right="700" w:hanging="378"/>
        <w:spacing w:after="0" w:line="280" w:lineRule="auto"/>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lease liabilities are presented within accrued expenses and other current liabilities and payable and accrued liabilities due to related party on the condensed consolidated balance sheets and includes a nominal amount due to Tallac Therapeutics, Inc. for an operating lease.</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Non-current lease liabilities are presented within other non-current liabilities on the condensed consolidated balance sheets.</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components of lease costs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5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1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Variable lease cost and other, net </w:t>
            </w:r>
            <w:r>
              <w:rPr>
                <w:rFonts w:ascii="Times New Roman" w:cs="Times New Roman" w:eastAsia="Times New Roman" w:hAnsi="Times New Roman"/>
                <w:sz w:val="24"/>
                <w:szCs w:val="24"/>
                <w:color w:val="auto"/>
                <w:vertAlign w:val="superscript"/>
              </w:rPr>
              <w:t>(i)</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49"/>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left="760" w:right="160" w:hanging="378"/>
        <w:spacing w:after="0" w:line="253"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2" w:right="27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disclosures for cash paid for leases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1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 acquired under leases</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0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July 21, 2020, the Company’s amended and restated certificate of incorporation became effective, authorizing 1,000,000,000 shares of common stock, $0.001 par value per share, and 100,000,000 shares of undesignated preferred stock, $0.001 par value per share. As of September 30, 2022 and December 31, 2021, the Company had 40,748,290 and 40,587,067 shares of common stock outstanding,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as of September 30, 2022 consists of the following:</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2"/>
        </w:trPr>
        <w:tc>
          <w:tcPr>
            <w:tcW w:w="8760" w:type="dxa"/>
            <w:vAlign w:val="bottom"/>
          </w:tcPr>
          <w:p>
            <w:pPr>
              <w:spacing w:after="0"/>
              <w:rPr>
                <w:sz w:val="24"/>
                <w:szCs w:val="24"/>
                <w:color w:val="auto"/>
              </w:rPr>
            </w:pPr>
          </w:p>
        </w:tc>
        <w:tc>
          <w:tcPr>
            <w:tcW w:w="2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r>
      <w:tr>
        <w:trPr>
          <w:trHeight w:val="238"/>
        </w:trPr>
        <w:tc>
          <w:tcPr>
            <w:tcW w:w="8760" w:type="dxa"/>
            <w:vAlign w:val="bottom"/>
          </w:tcPr>
          <w:p>
            <w:pPr>
              <w:spacing w:after="0"/>
              <w:rPr>
                <w:sz w:val="20"/>
                <w:szCs w:val="20"/>
                <w:color w:val="auto"/>
              </w:rPr>
            </w:pPr>
          </w:p>
        </w:tc>
        <w:tc>
          <w:tcPr>
            <w:tcW w:w="23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6,214,107</w:t>
            </w:r>
          </w:p>
        </w:tc>
        <w:tc>
          <w:tcPr>
            <w:tcW w:w="100" w:type="dxa"/>
            <w:vAlign w:val="bottom"/>
            <w:shd w:val="clear" w:color="auto" w:fill="CFF0FC"/>
          </w:tcPr>
          <w:p>
            <w:pPr>
              <w:spacing w:after="0"/>
              <w:rPr>
                <w:sz w:val="18"/>
                <w:szCs w:val="18"/>
                <w:color w:val="auto"/>
              </w:rPr>
            </w:pP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authorized for future issuance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2,973,368</w:t>
            </w:r>
          </w:p>
        </w:tc>
        <w:tc>
          <w:tcPr>
            <w:tcW w:w="100" w:type="dxa"/>
            <w:vAlign w:val="bottom"/>
          </w:tcPr>
          <w:p>
            <w:pPr>
              <w:spacing w:after="0"/>
              <w:rPr>
                <w:sz w:val="18"/>
                <w:szCs w:val="18"/>
                <w:color w:val="auto"/>
              </w:rPr>
            </w:pPr>
          </w:p>
        </w:tc>
      </w:tr>
      <w:tr>
        <w:trPr>
          <w:trHeight w:val="216"/>
        </w:trPr>
        <w:tc>
          <w:tcPr>
            <w:tcW w:w="8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 authorized for future issuance</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1,152,691</w:t>
            </w:r>
          </w:p>
        </w:tc>
        <w:tc>
          <w:tcPr>
            <w:tcW w:w="100" w:type="dxa"/>
            <w:vAlign w:val="bottom"/>
            <w:shd w:val="clear" w:color="auto" w:fill="CFF0FC"/>
          </w:tcPr>
          <w:p>
            <w:pPr>
              <w:spacing w:after="0"/>
              <w:rPr>
                <w:sz w:val="18"/>
                <w:szCs w:val="18"/>
                <w:color w:val="auto"/>
              </w:rPr>
            </w:pP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issued and outstanding</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870,399</w:t>
            </w:r>
          </w:p>
        </w:tc>
        <w:tc>
          <w:tcPr>
            <w:tcW w:w="100" w:type="dxa"/>
            <w:vAlign w:val="bottom"/>
          </w:tcPr>
          <w:p>
            <w:pPr>
              <w:spacing w:after="0"/>
              <w:rPr>
                <w:sz w:val="18"/>
                <w:szCs w:val="18"/>
                <w:color w:val="auto"/>
              </w:rPr>
            </w:pPr>
          </w:p>
        </w:tc>
      </w:tr>
      <w:tr>
        <w:trPr>
          <w:trHeight w:val="250"/>
        </w:trPr>
        <w:tc>
          <w:tcPr>
            <w:tcW w:w="8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11,210,565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2020 Equity Incentive Plan</w:t>
      </w:r>
    </w:p>
    <w:p>
      <w:pPr>
        <w:spacing w:after="0" w:line="108"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spacing w:after="0" w:line="6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January 1, 2022, the number of shares available under the 2020 Plan was increased by 1,623,483 shares. As of September 30, 2022, the number of shares of common stock available for issuance under the 2020 Plan was 2,973,368.</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0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Under the Company’s 2020 Employee Stock Purchase Plan, or the ESPP, eligible employees are entitled to purchase shares of common stock with accumulated payroll deductions.</w:t>
      </w:r>
    </w:p>
    <w:p>
      <w:pPr>
        <w:spacing w:after="0" w:line="40"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On January 1, 2022, the number of shares available under the ESPP was increased by 405,871 shares. As of September 30, 2022, the number of shares of common stock available for issuance under the ESPP was 1,152,691.</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was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8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8"/>
                <w:szCs w:val="18"/>
                <w:color w:val="auto"/>
              </w:rPr>
            </w:pPr>
          </w:p>
        </w:tc>
      </w:tr>
      <w:tr>
        <w:trPr>
          <w:trHeight w:val="238"/>
        </w:trPr>
        <w:tc>
          <w:tcPr>
            <w:tcW w:w="4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8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28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18"/>
                <w:szCs w:val="18"/>
                <w:color w:val="auto"/>
              </w:rPr>
            </w:pPr>
          </w:p>
        </w:tc>
      </w:tr>
      <w:tr>
        <w:trPr>
          <w:trHeight w:val="250"/>
        </w:trPr>
        <w:tc>
          <w:tcPr>
            <w:tcW w:w="4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4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
        </w:trPr>
        <w:tc>
          <w:tcPr>
            <w:tcW w:w="4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-359410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-342265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-359410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-342265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-359410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-342265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40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restricted stock unit activity under the 2020 Plan:</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80" w:type="dxa"/>
            <w:vAlign w:val="bottom"/>
          </w:tcPr>
          <w:p>
            <w:pPr>
              <w:spacing w:after="0"/>
              <w:rPr>
                <w:sz w:val="22"/>
                <w:szCs w:val="22"/>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6"/>
                <w:szCs w:val="16"/>
                <w:color w:val="auto"/>
              </w:rPr>
            </w:pPr>
          </w:p>
        </w:tc>
        <w:tc>
          <w:tcPr>
            <w:tcW w:w="1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220" w:type="dxa"/>
            <w:vAlign w:val="bottom"/>
          </w:tcPr>
          <w:p>
            <w:pPr>
              <w:spacing w:after="0"/>
              <w:rPr>
                <w:sz w:val="16"/>
                <w:szCs w:val="16"/>
                <w:color w:val="auto"/>
              </w:rPr>
            </w:pPr>
          </w:p>
        </w:tc>
        <w:tc>
          <w:tcPr>
            <w:tcW w:w="13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240" w:type="dxa"/>
            <w:vAlign w:val="bottom"/>
          </w:tcPr>
          <w:p>
            <w:pPr>
              <w:spacing w:after="0"/>
              <w:rPr>
                <w:sz w:val="16"/>
                <w:szCs w:val="16"/>
                <w:color w:val="auto"/>
              </w:rPr>
            </w:pPr>
          </w:p>
        </w:tc>
        <w:tc>
          <w:tcPr>
            <w:tcW w:w="1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510"/>
              <w:spacing w:after="0" w:line="189" w:lineRule="exact"/>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4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as of December 31, 2021</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2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Released</w:t>
            </w: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(3,701 )</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Canceled/forfeited</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(45,725 )</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as of September 30, 2022</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870,399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-25400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Tallac Service Agreement</w:t>
      </w:r>
    </w:p>
    <w:p>
      <w:pPr>
        <w:spacing w:after="0" w:line="10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Company entered into a research and development services agreement, or the Tallac Services Agreement, with Tallac Therapeutics, Inc., or Tallac, effective as of July 1, 2020. The Tallac Services Agreement provides that Tallac will provide certain preclinical research services to the Company for a service fee based on the costs incurred by Tallac plus a mark-up equal to 10.0% of such costs. The Tallac Services Agreement has an initial term of four years and is renewed automatically for additional one year terms thereafter. The Company records the payments for the research and development services as research and development, or R&amp;D, costs within the condensed consolidated statements of operations. During the three months and nine months ended September 30, 2022, the Company recorded $0.2 million and $0.6 million, respectively, as R&amp;D costs in relation to the Tallac Services Agreement. During the three months and nine months ended September 30, 2021, the Company recorded $0.1 million and $0.6 million, respectively, as R&amp;D costs in relation to the Tallac Services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Tallac Collaboration Agreement</w:t>
      </w:r>
    </w:p>
    <w:p>
      <w:pPr>
        <w:spacing w:after="0" w:line="11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On March 4, 2021, the Company entered into a collaboration agreement with Tallac, or the Tallac Collaboration Agreement, to jointly develop, manufacture, and commercialize a novel cancer immunotherapy.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w:t>
      </w:r>
    </w:p>
    <w:p>
      <w:pPr>
        <w:spacing w:after="0" w:line="87" w:lineRule="exact"/>
        <w:rPr>
          <w:sz w:val="20"/>
          <w:szCs w:val="20"/>
          <w:color w:val="auto"/>
        </w:rPr>
      </w:pPr>
    </w:p>
    <w:p>
      <w:pPr>
        <w:ind w:right="160" w:firstLine="509"/>
        <w:spacing w:after="0" w:line="243" w:lineRule="auto"/>
        <w:rPr>
          <w:sz w:val="20"/>
          <w:szCs w:val="20"/>
          <w:color w:val="auto"/>
        </w:rPr>
      </w:pPr>
      <w:r>
        <w:rPr>
          <w:rFonts w:ascii="Times New Roman" w:cs="Times New Roman" w:eastAsia="Times New Roman" w:hAnsi="Times New Roman"/>
          <w:sz w:val="18"/>
          <w:szCs w:val="18"/>
          <w:color w:val="auto"/>
        </w:rPr>
        <w:t>The Company accounts for R&amp;D costs in accordance with ASC 730, Research and Development,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three months and nine months ended September 30, 2022, the Company recorded $2.5 million and $6.2 million, respectively, as R&amp;D costs in relation to the Tallac Collaboration Agreement. During the three months and nine months ended September 30, 2021, the Company recorded $0.8 million and $1.4 million, respectively, as R&amp;D costs in relation to the Tallac Collaboration Agreement.</w:t>
      </w:r>
    </w:p>
    <w:p>
      <w:pPr>
        <w:spacing w:after="0" w:line="7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Tallac Collaboration Agreement includes the right to set off clause, as such, the Company records the amount due to or reimbursable from Tallac on a net basis. As of September 30, 2022 and December 31, 2021, the Company had accrued expenses of $2.5 million and $1.4 million, respectively, related to the Tallac Collaboration Agreement which was presented within the payable and accrued liabilities due to related party on the condensed 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Sub-lease Agreement with Tallac</w:t>
      </w:r>
    </w:p>
    <w:p>
      <w:pPr>
        <w:spacing w:after="0" w:line="119"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 Company leases office space in Burlingame, California under a single operating sub-lease agreement with Tallac. Refer to Note 5 “Leases” for additional discussion.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5"/>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76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(35,320 )</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(24,566 )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(92,773 )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(55,025 )</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7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40,747,026</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40,396,188</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40,684,172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40,234,159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computation of diluted net loss per share for all periods presented because including them would have been anti-dilutive: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23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760" w:type="dxa"/>
            <w:vAlign w:val="bottom"/>
          </w:tcPr>
          <w:p>
            <w:pPr>
              <w:spacing w:after="0"/>
              <w:rPr>
                <w:sz w:val="18"/>
                <w:szCs w:val="18"/>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6,214,107</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4,892,109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issued and outstanding</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870,399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estimated shares issuable</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7,106,281</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4,909,185</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7747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106"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September 30, 2022.</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06"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September 30, 2022, the Company had no pending or threatened litigation.</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Contractual Obligations and Other Commitments</w:t>
      </w:r>
    </w:p>
    <w:p>
      <w:pPr>
        <w:spacing w:after="0" w:line="119"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is cancellable upon notice and is non-exclusive. Statements of work under the MSA commit the Company to certain future purchase obligations of approximately $42.0 million as of September 30, 2022. In addition, the Company has commitments with two other drug product manufacturers that commit the Company to certain future purchase obligations of approximately $0.8 million as of September 30, 2022. The Company expects to make payments for these commitments through 2026 based on non-cancellable commitments and forecasts that include estimates of future market demand, quantity discounts and manufacturing efficiencies that may impact timing of purchases.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7" w:name="page18"/>
    <w:bookmarkEnd w:id="17"/>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08" w:lineRule="exact"/>
        <w:rPr>
          <w:sz w:val="20"/>
          <w:szCs w:val="20"/>
          <w:color w:val="auto"/>
        </w:rPr>
      </w:pPr>
    </w:p>
    <w:p>
      <w:pPr>
        <w:ind w:right="80" w:firstLine="479"/>
        <w:spacing w:after="0" w:line="242" w:lineRule="auto"/>
        <w:rPr>
          <w:sz w:val="20"/>
          <w:szCs w:val="20"/>
          <w:color w:val="auto"/>
        </w:rPr>
      </w:pPr>
      <w:r>
        <w:rPr>
          <w:rFonts w:ascii="Times New Roman" w:cs="Times New Roman" w:eastAsia="Times New Roman" w:hAnsi="Times New Roman"/>
          <w:sz w:val="18"/>
          <w:szCs w:val="18"/>
          <w:color w:val="auto"/>
        </w:rPr>
        <w:t>In October 2022, the Company entered into a loan and security agreement, or the Loan Agreement, with Oxford Finance LLC, Oxford Finance Credit Fund II LP, and Silicon Valley Bank, or Lenders, for a secured term loan facility of up to $100.0 million. Pursuant to the Loan Agreement, the Company drew an initial loan of $10.0 million and has access to draw an additional $40.0 million through the end of 2023. The Loan Agreement provides for an additional $50.0 million over three tranches, with $12.5 million available in each of two tranches based upon the achievement of milestones related to the development of evorpacept and one preclinical product candidate, and $25.0 million at the Lenders’ sole discretion. The proceeds of the loans may be used by the Company for working capital and to fund its general business requirements. Borrowings under the Loan Agreement bear interest at a floating rate per annum equal to the greater of (i) 1-month term Secured Overnight Financing Rate, or SOFR, and (ii) 2.33%, plus 6.25%. The minimum per annum interest rate is 8.58%. Interest on the term loans is payable monthly in arrears. The term loans once repaid or prepaid may not be reborrowed. The term loans mature on October 1, 2027. The Company will begin to make principal payments in equal monthly installments beginning on December 1, 2025. However, if either of the milestone related tranche term loans are funded, then the Company will begin to make principal payments in equal monthly installments beginning on December 1, 2026.</w:t>
      </w:r>
    </w:p>
    <w:p>
      <w:pPr>
        <w:spacing w:after="0" w:line="80" w:lineRule="exact"/>
        <w:rPr>
          <w:sz w:val="20"/>
          <w:szCs w:val="20"/>
          <w:color w:val="auto"/>
        </w:rPr>
      </w:pPr>
    </w:p>
    <w:p>
      <w:pPr>
        <w:ind w:right="60" w:firstLine="479"/>
        <w:spacing w:after="0" w:line="242" w:lineRule="auto"/>
        <w:rPr>
          <w:sz w:val="20"/>
          <w:szCs w:val="20"/>
          <w:color w:val="auto"/>
        </w:rPr>
      </w:pPr>
      <w:r>
        <w:rPr>
          <w:rFonts w:ascii="Times New Roman" w:cs="Times New Roman" w:eastAsia="Times New Roman" w:hAnsi="Times New Roman"/>
          <w:sz w:val="18"/>
          <w:szCs w:val="18"/>
          <w:color w:val="auto"/>
        </w:rPr>
        <w:t>The term loans may be prepaid in full or in part, in increments of $10.0 million, with various prepayment premiums. Upon the earlier prepayment or maturity of any term loan, the Company is required to pay a fee of 6.0% of the original principal amount of such funded term loan. The Company is also obligated to pay other customary fees for a loan facility of this size and type. The term loans under the Loan Agreement are secured by substantially all of the Company’s assets, except the Company’s intellectual property, which is the subject of a negative pledge, and will be guaranteed by the Company’s future subsidiaries, subject to certain limitations. Upon the outstanding balance of the term loans reaching $75.0 million or greater, the Company’s intellectual property will become collateral. The Company and its subsidiary, ALX Oncology Limited, have guaranteed the obligations under the Loan Agreement. The Loan Agreement contains customary affirmative and negative covenants, including covenants limiting the ability of the Company to, among other things, dispose of assets, effect certain mergers, incur debt, grant liens, pay dividends and distributions on its capital stock, make investments and acquisitions, and enter into transactions with affiliates, in each case subject to customary exceptions for a loan facility of this size and type.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a clinical-stage immuno-oncology company focused on helping patients fight cancer by developing a pipeline of product candidates based on expertise in protein engineering and oncology led by the CD47 blocker, evorpacept (evorpacept is the International Nonproprietary Name (INN) and the recommended United States Adopted Name (USAN); this product is also known as ALX148), currently in multiple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enhance the immune activation of broadly used anti-cancer agents through combination treatment strategies. As of September 30, 2022, we had dosed over 300 subjects with evorpacept across a range of hematologic and solid malignancies in combination with a number of leading anti-cancer agents. We plan to initiate additional studies in combination with leading anti-cancer agents.</w:t>
      </w:r>
    </w:p>
    <w:p>
      <w:pPr>
        <w:spacing w:after="0" w:line="7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solid tumors, we are conducting two ongoing randomized Phase 2 trials (ASPEN-03 and ASPEN-04) of evorpacept for the treatment of first-line advanced head and neck squamous cell carcinoma, or HNSCC, with the first subject enrolled in the ASPEN-03 trial in May 2021 and the first subject enrolled in the ASPEN-04 trial in July 2021. In February 2020, the Food and Drug Administration, or the FDA, granted Fast Track designation for evorpacept in combination with pembrolizumab, platinum, and fluorouracil for the first-line treatment of adult patients with metastatic or unresectable, recurrent HNSCC. In July 2022, the FDA granted Fast Track designation for evorpacept in combination with pembrolizumab for first-line treatment of adult patients with metastatic or unresectable, recurrent HNSCC whose tumors express PD-L1. In March 2022, we began a randomized Phase 2/3 trial (ASPEN-06) of evorpacept for the treatment of second and third line advanced HER2-overexpressing gastric/gastroesophageal junction, or GEJ, cancer and dosed the first patient. 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 In January 2022, the FDA’s Office of Orphan Products Development granted Orphan Drug Designation to evorpacept for the treatment of patients with gastric/GEJ cancer. We expect to initiate a new clinical study (ASPEN-07) to investigate evorpacept in combination with an antibody-drug conjugate (ADC), enfortumab vedotin-ejfv, for the second-line treatment of locally advanced or metastatic urothelial cancer, or UC, in the fourth quarter of 2022. Our collaborator, Zymeworks, is conducting an ongoing Phase 1 trial for the treatment of advanced HER2-expressing breast cancer and other solid tumors and enrolled the first subject in October 2021. In August 2022, we announced a collaboration with the Quantum Leap Healthcare Collaborative to evaluate evorpacept in combination with fam-trastuzumab - deruxtecan-nxki for the treatment of patients with unresectable or metastatic HER2-positive and HER2-low breast cancer.</w:t>
      </w:r>
    </w:p>
    <w:p>
      <w:pPr>
        <w:spacing w:after="0" w:line="76"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In hematologic malignancies, we have initiated two Phase 1 trials of evorpacept: one for the treatment of myelodysplastic syndromes, or MDS (ASPEN-02), and the other for treatment of acute myeloid leukemia, or AML (ASPEN-05), with the first patient dosed in each trial in October 2020 and October 2021, respectively. In June 2022, we paused enrollment in the ASPEN-05 AML trial based on the desire to leverage upcoming dose optimization data from the ASPEN-02 MDS study to inform dose optimization in ASPEN-05. In June 2022, the FDA’s Office of Orphan Drug Products Development granted Orphan Drug Designation to evorpacept for the treatment of patients with AML.</w:t>
      </w:r>
    </w:p>
    <w:p>
      <w:pPr>
        <w:spacing w:after="0" w:line="69" w:lineRule="exact"/>
        <w:rPr>
          <w:sz w:val="20"/>
          <w:szCs w:val="20"/>
          <w:color w:val="auto"/>
        </w:rPr>
      </w:pPr>
    </w:p>
    <w:p>
      <w:pPr>
        <w:ind w:right="400" w:firstLine="509"/>
        <w:spacing w:after="0" w:line="250" w:lineRule="auto"/>
        <w:rPr>
          <w:sz w:val="20"/>
          <w:szCs w:val="20"/>
          <w:color w:val="auto"/>
        </w:rPr>
      </w:pPr>
      <w:r>
        <w:rPr>
          <w:rFonts w:ascii="Times New Roman" w:cs="Times New Roman" w:eastAsia="Times New Roman" w:hAnsi="Times New Roman"/>
          <w:sz w:val="18"/>
          <w:szCs w:val="18"/>
          <w:color w:val="auto"/>
        </w:rPr>
        <w:t>In 2021, an investigator-sponsored trial (IST) of evorpacept was initiated in combination with rituximab and lenalidomide for the treatment of patients with indolent and aggressive non-Hodgkin lymphoma, or NHL, at MD Anderson Cancer Center. In 2022, a Phase 2 IST of evorpacept in combination with pembrolizumab and cetuximab was initiated at the University of Colorado in patients with refractory microsatellite stable metastatic colorectal cancer, with the first patient dosed in August 2022.</w:t>
      </w:r>
    </w:p>
    <w:p>
      <w:pPr>
        <w:spacing w:after="0" w:line="6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Based on our early clinical results to date in multiple oncology indications showing encouraging anti-tumor activity and tolerability and our clinical development plans, our strategy is to pursue evorpacept as a potentially critical component of future oncology combination treatments.</w:t>
      </w: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9" w:name="page20"/>
    <w:bookmarkEnd w:id="19"/>
    <w:p>
      <w:pPr>
        <w:ind w:right="160" w:firstLine="509"/>
        <w:spacing w:after="0" w:line="268" w:lineRule="auto"/>
        <w:rPr>
          <w:sz w:val="20"/>
          <w:szCs w:val="20"/>
          <w:color w:val="auto"/>
        </w:rPr>
      </w:pPr>
      <w:r>
        <w:rPr>
          <w:rFonts w:ascii="Times New Roman" w:cs="Times New Roman" w:eastAsia="Times New Roman" w:hAnsi="Times New Roman"/>
          <w:sz w:val="17"/>
          <w:szCs w:val="17"/>
          <w:color w:val="auto"/>
        </w:rPr>
        <w:t>Our second program, ALTA-002, is a collaboration between the Company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 An investigational new drug, or IND, for ALTA-002 is planned for 2023. Additionally, with our acquisition of ScalmiBio, Inc. (ScalmiBio), we are planning to expand our pipeline of drug candidates to ADCs based on expertise in protein engineering and oncology.</w:t>
      </w:r>
    </w:p>
    <w:p>
      <w:pPr>
        <w:spacing w:after="0" w:line="5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w:t>
      </w:r>
    </w:p>
    <w:p>
      <w:pPr>
        <w:spacing w:after="0" w:line="61"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Since our founding, we have devoted substantially all of our resources to identifying and developing evorpacept, advancing preclinical programs, scaling up manufacturing, conducting clinical trials and providing general and administrative support for these operations. We have no products approved for marketing and we have never received any revenue from drug product sales.</w:t>
      </w:r>
    </w:p>
    <w:p>
      <w:pPr>
        <w:spacing w:after="0" w:line="8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 From inception through September 30, 2022, we have raised an aggregate of $545.3 million to fund our operations, of which $175.1 million were net proceeds from sales of our convertible preferred stock, $5.8 million were net proceeds from borrowings under a term loan, $169.5 million were net proceeds from our initial public offering and $194.9 million were net proceeds from our follow-on offering.</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2022, we filed a universal shelf registration statement (Shelf Registration Statement), which provides for aggregate offerings of up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 million of the Company’s securities. In May 2022, we filed an amendment to the Shelf Registration Statement, which was declared effective by the</w:t>
      </w:r>
    </w:p>
    <w:p>
      <w:pPr>
        <w:spacing w:after="0"/>
        <w:rPr>
          <w:sz w:val="20"/>
          <w:szCs w:val="20"/>
          <w:color w:val="auto"/>
        </w:rPr>
      </w:pPr>
      <w:r>
        <w:rPr>
          <w:rFonts w:ascii="Times New Roman" w:cs="Times New Roman" w:eastAsia="Times New Roman" w:hAnsi="Times New Roman"/>
          <w:sz w:val="18"/>
          <w:szCs w:val="18"/>
          <w:color w:val="auto"/>
        </w:rPr>
        <w:t>Securities and Exchange Commission (SEC) on May 31, 2022. We believe that our Shelf Registration Statement will provide us with the flexibility to raise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capital to finance our operations as needed. In December 2021, we entered into a sales agreement (Sales Agreement) with Cantor Fitzgerald &amp;</w:t>
      </w:r>
    </w:p>
    <w:p>
      <w:pPr>
        <w:spacing w:after="0" w:line="234" w:lineRule="auto"/>
        <w:rPr>
          <w:sz w:val="20"/>
          <w:szCs w:val="20"/>
          <w:color w:val="auto"/>
        </w:rPr>
      </w:pPr>
      <w:r>
        <w:rPr>
          <w:rFonts w:ascii="Times New Roman" w:cs="Times New Roman" w:eastAsia="Times New Roman" w:hAnsi="Times New Roman"/>
          <w:sz w:val="18"/>
          <w:szCs w:val="18"/>
          <w:color w:val="auto"/>
        </w:rPr>
        <w:t>Co. and Credit Suisse Securities (USA) LLC, under which we may, subject to the effectiveness of the Shelf Registration Statement, offer and sell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having aggregate gross proceeds of up to $150.0 million, from time to time through them as our sales agent in an at-the-market offering.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have been sold pursuant to the Shelf Registration Statement or Sales Agreement.</w:t>
      </w:r>
    </w:p>
    <w:p>
      <w:pPr>
        <w:spacing w:after="0" w:line="85"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In October 2022, we entered into a loan and security agreement (Loan Agreement) with Oxford Finance LLC, Oxford Finance Credit Fund II LP, and Silicon Valley Bank (Lenders).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w:t>
      </w:r>
    </w:p>
    <w:p>
      <w:pPr>
        <w:spacing w:after="0" w:line="6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have incurred net losses in each year since inception. Our net losses were $35.3 million and $24.6 million for the three months ended September 30, 2022 and 2021, respectively, and $92.8 million and $55.0 million for the nine months ended September 30, 2022 and 2021, respectively. As of September 30, 2022, we had an accumulated deficit of $294.8 million. Substantially all of our operating losses are a result of expenses incurred in connection with our research and development programs, primarily evorpacept, and from general and administrative expenses associated with our operations.</w:t>
      </w:r>
    </w:p>
    <w:p>
      <w:pPr>
        <w:spacing w:after="0" w:line="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expect our expenses will increase substantially in connection with our ongoing activities, as we:</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evorpacept through multiple clinical trials in multiple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 of evorpacept in hematological malignancies and solid tumors;</w:t>
      </w:r>
    </w:p>
    <w:p>
      <w:pPr>
        <w:spacing w:after="0" w:line="10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discovery and preclinical and clinical development efforts, including our collaborations with Tallac Therapeutics, Zymeworks, and Quantum Leap Healthcare Collaborative and our acquisition of ScalmiBio;</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trade secret and other intellectual property protection and regulatory exclusivity for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supplies for our preclinical studies and clinical trials;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add operational, financial and management information systems to support ongoing operations as a public company.</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development of our lead product candidate, evorpacept, which include:</w:t>
      </w:r>
    </w:p>
    <w:p>
      <w:pPr>
        <w:spacing w:after="0" w:line="40" w:lineRule="exact"/>
        <w:rPr>
          <w:sz w:val="20"/>
          <w:szCs w:val="20"/>
          <w:color w:val="auto"/>
        </w:rPr>
      </w:pPr>
    </w:p>
    <w:p>
      <w:pPr>
        <w:ind w:left="1020" w:right="14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preclinical and clinical development, including expenses incurred under collaboration agreements and under agreements with contract research organizations, or CROs;</w:t>
      </w:r>
    </w:p>
    <w:p>
      <w:pPr>
        <w:spacing w:after="0" w:line="6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stock-based compensation expenses for employees engaged in research and development functions;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production of clinical materials, including fees paid to contract manufacturing organizations, or CMOs;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vendor expenses and third-party drugs related to the execution of preclinical studies and clinical trials;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expenses, which include expenses for rent and maintenance of facilities, depreciation and amortization expense and other supplies;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related to our ScalmiBio acquisition.</w:t>
      </w:r>
    </w:p>
    <w:p>
      <w:pPr>
        <w:spacing w:after="0" w:line="11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73"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spacing w:after="0" w:line="6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Almost all of our research and development expenses to date have been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8 to our condensed consolidated financial statements appearing elsewhere in this Quarterly Report on Form 10-Q.</w:t>
      </w:r>
    </w:p>
    <w:p>
      <w:pPr>
        <w:spacing w:after="0" w:line="7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successful development of our current and future product candidates is highly uncertain. This is due to the numerous risks and uncertainties, including the following:</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03"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included in the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third-party manufacturers for clinical supplies of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including, if necessary, litigation;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21" w:name="page22"/>
    <w:bookmarkEnd w:id="21"/>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6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08"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spacing w:after="0" w:line="69" w:lineRule="exact"/>
        <w:rPr>
          <w:sz w:val="20"/>
          <w:szCs w:val="20"/>
          <w:color w:val="auto"/>
        </w:rPr>
      </w:pPr>
    </w:p>
    <w:p>
      <w:pPr>
        <w:ind w:right="420" w:firstLine="509"/>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continue to increase as a result of increased headcount, inflationary pressures,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interest income consists primarily of interest income on cash, cash equivalents and short-term and long-term investments.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other expense, net, consists primarily of interest expense on finance leases.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and nine months ended September 30, 2022 and 2021 (dollars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2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11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16"/>
        </w:trPr>
        <w:tc>
          <w:tcPr>
            <w:tcW w:w="2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0"/>
        </w:trPr>
        <w:tc>
          <w:tcPr>
            <w:tcW w:w="2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95,217</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0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16"/>
        </w:trPr>
        <w:tc>
          <w:tcPr>
            <w:tcW w:w="2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(27 )</w:t>
            </w:r>
          </w:p>
        </w:tc>
        <w:tc>
          <w:tcPr>
            <w:tcW w:w="18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0"/>
        </w:trPr>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(35,320 )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(24,566 )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(10,754 )</w:t>
            </w:r>
          </w:p>
        </w:tc>
        <w:tc>
          <w:tcPr>
            <w:tcW w:w="320" w:type="dxa"/>
            <w:vAlign w:val="bottom"/>
          </w:tcPr>
          <w:p>
            <w:pPr>
              <w:spacing w:after="0"/>
              <w:rPr>
                <w:sz w:val="18"/>
                <w:szCs w:val="18"/>
                <w:color w:val="auto"/>
              </w:rPr>
            </w:pPr>
          </w:p>
        </w:tc>
        <w:tc>
          <w:tcPr>
            <w:tcW w:w="1020" w:type="dxa"/>
            <w:vAlign w:val="bottom"/>
            <w:gridSpan w:val="3"/>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 xml:space="preserve">44 % </w:t>
            </w:r>
            <w:r>
              <w:rPr>
                <w:rFonts w:ascii="Times New Roman" w:cs="Times New Roman" w:eastAsia="Times New Roman" w:hAnsi="Times New Roman"/>
                <w:sz w:val="24"/>
                <w:szCs w:val="24"/>
                <w:color w:val="auto"/>
                <w:vertAlign w:val="superscript"/>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(92,773 )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(55,025 )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(37,748 )</w:t>
            </w:r>
          </w:p>
        </w:tc>
        <w:tc>
          <w:tcPr>
            <w:tcW w:w="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0"/>
        </w:trPr>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4286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086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for the three months and nine months ended September 30, 2022 and 2021 (dollars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Clinical and development costs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47,686</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Preclinical costs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costs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164"/>
        </w:trPr>
        <w:tc>
          <w:tcPr>
            <w:tcW w:w="324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restart"/>
          </w:tcPr>
          <w:p>
            <w:pPr>
              <w:jc w:val="right"/>
              <w:spacing w:after="0" w:line="358" w:lineRule="exact"/>
              <w:rPr>
                <w:sz w:val="20"/>
                <w:szCs w:val="20"/>
                <w:color w:val="auto"/>
              </w:rPr>
            </w:pPr>
            <w:r>
              <w:rPr>
                <w:rFonts w:ascii="Times New Roman" w:cs="Times New Roman" w:eastAsia="Times New Roman" w:hAnsi="Times New Roman"/>
                <w:sz w:val="18"/>
                <w:szCs w:val="18"/>
                <w:color w:val="auto"/>
              </w:rPr>
              <w:t xml:space="preserve">61 % </w:t>
            </w:r>
            <w:r>
              <w:rPr>
                <w:rFonts w:ascii="Times New Roman" w:cs="Times New Roman" w:eastAsia="Times New Roman" w:hAnsi="Times New Roman"/>
                <w:sz w:val="35"/>
                <w:szCs w:val="35"/>
                <w:color w:val="auto"/>
                <w:vertAlign w:val="superscript"/>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73,203</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39,276</w:t>
            </w:r>
          </w:p>
        </w:tc>
        <w:tc>
          <w:tcPr>
            <w:tcW w:w="4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9"/>
              </w:rPr>
              <w:t>22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402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2" w:right="279" w:bottom="1440" w:gutter="0" w:footer="0" w:header="0"/>
        </w:sectPr>
      </w:pPr>
    </w:p>
    <w:bookmarkStart w:id="22" w:name="page23"/>
    <w:bookmarkEnd w:id="22"/>
    <w:p>
      <w:pPr>
        <w:ind w:right="160" w:firstLine="509"/>
        <w:spacing w:after="0" w:line="243" w:lineRule="auto"/>
        <w:rPr>
          <w:sz w:val="20"/>
          <w:szCs w:val="20"/>
          <w:color w:val="auto"/>
        </w:rPr>
      </w:pPr>
      <w:r>
        <w:rPr>
          <w:rFonts w:ascii="Times New Roman" w:cs="Times New Roman" w:eastAsia="Times New Roman" w:hAnsi="Times New Roman"/>
          <w:sz w:val="18"/>
          <w:szCs w:val="18"/>
          <w:color w:val="auto"/>
        </w:rPr>
        <w:t>Research and development expenses increased by $11.2 million during the three months ended September 30, 2022 compared to the three months ended September 30, 2021. The increase was primarily attributable to (i) an increase of $6.0 million in clinical and development costs primarily due to clinical costs from an increase in the number of active trials and patient enrollment as well as manufacturing of clinical trial materials to support a higher number of active clinical trials and future expected patient enrollment related to the advancement of our lead product candidate, as well as an increase of $1.4 million related to the Tallac Collaboration for costs related to the IND filing planned for 2023, (ii) an increase of $0.9 million in preclinical costs primarily related to development of new targets, (iii) an increase of $2.0 million in personnel and related costs due primarily to an increase driven by headcount growth and a portion of a retention bonus payable to ScalmiBio stockholders, (iv) an increase of $1.4 million in stock-based compensation expense due to additional awards granted since September 30, 2021 and (v) an increase of $0.9 million in other research costs due primarily to an increase of $0.5 million in facility costs related to the expansion of our new laboratory space and an increase of $0.3 million in VAT fees related to companion drug purchased for use in our clinical trials.</w:t>
      </w:r>
    </w:p>
    <w:p>
      <w:pPr>
        <w:spacing w:after="0" w:line="78" w:lineRule="exact"/>
        <w:rPr>
          <w:sz w:val="20"/>
          <w:szCs w:val="20"/>
          <w:color w:val="auto"/>
        </w:rPr>
      </w:pPr>
    </w:p>
    <w:p>
      <w:pPr>
        <w:ind w:right="180" w:firstLine="509"/>
        <w:spacing w:after="0" w:line="243" w:lineRule="auto"/>
        <w:rPr>
          <w:sz w:val="20"/>
          <w:szCs w:val="20"/>
          <w:color w:val="auto"/>
        </w:rPr>
      </w:pPr>
      <w:r>
        <w:rPr>
          <w:rFonts w:ascii="Times New Roman" w:cs="Times New Roman" w:eastAsia="Times New Roman" w:hAnsi="Times New Roman"/>
          <w:sz w:val="18"/>
          <w:szCs w:val="18"/>
          <w:color w:val="auto"/>
        </w:rPr>
        <w:t>Research and development expenses increased by $33.9 million during the nine months ended September 30, 2022 compared to the nine months ended September 30, 2021. The increase was primarily attributable to (i) an increase of $18.9 million in clinical and development costs primarily due to manufacturing of clinical trial materials to support a higher number of active clinical trials and future expected patient enrollment related to the advancement of our lead product candidate, as well as an increase of $3.9 million related to the Tallac Collaboration for costs related to the IND filing planned for 2023, (ii) an increase of $1.7 million in preclinical costs primarily due to development of new targets and costs related to the Tallac Collaboration for costs related to the IND filing planned for 2023, (iii) an increase of $5.8 million in personnel and related costs due primarily to an increase driven by headcount growth and a portion of a retention bonus payable to ScalmiBio stockholders, (iv) an increase of $4.9 million in stock-based compensation expense due to additional awards granted since September 30, 2021 and (v) an increase of $2.6 million in other research costs due primarily to an increase of $1.5 million in facility costs related to the expansion of our new laboratory space and an increase of $0.9 million in VAT fees related to companion drug purchased for use in our clinical trials.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0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general and administrative expenses incurred for the three months and nine months ended September 30, 2022 and 2021 (dollars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1,381</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3,276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8"/>
              </w:rPr>
              <w:t>2,642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155"/>
        </w:trPr>
        <w:tc>
          <w:tcPr>
            <w:tcW w:w="316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Total general and administrative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w w:val="98"/>
              </w:rPr>
              <w:t>7,299</w:t>
            </w:r>
          </w:p>
        </w:tc>
        <w:tc>
          <w:tcPr>
            <w:tcW w:w="4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4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4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4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expenses</w:t>
            </w: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15 %</w:t>
            </w:r>
          </w:p>
        </w:tc>
        <w:tc>
          <w:tcPr>
            <w:tcW w:w="1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403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70"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expenses increased by $0.9 million during the three months ended September 30, 2022 compared to the three months ended September 30, 2021. The increase was primarily attributable to (i) an increase of $0.6 million in stock-based compensation expense due to additional stock option awards granted since September 30, 2021 and (ii) an increase of $0.4 million in facility and information technology costs related to the expansion of our office space.</w:t>
      </w:r>
    </w:p>
    <w:p>
      <w:pPr>
        <w:spacing w:after="0" w:line="86"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increased by $6.2 million during the nine months ended September 30, 2022 compared to the nine months ended September 30, 2021. The increase was primarily attributable to (i) an increase of $4.4 million in stock-based compensation expense due to additional stock option awards granted since September 30, 2021, (ii) an increase of $0.5 million in personnel and related costs primarily driven by headcount growth and (iii) an increase of $1.3 million in other costs primarily driven by an increase in legal patent fees, company filing fees and facility and information technology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As of September 30, 2022, we had cash, cash equivalents and short-term and long-term investments of $293.1 million.</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2"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inception and anticipate that we will continue to incur net losses for the foreseeable future. As of September 30, 2022, we had an accumulated deficit of $294.8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8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0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clinical supply for our clinical trials and, if any of our product candidates are approved, commercial manufacturing;</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and retention of key research and development personnel;</w:t>
      </w:r>
    </w:p>
    <w:p>
      <w:pPr>
        <w:spacing w:after="0" w:line="10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financial and information management systems, and hire additional personnel, including personnel to support development of our product candidates;</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patent costs involved in prosecuting patent applications and enforcing patent claims and other intellectual property claims;</w:t>
      </w:r>
    </w:p>
    <w:p>
      <w:pPr>
        <w:spacing w:after="0" w:line="103" w:lineRule="exact"/>
        <w:rPr>
          <w:rFonts w:ascii="Times New Roman" w:cs="Times New Roman" w:eastAsia="Times New Roman" w:hAnsi="Times New Roman"/>
          <w:sz w:val="18"/>
          <w:szCs w:val="18"/>
          <w:color w:val="auto"/>
        </w:rPr>
      </w:pPr>
    </w:p>
    <w:p>
      <w:pPr>
        <w:ind w:left="1020" w:right="6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and royalty payments thereunder;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such as inflation, economic downturns, disasters, and medical or public health crises;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or geopolitical risks, which may exacerbate the magnitude of the factors discussed above.</w:t>
      </w:r>
    </w:p>
    <w:p>
      <w:pPr>
        <w:spacing w:after="0" w:line="10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81"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83"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24" w:name="page25"/>
    <w:bookmarkEnd w:id="24"/>
    <w:p>
      <w:pPr>
        <w:ind w:firstLine="509"/>
        <w:spacing w:after="0" w:line="250" w:lineRule="auto"/>
        <w:rPr>
          <w:sz w:val="20"/>
          <w:szCs w:val="20"/>
          <w:color w:val="auto"/>
        </w:rPr>
      </w:pPr>
      <w:r>
        <w:rPr>
          <w:rFonts w:ascii="Times New Roman" w:cs="Times New Roman" w:eastAsia="Times New Roman" w:hAnsi="Times New Roman"/>
          <w:sz w:val="18"/>
          <w:szCs w:val="18"/>
          <w:color w:val="auto"/>
        </w:rPr>
        <w:t>In December 2021, we entered into a sales agreement with Cantor Fitzgerald &amp; Co. and Credit Suisse Securities (USA) LLC, under which we may offer and sell our common stock, having aggregate gross proceeds of up to $150.0 million, from time to time through them as our sales agent in our at-the-market equity offering program, or the ATM Offering Program. On March 25, 2022, we filed a Shelf Registration Statement with the SEC. In May 2022, we filed an amendment to the Shelf Registration Statement, which was declared effective by the SEC on May 31, 2022. No sales have been made under the ATM Offering Program as of the date of this report.</w:t>
      </w:r>
    </w:p>
    <w:p>
      <w:pPr>
        <w:spacing w:after="0" w:line="6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October 2022, we entered into the Loan Agreement with the Lenders.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For a description of the terms of the Loan Agreement, see “Note 11. Subsequent Events” to our condensed consolidated financial statements included elsewhere in this Quarterly Report on Form 10-Q.</w:t>
      </w:r>
    </w:p>
    <w:p>
      <w:pPr>
        <w:spacing w:after="0" w:line="73"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We believe our existing cash, cash equivalents, short-term and long-term investments and funds available from our term loan will enable us to fund our operating expenses and capital expenditure requirements through the middle of 2025. We have based these estimates on assumptions in which actuals may materially differ, and we could utilize our available capital resources sooner than we expect.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the net cash flow activity for the nine months ended September 30, 2022 and 2021:</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5"/>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(68,555 )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(50,613 )</w:t>
            </w:r>
          </w:p>
        </w:tc>
      </w:tr>
      <w:tr>
        <w:trPr>
          <w:trHeight w:val="216"/>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(246,358 )</w:t>
            </w: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(405 )</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tcPr>
          <w:p>
            <w:pPr>
              <w:spacing w:after="0"/>
              <w:rPr>
                <w:sz w:val="18"/>
                <w:szCs w:val="18"/>
                <w:color w:val="auto"/>
              </w:rPr>
            </w:pPr>
          </w:p>
        </w:tc>
      </w:tr>
      <w:tr>
        <w:trPr>
          <w:trHeight w:val="249"/>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(314,547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(49,070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the nine months ended September 30, 2022, net cash used in operating activities of $68.6 million was attributable to a net loss of $92.8 million, offset by non-cash charges of $18.3 million and a change in our net operating assets and liabilities of $5.9 million. Non-cash charges consisted primarily of stock-based compensation expense of $17.5 million and non-cash lease costs of $0.8 million. The change in operating assets and liabilities was primarily due to (i) an increase in accounts payable and accrued expenses and other current liabilities of $9.6 million primarily due to timing of invoices and payments, (ii) a decrease in prepaid and other current assets of $2.6 million, (iii) a decrease in other non-current liabilities of $0.8 million and (iv) a decrease in other assets of $0.3 million.</w:t>
      </w:r>
    </w:p>
    <w:p>
      <w:pPr>
        <w:spacing w:after="0" w:line="7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the nine months ended September 30, 2021, net cash used in operating activities of $50.6 million was attributable to a net loss of $55.0 million and a change in net operating assets and liabilities of $4.3 million, offset by non-cash charges of $8.7 million. The change in operating assets and liabilities was primarily due to $3.6 million increase in accounts payable due to timing of invoice and payments, offset by $6.6 million increase in other assets related to long-term prepaid clinical costs and $2.0 million increases in prepaid expenses and other current assets. Non-cash charges consisted primarily of stock-based compensation expense of $8.2 million and non-cash lease costs of $0.4 million.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2022, net cash used in investing activities of $246.4 million was attributable to purchases of short-term and long-term investments of $315.8 million offset by cash received for maturities of investments of $70.5 million and purchases of property and equipment of $1.0 million.</w:t>
      </w:r>
    </w:p>
    <w:p>
      <w:pPr>
        <w:spacing w:after="0" w:line="61" w:lineRule="exact"/>
        <w:rPr>
          <w:sz w:val="20"/>
          <w:szCs w:val="20"/>
          <w:color w:val="auto"/>
        </w:rPr>
      </w:pPr>
    </w:p>
    <w:p>
      <w:pPr>
        <w:ind w:right="480" w:firstLine="509"/>
        <w:spacing w:after="0" w:line="367" w:lineRule="auto"/>
        <w:rPr>
          <w:sz w:val="20"/>
          <w:szCs w:val="20"/>
          <w:color w:val="auto"/>
        </w:rPr>
      </w:pPr>
      <w:r>
        <w:rPr>
          <w:rFonts w:ascii="Times New Roman" w:cs="Times New Roman" w:eastAsia="Times New Roman" w:hAnsi="Times New Roman"/>
          <w:sz w:val="18"/>
          <w:szCs w:val="18"/>
          <w:color w:val="auto"/>
        </w:rPr>
        <w:t xml:space="preserve">In the nine months ended September 30, 2021, net cash used in investing activities was $0.4 million for purchases of property and equipment. </w:t>
      </w:r>
      <w:r>
        <w:rPr>
          <w:rFonts w:ascii="Times New Roman" w:cs="Times New Roman" w:eastAsia="Times New Roman" w:hAnsi="Times New Roman"/>
          <w:sz w:val="18"/>
          <w:szCs w:val="18"/>
          <w:b w:val="1"/>
          <w:bCs w:val="1"/>
          <w:i w:val="1"/>
          <w:iCs w:val="1"/>
          <w:color w:val="auto"/>
        </w:rPr>
        <w:t>Financing Activities</w:t>
      </w:r>
    </w:p>
    <w:p>
      <w:pPr>
        <w:spacing w:after="0" w:line="1"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In the nine months ended September 30, 2022, net cash provided by financing activities was $0.4 million and was attributable to proceeds from the exercise of stock options under equity incentive plans of $0.4 million and proceeds from issuance of common stock pursuant to employee stock purchase plan of $0.3 million offset by principal payments on finance leases of $0.3 million.</w:t>
      </w:r>
    </w:p>
    <w:p>
      <w:pPr>
        <w:spacing w:after="0" w:line="82" w:lineRule="exact"/>
        <w:rPr>
          <w:sz w:val="20"/>
          <w:szCs w:val="20"/>
          <w:color w:val="auto"/>
        </w:rPr>
      </w:pPr>
    </w:p>
    <w:p>
      <w:pPr>
        <w:ind w:right="300" w:firstLine="509"/>
        <w:spacing w:after="0" w:line="247" w:lineRule="auto"/>
        <w:rPr>
          <w:sz w:val="20"/>
          <w:szCs w:val="20"/>
          <w:color w:val="auto"/>
        </w:rPr>
      </w:pPr>
      <w:r>
        <w:rPr>
          <w:rFonts w:ascii="Times New Roman" w:cs="Times New Roman" w:eastAsia="Times New Roman" w:hAnsi="Times New Roman"/>
          <w:sz w:val="18"/>
          <w:szCs w:val="18"/>
          <w:color w:val="auto"/>
        </w:rPr>
        <w:t>In the nine months ended September 30, 2021, net cash provided by financing activities was $1.9 million, which were driven by $2.0 million proceeds from exercise of common stock under equity incentive plans and $0.1 million proceeds from issuance of common stock pursuant to employee stock purchase plan, offset by $0.2 million of principal payments on finance leases.</w:t>
      </w: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100" w:firstLine="509"/>
        <w:spacing w:after="0" w:line="296" w:lineRule="auto"/>
        <w:rPr>
          <w:sz w:val="20"/>
          <w:szCs w:val="20"/>
          <w:color w:val="auto"/>
        </w:rPr>
      </w:pPr>
      <w:r>
        <w:rPr>
          <w:rFonts w:ascii="Times New Roman" w:cs="Times New Roman" w:eastAsia="Times New Roman" w:hAnsi="Times New Roman"/>
          <w:sz w:val="17"/>
          <w:szCs w:val="17"/>
          <w:color w:val="auto"/>
        </w:rPr>
        <w:t>We have contractual obligations from our operating leases, finance leases, manufacturing and service contracts and other research and development activities. The following table aggregates our material expected contractual obligations and commitments as of September 30, 2022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2023-2024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18"/>
                <w:szCs w:val="18"/>
                <w:color w:val="auto"/>
              </w:rPr>
            </w:pPr>
          </w:p>
        </w:tc>
      </w:tr>
      <w:tr>
        <w:trPr>
          <w:trHeight w:val="210"/>
        </w:trPr>
        <w:tc>
          <w:tcPr>
            <w:tcW w:w="378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4"/>
                <w:szCs w:val="24"/>
                <w:color w:val="auto"/>
                <w:vertAlign w:val="superscript"/>
              </w:rPr>
              <w:t>(i)</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Finance lease obligations </w:t>
            </w:r>
            <w:r>
              <w:rPr>
                <w:rFonts w:ascii="Times New Roman" w:cs="Times New Roman" w:eastAsia="Times New Roman" w:hAnsi="Times New Roman"/>
                <w:sz w:val="24"/>
                <w:szCs w:val="24"/>
                <w:color w:val="auto"/>
                <w:vertAlign w:val="superscript"/>
              </w:rPr>
              <w:t>(ii)</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78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Manufacturing and service contracts </w:t>
            </w:r>
            <w:r>
              <w:rPr>
                <w:rFonts w:ascii="Times New Roman" w:cs="Times New Roman" w:eastAsia="Times New Roman" w:hAnsi="Times New Roman"/>
                <w:sz w:val="24"/>
                <w:szCs w:val="24"/>
                <w:color w:val="auto"/>
                <w:vertAlign w:val="superscript"/>
              </w:rPr>
              <w:t>(iii)</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42,733</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51,449</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-170815</wp:posOffset>
            </wp:positionV>
            <wp:extent cx="7747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685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1" w:lineRule="exact"/>
        <w:rPr>
          <w:sz w:val="20"/>
          <w:szCs w:val="20"/>
          <w:color w:val="auto"/>
        </w:rPr>
      </w:pPr>
    </w:p>
    <w:p>
      <w:pPr>
        <w:ind w:left="760" w:right="60" w:hanging="378"/>
        <w:spacing w:after="0" w:line="258"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payments consist of (i) payments due for the office space in Burlingame, California under a single operating sub-lease agreement that expires in 2023, (ii) payments due for the office space in South San Francisco, California under a single operating lease agreement that expires in 2026 and (iii) payments due for the office and laboratory space in Palo Alto, California under a single operating lease agreement that expires in 2030. See Note 5 to our condensed consolidated financial statements appearing elsewhere in this Quarterly Report on Form 10-Q for details of related commitments.</w:t>
      </w:r>
    </w:p>
    <w:p>
      <w:pPr>
        <w:spacing w:after="0" w:line="59" w:lineRule="exact"/>
        <w:rPr>
          <w:rFonts w:ascii="Times New Roman" w:cs="Times New Roman" w:eastAsia="Times New Roman" w:hAnsi="Times New Roman"/>
          <w:sz w:val="16"/>
          <w:szCs w:val="16"/>
          <w:color w:val="auto"/>
        </w:rPr>
      </w:pPr>
    </w:p>
    <w:p>
      <w:pPr>
        <w:ind w:left="760" w:right="180" w:hanging="378"/>
        <w:spacing w:after="0" w:line="280"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due for embedded finance leases related to a pharmaceutical support service contract. See Note 5 to our condensed consolidated financial statements appearing elsewhere in this Quarterly Report on Form 10-Q for details of related commitments.</w:t>
      </w:r>
    </w:p>
    <w:p>
      <w:pPr>
        <w:spacing w:after="0" w:line="56" w:lineRule="exact"/>
        <w:rPr>
          <w:rFonts w:ascii="Times New Roman" w:cs="Times New Roman" w:eastAsia="Times New Roman" w:hAnsi="Times New Roman"/>
          <w:sz w:val="16"/>
          <w:szCs w:val="16"/>
          <w:color w:val="auto"/>
        </w:rPr>
      </w:pPr>
    </w:p>
    <w:p>
      <w:pPr>
        <w:ind w:left="760" w:hanging="378"/>
        <w:spacing w:after="0" w:line="249"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2015, we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is cancellable upon notice and is non-exclusive. Statements of work under the MSA commit us to certain future purchase obligations of approximately $42.0 million. In addition, we have commitments with two other drug product manufacturers that commit us to certain future purchase obligations of approximately $0.8 million. We expect to make payments for these commitments through 2026 based on non-cancellable commitments and forecasts that include estimates of future market demand, quantity discounts and manufacturing efficiencies that may impact timing of purchases.</w:t>
      </w:r>
    </w:p>
    <w:p>
      <w:pPr>
        <w:spacing w:after="0" w:line="90"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period presented, we did not have, nor do we currently have, any off-balance sheet arrangements, as defined in the rules and regulations of the SEC.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08"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which have been prepared in accordance with generally accepted accounting principles in the United States, or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77"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Our critical accounting policies are more fully described in the section titled “Management’s Discussion and Analysis of Financial Condition and Results of Operations—Critical Accounting Policies and Significant Judgments and Estimates” in the Company’s Annual Report on Form 10-K for the year ended December 31, 2021. During the nine months ended September 30, 2022, there were no material changes to our critical accounting policies from those discussed in the Company’s Annual Report on Form 10-K for the year ended December 31, 2021 filed with the SEC on February 28,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See “Note 2. Significant Accounting Policies - Recent Accounting Pronouncements” to our condensed consolidated financial statements included elsewhere in this Quarterly Report on Form 10-Q for more information.</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 As of September 30, 2022, we had cash, cash equivalents and short-term and long-term investments of $293.1 million. We generally hold our cash and cash equivalents in interest-bearing bank accounts and money market funds. We have invested primarily in U.S. Treasury securities, corporate debt securities and commercial paper and all our investments are classified as available-for-sale.</w:t>
      </w:r>
    </w:p>
    <w:p>
      <w:pPr>
        <w:spacing w:after="0" w:line="6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0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exceed federally insured limits. The Company invests its cash equivalents in highly rated money market funds. During the periods presented, the Company has not experienced any realized losses on its deposits of cash, cash equivalents or investments.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08"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spacing w:after="0" w:line="6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September 30, 2022.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spacing w:after="0" w:line="9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2022 that materially affected, or are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ind w:right="440" w:firstLine="509"/>
        <w:spacing w:after="0" w:line="258"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w:t>
      </w:r>
    </w:p>
    <w:p>
      <w:pPr>
        <w:spacing w:after="0" w:line="29"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i w:val="1"/>
          <w:iCs w:val="1"/>
          <w:color w:val="auto"/>
        </w:rPr>
        <w:t>information in this Quarterly Report on Form 10-Q, including our unaudited condensed consolidated financial statements and the related notes and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50" w:lineRule="exact"/>
        <w:rPr>
          <w:sz w:val="20"/>
          <w:szCs w:val="20"/>
          <w:color w:val="auto"/>
        </w:rPr>
      </w:pPr>
    </w:p>
    <w:p>
      <w:pPr>
        <w:ind w:left="1020" w:right="4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we expect to continue to incur significant net losses for the foreseeable future;</w:t>
      </w:r>
    </w:p>
    <w:p>
      <w:pPr>
        <w:spacing w:after="0" w:line="40"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such capital may not be available to us or may only be available on terms that are unfavorable to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 products approved for commercial sale;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 and you could lose all or part of your investment;</w:t>
      </w:r>
    </w:p>
    <w:p>
      <w:pPr>
        <w:spacing w:after="0" w:line="10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evorpacept (also known as ALX 148), which is in clinical development and which has not completed a pivotal trial;</w:t>
      </w:r>
    </w:p>
    <w:p>
      <w:pPr>
        <w:spacing w:after="0" w:line="40"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54"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significant adverse events or other undesirable side effects when used alone or in combination with other treatments;</w:t>
      </w:r>
    </w:p>
    <w:p>
      <w:pPr>
        <w:spacing w:after="0" w:line="40"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54"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protection and other intellectual property for our product candidates and related technology, our business could be materially harmed;</w:t>
      </w:r>
    </w:p>
    <w:p>
      <w:pPr>
        <w:spacing w:after="0" w:line="40"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research for evorpacept is conducted primarily by a third-party service provider, Tallac Therapeutics, Inc. (formerly known as Tollnine, Inc.), or Tallac Therapeutics, and we rely on Tallac Therapeutics to perform its contractual research obligations on an effective and timely basis;</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for clinical supplies of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our debt and compliance with the terms of our loan agreement could restrict our ability to operate our business;</w:t>
      </w:r>
    </w:p>
    <w:p>
      <w:pPr>
        <w:spacing w:after="0" w:line="103" w:lineRule="exact"/>
        <w:rPr>
          <w:rFonts w:ascii="Times New Roman" w:cs="Times New Roman" w:eastAsia="Times New Roman" w:hAnsi="Times New Roman"/>
          <w:sz w:val="18"/>
          <w:szCs w:val="18"/>
          <w:color w:val="auto"/>
        </w:rPr>
      </w:pPr>
    </w:p>
    <w:p>
      <w:pPr>
        <w:ind w:left="1020" w:right="660" w:hanging="503"/>
        <w:spacing w:after="0" w:line="25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and geopolitical unrest related to Russia’s war with Ukraine could adversely impact our business including our ongoing and planned clinical trials and preclinical research; and</w:t>
      </w: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28" w:name="page29"/>
    <w:bookmarkEnd w:id="28"/>
    <w:p>
      <w:pPr>
        <w:ind w:left="1020" w:right="8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identified material weaknesses in our internal control over financial reporting. If the remediation measures we implemented are not effective, investors may lose confidence in our financial reports.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we expect to continue to incur significant net losses for the foreseeable future.</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$35.3 million and $24.6 million for the three months ended September 30, 2022 and 2021, respectively, and $92.8 million and $55.0 million for the nine months ended September 30, 2022 and 2021, respectively. As of September 30, 2022, we had an accumulated deficit of $294.8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6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spacing w:after="0" w:line="75"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As of September 30, 2022, we had cash, cash equivalents and investments of $293.1 million. Based on our current operating plan, we believe that our existing cash, cash equivalents, investments and funds available from our term loan, will be sufficient to fund our operations through the middle of 2025. Our estimate as to how long we expect our existing cash, cash equivalents, investments and funds available from our term loan to be able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p>
    <w:p>
      <w:pPr>
        <w:spacing w:after="0" w:line="72"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9" w:name="page30"/>
    <w:bookmarkEnd w:id="29"/>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expect to obtain further funding through public or private equity offerings, debt financings, collaborations and licensing arrangements or other sources, which may dilute our stockholders or restrict our operating activities. Other than the Loan Agreement,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We recently entered into our Loan Agreement for additional capital, and the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78"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5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3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94"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50"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83" w:lineRule="exact"/>
        <w:rPr>
          <w:sz w:val="20"/>
          <w:szCs w:val="20"/>
          <w:color w:val="auto"/>
        </w:rPr>
      </w:pPr>
    </w:p>
    <w:p>
      <w:pPr>
        <w:ind w:left="1020" w:right="36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and clinical development of our lead product candidate, evorpacept, and our other future product candidates;</w:t>
      </w:r>
    </w:p>
    <w:p>
      <w:pPr>
        <w:spacing w:after="0" w:line="54"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CROs and clinical sites for the clinical development of evorpacept and our other future product candidates;</w:t>
      </w:r>
    </w:p>
    <w:p>
      <w:pPr>
        <w:spacing w:after="0" w:line="40"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 for any product candidates for which we successfully complete clinical development;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03"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w:t>
      </w:r>
    </w:p>
    <w:p>
      <w:pPr>
        <w:spacing w:after="0" w:line="82" w:lineRule="exact"/>
        <w:rPr>
          <w:rFonts w:ascii="Times New Roman" w:cs="Times New Roman" w:eastAsia="Times New Roman" w:hAnsi="Times New Roman"/>
          <w:sz w:val="18"/>
          <w:szCs w:val="18"/>
          <w:color w:val="auto"/>
        </w:rPr>
      </w:pPr>
    </w:p>
    <w:p>
      <w:pPr>
        <w:ind w:left="1020" w:right="220" w:hanging="503"/>
        <w:spacing w:after="0" w:line="25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82"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marketing approval, including the development of a commercial infrastructure, whether in-house or with one or more collaborators;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30" w:name="page31"/>
    <w:bookmarkEnd w:id="30"/>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evorpacept and any future product candidates as viable treatment options by patients, the medical community and third-party payors;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coverage and adequate reimbursement by third-party payors for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 developing new product candidates;</w:t>
      </w:r>
    </w:p>
    <w:p>
      <w:pPr>
        <w:spacing w:after="0" w:line="103"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 including our licensed intellectual property;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103" w:lineRule="exact"/>
        <w:rPr>
          <w:rFonts w:ascii="Times New Roman" w:cs="Times New Roman" w:eastAsia="Times New Roman" w:hAnsi="Times New Roman"/>
          <w:sz w:val="18"/>
          <w:szCs w:val="18"/>
          <w:color w:val="auto"/>
        </w:rPr>
      </w:pPr>
    </w:p>
    <w:p>
      <w:pPr>
        <w:ind w:left="1020" w:right="8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on favorable terms, any collaboration, licensing or other arrangements that may be necessary or desirable to develop, manufacture or commercialize our product candidates;</w:t>
      </w:r>
    </w:p>
    <w:p>
      <w:pPr>
        <w:spacing w:after="0" w:line="67" w:lineRule="exact"/>
        <w:rPr>
          <w:rFonts w:ascii="Times New Roman" w:cs="Times New Roman" w:eastAsia="Times New Roman" w:hAnsi="Times New Roman"/>
          <w:sz w:val="18"/>
          <w:szCs w:val="18"/>
          <w:color w:val="auto"/>
        </w:rPr>
      </w:pPr>
    </w:p>
    <w:p>
      <w:pPr>
        <w:ind w:left="1020" w:right="7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that may be necessary to develop, manufacture or commercialize our product candidate;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65"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terms of our Loan Agreement require us to meet certain operating and financial covenants, place restrictions on our operating and financial flexibility, and may subject us to default.</w:t>
      </w:r>
    </w:p>
    <w:p>
      <w:pPr>
        <w:spacing w:after="0" w:line="6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October 2022, we entered into the Loan Agreement with the Lenders, under which we have borrowed $10.0 million and we have access to draw an additional $40.0 million through the end of 2023. A further $50.0 million may become available to us, with $12.5 million available in each of two tranches based upon the achievement of milestones related to the development of evorpacept and one preclinical product candidate, and $25.0 million at the Lenders’ sole discretion. The proceeds of the loans may be used by us for working capital and to fund our general business requirements.</w:t>
      </w:r>
    </w:p>
    <w:p>
      <w:pPr>
        <w:spacing w:after="0" w:line="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term loans under the Loan Agreement mature on October 1, 2027. The Company will begin to make principal payments in equal monthly installments beginning on December 1, 2025, and if either of the milestone related tranche term loans are funded, then the Company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We are also obligated to pay other customary fees for a loan facility of this type and size.</w:t>
      </w:r>
    </w:p>
    <w:p>
      <w:pPr>
        <w:spacing w:after="0" w:line="73"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term loans under the Loan Agreement are secured by substantially all of our assets, except our intellectual property, which is the subject of a negative pledge, and will be guaranteed by our future subsidiaries, subject to certain limitations. Upon the outstanding balance of the term loans reaching $75.0 million or greater, our intellectual property will become collateral.</w:t>
      </w:r>
    </w:p>
    <w:p>
      <w:pPr>
        <w:spacing w:after="0" w:line="6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spacing w:after="0" w:line="61"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p>
    <w:p>
      <w:pPr>
        <w:spacing w:after="0" w:line="81"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MDS, AML, HNSCC, gastric/ GEJ carcinoma, bladder cancer, or breast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similar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p>
    <w:p>
      <w:pPr>
        <w:spacing w:after="0" w:line="7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6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72"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7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37"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7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68"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to commence a clinical trial;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clinical trial site;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necessary new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subjects to participate in a trial;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clinical trial protocols;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site or trial subjects withdrawing or dropping out of clinical trials at a higher rate than anticipated;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w:t>
      </w:r>
    </w:p>
    <w:p>
      <w:pPr>
        <w:spacing w:after="0" w:line="10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8"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or interval changes to standards of care for the treatment of specific tumor types that may require us to conduct additional clinical trials or abandon certain drug development programs;</w:t>
      </w:r>
    </w:p>
    <w:p>
      <w:pPr>
        <w:spacing w:after="0" w:line="54"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is larger than anticipated, enrollment in these clinical trials is slower than anticipated or subjects dropping out of these clinical trials at a higher rate than anticipated;</w:t>
      </w:r>
    </w:p>
    <w:p>
      <w:pPr>
        <w:spacing w:after="0" w:line="40" w:lineRule="exact"/>
        <w:rPr>
          <w:rFonts w:ascii="Times New Roman" w:cs="Times New Roman" w:eastAsia="Times New Roman" w:hAnsi="Times New Roman"/>
          <w:sz w:val="18"/>
          <w:szCs w:val="18"/>
          <w:color w:val="auto"/>
        </w:rPr>
      </w:pPr>
    </w:p>
    <w:p>
      <w:pPr>
        <w:ind w:left="1020" w:right="7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trials due to outbreaks or public health crises, such as the ongoing COVID-19 pandemic, that impact both trial site operations, subject selection and participation;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10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are greater than anticipated;</w:t>
      </w:r>
    </w:p>
    <w:p>
      <w:pPr>
        <w:spacing w:after="0" w:line="103" w:lineRule="exact"/>
        <w:rPr>
          <w:rFonts w:ascii="Times New Roman" w:cs="Times New Roman" w:eastAsia="Times New Roman" w:hAnsi="Times New Roman"/>
          <w:sz w:val="18"/>
          <w:szCs w:val="18"/>
          <w:color w:val="auto"/>
        </w:rPr>
      </w:pPr>
    </w:p>
    <w:p>
      <w:pPr>
        <w:ind w:left="1020" w:right="70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w:t>
      </w:r>
    </w:p>
    <w:p>
      <w:pPr>
        <w:spacing w:after="0" w:line="10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6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safety and efficacy sufficient to obtain marketing approval of our product candidates or to market our drugs after any such approval. In December 2020, the FDA verbally informed us, that given our planned initiation of two Phase 2 HNSCC clinical trials that could be potentially registrational, it required completion of a routine non-clinical safety study. The FDA noted that for any drug development program moving swiftly through development, this non-clinical study is required prior to the initiation of a clinical trial that could be considered pivotal. We were allowed to initiate both Phase 2 HNSCC clinical trials with the enrollment capped at a total of 50 subjects treated with evorpacept across both trials (excluding safety lead-in cohorts). In June 2021, the FDA informed us that it had reviewed our standard non-clinical safety study and removed the partial clinical hold and patient cap on our two ongoing Phase 2 studies in patients with HNSCC. No impact was incurred on patient enrollment or study timelines as a result of the partial clinical hold.</w:t>
      </w:r>
    </w:p>
    <w:p>
      <w:pPr>
        <w:spacing w:after="0" w:line="7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37"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p>
    <w:p>
      <w:pPr>
        <w:spacing w:after="0" w:line="69"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Enrollment of subjects in our clinical trials may be delayed or limited if our clinical trial sites limit their onsite staff or temporarily close as a result of the ongoing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ongoing COVID-19 pandemic could delay the anticipated readouts from our clinical trials and our regulatory submissions and increase the costs associated with clinical trials.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3" w:name="page34"/>
    <w:bookmarkEnd w:id="33"/>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0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or potency of current or newly approved drugs for the disease under investigation and other changes in standard of care that could make our clinical trials less attractive, including the drugs or other product candidates we use in our combination studies;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 by us and the clinical trial sites;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subjects adequately during and after the clinical trial;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of clinical trial sites to prospective subjects;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subjects enrolled in clinical trials dropping out before completion;</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delay in enrollment of subjects due to a variety of reasons, including outbreaks and public health crises, such as the ongoing COVID-19 pandemic;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appropriately enroll an ethnically and racially diverse patient population representative of the target patient population.</w:t>
      </w:r>
    </w:p>
    <w:p>
      <w:pPr>
        <w:spacing w:after="0" w:line="11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7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5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4" w:name="page35"/>
    <w:bookmarkEnd w:id="34"/>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our clinical program in a heavily pre-treated group of subjects who are typical participants in early-stage cancer trials and are often hematologically fragile at baseline. Subjects in our evorpacept combination clinical trials experienced a number of treatment-related adverse events that were mostly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spacing w:after="0" w:line="73"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Newly approved therapeutics could change the treatment paradigm or standard of care, which could negatively impact the design of our clinical trials and the prospects of our product candidates.</w:t>
      </w:r>
    </w:p>
    <w:p>
      <w:pPr>
        <w:spacing w:after="0" w:line="78"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Some of these competitive products and therapies are based on scientific approaches that are the same as or similar to our approach, including with respect to the targeting of the CD47 pathway and others are based on entirely different approaches. We are aware that AbbVie (through its licensing agreement with I-Mab), Akesobio, Apexigen, Arch Oncology, Bio-Thera Solutions, Boehringer Ingelheim, Bristol Myers Squibb, Conjupro Biotherapeutics, Gilead Sciences (through its acquisition of Forty Seven), I-Mab, ImmuneOncia Therapeutics, ImmunceOnco Biopharma, Innovent, Kahr, Mabwell Therapeutics, Mabworks, Novimmune, OSE Immunotherapeutics, Pfizer (through its acquisition of Trillium Therapeutics), Shattuck Labs, SinoBiological, Sorrento Therapeutics, TG Therapeutics, Waterstone, and Zai Lab,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7" w:lineRule="exact"/>
        <w:rPr>
          <w:sz w:val="20"/>
          <w:szCs w:val="20"/>
          <w:color w:val="auto"/>
        </w:rPr>
      </w:pPr>
    </w:p>
    <w:p>
      <w:pPr>
        <w:ind w:right="260" w:firstLine="509"/>
        <w:spacing w:after="0" w:line="247" w:lineRule="auto"/>
        <w:rPr>
          <w:sz w:val="20"/>
          <w:szCs w:val="20"/>
          <w:color w:val="auto"/>
        </w:rPr>
      </w:pPr>
      <w:r>
        <w:rPr>
          <w:rFonts w:ascii="Times New Roman" w:cs="Times New Roman" w:eastAsia="Times New Roman" w:hAnsi="Times New Roman"/>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7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5" w:name="page36"/>
    <w:bookmarkEnd w:id="35"/>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cGMPs and current good clinical practices, or cGCPs, for any clinical trials that we conduct post-approval. Regulatory approvals may contain significant limitations related to use restrictions for specific target population subsets,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7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1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occurrence of any of these sanctions, enforcement actions or penalties described above may inhibit our ability to commercialize our product candidates, even if approved, and generate revenue.</w:t>
      </w:r>
    </w:p>
    <w:p>
      <w:pPr>
        <w:spacing w:after="0" w:line="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on Tallac Therapeutics, a third-party service provider, to conduct substantially all of our preclinical research activities for evorpacept. If Tallac Therapeutics does not successfully carry out its contractual duties or meet expected deadlines, there may be disruptions or delays to our evorpacept development pipeline and our business could be harmed.</w:t>
      </w:r>
    </w:p>
    <w:p>
      <w:pPr>
        <w:spacing w:after="0" w:line="60"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We have the ability to independently conduct our preclinical research activities but we rely on a third-party service provider to conduct all of our preclinical research activities for evorpacept. Effective as of July 1, 2020, we transferred our preclinical research capabilities at such time and nine of our employees, including our former Chief Scientific Officer,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6" w:name="page37"/>
    <w:bookmarkEnd w:id="36"/>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w:t>
      </w:r>
    </w:p>
    <w:p>
      <w:pPr>
        <w:spacing w:after="0" w:line="6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Further, Tallac Therapeutics’ employees are not our employees, and we will not be able to control, other than by contract, the amount of resources, including time, that they devote to our evorpacept preclinical research efforts and studies. If Tallac Therapeutics fails to devote sufficient resources to the research and development of our evorpacept preclinical research programs and studies, or if its performance is substandard, there may be disruptions or delays to our evorpacept development pipeline.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8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If our relationship with Tallac Therapeutics terminates, 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Since Tallac Therapeutics is an early-stage company with a limited operating history, it may face challenges to its business and cease to operate, and we may need to hire employees on an accelerated timeline and on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87"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74" w:lineRule="exact"/>
        <w:rPr>
          <w:sz w:val="20"/>
          <w:szCs w:val="20"/>
          <w:color w:val="auto"/>
        </w:rPr>
      </w:pPr>
    </w:p>
    <w:p>
      <w:pPr>
        <w:jc w:val="both"/>
        <w:ind w:right="12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4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ongoing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7" w:name="page38"/>
    <w:bookmarkEnd w:id="37"/>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7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61"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modifications in the methods of product candidate manufacturing or formulation may result in additional costs or delay.</w:t>
      </w:r>
    </w:p>
    <w:p>
      <w:pPr>
        <w:spacing w:after="0" w:line="108"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7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product candidates in combination with other therapies could expose us to additional risks. Lack of third-party combination drugs may materially and adversely affect demand for our product candidates.</w:t>
      </w:r>
    </w:p>
    <w:p>
      <w:pPr>
        <w:spacing w:after="0" w:line="3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8" w:name="page39"/>
    <w:bookmarkEnd w:id="38"/>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8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clinical trials of evorpacept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Eli Lilly and Zymeworks,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Zymeworks is terminated before our trials are completed, our ability to continue our trials with zanidatamab would be limited.</w:t>
      </w:r>
    </w:p>
    <w:p>
      <w:pPr>
        <w:spacing w:after="0" w:line="95"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6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6"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ongoing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95"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74" w:lineRule="exact"/>
        <w:rPr>
          <w:sz w:val="20"/>
          <w:szCs w:val="20"/>
          <w:color w:val="auto"/>
        </w:rPr>
      </w:pPr>
    </w:p>
    <w:p>
      <w:pPr>
        <w:ind w:right="380" w:firstLine="509"/>
        <w:spacing w:after="0" w:line="254" w:lineRule="auto"/>
        <w:rPr>
          <w:sz w:val="20"/>
          <w:szCs w:val="20"/>
          <w:color w:val="auto"/>
        </w:rPr>
      </w:pPr>
      <w:r>
        <w:rPr>
          <w:rFonts w:ascii="Times New Roman" w:cs="Times New Roman" w:eastAsia="Times New Roman" w:hAnsi="Times New Roman"/>
          <w:sz w:val="18"/>
          <w:szCs w:val="18"/>
          <w:color w:val="auto"/>
        </w:rPr>
        <w:t>Our business also may be implicated if any of our CROs violates fraud and abuse or false claims laws and regulations or healthcare privacy and security laws.</w:t>
      </w: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9" w:name="page40"/>
    <w:bookmarkEnd w:id="39"/>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7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37"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p>
    <w:p>
      <w:pPr>
        <w:spacing w:after="0" w:line="69" w:lineRule="exact"/>
        <w:rPr>
          <w:sz w:val="20"/>
          <w:szCs w:val="20"/>
          <w:color w:val="auto"/>
        </w:rPr>
      </w:pPr>
    </w:p>
    <w:p>
      <w:pPr>
        <w:ind w:left="1020" w:right="5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evorpacept and our other product candidates to treat cancer or other applicable targeted diseases, as compared with other available drugs, treatments or therapies;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evorpacept and our other product candidates;</w:t>
      </w:r>
    </w:p>
    <w:p>
      <w:pPr>
        <w:spacing w:after="0" w:line="10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evorpacept or our other product candidates by the FDA or foreign regulatory authorities;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and the potential and perceived advantages of our product candidates over alternative treatments;</w:t>
      </w:r>
    </w:p>
    <w:p>
      <w:pPr>
        <w:spacing w:after="0" w:line="10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 and the willingness of the target patient population to try new therapies and of physicians to prescribe these therapies;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marketing and distribution support and timing of market introduction of competitive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0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and the willingness of patients to pay out-of-pocket in the absence of third-party coverage; and</w:t>
      </w:r>
    </w:p>
    <w:p>
      <w:pPr>
        <w:spacing w:after="0" w:line="6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FDA or any foreign regulatory authority may impose additional requirements that limit the promotion, advertising, distribution or sales of our product candidates.</w:t>
      </w:r>
    </w:p>
    <w:p>
      <w:pPr>
        <w:spacing w:after="0" w:line="5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6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0" w:name="page41"/>
    <w:bookmarkEnd w:id="40"/>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37"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p>
    <w:p>
      <w:pPr>
        <w:spacing w:after="0" w:line="6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78" w:lineRule="exact"/>
        <w:rPr>
          <w:sz w:val="20"/>
          <w:szCs w:val="20"/>
          <w:color w:val="auto"/>
        </w:rPr>
      </w:pPr>
    </w:p>
    <w:p>
      <w:pPr>
        <w:ind w:right="180" w:firstLine="509"/>
        <w:spacing w:after="0" w:line="243" w:lineRule="auto"/>
        <w:rPr>
          <w:sz w:val="20"/>
          <w:szCs w:val="20"/>
          <w:color w:val="auto"/>
        </w:rPr>
      </w:pPr>
      <w:r>
        <w:rPr>
          <w:rFonts w:ascii="Times New Roman" w:cs="Times New Roman" w:eastAsia="Times New Roman" w:hAnsi="Times New Roman"/>
          <w:sz w:val="18"/>
          <w:szCs w:val="18"/>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opportunities for the product candidates we develop, if approved, may be limited to certain smaller patient subsets.</w:t>
      </w:r>
    </w:p>
    <w:p>
      <w:pPr>
        <w:spacing w:after="0" w:line="10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w:t>
      </w:r>
    </w:p>
    <w:p>
      <w:pPr>
        <w:spacing w:after="0" w:line="7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66"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7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Even if any of our product candidates receive marketing approval, if we or others later identify undesirable or unacceptable side effects caused by such products:</w:t>
      </w:r>
    </w:p>
    <w:p>
      <w:pPr>
        <w:spacing w:after="0" w:line="40"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10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contraindication, precaution or field alerts to physicians and pharmacies;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including changing the dose and/or schedule of administration, limit the patient population who can use the product or conduct additional clinical trials;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41" w:name="page42"/>
    <w:bookmarkEnd w:id="41"/>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5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37"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7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7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8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73"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coverage and adequate reimbursement for a product;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04"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63"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78"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drug from the market or voluntary or mandatory product recalls;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fines, warning letters or holds on clinical trials;</w:t>
      </w:r>
    </w:p>
    <w:p>
      <w:pPr>
        <w:spacing w:after="0" w:line="10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product seizure or detention, or refusal to permit the import or export of product candidates;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0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43" w:name="page44"/>
    <w:bookmarkEnd w:id="43"/>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6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evorpacept or any product candidates we may seek to develop in the future will never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10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disagree with the design, implementation or results of our clinical trials;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82"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efficacy and potency and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disagree with our interpretation of data from preclinical studies or clinical trials;</w:t>
      </w:r>
    </w:p>
    <w:p>
      <w:pPr>
        <w:spacing w:after="0" w:line="67" w:lineRule="exact"/>
        <w:rPr>
          <w:rFonts w:ascii="Times New Roman" w:cs="Times New Roman" w:eastAsia="Times New Roman" w:hAnsi="Times New Roman"/>
          <w:sz w:val="18"/>
          <w:szCs w:val="18"/>
          <w:color w:val="auto"/>
        </w:rPr>
      </w:pPr>
    </w:p>
    <w:p>
      <w:pPr>
        <w:ind w:left="1020" w:right="5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54"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comparable international regulatory authorities that a product candidate’s risk-benefit ratio for its proposed indication is acceptable;</w:t>
      </w:r>
    </w:p>
    <w:p>
      <w:pPr>
        <w:spacing w:after="0" w:line="40" w:lineRule="exact"/>
        <w:rPr>
          <w:rFonts w:ascii="Times New Roman" w:cs="Times New Roman" w:eastAsia="Times New Roman" w:hAnsi="Times New Roman"/>
          <w:sz w:val="18"/>
          <w:szCs w:val="18"/>
          <w:color w:val="auto"/>
        </w:rPr>
      </w:pPr>
    </w:p>
    <w:p>
      <w:pPr>
        <w:ind w:left="1020" w:right="9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international foreign regulatory authorities may significantly change in a manner rendering our clinical data insufficient for approval.</w:t>
      </w:r>
    </w:p>
    <w:p>
      <w:pPr>
        <w:spacing w:after="0" w:line="5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8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ongoing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44" w:name="page45"/>
    <w:bookmarkEnd w:id="4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certain FDA Fast Track designations, such Fast Track designations may not lead to a faster development or regulatory review or approval process, and do not increase the likelihood that the drug will receive marketing approval.</w:t>
      </w:r>
    </w:p>
    <w:p>
      <w:pPr>
        <w:spacing w:after="0" w:line="3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FDA granted Fast Track designation for evorpacept in combination with pembrolizumab, platinum, and fluorouracil for the first-line treatment of adult patients with metastatic or unresectable, recurrent HNSCC (February 2020) and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In July 2022, the FDA granted Fast Track designation for evorpacept in combination with pembrolizumab for first-line treatment of adult patients with metastatic or unresectable, recurrent HNSCC whose tumors express PD-L1.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certain orphan drug designations, we may be unable to maintain the benefits associated with such orphan drug designation. If we decide to seek orphan drug designation for additional indications for our product candidates in the future, we may be unsuccessful.</w:t>
      </w:r>
    </w:p>
    <w:p>
      <w:pPr>
        <w:spacing w:after="0" w:line="3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intended to treat a rare disease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which is generally defined as a patient population of fewer than 200,000 individuals annually in the United States. In January 2022, the FDA’s Office of Orphan Products Development granted Orphan Drug Designation (ODD) to evorpacept for treatment for gastric/GEJ cancer, and in June 2022, we were granted ODD to evorpacept for the treatment of patients with AML. We may seek ODD for certain additional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89"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50"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69"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3"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drugs,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drugs;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ACA, was</w:t>
      </w:r>
    </w:p>
    <w:p>
      <w:pPr>
        <w:spacing w:after="0" w:line="2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9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2031, subject to certain exceptions. Under current legislation, the actual reduction in Medicare payments will vary from 1% in 2022 to up to 3% in the final fiscal year of this sequester. Additionally, it is possible that additional governmental action will be taken in response to the ongoing COVID-19 pandemic, resulting in a material adverse effect on our business.</w:t>
      </w:r>
    </w:p>
    <w:p>
      <w:pPr>
        <w:spacing w:after="0" w:line="7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to use step therapy for Part B drugs beginning January 1, 2020, codifying a policy change that was effective January 1, 2019. In 2020, HHS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HHS challenging various aspects of these rules implemented during the Trump administration. As a result, the Biden administration and HHS have delayed the implementation or published rules rescinding some of these Trump-era policies.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The implementation of cost containment measures or other healthcare reforms may prevent us from being able to generate revenue, attain profitability, or commercialize our product candidates if approved.</w:t>
      </w:r>
    </w:p>
    <w:p>
      <w:pPr>
        <w:spacing w:after="0" w:line="82"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w:t>
      </w:r>
    </w:p>
    <w:p>
      <w:pPr>
        <w:spacing w:after="0" w:line="87"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46" w:name="page47"/>
    <w:bookmarkEnd w:id="46"/>
    <w:p>
      <w:pPr>
        <w:jc w:val="both"/>
        <w:ind w:right="140" w:firstLine="509"/>
        <w:spacing w:after="0" w:line="245"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8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9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6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66"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78" w:lineRule="exact"/>
        <w:rPr>
          <w:sz w:val="20"/>
          <w:szCs w:val="20"/>
          <w:color w:val="auto"/>
        </w:rPr>
      </w:pPr>
    </w:p>
    <w:p>
      <w:pPr>
        <w:ind w:left="1020" w:right="60" w:hanging="503"/>
        <w:spacing w:after="0" w:line="247"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FCA.</w:t>
      </w:r>
    </w:p>
    <w:p>
      <w:pPr>
        <w:spacing w:after="0" w:line="71" w:lineRule="exact"/>
        <w:rPr>
          <w:rFonts w:ascii="Times New Roman" w:cs="Times New Roman" w:eastAsia="Times New Roman" w:hAnsi="Times New Roman"/>
          <w:sz w:val="18"/>
          <w:szCs w:val="18"/>
          <w:color w:val="auto"/>
        </w:rPr>
      </w:pPr>
    </w:p>
    <w:p>
      <w:pPr>
        <w:ind w:left="1020" w:right="220" w:hanging="503"/>
        <w:spacing w:after="0" w:line="24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86"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w:t>
      </w:r>
    </w:p>
    <w:p>
      <w:pPr>
        <w:ind w:left="1020"/>
        <w:spacing w:after="0" w:line="238" w:lineRule="auto"/>
        <w:rPr>
          <w:sz w:val="20"/>
          <w:szCs w:val="20"/>
          <w:color w:val="auto"/>
        </w:rPr>
      </w:pPr>
      <w:r>
        <w:rPr>
          <w:rFonts w:ascii="Times New Roman" w:cs="Times New Roman" w:eastAsia="Times New Roman" w:hAnsi="Times New Roman"/>
          <w:sz w:val="18"/>
          <w:szCs w:val="18"/>
          <w:color w:val="auto"/>
        </w:rPr>
        <w:t>services reimbursable by the government from a particular provider or supplier.</w:t>
      </w: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7" w:name="page48"/>
    <w:bookmarkEnd w:id="47"/>
    <w:p>
      <w:pPr>
        <w:ind w:left="523" w:hanging="517"/>
        <w:spacing w:after="0" w:line="250" w:lineRule="auto"/>
        <w:tabs>
          <w:tab w:leader="none" w:pos="5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9" w:lineRule="exact"/>
        <w:rPr>
          <w:rFonts w:ascii="Times New Roman" w:cs="Times New Roman" w:eastAsia="Times New Roman" w:hAnsi="Times New Roman"/>
          <w:sz w:val="18"/>
          <w:szCs w:val="18"/>
          <w:color w:val="auto"/>
        </w:rPr>
      </w:pPr>
    </w:p>
    <w:p>
      <w:pPr>
        <w:ind w:left="523" w:hanging="517"/>
        <w:spacing w:after="0" w:line="243" w:lineRule="auto"/>
        <w:tabs>
          <w:tab w:leader="none" w:pos="5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78" w:lineRule="exact"/>
        <w:rPr>
          <w:rFonts w:ascii="Times New Roman" w:cs="Times New Roman" w:eastAsia="Times New Roman" w:hAnsi="Times New Roman"/>
          <w:sz w:val="18"/>
          <w:szCs w:val="18"/>
          <w:color w:val="auto"/>
        </w:rPr>
      </w:pPr>
    </w:p>
    <w:p>
      <w:pPr>
        <w:ind w:left="523" w:right="520" w:hanging="517"/>
        <w:spacing w:after="0" w:line="282" w:lineRule="auto"/>
        <w:tabs>
          <w:tab w:leader="none" w:pos="5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Food, Drug and Cosmetic Act prohibits, among other things, the adulteration or misbranding of drugs, biologics and medical devices.</w:t>
      </w:r>
    </w:p>
    <w:p>
      <w:pPr>
        <w:spacing w:after="0" w:line="40" w:lineRule="exact"/>
        <w:rPr>
          <w:rFonts w:ascii="Times New Roman" w:cs="Times New Roman" w:eastAsia="Times New Roman" w:hAnsi="Times New Roman"/>
          <w:sz w:val="18"/>
          <w:szCs w:val="18"/>
          <w:color w:val="auto"/>
        </w:rPr>
      </w:pPr>
    </w:p>
    <w:p>
      <w:pPr>
        <w:ind w:left="523" w:right="120" w:hanging="517"/>
        <w:spacing w:after="0" w:line="247" w:lineRule="auto"/>
        <w:tabs>
          <w:tab w:leader="none" w:pos="5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71" w:lineRule="exact"/>
        <w:rPr>
          <w:rFonts w:ascii="Times New Roman" w:cs="Times New Roman" w:eastAsia="Times New Roman" w:hAnsi="Times New Roman"/>
          <w:sz w:val="18"/>
          <w:szCs w:val="18"/>
          <w:color w:val="auto"/>
        </w:rPr>
      </w:pPr>
    </w:p>
    <w:p>
      <w:pPr>
        <w:ind w:left="523" w:right="160" w:hanging="517"/>
        <w:spacing w:after="0" w:line="244" w:lineRule="auto"/>
        <w:tabs>
          <w:tab w:leader="none" w:pos="5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87" w:lineRule="exact"/>
        <w:rPr>
          <w:rFonts w:ascii="Times New Roman" w:cs="Times New Roman" w:eastAsia="Times New Roman" w:hAnsi="Times New Roman"/>
          <w:sz w:val="18"/>
          <w:szCs w:val="18"/>
          <w:color w:val="auto"/>
        </w:rPr>
      </w:pPr>
    </w:p>
    <w:p>
      <w:pPr>
        <w:ind w:left="503" w:hanging="503"/>
        <w:spacing w:after="0" w:line="242"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92" w:lineRule="exact"/>
        <w:rPr>
          <w:rFonts w:ascii="Times New Roman" w:cs="Times New Roman" w:eastAsia="Times New Roman" w:hAnsi="Times New Roman"/>
          <w:sz w:val="18"/>
          <w:szCs w:val="18"/>
          <w:color w:val="auto"/>
        </w:rPr>
      </w:pPr>
    </w:p>
    <w:p>
      <w:pPr>
        <w:ind w:left="503" w:right="220" w:hanging="503"/>
        <w:spacing w:after="0" w:line="246"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also impose legal requirements, including reporting requirements detailing interactions with and payments to healthcare providers.</w:t>
      </w:r>
    </w:p>
    <w:p>
      <w:pPr>
        <w:spacing w:after="0" w:line="1"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60325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32" w:right="379" w:bottom="1440" w:gutter="0" w:footer="0" w:header="0"/>
        </w:sectPr>
      </w:pPr>
    </w:p>
    <w:bookmarkStart w:id="48" w:name="page49"/>
    <w:bookmarkEnd w:id="48"/>
    <w:p>
      <w:pPr>
        <w:ind w:firstLine="509"/>
        <w:spacing w:after="0" w:line="24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7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6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08"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9" w:name="page50"/>
    <w:bookmarkEnd w:id="49"/>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0"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In response to the ongoing COVID-19 pandemic and travel restrictions, the FDA has issued industry guidance regarding plans to employ remote interactive evaluations, using risk management methods, to meet user fee commitments and goal dates as well as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a complete response letter or defer action on the application until an inspection can be completed. FDA review timelines could be extended due to COVID-19 related reasons. Additional policies or changes to current policies may be implemented in the future. If global health concerns continue to prevent the FDA or other regulatory authorities from conducting their regular inspections, reviews, or other regulatory activities,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77" w:lineRule="exact"/>
        <w:rPr>
          <w:sz w:val="20"/>
          <w:szCs w:val="20"/>
          <w:color w:val="auto"/>
        </w:rPr>
      </w:pPr>
    </w:p>
    <w:p>
      <w:pPr>
        <w:jc w:val="both"/>
        <w:ind w:right="4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6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7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7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50" w:name="page51"/>
    <w:bookmarkEnd w:id="5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spacing w:after="0" w:line="3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may collect, process, use or transfer personal information from individuals located in the European Economic Area, or EEA, Switzerland and the United Kingdom in connection with our business, including in connection with conducting clinical trials in these regions.</w:t>
      </w:r>
    </w:p>
    <w:p>
      <w:pPr>
        <w:spacing w:after="0" w:line="68" w:lineRule="exact"/>
        <w:rPr>
          <w:sz w:val="20"/>
          <w:szCs w:val="20"/>
          <w:color w:val="auto"/>
        </w:rPr>
      </w:pPr>
    </w:p>
    <w:p>
      <w:pPr>
        <w:ind w:right="160" w:firstLine="509"/>
        <w:spacing w:after="0" w:line="242" w:lineRule="auto"/>
        <w:rPr>
          <w:sz w:val="20"/>
          <w:szCs w:val="20"/>
          <w:color w:val="auto"/>
        </w:rPr>
      </w:pPr>
      <w:r>
        <w:rPr>
          <w:rFonts w:ascii="Times New Roman" w:cs="Times New Roman" w:eastAsia="Times New Roman" w:hAnsi="Times New Roman"/>
          <w:sz w:val="18"/>
          <w:szCs w:val="18"/>
          <w:color w:val="auto"/>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Swiss Federal Act on Data Protection of June 19, 1992,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spacing w:after="0" w:line="6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GDPR, UK GDPR and FADP also restrict the transfer of personal information outside of the EEA, United Kingdom and Switzerland respectively, unless appropriate safeguards are in place.</w:t>
      </w:r>
    </w:p>
    <w:p>
      <w:pPr>
        <w:spacing w:after="0" w:line="40"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One of the primary safeguards, the Standard Contractual Clauses adopted by the European Commission, has been recently updated. Any existing data transfer arrangement that relies on the previous version of the Standard Contractual Clauses needs to be updated by December 27, 2022, which could increase our costs. With regard to the data transfers outside of the EEA to the United States, in March 2022, the European Union and United States announced a political agreement on a new framework for personal information transfers. Once this framework has been formalized and officially adopted, we may consider relying on it to transfer personal information from the EEA to the United States.</w:t>
      </w:r>
    </w:p>
    <w:p>
      <w:pPr>
        <w:spacing w:after="0" w:line="87"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Any existing data transfer arrangement that relies on the previous version of the Standard Contractual Clauses needs to be updated by March 21, 2024, which could increase our costs.</w:t>
      </w:r>
    </w:p>
    <w:p>
      <w:pPr>
        <w:spacing w:after="0" w:line="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may, therefore, incur liabilities, expenses, costs, and other operational losses under the GDPR, UK GDPR, the FADP and applicable laws and regulations of European Union Member States in connection with any measures we take to comply with them.</w:t>
      </w:r>
    </w:p>
    <w:p>
      <w:pPr>
        <w:spacing w:after="0" w:line="5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51" w:name="page52"/>
    <w:bookmarkEnd w:id="51"/>
    <w:p>
      <w:pPr>
        <w:ind w:firstLine="509"/>
        <w:spacing w:after="0" w:line="242" w:lineRule="auto"/>
        <w:rPr>
          <w:sz w:val="20"/>
          <w:szCs w:val="20"/>
          <w:color w:val="auto"/>
        </w:rPr>
      </w:pPr>
      <w:r>
        <w:rPr>
          <w:rFonts w:ascii="Times New Roman" w:cs="Times New Roman" w:eastAsia="Times New Roman" w:hAnsi="Times New Roman"/>
          <w:sz w:val="18"/>
          <w:szCs w:val="18"/>
          <w:color w:val="auto"/>
        </w:rPr>
        <w:t>Additionally, a new privacy law, the California Privacy Rights Act, or the CPRA, was approved by California voters in November 2020. The CPRA modifies the CCPA significantly, potentially resulting in further uncertainty and requiring us to incur additional costs and expenses in an effort to comply. Draft regulations to the CPRA are currently under review but we will not have clarity regarding our compliance obligations until the regulations are finalized. Other states are beginning to consider and pass similar laws, such as Virginia, Colorado, Utah, and Connecticut.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0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63"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92"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opposition or derivation proceedings challenging our patent rights or the patent rights of others.</w:t>
      </w:r>
    </w:p>
    <w:p>
      <w:pPr>
        <w:spacing w:after="0" w:line="73"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2" w:name="page53"/>
    <w:bookmarkEnd w:id="52"/>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7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In Europe, no earlier than October 1, 2022,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as well as maintenance of Eurasian patents in Russia. These actions could result in abandonment or lapse of our patents or patent applications, resulting in partial or complete loss of patent rights in Russia. As of November 1, 2022, our portfolio includes two granted patents in Russia, one pending application in Russia, one granted patent in Eurasia, and one pending application in Eurasia.</w:t>
      </w:r>
    </w:p>
    <w:p>
      <w:pPr>
        <w:spacing w:after="0" w:line="8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3" w:name="page54"/>
    <w:bookmarkEnd w:id="53"/>
    <w:p>
      <w:pPr>
        <w:ind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88"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5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8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79"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via post-grant reviews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6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68" w:lineRule="exact"/>
        <w:rPr>
          <w:sz w:val="20"/>
          <w:szCs w:val="20"/>
          <w:color w:val="auto"/>
        </w:rPr>
      </w:pPr>
    </w:p>
    <w:p>
      <w:pPr>
        <w:jc w:val="both"/>
        <w:ind w:right="540" w:firstLine="509"/>
        <w:spacing w:after="0" w:line="250" w:lineRule="auto"/>
        <w:rPr>
          <w:sz w:val="20"/>
          <w:szCs w:val="20"/>
          <w:color w:val="auto"/>
        </w:rPr>
      </w:pPr>
      <w:r>
        <w:rPr>
          <w:rFonts w:ascii="Times New Roman" w:cs="Times New Roman" w:eastAsia="Times New Roman" w:hAnsi="Times New Roman"/>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 candidates could be found invalid or unenforceable if challenged.</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54" w:name="page55"/>
    <w:bookmarkEnd w:id="54"/>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7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protection, prosecution, assertion and defense for some of our product candidates may be dependent on third parties.</w:t>
      </w:r>
    </w:p>
    <w:p>
      <w:pPr>
        <w:spacing w:after="0" w:line="10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7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3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5" w:name="page56"/>
    <w:bookmarkEnd w:id="55"/>
    <w:p>
      <w:pPr>
        <w:ind w:right="140" w:firstLine="509"/>
        <w:spacing w:after="0" w:line="260" w:lineRule="auto"/>
        <w:rPr>
          <w:sz w:val="20"/>
          <w:szCs w:val="20"/>
          <w:color w:val="auto"/>
        </w:rPr>
      </w:pPr>
      <w:r>
        <w:rPr>
          <w:rFonts w:ascii="Times New Roman" w:cs="Times New Roman" w:eastAsia="Times New Roman" w:hAnsi="Times New Roman"/>
          <w:sz w:val="17"/>
          <w:szCs w:val="17"/>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trade secrets, which could be expensive, time-consuming and unsuccessful.</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9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3"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following are examples of litigation and other adversarial proceedings or disputes that we could become a party to involving our patents or patents licensed to us:</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initiate litigation or other proceedings against third parties to enforce our patent and trade secret rights;</w:t>
      </w:r>
    </w:p>
    <w:p>
      <w:pPr>
        <w:spacing w:after="0" w:line="10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54"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seek approval to market biosimilar versions of our future approved products prior to the expiration of relevant patents</w:t>
      </w:r>
    </w:p>
    <w:p>
      <w:pPr>
        <w:spacing w:after="0" w:line="27" w:lineRule="exact"/>
        <w:rPr>
          <w:sz w:val="20"/>
          <w:szCs w:val="20"/>
          <w:color w:val="auto"/>
        </w:rPr>
      </w:pPr>
    </w:p>
    <w:p>
      <w:pPr>
        <w:ind w:left="1020" w:right="160"/>
        <w:spacing w:after="0" w:line="235" w:lineRule="auto"/>
        <w:rPr>
          <w:sz w:val="20"/>
          <w:szCs w:val="20"/>
          <w:color w:val="auto"/>
        </w:rPr>
      </w:pPr>
      <w:r>
        <w:rPr>
          <w:rFonts w:ascii="Times New Roman" w:cs="Times New Roman" w:eastAsia="Times New Roman" w:hAnsi="Times New Roman"/>
          <w:sz w:val="18"/>
          <w:szCs w:val="18"/>
          <w:color w:val="auto"/>
        </w:rPr>
        <w:t>owned by or licensed to us under the Biologics Price Competition and Innovation Act of 2009, requiring us to defend our patents, including by filing lawsuits alleging patent infringement.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6" w:name="page57"/>
    <w:bookmarkEnd w:id="56"/>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94"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83"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our ability to operate without infringing the patents and other proprietary rights of third parties.</w:t>
      </w:r>
    </w:p>
    <w:p>
      <w:pPr>
        <w:spacing w:after="0" w:line="121"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7" w:name="page58"/>
    <w:bookmarkEnd w:id="57"/>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European Patent Office and UHN and The Hospital for Sick Children have appealed the decision. On October 18, 2022, a hearing was held before the Board of Appeal of the European Patent Office (Board of Appeal), at the conclusion of which the Board of Appeal ruled in favor of UHN with respect to the matter on appeal but remanded the case back to Opposition Division of the European Patent Office (Opposition Division) for consideration of a separate issue bearing on the validity of European patent (EP 2 429 574). The patent claims under review, if upheld by the Opposition Division, could potentially limit our ability to pursue evorpacept in certain indications in certain geographies in the future. However, we believe that we do not infringe claims listed in U.S. patent 10,907,209.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76"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8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right="2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0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40" w:lineRule="exact"/>
        <w:rPr>
          <w:rFonts w:ascii="Times New Roman" w:cs="Times New Roman" w:eastAsia="Times New Roman" w:hAnsi="Times New Roman"/>
          <w:sz w:val="18"/>
          <w:szCs w:val="18"/>
          <w:color w:val="auto"/>
        </w:rPr>
      </w:pPr>
    </w:p>
    <w:p>
      <w:pPr>
        <w:ind w:left="1020" w:right="24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61" w:lineRule="exact"/>
        <w:rPr>
          <w:rFonts w:ascii="Times New Roman" w:cs="Times New Roman" w:eastAsia="Times New Roman" w:hAnsi="Times New Roman"/>
          <w:sz w:val="18"/>
          <w:szCs w:val="18"/>
          <w:color w:val="auto"/>
        </w:rPr>
      </w:pPr>
    </w:p>
    <w:p>
      <w:pPr>
        <w:ind w:left="1020" w:right="7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0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54"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8" w:name="page59"/>
    <w:bookmarkEnd w:id="58"/>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3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may be subject, in part, to the terms and conditions of agreements with others.</w:t>
      </w:r>
    </w:p>
    <w:p>
      <w:pPr>
        <w:spacing w:after="0" w:line="108"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6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71"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76"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6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option or license rights granted under the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collaborator that is not subject to the option or license rights granted under the agreement;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agreement and what activities satisfy those diligence obligations;</w:t>
      </w:r>
    </w:p>
    <w:p>
      <w:pPr>
        <w:spacing w:after="0" w:line="103"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collaborators and us and our other partners; and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0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we had 55 employees, including 41 employees engaged in research and development. In order to successfully implement our development and commercialization plans and strategies, and as we continue to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83"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0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evorpacept and any other future product candidates, while complying with any contractual obligations to contractors and other third parties we may have;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evorpacept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82"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9"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a novel technology, which makes it difficult to predict the time and cost of product candidate development.</w:t>
      </w:r>
    </w:p>
    <w:p>
      <w:pPr>
        <w:spacing w:after="0" w:line="121"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8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0"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6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p>
    <w:p>
      <w:pPr>
        <w:spacing w:after="0" w:line="91"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37"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87" w:lineRule="exact"/>
        <w:rPr>
          <w:sz w:val="20"/>
          <w:szCs w:val="20"/>
          <w:color w:val="auto"/>
        </w:rPr>
      </w:pPr>
    </w:p>
    <w:p>
      <w:pPr>
        <w:ind w:left="1020" w:right="280" w:hanging="503"/>
        <w:spacing w:after="0" w:line="250"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products in various countries;</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61" w:name="page62"/>
    <w:bookmarkEnd w:id="61"/>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or qualification of foreign clinical trial data by the competent authorities of other countries;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maintaining, protecting and enforcing our intellectual property, including as a result of potentially relevant third-party patent rights;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0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drugs;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w:t>
      </w:r>
    </w:p>
    <w:p>
      <w:pPr>
        <w:spacing w:after="0" w:line="10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such as the geopolitical tensions and regional economic disruptions caused by Russia’s war with Ukraine, and including wars, terrorism and political unrest, boycotts, curtailment of trade and other business restrictions;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a fire, an earthquake or a flood, or outbreaks or public health crises, such as the ongoing COVID-19 pandemic;</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breach or a related breach of our information systems or data;</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factors could harm our future international expansion and operations and, consequently, our results of operations.</w:t>
      </w:r>
    </w:p>
    <w:p>
      <w:pPr>
        <w:spacing w:after="0" w:line="11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50"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7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6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63" w:lineRule="exact"/>
        <w:rPr>
          <w:sz w:val="20"/>
          <w:szCs w:val="20"/>
          <w:color w:val="auto"/>
        </w:rPr>
      </w:pPr>
    </w:p>
    <w:p>
      <w:pPr>
        <w:ind w:right="140" w:firstLine="509"/>
        <w:spacing w:after="0" w:line="241"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2" w:name="page63"/>
    <w:bookmarkEnd w:id="62"/>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83"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6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82" w:lineRule="exact"/>
        <w:rPr>
          <w:sz w:val="20"/>
          <w:szCs w:val="20"/>
          <w:color w:val="auto"/>
        </w:rPr>
      </w:pPr>
    </w:p>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COVID-19 pandemic could adversely impact our business including our ongoing and planned clinical trials and preclinical research.</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More than two years after the World Health Organization characterized COVID-19 as a pandemic, the COVID-19 pandemic continues to impact worldwide economic activity and financial markets. The extent to which the ongoing COVID-19 pandemic ultimately impacts our business will depend on future developments, which are highly uncertain and cannot be predicted, such as the duration of the outbreak, including current and subsequent variants of COVID-19, new travel restrictions and social distancing measures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may experience disruptions that could severely impact our business, current and planned clinical trials and preclinical research, including:</w:t>
      </w:r>
    </w:p>
    <w:p>
      <w:pPr>
        <w:spacing w:after="0" w:line="97" w:lineRule="exact"/>
        <w:rPr>
          <w:sz w:val="20"/>
          <w:szCs w:val="20"/>
          <w:color w:val="auto"/>
        </w:rPr>
      </w:pPr>
    </w:p>
    <w:p>
      <w:pPr>
        <w:ind w:left="1020" w:right="1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subjects, particularly elderly subjects, who are at a higher risk of severe illness or death from COVID-19, in our ongoing clinical trials of evorpacept and our future clinical trials;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interpreting data from our clinical trials due to the possible effects of COVID-19 on subjects;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40" w:lineRule="exact"/>
        <w:rPr>
          <w:rFonts w:ascii="Times New Roman" w:cs="Times New Roman" w:eastAsia="Times New Roman" w:hAnsi="Times New Roman"/>
          <w:sz w:val="18"/>
          <w:szCs w:val="18"/>
          <w:color w:val="auto"/>
        </w:rPr>
      </w:pPr>
    </w:p>
    <w:p>
      <w:pPr>
        <w:jc w:val="both"/>
        <w:ind w:left="1020" w:right="8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difficulties or delays arising in our existing operations and company culture as a result of our hybrid working model;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regulatory authorities to initiate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the CROs conducting such studies;</w:t>
      </w:r>
    </w:p>
    <w:p>
      <w:pPr>
        <w:spacing w:after="0" w:line="103" w:lineRule="exact"/>
        <w:rPr>
          <w:rFonts w:ascii="Times New Roman" w:cs="Times New Roman" w:eastAsia="Times New Roman" w:hAnsi="Times New Roman"/>
          <w:sz w:val="18"/>
          <w:szCs w:val="18"/>
          <w:color w:val="auto"/>
        </w:rPr>
      </w:pPr>
    </w:p>
    <w:p>
      <w:pPr>
        <w:ind w:left="1020" w:right="560" w:hanging="503"/>
        <w:spacing w:after="0" w:line="253"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or other domestic or foreign regulatory authorities, which may impact review and approval timelines;</w:t>
      </w: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3" w:name="page64"/>
    <w:bookmarkEnd w:id="63"/>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the supplies, materials and services needed to conduct clinical trials and preclinical research;</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as part of a response to the ongoing COVID-19 pandemic which may require us to change the ways in which our clinical trials are conducted, which may result in unexpected costs or require us to discontinue the clinical trial altogether;</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to our development pipeline;</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outside of the United States.</w:t>
      </w:r>
    </w:p>
    <w:p>
      <w:pPr>
        <w:spacing w:after="0" w:line="117" w:lineRule="exact"/>
        <w:rPr>
          <w:sz w:val="20"/>
          <w:szCs w:val="20"/>
          <w:color w:val="auto"/>
        </w:rPr>
      </w:pPr>
    </w:p>
    <w:p>
      <w:pPr>
        <w:ind w:right="80" w:firstLine="515"/>
        <w:spacing w:after="0" w:line="244" w:lineRule="auto"/>
        <w:rPr>
          <w:sz w:val="20"/>
          <w:szCs w:val="20"/>
          <w:color w:val="auto"/>
        </w:rPr>
      </w:pPr>
      <w:r>
        <w:rPr>
          <w:rFonts w:ascii="Times New Roman" w:cs="Times New Roman" w:eastAsia="Times New Roman" w:hAnsi="Times New Roman"/>
          <w:sz w:val="18"/>
          <w:szCs w:val="18"/>
          <w:color w:val="auto"/>
        </w:rPr>
        <w:t>The ongoing COVID-19 pandemic continues to pose a threat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Currently, our employees are following a hybrid work model that enables work in our South San Francisco and Palo Alto offices with flexibility to work from home, as needed. We continue to closely monitor the pandemic and may adjust our current policies as appropriate based on relevant public health guidance and local conditions.</w:t>
      </w:r>
    </w:p>
    <w:p>
      <w:pPr>
        <w:spacing w:after="0" w:line="74" w:lineRule="exact"/>
        <w:rPr>
          <w:sz w:val="20"/>
          <w:szCs w:val="20"/>
          <w:color w:val="auto"/>
        </w:rPr>
      </w:pPr>
    </w:p>
    <w:p>
      <w:pPr>
        <w:ind w:firstLine="515"/>
        <w:spacing w:after="0" w:line="242" w:lineRule="auto"/>
        <w:rPr>
          <w:sz w:val="20"/>
          <w:szCs w:val="20"/>
          <w:color w:val="auto"/>
        </w:rPr>
      </w:pPr>
      <w:r>
        <w:rPr>
          <w:rFonts w:ascii="Times New Roman" w:cs="Times New Roman" w:eastAsia="Times New Roman" w:hAnsi="Times New Roman"/>
          <w:sz w:val="18"/>
          <w:szCs w:val="18"/>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ongoing COVID-19 pandemic. If these third parties experience shutdowns or continued business disruptions, our ability to conduct our business in the manner and on the timelines presently planned could be materially and negatively impacted. For example, as a result of the ongoing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ongoing COVID-19 pandemic.</w:t>
      </w:r>
    </w:p>
    <w:p>
      <w:pPr>
        <w:spacing w:after="0" w:line="8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Further, as a result of the ongoing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cGCPs,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ongoing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75" w:lineRule="exact"/>
        <w:rPr>
          <w:sz w:val="20"/>
          <w:szCs w:val="20"/>
          <w:color w:val="auto"/>
        </w:rPr>
      </w:pPr>
    </w:p>
    <w:p>
      <w:pPr>
        <w:ind w:right="80" w:firstLine="515"/>
        <w:spacing w:after="0" w:line="258" w:lineRule="auto"/>
        <w:rPr>
          <w:sz w:val="20"/>
          <w:szCs w:val="20"/>
          <w:color w:val="auto"/>
        </w:rPr>
      </w:pPr>
      <w:r>
        <w:rPr>
          <w:rFonts w:ascii="Times New Roman" w:cs="Times New Roman" w:eastAsia="Times New Roman" w:hAnsi="Times New Roman"/>
          <w:sz w:val="18"/>
          <w:szCs w:val="18"/>
          <w:color w:val="auto"/>
        </w:rPr>
        <w:t>The ongoing COVID-19 pandemic continues to rapidly evolve. While the extent of the impact of the ongoing COVID-19 pandemic on our business and financial results is uncertain, a continued and prolonged public health crisis such as the ongoing COVID-19 pandemic could have a material negative impact on our business, financial condition and operating results.</w:t>
      </w:r>
    </w:p>
    <w:p>
      <w:pPr>
        <w:spacing w:after="0" w:line="6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To the extent the ongoing COVID-19 pandemic adversely affects our business and financial results, it may also have the effect of heightening many of the other risks described in this “Risk Factors” section.</w:t>
      </w: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4" w:name="page65"/>
    <w:bookmarkEnd w:id="64"/>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8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78" w:lineRule="exact"/>
        <w:rPr>
          <w:sz w:val="20"/>
          <w:szCs w:val="20"/>
          <w:color w:val="auto"/>
        </w:rPr>
      </w:pPr>
    </w:p>
    <w:p>
      <w:pPr>
        <w:ind w:firstLine="515"/>
        <w:spacing w:after="0" w:line="247" w:lineRule="auto"/>
        <w:rPr>
          <w:sz w:val="20"/>
          <w:szCs w:val="20"/>
          <w:color w:val="auto"/>
        </w:rPr>
      </w:pPr>
      <w:r>
        <w:rPr>
          <w:rFonts w:ascii="Times New Roman" w:cs="Times New Roman" w:eastAsia="Times New Roman" w:hAnsi="Times New Roman"/>
          <w:sz w:val="18"/>
          <w:szCs w:val="18"/>
          <w:color w:val="auto"/>
        </w:rPr>
        <w:t>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7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8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and we may not realize the benefits of such acquisitions.</w:t>
      </w:r>
    </w:p>
    <w:p>
      <w:pPr>
        <w:spacing w:after="0" w:line="121"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may acquire businesses or assets or create joint ventures with third parties that we believe may complement our existing product candidates. For example, in October 2021, we acquired ScalmiBio, Inc., or ScalmiBio, with plans to develop new anti-cancer drug candidates based on ScalmiBio’s platform and to enhance our internal research and development capabilities. In order to realize the benefits of the ScalmiBio acquisition, we will need to make a substantial investment of time and resources to support research and development efforts, including hiring additional skilled research personnel. Additionally, we may not be able to realize the benefit of acquiring such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w:t>
      </w:r>
    </w:p>
    <w:p>
      <w:pPr>
        <w:spacing w:after="0" w:line="73"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Also, the anticipated benefit of any joint venture or acquisition may not materialize or such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08"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2021, we had net operating loss carryforwards of approximately $47.1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spacing w:after="0" w:line="7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As of December 31, 2021, we had Irish net operating loss carryforwards of approximately $5.6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eliminates the option to deduct domestic research and development costs in the year incurred and instead requires taxpayers to amortize such costs over five years. The Company is currently evaluating the potential impact. Also, the United States recently enacted the Inflation Reduction Act, which introduced a 15% minimum tax on book income and a 1% excise tax on stock buybacks. In addition, the current Biden Administration has proposed numerous changes to U.S. federal income tax law, including an increase to the U.S. corporate income tax rate and modifications of the provisions addressing taxation of international business operations. Changes in tax laws (including provisions of the recently enacted federal tax legislation titled the Inflation Reduction Act), regulations, or rulings, changes in interpretations of existing laws and regulations, or changes in accounting principles could negatively and materially affect our financial position, cash flows, and results of operations.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be sustained for our common stock.</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6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37"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Company’s securities inclusive of up to $150.0 million of shares of our common stock through at-the-market offerings. If we issue common stock or securities convertible into common stock, our common stockholders will experience additional dilution and our stock price may decline.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08"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w:t>
      </w:r>
    </w:p>
    <w:p>
      <w:pPr>
        <w:spacing w:after="0" w:line="61"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our preclinical studies and clinical trials and studies and trials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product candidates or any future approved products;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or enforcement in the United States and foreign countries with respect to our product candidates or our competitors’ products;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and development relative to our competitors;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 candidates or technological innovations by us or our competitors;</w:t>
      </w:r>
    </w:p>
    <w:p>
      <w:pPr>
        <w:spacing w:after="0" w:line="10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future strategic partners or our competitors of significant acquisitions, strategic partnerships, joint ventures or capital commitments;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or recommendations by securities analysts, if any cover our common stock;</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over our product candidates or any future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our insiders or our other stockholders;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 in the United States or overseas;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 candidates, if approved, to achieve commercial success;</w:t>
      </w:r>
    </w:p>
    <w:p>
      <w:pPr>
        <w:spacing w:after="0" w:line="10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such as inflation, economic downturns, disasters, and medical or public health crises, including the impact of the ongoing COVID-19 pandemic and the ongoing geopolitical unrest related to Russia’s war with Ukraine;</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condition and results of operations, including the timing of payment or receipt of any future</w:t>
      </w:r>
    </w:p>
    <w:p>
      <w:pPr>
        <w:spacing w:after="0" w:line="27" w:lineRule="exact"/>
        <w:rPr>
          <w:sz w:val="20"/>
          <w:szCs w:val="20"/>
          <w:color w:val="auto"/>
        </w:rPr>
      </w:pPr>
    </w:p>
    <w:p>
      <w:pPr>
        <w:ind w:left="5540" w:right="4500" w:hanging="4507"/>
        <w:spacing w:after="0" w:line="245" w:lineRule="auto"/>
        <w:rPr>
          <w:sz w:val="20"/>
          <w:szCs w:val="20"/>
          <w:color w:val="auto"/>
        </w:rPr>
      </w:pPr>
      <w:r>
        <w:rPr>
          <w:rFonts w:ascii="Times New Roman" w:cs="Times New Roman" w:eastAsia="Times New Roman" w:hAnsi="Times New Roman"/>
          <w:sz w:val="18"/>
          <w:szCs w:val="18"/>
          <w:color w:val="auto"/>
        </w:rPr>
        <w:t>milestone or other payments under commercialization or licensing agreements;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67" w:name="page68"/>
    <w:bookmarkEnd w:id="67"/>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U.S. equity markets, general market conditions and market conditions for biotechnology stocks;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be unanticipated or out of our control.</w:t>
      </w:r>
    </w:p>
    <w:p>
      <w:pPr>
        <w:spacing w:after="0" w:line="104"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In addition, the stock market has recently experienced significant volatility, particularly with respect to biotechnology and other life sciences company stocks as a result of the ongoing COVID-19 pandemic.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6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50"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69"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6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40" w:lineRule="exact"/>
        <w:rPr>
          <w:sz w:val="20"/>
          <w:szCs w:val="20"/>
          <w:color w:val="auto"/>
        </w:rPr>
      </w:pPr>
    </w:p>
    <w:p>
      <w:pPr>
        <w:ind w:left="1020" w:right="380" w:hanging="503"/>
        <w:spacing w:after="0" w:line="25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subjects in clinical trials and the timing of enrollment;</w:t>
      </w:r>
    </w:p>
    <w:p>
      <w:pPr>
        <w:spacing w:after="0" w:line="103" w:lineRule="exact"/>
        <w:rPr>
          <w:rFonts w:ascii="Times New Roman" w:cs="Times New Roman" w:eastAsia="Times New Roman" w:hAnsi="Times New Roman"/>
          <w:sz w:val="18"/>
          <w:szCs w:val="18"/>
          <w:color w:val="auto"/>
        </w:rPr>
      </w:pPr>
    </w:p>
    <w:p>
      <w:pPr>
        <w:ind w:left="1020" w:right="140" w:hanging="503"/>
        <w:spacing w:after="0" w:line="258"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evorpacept, and any of our other product candidates, or competing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0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evorpacept and any of our other product candidates, and changes in the competitive landscape of our industry, including consolidation among our competitors or partners;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evorpacept or any of our other product candidates;</w:t>
      </w:r>
    </w:p>
    <w:p>
      <w:pPr>
        <w:spacing w:after="0" w:line="10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evorpacept and any of our other product candidates, if approved, which may fluctuate significantly and be difficult to predict;</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evorpacept and any of our other product candidates;</w:t>
      </w:r>
    </w:p>
    <w:p>
      <w:pPr>
        <w:spacing w:after="0" w:line="54"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evorpacept and any of our other product candidates, if approved, inside and outside of the United States, either independently or working with third parties;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8" w:name="page69"/>
    <w:bookmarkEnd w:id="68"/>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and political environment.</w:t>
      </w:r>
    </w:p>
    <w:p>
      <w:pPr>
        <w:spacing w:after="0" w:line="10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08"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As of September 30, 2022, we had 40,748,290 shares of our common stock outstanding. If our stockholders sell, or the market perceives that our stockholders intend to sell, a substantial amount of our common stock in the public market, the market price of our common stock could decline significantly.</w:t>
      </w:r>
    </w:p>
    <w:p>
      <w:pPr>
        <w:spacing w:after="0" w:line="6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61" w:lineRule="exact"/>
        <w:rPr>
          <w:sz w:val="20"/>
          <w:szCs w:val="20"/>
          <w:color w:val="auto"/>
        </w:rPr>
      </w:pPr>
    </w:p>
    <w:p>
      <w:pPr>
        <w:jc w:val="both"/>
        <w:ind w:right="60" w:firstLine="509"/>
        <w:spacing w:after="0" w:line="247" w:lineRule="auto"/>
        <w:rPr>
          <w:sz w:val="20"/>
          <w:szCs w:val="20"/>
          <w:color w:val="auto"/>
        </w:rPr>
      </w:pPr>
      <w:r>
        <w:rPr>
          <w:rFonts w:ascii="Times New Roman" w:cs="Times New Roman" w:eastAsia="Times New Roman" w:hAnsi="Times New Roman"/>
          <w:sz w:val="18"/>
          <w:szCs w:val="18"/>
          <w:color w:val="auto"/>
        </w:rPr>
        <w:t>In addition, any sales of shares of common stock or other securities under our Shelf Registration Statement, including pursuant to our at-the-market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w:t>
      </w:r>
    </w:p>
    <w:p>
      <w:pPr>
        <w:spacing w:after="0" w:line="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3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and management resources as a result of operating as a public company.</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compliance and other expenses as a public company and these expenses may increase even more given that we were no longer an “emerging growth company” as of December 31, 2021.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72"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addition, during the first quarter of 2021, we implemented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9" w:name="page70"/>
    <w:bookmarkEnd w:id="69"/>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90"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Effective as of December 31, 2021, we became a large accelerated filer and were no longer an emerging growth company. We are not able to take advantage of the reduced disclosure requirements applicable to emerging growth companies.</w:t>
      </w:r>
    </w:p>
    <w:p>
      <w:pPr>
        <w:spacing w:after="0" w:line="5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a result of our public float (the market value of our common shares held by non-affiliates) as of June 30, 2021, we became a large accelerated filer as of December 31, 2021 and therefore no longer qualified as an “emerging growth company,” as defined in the JOBS Act.</w:t>
      </w:r>
    </w:p>
    <w:p>
      <w:pPr>
        <w:spacing w:after="0" w:line="40"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As a large accelerated filer, we are subject to certain disclosure and compliance requirements that apply to other public companies but did not previously apply to us due to our status as an emerging growth company. These requirements include, but are not limited to:</w:t>
      </w:r>
    </w:p>
    <w:p>
      <w:pPr>
        <w:spacing w:after="0" w:line="68" w:lineRule="exact"/>
        <w:rPr>
          <w:sz w:val="20"/>
          <w:szCs w:val="20"/>
          <w:color w:val="auto"/>
        </w:rPr>
      </w:pPr>
    </w:p>
    <w:p>
      <w:pPr>
        <w:ind w:left="900" w:hanging="383"/>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independent registered public accounting firm attest to the effectiveness of our internal control over financial reporting under Section 404(b) of SOX;</w:t>
      </w:r>
    </w:p>
    <w:p>
      <w:pPr>
        <w:spacing w:after="0" w:line="54"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requirement that may be adopted by the Public Company Accounting Oversight Board regarding mandatory audit firm rotation;</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provide full and more detailed disclosures regarding executive compensation; and</w:t>
      </w:r>
    </w:p>
    <w:p>
      <w:pPr>
        <w:spacing w:after="0" w:line="10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hold a non-binding advisory vote on executive compensation and obtain stockholder approval of any golden parachute payments not previously approved.</w:t>
      </w:r>
    </w:p>
    <w:p>
      <w:pPr>
        <w:spacing w:after="0" w:line="4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We expect that compliance with the additional requirements of being a large accelerated filer will increase our legal and financial compliance costs and cause management and other personnel to divert attention from operational and other business matters to devote substantial time to public company reporting requirements.</w:t>
      </w:r>
    </w:p>
    <w:p>
      <w:pPr>
        <w:spacing w:after="0" w:line="78"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While we are currently a large accelerated filer, we will become a “non-accelerated filer” in fiscal year 2023 and this status could make our common stock less attractive to investors.</w:t>
      </w:r>
    </w:p>
    <w:p>
      <w:pPr>
        <w:spacing w:after="0" w:line="50" w:lineRule="exact"/>
        <w:rPr>
          <w:sz w:val="20"/>
          <w:szCs w:val="20"/>
          <w:color w:val="auto"/>
        </w:rPr>
      </w:pPr>
    </w:p>
    <w:p>
      <w:pPr>
        <w:jc w:val="both"/>
        <w:ind w:right="20" w:firstLine="509"/>
        <w:spacing w:after="0" w:line="246" w:lineRule="auto"/>
        <w:rPr>
          <w:sz w:val="20"/>
          <w:szCs w:val="20"/>
          <w:color w:val="auto"/>
        </w:rPr>
      </w:pPr>
      <w:r>
        <w:rPr>
          <w:rFonts w:ascii="Times New Roman" w:cs="Times New Roman" w:eastAsia="Times New Roman" w:hAnsi="Times New Roman"/>
          <w:sz w:val="18"/>
          <w:szCs w:val="18"/>
          <w:color w:val="auto"/>
        </w:rPr>
        <w:t>Each year, we re-evaluate our SEC filing status. Accordingly, due to our public float as of June 30, 2022, we will become a non-accelerated filer in fiscal year 2023. For as long as we continue to be a non-accelerated filer, we may choose to take advantage of not being required to have our independent registered public accounting firm audit our internal control over financial reporting under Section 404(b) of SOX.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spacing w:after="0" w:line="6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our executive officers, directors, holders of 5% or more of our capital stock and their respective affiliates beneficially owned approximately 75.4% of our outstanding voting stock.</w:t>
      </w:r>
    </w:p>
    <w:p>
      <w:pPr>
        <w:spacing w:after="0" w:line="54"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substantial rights.</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at-the-market facility included therein.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73"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63"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69"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staggered three-year terms;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103" w:lineRule="exact"/>
        <w:rPr>
          <w:rFonts w:ascii="Times New Roman" w:cs="Times New Roman" w:eastAsia="Times New Roman" w:hAnsi="Times New Roman"/>
          <w:sz w:val="18"/>
          <w:szCs w:val="18"/>
          <w:color w:val="auto"/>
        </w:rPr>
      </w:pPr>
    </w:p>
    <w:p>
      <w:pPr>
        <w:ind w:left="1020" w:right="60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exclusive right to elect a director to fill a vacancy or newly created directorship;</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 and</w:t>
      </w:r>
    </w:p>
    <w:p>
      <w:pPr>
        <w:spacing w:after="0" w:line="10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at least 66 2/3% or more of the outstanding shares of common stock to amend many of the provisions described above.</w:t>
      </w:r>
    </w:p>
    <w:p>
      <w:pPr>
        <w:spacing w:after="0" w:line="4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71" w:name="page72"/>
    <w:bookmarkEnd w:id="71"/>
    <w:p>
      <w:pPr>
        <w:ind w:firstLine="509"/>
        <w:spacing w:after="0" w:line="258"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5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60"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8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w:t>
      </w:r>
    </w:p>
    <w:p>
      <w:pPr>
        <w:spacing w:after="0" w:line="10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104"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4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68"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88"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8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In the past, we and our independent registered public accounting firm identified two material weaknesses in our internal control over financial reporting, all of which have since been remediated.</w:t>
      </w:r>
    </w:p>
    <w:p>
      <w:pPr>
        <w:spacing w:after="0" w:line="54"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2" w:name="page73"/>
    <w:bookmarkEnd w:id="72"/>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37" w:lineRule="exact"/>
        <w:rPr>
          <w:sz w:val="20"/>
          <w:szCs w:val="20"/>
          <w:color w:val="auto"/>
        </w:rPr>
      </w:pPr>
    </w:p>
    <w:p>
      <w:pPr>
        <w:ind w:right="240" w:firstLine="509"/>
        <w:spacing w:after="0" w:line="242"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9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Any failure to maintain effective internal control over financial reporting could have a material adverse effect on our business, financial condition and results of operations and the trading price of our common stock.</w:t>
      </w:r>
    </w:p>
    <w:p>
      <w:pPr>
        <w:spacing w:after="0" w:line="5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as the market value of our common stock held by non-affiliates exceeded $700.0 million as of June 30, 2021. As such, pursuant to Section 404(b) of SOX, our independent registered public accounting firm attested to the effectiveness of our internal control over financial reporting as of December 31, 2021. However, we will become a “non-accelerated filer” in fiscal year 2023. While we remain a non-accelerated filer, we will not be required to include an attestation report issued by our independent registered public accounting firm on the effectiveness of our internal control over financial reporting.</w:t>
      </w:r>
    </w:p>
    <w:p>
      <w:pPr>
        <w:spacing w:after="0" w:line="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37"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0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63"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7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240" w:firstLine="509"/>
        <w:spacing w:after="0" w:line="245" w:lineRule="auto"/>
        <w:rPr>
          <w:sz w:val="20"/>
          <w:szCs w:val="20"/>
          <w:color w:val="auto"/>
        </w:rPr>
      </w:pPr>
      <w:r>
        <w:rPr>
          <w:rFonts w:ascii="Times New Roman" w:cs="Times New Roman" w:eastAsia="Times New Roman" w:hAnsi="Times New Roman"/>
          <w:sz w:val="18"/>
          <w:szCs w:val="18"/>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ongoing COVID-19 pandemic, and other natural or man-made disasters such as the ongoing geopolitical unrest related to Russia’s war with Ukraine,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73"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disruptions and delays or incur financial damages as a result of system failures or security breaches or incidents.</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many of our employees and employees of our third-party service providers continue to work remotely for some portion of time in response to the ongoing COVID-19 pandemic, because we and our service providers have less capability to implement, monitor and enforce our information security and data protection policies for those employees. Also, due to political uncertainty and military actions associated with Russia’s war with Ukraine, we and our CROs and other third-party service providers are vulnerable to heightened risks of cybersecurity incidents and security and privacy breaches from or affiliated with nation-state actors, including attacks that could materially disrupt our drug discovery and development programs or other aspects of our operations.</w:t>
      </w:r>
    </w:p>
    <w:p>
      <w:pPr>
        <w:spacing w:after="0" w:line="9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A system failure or security breach or incident that causes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p>
    <w:p>
      <w:pPr>
        <w:spacing w:after="0" w:line="92"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3"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in the past year and may be volatile in the future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6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4"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2"/>
        </w:trPr>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20" w:type="dxa"/>
            <w:vAlign w:val="bottom"/>
            <w:gridSpan w:val="14"/>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2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14"/>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Loan and Security Agreement, dated as of October</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001-39386</w:t>
            </w:r>
          </w:p>
        </w:tc>
        <w:tc>
          <w:tcPr>
            <w:tcW w:w="9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31, 2022</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27, 2022, among Oxford Finance LLC, as</w:t>
              </w:r>
            </w:hyperlink>
          </w:p>
        </w:tc>
        <w:tc>
          <w:tcPr>
            <w:tcW w:w="620" w:type="dxa"/>
            <w:vAlign w:val="bottom"/>
            <w:tcBorders>
              <w:top w:val="single" w:sz="8" w:color="0000FF"/>
            </w:tcBorders>
            <w:gridSpan w:val="8"/>
          </w:tcPr>
          <w:p>
            <w:pPr>
              <w:spacing w:after="0"/>
              <w:rPr>
                <w:sz w:val="14"/>
                <w:szCs w:val="14"/>
                <w:color w:val="auto"/>
              </w:rPr>
            </w:pPr>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15"/>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collateral agent, the lenders from time to time</w:t>
              </w:r>
            </w:hyperlink>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party thereto, ALX Oncology Inc., Alexo</w:t>
              </w:r>
            </w:hyperlink>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Therapeutics International, and Sirpant</w:t>
              </w:r>
            </w:hyperlink>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Therapeutics, each as a borrower, and</w:t>
              </w:r>
            </w:hyperlink>
          </w:p>
        </w:tc>
        <w:tc>
          <w:tcPr>
            <w:tcW w:w="980" w:type="dxa"/>
            <w:vAlign w:val="bottom"/>
            <w:gridSpan w:val="12"/>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ALX</w:t>
              </w:r>
            </w:hyperlink>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Oncology Holdings Inc., as guarantor</w:t>
              </w:r>
            </w:hyperlink>
          </w:p>
        </w:tc>
        <w:tc>
          <w:tcPr>
            <w:tcW w:w="3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EE"/>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Pursuant to Rules 13a-14(a) and 15d-14(a)</w:t>
            </w:r>
          </w:p>
        </w:tc>
        <w:tc>
          <w:tcPr>
            <w:tcW w:w="660" w:type="dxa"/>
            <w:vAlign w:val="bottom"/>
            <w:gridSpan w:val="8"/>
          </w:tcPr>
          <w:p>
            <w:pPr>
              <w:jc w:val="right"/>
              <w:ind w:right="300"/>
              <w:spacing w:after="0" w:line="169" w:lineRule="exact"/>
              <w:rPr>
                <w:sz w:val="20"/>
                <w:szCs w:val="20"/>
                <w:color w:val="auto"/>
              </w:rPr>
            </w:pPr>
            <w:r>
              <w:rPr>
                <w:rFonts w:ascii="Times New Roman" w:cs="Times New Roman" w:eastAsia="Times New Roman" w:hAnsi="Times New Roman"/>
                <w:sz w:val="18"/>
                <w:szCs w:val="18"/>
                <w:color w:val="0000EE"/>
                <w:w w:val="82"/>
              </w:rPr>
              <w:t>under</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tcBorders>
              <w:top w:val="single" w:sz="8" w:color="0000EE"/>
              <w:bottom w:val="single" w:sz="8" w:color="0000EE"/>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EE"/>
              </w:rPr>
              <w:t>the Securities Exchange Act of 1934, as Adopted</w:t>
            </w:r>
          </w:p>
        </w:tc>
        <w:tc>
          <w:tcPr>
            <w:tcW w:w="20" w:type="dxa"/>
            <w:vAlign w:val="bottom"/>
            <w:tcBorders>
              <w:bottom w:val="single" w:sz="8" w:color="0000EE"/>
            </w:tcBorders>
          </w:tcPr>
          <w:p>
            <w:pPr>
              <w:spacing w:after="0"/>
              <w:rPr>
                <w:sz w:val="14"/>
                <w:szCs w:val="14"/>
                <w:color w:val="auto"/>
              </w:rPr>
            </w:pPr>
          </w:p>
        </w:tc>
        <w:tc>
          <w:tcPr>
            <w:tcW w:w="24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EE"/>
              </w:rPr>
              <w:t>Pursuant to Section 302 of the Sarbanes-Oxley Act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0000EE"/>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6"/>
              </w:rPr>
              <w:t>of 2002.</w:t>
            </w:r>
          </w:p>
        </w:tc>
        <w:tc>
          <w:tcPr>
            <w:tcW w:w="3080" w:type="dxa"/>
            <w:vAlign w:val="bottom"/>
            <w:tcBorders>
              <w:top w:val="single" w:sz="8" w:color="0000EE"/>
            </w:tcBorders>
            <w:gridSpan w:val="12"/>
          </w:tcPr>
          <w:p>
            <w:pPr>
              <w:spacing w:after="0"/>
              <w:rPr>
                <w:sz w:val="14"/>
                <w:szCs w:val="14"/>
                <w:color w:val="auto"/>
              </w:rPr>
            </w:pPr>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Borders>
              <w:top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EE"/>
              </w:rPr>
              <w:t>Pursuant to Rules 13a-14(a) and 15d-14(a)</w:t>
            </w:r>
          </w:p>
        </w:tc>
        <w:tc>
          <w:tcPr>
            <w:tcW w:w="700" w:type="dxa"/>
            <w:vAlign w:val="bottom"/>
            <w:gridSpan w:val="9"/>
          </w:tcPr>
          <w:p>
            <w:pPr>
              <w:jc w:val="right"/>
              <w:ind w:right="300"/>
              <w:spacing w:after="0" w:line="169" w:lineRule="exact"/>
              <w:rPr>
                <w:sz w:val="20"/>
                <w:szCs w:val="20"/>
                <w:color w:val="auto"/>
              </w:rPr>
            </w:pPr>
            <w:r>
              <w:rPr>
                <w:rFonts w:ascii="Times New Roman" w:cs="Times New Roman" w:eastAsia="Times New Roman" w:hAnsi="Times New Roman"/>
                <w:sz w:val="18"/>
                <w:szCs w:val="18"/>
                <w:color w:val="0000EE"/>
                <w:w w:val="92"/>
              </w:rPr>
              <w:t>under</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tcBorders>
              <w:top w:val="single" w:sz="8" w:color="0000EE"/>
              <w:bottom w:val="single" w:sz="8" w:color="0000EE"/>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EE"/>
              </w:rPr>
              <w:t>the Securities Exchange Act of 1934, as Adopted</w:t>
            </w:r>
          </w:p>
        </w:tc>
        <w:tc>
          <w:tcPr>
            <w:tcW w:w="20" w:type="dxa"/>
            <w:vAlign w:val="bottom"/>
            <w:tcBorders>
              <w:bottom w:val="single" w:sz="8" w:color="0000EE"/>
            </w:tcBorders>
          </w:tcPr>
          <w:p>
            <w:pPr>
              <w:spacing w:after="0"/>
              <w:rPr>
                <w:sz w:val="14"/>
                <w:szCs w:val="14"/>
                <w:color w:val="auto"/>
              </w:rPr>
            </w:pPr>
          </w:p>
        </w:tc>
        <w:tc>
          <w:tcPr>
            <w:tcW w:w="24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EE"/>
              </w:rPr>
              <w:t>Pursuant to Section 302 of the Sarbanes-Oxley Act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0000EE"/>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6"/>
              </w:rPr>
              <w:t>of 2002.</w:t>
            </w:r>
          </w:p>
        </w:tc>
        <w:tc>
          <w:tcPr>
            <w:tcW w:w="3080" w:type="dxa"/>
            <w:vAlign w:val="bottom"/>
            <w:tcBorders>
              <w:top w:val="single" w:sz="8" w:color="0000EE"/>
            </w:tcBorders>
            <w:gridSpan w:val="12"/>
          </w:tcPr>
          <w:p>
            <w:pPr>
              <w:spacing w:after="0"/>
              <w:rPr>
                <w:sz w:val="14"/>
                <w:szCs w:val="14"/>
                <w:color w:val="auto"/>
              </w:rPr>
            </w:pPr>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660" w:type="dxa"/>
            <w:vAlign w:val="bottom"/>
            <w:gridSpan w:val="8"/>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Borders>
              <w:bottom w:val="single" w:sz="8" w:color="0000EE"/>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Pursuant to 18 U.S.C. Section 1350, as Adopted</w:t>
            </w:r>
          </w:p>
        </w:tc>
        <w:tc>
          <w:tcPr>
            <w:tcW w:w="320" w:type="dxa"/>
            <w:vAlign w:val="bottom"/>
            <w:gridSpan w:val="5"/>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EE"/>
              </w:rPr>
              <w:t>Pursuant to Section 906 of the Sarbanes-Oxley Act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0000EE"/>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6"/>
              </w:rPr>
              <w:t>of 2002.</w:t>
            </w:r>
          </w:p>
        </w:tc>
        <w:tc>
          <w:tcPr>
            <w:tcW w:w="3080" w:type="dxa"/>
            <w:vAlign w:val="bottom"/>
            <w:tcBorders>
              <w:top w:val="single" w:sz="8" w:color="0000EE"/>
            </w:tcBorders>
            <w:gridSpan w:val="12"/>
          </w:tcPr>
          <w:p>
            <w:pPr>
              <w:spacing w:after="0"/>
              <w:rPr>
                <w:sz w:val="14"/>
                <w:szCs w:val="14"/>
                <w:color w:val="auto"/>
              </w:rPr>
            </w:pPr>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70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Borders>
              <w:bottom w:val="single" w:sz="8" w:color="0000EE"/>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Pursuant to 18 U.S.C. Section 1350, as Adopted</w:t>
            </w:r>
          </w:p>
        </w:tc>
        <w:tc>
          <w:tcPr>
            <w:tcW w:w="320" w:type="dxa"/>
            <w:vAlign w:val="bottom"/>
            <w:gridSpan w:val="5"/>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EE"/>
              </w:rPr>
              <w:t>Pursuant to Section 906 of the Sarbanes-Oxley Act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0000EE"/>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6"/>
              </w:rPr>
              <w:t>of 2002.</w:t>
            </w:r>
          </w:p>
        </w:tc>
        <w:tc>
          <w:tcPr>
            <w:tcW w:w="3080" w:type="dxa"/>
            <w:vAlign w:val="bottom"/>
            <w:tcBorders>
              <w:top w:val="single" w:sz="8" w:color="0000EE"/>
            </w:tcBorders>
            <w:gridSpan w:val="12"/>
          </w:tcPr>
          <w:p>
            <w:pPr>
              <w:spacing w:after="0"/>
              <w:rPr>
                <w:sz w:val="14"/>
                <w:szCs w:val="14"/>
                <w:color w:val="auto"/>
              </w:rPr>
            </w:pPr>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and included in exhibit 101)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500" w:firstLine="8"/>
        <w:spacing w:after="0" w:line="228" w:lineRule="auto"/>
        <w:tabs>
          <w:tab w:leader="none" w:pos="15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Certain confidential information contained in this document, marked by [***], has been omitted pursuant to Item 601(b)(10)(iv) of Regulation S-K because it is both (i) not material and (ii) the type of information that the registrant treats as private or confidential.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7" w:name="page78"/>
    <w:bookmarkEnd w:id="77"/>
    <w:p>
      <w:pPr>
        <w:jc w:val="both"/>
        <w:ind w:left="-8" w:firstLine="8"/>
        <w:spacing w:after="0" w:line="247" w:lineRule="auto"/>
        <w:tabs>
          <w:tab w:leader="none" w:pos="1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432" w:right="519" w:bottom="1440" w:gutter="0" w:footer="0" w:header="0"/>
        </w:sectPr>
      </w:pPr>
    </w:p>
    <w:bookmarkStart w:id="78" w:name="page79"/>
    <w:bookmarkEnd w:id="78"/>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198" w:lineRule="exact"/>
        <w:rPr>
          <w:sz w:val="20"/>
          <w:szCs w:val="20"/>
          <w:color w:val="auto"/>
        </w:rPr>
      </w:pPr>
    </w:p>
    <w:p>
      <w:pPr>
        <w:ind w:left="20"/>
        <w:spacing w:after="0"/>
        <w:tabs>
          <w:tab w:leader="none" w:pos="6760" w:val="left"/>
          <w:tab w:leader="none" w:pos="86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Jaume Pons, Ph.D.</w:t>
      </w:r>
    </w:p>
    <w:p>
      <w:pPr>
        <w:ind w:left="7760"/>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ind w:left="81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6760" w:val="left"/>
          <w:tab w:leader="none" w:pos="864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Peter Garcia</w:t>
      </w:r>
    </w:p>
    <w:p>
      <w:pPr>
        <w:ind w:left="834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ind w:left="81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381" w:lineRule="exact"/>
        <w:rPr>
          <w:sz w:val="20"/>
          <w:szCs w:val="20"/>
          <w:color w:val="auto"/>
        </w:rPr>
      </w:pPr>
    </w:p>
    <w:p>
      <w:pPr>
        <w:ind w:left="20"/>
        <w:spacing w:after="0"/>
        <w:tabs>
          <w:tab w:leader="none" w:pos="6760" w:val="left"/>
          <w:tab w:leader="none" w:pos="86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Shelly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Shelly Pinto</w:t>
      </w:r>
    </w:p>
    <w:p>
      <w:pPr>
        <w:jc w:val="right"/>
        <w:spacing w:after="0" w:line="219" w:lineRule="auto"/>
        <w:rPr>
          <w:sz w:val="20"/>
          <w:szCs w:val="20"/>
          <w:color w:val="auto"/>
        </w:rPr>
      </w:pPr>
      <w:r>
        <w:rPr>
          <w:rFonts w:ascii="Times New Roman" w:cs="Times New Roman" w:eastAsia="Times New Roman" w:hAnsi="Times New Roman"/>
          <w:sz w:val="18"/>
          <w:szCs w:val="18"/>
          <w:b w:val="1"/>
          <w:bCs w:val="1"/>
          <w:color w:val="auto"/>
        </w:rPr>
        <w:t>Vice President, Finance and Chief Accounting</w:t>
      </w:r>
    </w:p>
    <w:p>
      <w:pPr>
        <w:jc w:val="center"/>
        <w:ind w:left="7180"/>
        <w:spacing w:after="0" w:line="219" w:lineRule="auto"/>
        <w:rPr>
          <w:sz w:val="20"/>
          <w:szCs w:val="20"/>
          <w:color w:val="auto"/>
        </w:rPr>
      </w:pPr>
      <w:r>
        <w:rPr>
          <w:rFonts w:ascii="Times New Roman" w:cs="Times New Roman" w:eastAsia="Times New Roman" w:hAnsi="Times New Roman"/>
          <w:sz w:val="18"/>
          <w:szCs w:val="18"/>
          <w:b w:val="1"/>
          <w:bCs w:val="1"/>
          <w:color w:val="auto"/>
        </w:rPr>
        <w:t>Officer</w:t>
      </w: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20" w:right="6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Jaume Pons, Ph.D., certify that:</w:t>
      </w:r>
    </w:p>
    <w:p>
      <w:pPr>
        <w:spacing w:after="0" w:line="117"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ALX Oncology Holdings Inc.;</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1"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20" w:val="left"/>
          <w:tab w:leader="none" w:pos="81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Jaume Pons, Ph.D.</w:t>
      </w:r>
    </w:p>
    <w:p>
      <w:pPr>
        <w:ind w:left="6820"/>
        <w:spacing w:after="0" w:line="219" w:lineRule="auto"/>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Garcia, certify that:</w:t>
      </w:r>
    </w:p>
    <w:p>
      <w:pPr>
        <w:spacing w:after="0" w:line="117"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ALX Oncology Holdings Inc.;</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1"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20" w:val="left"/>
          <w:tab w:leader="none" w:pos="80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Peter Garcia</w:t>
      </w:r>
    </w:p>
    <w:p>
      <w:pPr>
        <w:ind w:left="776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ind w:left="75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ALX Oncology Holdings Inc. (the “Company”), on Form 10-Q for the period ended September 30, 2022, as filed with the Securities and Exchange Commission on the date hereof (the “Report”), I certify, pursuant to 18 U.S.C. §1350, as adopted pursuant to section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5" w:lineRule="exact"/>
        <w:rPr>
          <w:sz w:val="20"/>
          <w:szCs w:val="20"/>
          <w:color w:val="auto"/>
        </w:rPr>
      </w:pPr>
    </w:p>
    <w:p>
      <w:pPr>
        <w:ind w:left="20"/>
        <w:spacing w:after="0"/>
        <w:tabs>
          <w:tab w:leader="none" w:pos="5540" w:val="left"/>
          <w:tab w:leader="none" w:pos="812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Jaume Pons, Ph.D.</w:t>
      </w:r>
    </w:p>
    <w:p>
      <w:pPr>
        <w:ind w:left="6840"/>
        <w:spacing w:after="0" w:line="219" w:lineRule="auto"/>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ind w:left="75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ALX Oncology Holdings Inc. (the “Company”), on Form 10-Q for the period ended September 30, 2022, as filed with the Securities and Exchange Commission on the date hereof (the “Report”), I certify, pursuant to 18 U.S.C. §1350, as adopted pursuant to section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5" w:lineRule="exact"/>
        <w:rPr>
          <w:sz w:val="20"/>
          <w:szCs w:val="20"/>
          <w:color w:val="auto"/>
        </w:rPr>
      </w:pPr>
    </w:p>
    <w:p>
      <w:pPr>
        <w:ind w:left="20"/>
        <w:spacing w:after="0"/>
        <w:tabs>
          <w:tab w:leader="none" w:pos="5300" w:val="left"/>
          <w:tab w:leader="none" w:pos="792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Peter Garcia</w:t>
      </w:r>
    </w:p>
    <w:p>
      <w:pPr>
        <w:ind w:left="760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ind w:left="74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4"/>
    </w:lvl>
  </w:abstractNum>
  <w:abstractNum w:abstractNumId="5">
    <w:nsid w:val="836C40E"/>
    <w:multiLevelType w:val="hybridMultilevel"/>
    <w:lvl w:ilvl="0">
      <w:lvlJc w:val="left"/>
      <w:lvlText w:val="(%1)"/>
      <w:numFmt w:val="lowerRoman"/>
      <w:start w:val="1"/>
    </w:lvl>
  </w:abstractNum>
  <w:abstractNum w:abstractNumId="6">
    <w:nsid w:val="2901D82"/>
    <w:multiLevelType w:val="hybridMultilevel"/>
    <w:lvl w:ilvl="0">
      <w:lvlJc w:val="left"/>
      <w:lvlText w:val="(%1)"/>
      <w:numFmt w:val="lowerRoman"/>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lowerRoman"/>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37" Type="http://schemas.openxmlformats.org/officeDocument/2006/relationships/hyperlink" Target="https://www.sec.gov/Archives/edgar/data/1810182/000095017022020521/alx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2022-11-08T16:19:49Z</dcterms:created>
  <dcterms:modified xsi:type="dcterms:W3CDTF">2022-11-08T16:19:49Z</dcterms:modified>
</cp:coreProperties>
</file>