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1256665</wp:posOffset>
            </wp:positionH>
            <wp:positionV relativeFrom="paragraph">
              <wp:posOffset>17145</wp:posOffset>
            </wp:positionV>
            <wp:extent cx="4629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328"/>
        <w:spacing w:after="0"/>
        <w:tabs>
          <w:tab w:leader="none" w:pos="66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00166B105</w:t>
      </w:r>
    </w:p>
    <w:p>
      <w:pPr>
        <w:spacing w:after="0" w:line="243" w:lineRule="exact"/>
        <w:rPr>
          <w:sz w:val="20"/>
          <w:szCs w:val="20"/>
          <w:color w:val="auto"/>
        </w:rPr>
      </w:pPr>
    </w:p>
    <w:p>
      <w:pPr>
        <w:ind w:left="680" w:hanging="561"/>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4928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928870"/>
                    </a:xfrm>
                    <a:prstGeom prst="rect">
                      <a:avLst/>
                    </a:prstGeom>
                    <a:noFill/>
                  </pic:spPr>
                </pic:pic>
              </a:graphicData>
            </a:graphic>
          </wp:anchor>
        </w:drawing>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Redmile Group, LLC</w:t>
      </w:r>
    </w:p>
    <w:p>
      <w:pPr>
        <w:spacing w:after="0" w:line="23" w:lineRule="exact"/>
        <w:rPr>
          <w:sz w:val="20"/>
          <w:szCs w:val="20"/>
          <w:color w:val="auto"/>
        </w:rPr>
      </w:pPr>
    </w:p>
    <w:p>
      <w:pPr>
        <w:ind w:left="680" w:hanging="561"/>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8" w:lineRule="exact"/>
        <w:rPr>
          <w:sz w:val="20"/>
          <w:szCs w:val="20"/>
          <w:color w:val="auto"/>
        </w:rPr>
      </w:pPr>
    </w:p>
    <w:p>
      <w:pPr>
        <w:ind w:left="68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6" w:lineRule="exact"/>
        <w:rPr>
          <w:sz w:val="20"/>
          <w:szCs w:val="20"/>
          <w:color w:val="auto"/>
        </w:rPr>
      </w:pPr>
    </w:p>
    <w:p>
      <w:pPr>
        <w:ind w:left="68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3" w:lineRule="exact"/>
        <w:rPr>
          <w:sz w:val="20"/>
          <w:szCs w:val="20"/>
          <w:color w:val="auto"/>
        </w:rPr>
      </w:pPr>
    </w:p>
    <w:p>
      <w:pPr>
        <w:ind w:left="680" w:hanging="561"/>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36" w:lineRule="exact"/>
        <w:rPr>
          <w:sz w:val="20"/>
          <w:szCs w:val="20"/>
          <w:color w:val="auto"/>
        </w:rPr>
      </w:pPr>
    </w:p>
    <w:p>
      <w:pPr>
        <w:ind w:left="680" w:hanging="561"/>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5</w:t>
            </w:r>
          </w:p>
        </w:tc>
        <w:tc>
          <w:tcPr>
            <w:tcW w:w="8820" w:type="dxa"/>
            <w:vAlign w:val="bottom"/>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27"/>
        </w:trPr>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rPr>
              <w:t>NUMBER OF</w:t>
            </w:r>
          </w:p>
        </w:tc>
        <w:tc>
          <w:tcPr>
            <w:tcW w:w="50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8"/>
        </w:trPr>
        <w:tc>
          <w:tcPr>
            <w:tcW w:w="172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w w:val="95"/>
              </w:rPr>
              <w:t>SHARES</w:t>
            </w:r>
          </w:p>
        </w:tc>
        <w:tc>
          <w:tcPr>
            <w:tcW w:w="500" w:type="dxa"/>
            <w:vAlign w:val="bottom"/>
          </w:tcPr>
          <w:p>
            <w:pPr>
              <w:jc w:val="right"/>
              <w:ind w:right="210"/>
              <w:spacing w:after="0" w:line="177" w:lineRule="exact"/>
              <w:rPr>
                <w:sz w:val="20"/>
                <w:szCs w:val="20"/>
                <w:color w:val="auto"/>
              </w:rPr>
            </w:pPr>
            <w:r>
              <w:rPr>
                <w:rFonts w:ascii="Arial" w:cs="Arial" w:eastAsia="Arial" w:hAnsi="Arial"/>
                <w:sz w:val="18"/>
                <w:szCs w:val="18"/>
                <w:b w:val="1"/>
                <w:bCs w:val="1"/>
                <w:color w:val="auto"/>
              </w:rPr>
              <w:t>6</w:t>
            </w:r>
          </w:p>
        </w:tc>
        <w:tc>
          <w:tcPr>
            <w:tcW w:w="8820" w:type="dxa"/>
            <w:vAlign w:val="bottom"/>
          </w:tcPr>
          <w:p>
            <w:pPr>
              <w:ind w:left="300"/>
              <w:spacing w:after="0" w:line="177"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rPr>
              <w:t>BENEFICIALLY</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rPr>
              <w:t>OWNED BY EACH</w:t>
            </w:r>
          </w:p>
        </w:tc>
        <w:tc>
          <w:tcPr>
            <w:tcW w:w="500" w:type="dxa"/>
            <w:vAlign w:val="bottom"/>
          </w:tcPr>
          <w:p>
            <w:pPr>
              <w:spacing w:after="0"/>
              <w:rPr>
                <w:sz w:val="20"/>
                <w:szCs w:val="20"/>
                <w:color w:val="auto"/>
              </w:rPr>
            </w:pPr>
          </w:p>
        </w:tc>
        <w:tc>
          <w:tcPr>
            <w:tcW w:w="8820" w:type="dxa"/>
            <w:vAlign w:val="bottom"/>
          </w:tcPr>
          <w:p>
            <w:pPr>
              <w:ind w:left="300"/>
              <w:spacing w:after="0" w:line="235" w:lineRule="exact"/>
              <w:rPr>
                <w:sz w:val="20"/>
                <w:szCs w:val="20"/>
                <w:color w:val="auto"/>
              </w:rPr>
            </w:pPr>
            <w:r>
              <w:rPr>
                <w:rFonts w:ascii="Arial" w:cs="Arial" w:eastAsia="Arial" w:hAnsi="Arial"/>
                <w:sz w:val="17"/>
                <w:szCs w:val="17"/>
                <w:b w:val="1"/>
                <w:bCs w:val="1"/>
                <w:color w:val="auto"/>
              </w:rPr>
              <w:t xml:space="preserve">4,991,545 </w:t>
            </w:r>
            <w:r>
              <w:rPr>
                <w:rFonts w:ascii="Arial" w:cs="Arial" w:eastAsia="Arial" w:hAnsi="Arial"/>
                <w:sz w:val="27"/>
                <w:szCs w:val="27"/>
                <w:color w:val="auto"/>
                <w:vertAlign w:val="superscript"/>
              </w:rPr>
              <w:t>(</w:t>
            </w:r>
            <w:r>
              <w:rPr>
                <w:rFonts w:ascii="Arial" w:cs="Arial" w:eastAsia="Arial" w:hAnsi="Arial"/>
                <w:sz w:val="27"/>
                <w:szCs w:val="27"/>
                <w:b w:val="1"/>
                <w:bCs w:val="1"/>
                <w:color w:val="auto"/>
                <w:vertAlign w:val="superscript"/>
              </w:rPr>
              <w:t>1</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54"/>
        </w:trPr>
        <w:tc>
          <w:tcPr>
            <w:tcW w:w="1720" w:type="dxa"/>
            <w:vAlign w:val="bottom"/>
            <w:vMerge w:val="restart"/>
          </w:tcPr>
          <w:p>
            <w:pPr>
              <w:jc w:val="center"/>
              <w:ind w:right="70"/>
              <w:spacing w:after="0" w:line="198" w:lineRule="exact"/>
              <w:rPr>
                <w:sz w:val="20"/>
                <w:szCs w:val="20"/>
                <w:color w:val="auto"/>
              </w:rPr>
            </w:pPr>
            <w:r>
              <w:rPr>
                <w:rFonts w:ascii="Arial" w:cs="Arial" w:eastAsia="Arial" w:hAnsi="Arial"/>
                <w:sz w:val="18"/>
                <w:szCs w:val="18"/>
                <w:b w:val="1"/>
                <w:bCs w:val="1"/>
                <w:color w:val="auto"/>
              </w:rPr>
              <w:t>REPORTING</w:t>
            </w:r>
          </w:p>
        </w:tc>
        <w:tc>
          <w:tcPr>
            <w:tcW w:w="50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720" w:type="dxa"/>
            <w:vAlign w:val="bottom"/>
            <w:vMerge w:val="continue"/>
          </w:tcPr>
          <w:p>
            <w:pPr>
              <w:spacing w:after="0"/>
              <w:rPr>
                <w:sz w:val="10"/>
                <w:szCs w:val="10"/>
                <w:color w:val="auto"/>
              </w:rPr>
            </w:pPr>
          </w:p>
        </w:tc>
        <w:tc>
          <w:tcPr>
            <w:tcW w:w="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7</w:t>
            </w:r>
          </w:p>
        </w:tc>
        <w:tc>
          <w:tcPr>
            <w:tcW w:w="8820" w:type="dxa"/>
            <w:vAlign w:val="bottom"/>
            <w:vMerge w:val="restart"/>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04"/>
        </w:trPr>
        <w:tc>
          <w:tcPr>
            <w:tcW w:w="17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PERSON WITH</w:t>
            </w:r>
          </w:p>
        </w:tc>
        <w:tc>
          <w:tcPr>
            <w:tcW w:w="500" w:type="dxa"/>
            <w:vAlign w:val="bottom"/>
            <w:vMerge w:val="continue"/>
          </w:tcPr>
          <w:p>
            <w:pPr>
              <w:spacing w:after="0"/>
              <w:rPr>
                <w:sz w:val="9"/>
                <w:szCs w:val="9"/>
                <w:color w:val="auto"/>
              </w:rPr>
            </w:pPr>
          </w:p>
        </w:tc>
        <w:tc>
          <w:tcPr>
            <w:tcW w:w="8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7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2720" w:hanging="684"/>
        <w:spacing w:after="0"/>
        <w:tabs>
          <w:tab w:leader="none" w:pos="27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p>
      <w:pPr>
        <w:spacing w:after="0" w:line="17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 xml:space="preserve">4,991,545 </w:t>
      </w:r>
      <w:r>
        <w:rPr>
          <w:rFonts w:ascii="Arial" w:cs="Arial" w:eastAsia="Arial" w:hAnsi="Arial"/>
          <w:sz w:val="29"/>
          <w:szCs w:val="29"/>
          <w:color w:val="auto"/>
          <w:vertAlign w:val="superscript"/>
        </w:rPr>
        <w:t>(1)</w:t>
      </w:r>
    </w:p>
    <w:p>
      <w:pPr>
        <w:ind w:left="680" w:hanging="561"/>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4,991,545</w:t>
      </w:r>
      <w:r>
        <w:rPr>
          <w:rFonts w:ascii="Arial" w:cs="Arial" w:eastAsia="Arial" w:hAnsi="Arial"/>
          <w:sz w:val="29"/>
          <w:szCs w:val="29"/>
          <w:color w:val="auto"/>
          <w:vertAlign w:val="superscript"/>
        </w:rPr>
        <w:t>(1)</w:t>
      </w:r>
    </w:p>
    <w:p>
      <w:pPr>
        <w:ind w:left="680" w:hanging="561"/>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90" w:lineRule="exact"/>
        <w:rPr>
          <w:rFonts w:ascii="Arial" w:cs="Arial" w:eastAsia="Arial" w:hAnsi="Arial"/>
          <w:sz w:val="18"/>
          <w:szCs w:val="18"/>
          <w:b w:val="1"/>
          <w:bCs w:val="1"/>
          <w:color w:val="auto"/>
        </w:rPr>
      </w:pPr>
    </w:p>
    <w:p>
      <w:pPr>
        <w:ind w:left="680" w:hanging="561"/>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9.6%</w:t>
      </w:r>
      <w:r>
        <w:rPr>
          <w:rFonts w:ascii="Arial" w:cs="Arial" w:eastAsia="Arial" w:hAnsi="Arial"/>
          <w:sz w:val="29"/>
          <w:szCs w:val="29"/>
          <w:color w:val="auto"/>
          <w:vertAlign w:val="superscript"/>
        </w:rPr>
        <w:t>(2)</w:t>
      </w:r>
    </w:p>
    <w:p>
      <w:pPr>
        <w:ind w:left="680" w:hanging="561"/>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23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8" w:lineRule="exact"/>
        <w:rPr>
          <w:sz w:val="20"/>
          <w:szCs w:val="20"/>
          <w:color w:val="auto"/>
        </w:rPr>
      </w:pPr>
    </w:p>
    <w:p>
      <w:pPr>
        <w:jc w:val="both"/>
        <w:ind w:firstLine="8"/>
        <w:spacing w:after="0" w:line="278" w:lineRule="auto"/>
        <w:tabs>
          <w:tab w:leader="none" w:pos="212"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Redmile Group, LLC’s beneficial ownership of the Issuer’s common shares (“Common Stock”) is comprised of (a) 3,741,545 shares of Common Stock and (b) 1,250,000 shares of Common Stock issuable upon exercise of certain pre-funded warrants (the “Warrants”), which, in each case, are owned by certain private investment vehicles and/or sub-advised accounts managed by Redmile Group, LLC (the “Redmile Clients”). The shares of Common Stock may be deemed beneficially owned by Redmile Group, LLC as investment manager of the Redmile Clients since, in such capacity, Redmile Group, LLC exercises voting and investment power over all of the shares held by the Redmile Clients.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20" w:lineRule="exact"/>
        <w:rPr>
          <w:rFonts w:ascii="Arial" w:cs="Arial" w:eastAsia="Arial" w:hAnsi="Arial"/>
          <w:sz w:val="25"/>
          <w:szCs w:val="25"/>
          <w:color w:val="auto"/>
          <w:vertAlign w:val="superscript"/>
        </w:rPr>
      </w:pPr>
    </w:p>
    <w:p>
      <w:pPr>
        <w:jc w:val="both"/>
        <w:ind w:firstLine="8"/>
        <w:spacing w:after="0" w:line="253" w:lineRule="auto"/>
        <w:tabs>
          <w:tab w:leader="none" w:pos="212"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Percentage based on: (i) 50,905,972 shares of Common Stock outstanding as of October 10, 2023, as reported by the Issuer in its Prospectus Supplement filed with the SEC on October 6, 2023 (the “Prospectus Supplement”) and the Issuer’s news release posted to its website on October 10, 2023, reporting the full exercise of the underwriters’ option to purchase additional Common Stock (the “News Release”), plus (ii) 1,250,000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00166B105</w:t>
      </w:r>
    </w:p>
    <w:p>
      <w:pPr>
        <w:spacing w:after="0" w:line="243" w:lineRule="exact"/>
        <w:rPr>
          <w:sz w:val="20"/>
          <w:szCs w:val="20"/>
          <w:color w:val="auto"/>
        </w:rPr>
      </w:pPr>
    </w:p>
    <w:p>
      <w:pPr>
        <w:ind w:left="680" w:hanging="561"/>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4894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94580"/>
                    </a:xfrm>
                    <a:prstGeom prst="rect">
                      <a:avLst/>
                    </a:prstGeom>
                    <a:noFill/>
                  </pic:spPr>
                </pic:pic>
              </a:graphicData>
            </a:graphic>
          </wp:anchor>
        </w:drawing>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Jeremy C. Green</w:t>
      </w:r>
    </w:p>
    <w:p>
      <w:pPr>
        <w:spacing w:after="0" w:line="23" w:lineRule="exact"/>
        <w:rPr>
          <w:sz w:val="20"/>
          <w:szCs w:val="20"/>
          <w:color w:val="auto"/>
        </w:rPr>
      </w:pPr>
    </w:p>
    <w:p>
      <w:pPr>
        <w:ind w:left="680" w:hanging="561"/>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8" w:lineRule="exact"/>
        <w:rPr>
          <w:sz w:val="20"/>
          <w:szCs w:val="20"/>
          <w:color w:val="auto"/>
        </w:rPr>
      </w:pPr>
    </w:p>
    <w:p>
      <w:pPr>
        <w:ind w:left="68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6" w:lineRule="exact"/>
        <w:rPr>
          <w:sz w:val="20"/>
          <w:szCs w:val="20"/>
          <w:color w:val="auto"/>
        </w:rPr>
      </w:pPr>
    </w:p>
    <w:p>
      <w:pPr>
        <w:ind w:left="68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3" w:lineRule="exact"/>
        <w:rPr>
          <w:sz w:val="20"/>
          <w:szCs w:val="20"/>
          <w:color w:val="auto"/>
        </w:rPr>
      </w:pPr>
    </w:p>
    <w:p>
      <w:pPr>
        <w:ind w:left="680" w:hanging="561"/>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5</w:t>
            </w:r>
          </w:p>
        </w:tc>
        <w:tc>
          <w:tcPr>
            <w:tcW w:w="8820" w:type="dxa"/>
            <w:vAlign w:val="bottom"/>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27"/>
        </w:trPr>
        <w:tc>
          <w:tcPr>
            <w:tcW w:w="17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NUMBER OF</w:t>
            </w:r>
          </w:p>
        </w:tc>
        <w:tc>
          <w:tcPr>
            <w:tcW w:w="50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8"/>
        </w:trPr>
        <w:tc>
          <w:tcPr>
            <w:tcW w:w="1720" w:type="dxa"/>
            <w:vAlign w:val="bottom"/>
            <w:vMerge w:val="continue"/>
          </w:tcPr>
          <w:p>
            <w:pPr>
              <w:spacing w:after="0"/>
              <w:rPr>
                <w:sz w:val="15"/>
                <w:szCs w:val="15"/>
                <w:color w:val="auto"/>
              </w:rPr>
            </w:pPr>
          </w:p>
        </w:tc>
        <w:tc>
          <w:tcPr>
            <w:tcW w:w="500" w:type="dxa"/>
            <w:vAlign w:val="bottom"/>
          </w:tcPr>
          <w:p>
            <w:pPr>
              <w:jc w:val="right"/>
              <w:ind w:right="210"/>
              <w:spacing w:after="0" w:line="177" w:lineRule="exact"/>
              <w:rPr>
                <w:sz w:val="20"/>
                <w:szCs w:val="20"/>
                <w:color w:val="auto"/>
              </w:rPr>
            </w:pPr>
            <w:r>
              <w:rPr>
                <w:rFonts w:ascii="Arial" w:cs="Arial" w:eastAsia="Arial" w:hAnsi="Arial"/>
                <w:sz w:val="18"/>
                <w:szCs w:val="18"/>
                <w:b w:val="1"/>
                <w:bCs w:val="1"/>
                <w:color w:val="auto"/>
              </w:rPr>
              <w:t>6</w:t>
            </w:r>
          </w:p>
        </w:tc>
        <w:tc>
          <w:tcPr>
            <w:tcW w:w="8820" w:type="dxa"/>
            <w:vAlign w:val="bottom"/>
          </w:tcPr>
          <w:p>
            <w:pPr>
              <w:ind w:left="300"/>
              <w:spacing w:after="0" w:line="177"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16"/>
        </w:trPr>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rPr>
              <w:t>BENEFICIALLY</w:t>
            </w:r>
          </w:p>
        </w:tc>
        <w:tc>
          <w:tcPr>
            <w:tcW w:w="500" w:type="dxa"/>
            <w:vAlign w:val="bottom"/>
          </w:tcPr>
          <w:p>
            <w:pPr>
              <w:spacing w:after="0"/>
              <w:rPr>
                <w:sz w:val="20"/>
                <w:szCs w:val="20"/>
                <w:color w:val="auto"/>
              </w:rPr>
            </w:pPr>
          </w:p>
        </w:tc>
        <w:tc>
          <w:tcPr>
            <w:tcW w:w="8820" w:type="dxa"/>
            <w:vAlign w:val="bottom"/>
          </w:tcPr>
          <w:p>
            <w:pPr>
              <w:ind w:left="300"/>
              <w:spacing w:after="0" w:line="235" w:lineRule="exact"/>
              <w:rPr>
                <w:sz w:val="20"/>
                <w:szCs w:val="20"/>
                <w:color w:val="auto"/>
              </w:rPr>
            </w:pPr>
            <w:r>
              <w:rPr>
                <w:rFonts w:ascii="Arial" w:cs="Arial" w:eastAsia="Arial" w:hAnsi="Arial"/>
                <w:sz w:val="17"/>
                <w:szCs w:val="17"/>
                <w:b w:val="1"/>
                <w:bCs w:val="1"/>
                <w:color w:val="auto"/>
              </w:rPr>
              <w:t xml:space="preserve">4,991,545 </w:t>
            </w:r>
            <w:r>
              <w:rPr>
                <w:rFonts w:ascii="Arial" w:cs="Arial" w:eastAsia="Arial" w:hAnsi="Arial"/>
                <w:sz w:val="27"/>
                <w:szCs w:val="27"/>
                <w:color w:val="auto"/>
                <w:vertAlign w:val="superscript"/>
              </w:rPr>
              <w:t>(</w:t>
            </w:r>
            <w:r>
              <w:rPr>
                <w:rFonts w:ascii="Arial" w:cs="Arial" w:eastAsia="Arial" w:hAnsi="Arial"/>
                <w:sz w:val="27"/>
                <w:szCs w:val="27"/>
                <w:b w:val="1"/>
                <w:bCs w:val="1"/>
                <w:color w:val="auto"/>
                <w:vertAlign w:val="superscript"/>
              </w:rPr>
              <w:t>3</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54"/>
        </w:trPr>
        <w:tc>
          <w:tcPr>
            <w:tcW w:w="1720" w:type="dxa"/>
            <w:vAlign w:val="bottom"/>
            <w:vMerge w:val="restart"/>
          </w:tcPr>
          <w:p>
            <w:pPr>
              <w:jc w:val="center"/>
              <w:ind w:right="70"/>
              <w:spacing w:after="0" w:line="198" w:lineRule="exact"/>
              <w:rPr>
                <w:sz w:val="20"/>
                <w:szCs w:val="20"/>
                <w:color w:val="auto"/>
              </w:rPr>
            </w:pPr>
            <w:r>
              <w:rPr>
                <w:rFonts w:ascii="Arial" w:cs="Arial" w:eastAsia="Arial" w:hAnsi="Arial"/>
                <w:sz w:val="18"/>
                <w:szCs w:val="18"/>
                <w:b w:val="1"/>
                <w:bCs w:val="1"/>
                <w:color w:val="auto"/>
              </w:rPr>
              <w:t>OWNED BY EACH</w:t>
            </w:r>
          </w:p>
        </w:tc>
        <w:tc>
          <w:tcPr>
            <w:tcW w:w="50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720" w:type="dxa"/>
            <w:vAlign w:val="bottom"/>
            <w:vMerge w:val="continue"/>
          </w:tcPr>
          <w:p>
            <w:pPr>
              <w:spacing w:after="0"/>
              <w:rPr>
                <w:sz w:val="10"/>
                <w:szCs w:val="10"/>
                <w:color w:val="auto"/>
              </w:rPr>
            </w:pPr>
          </w:p>
        </w:tc>
        <w:tc>
          <w:tcPr>
            <w:tcW w:w="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7</w:t>
            </w:r>
          </w:p>
        </w:tc>
        <w:tc>
          <w:tcPr>
            <w:tcW w:w="8820" w:type="dxa"/>
            <w:vAlign w:val="bottom"/>
            <w:vMerge w:val="restart"/>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04"/>
        </w:trPr>
        <w:tc>
          <w:tcPr>
            <w:tcW w:w="17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REPORTING</w:t>
            </w:r>
          </w:p>
        </w:tc>
        <w:tc>
          <w:tcPr>
            <w:tcW w:w="500" w:type="dxa"/>
            <w:vAlign w:val="bottom"/>
            <w:vMerge w:val="continue"/>
          </w:tcPr>
          <w:p>
            <w:pPr>
              <w:spacing w:after="0"/>
              <w:rPr>
                <w:sz w:val="9"/>
                <w:szCs w:val="9"/>
                <w:color w:val="auto"/>
              </w:rPr>
            </w:pPr>
          </w:p>
        </w:tc>
        <w:tc>
          <w:tcPr>
            <w:tcW w:w="8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7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rPr>
              <w:t>PERSON WITH</w:t>
            </w:r>
          </w:p>
        </w:tc>
        <w:tc>
          <w:tcPr>
            <w:tcW w:w="500" w:type="dxa"/>
            <w:vAlign w:val="bottom"/>
          </w:tcPr>
          <w:p>
            <w:pPr>
              <w:spacing w:after="0"/>
              <w:rPr>
                <w:sz w:val="20"/>
                <w:szCs w:val="20"/>
                <w:color w:val="auto"/>
              </w:rPr>
            </w:pPr>
          </w:p>
        </w:tc>
        <w:tc>
          <w:tcPr>
            <w:tcW w:w="882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720" w:type="dxa"/>
            <w:vAlign w:val="bottom"/>
          </w:tcPr>
          <w:p>
            <w:pPr>
              <w:spacing w:after="0"/>
              <w:rPr>
                <w:sz w:val="19"/>
                <w:szCs w:val="19"/>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8</w:t>
            </w:r>
          </w:p>
        </w:tc>
        <w:tc>
          <w:tcPr>
            <w:tcW w:w="8820" w:type="dxa"/>
            <w:vAlign w:val="bottom"/>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 xml:space="preserve">4,991,545 </w:t>
      </w:r>
      <w:r>
        <w:rPr>
          <w:rFonts w:ascii="Arial" w:cs="Arial" w:eastAsia="Arial" w:hAnsi="Arial"/>
          <w:sz w:val="29"/>
          <w:szCs w:val="29"/>
          <w:color w:val="auto"/>
          <w:vertAlign w:val="superscript"/>
        </w:rPr>
        <w:t>(3)</w:t>
      </w:r>
    </w:p>
    <w:p>
      <w:pPr>
        <w:ind w:left="680" w:hanging="561"/>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 xml:space="preserve">4,991,545 </w:t>
      </w:r>
      <w:r>
        <w:rPr>
          <w:rFonts w:ascii="Arial" w:cs="Arial" w:eastAsia="Arial" w:hAnsi="Arial"/>
          <w:sz w:val="29"/>
          <w:szCs w:val="29"/>
          <w:color w:val="auto"/>
          <w:vertAlign w:val="superscript"/>
        </w:rPr>
        <w:t>(3)</w:t>
      </w:r>
    </w:p>
    <w:p>
      <w:pPr>
        <w:ind w:left="680" w:hanging="561"/>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36" w:lineRule="exact"/>
        <w:rPr>
          <w:rFonts w:ascii="Arial" w:cs="Arial" w:eastAsia="Arial" w:hAnsi="Arial"/>
          <w:sz w:val="18"/>
          <w:szCs w:val="18"/>
          <w:b w:val="1"/>
          <w:bCs w:val="1"/>
          <w:color w:val="auto"/>
        </w:rPr>
      </w:pPr>
    </w:p>
    <w:p>
      <w:pPr>
        <w:ind w:left="680" w:hanging="561"/>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9.6%</w:t>
      </w:r>
      <w:r>
        <w:rPr>
          <w:rFonts w:ascii="Arial" w:cs="Arial" w:eastAsia="Arial" w:hAnsi="Arial"/>
          <w:sz w:val="29"/>
          <w:szCs w:val="29"/>
          <w:color w:val="auto"/>
          <w:vertAlign w:val="superscript"/>
        </w:rPr>
        <w:t>(4)</w:t>
      </w:r>
    </w:p>
    <w:p>
      <w:pPr>
        <w:ind w:left="680" w:hanging="561"/>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23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8" w:lineRule="exact"/>
        <w:rPr>
          <w:sz w:val="20"/>
          <w:szCs w:val="20"/>
          <w:color w:val="auto"/>
        </w:rPr>
      </w:pPr>
    </w:p>
    <w:p>
      <w:pPr>
        <w:jc w:val="both"/>
        <w:ind w:firstLine="8"/>
        <w:spacing w:after="0" w:line="258" w:lineRule="auto"/>
        <w:tabs>
          <w:tab w:leader="none" w:pos="226"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Jeremy C. Green’s beneficial ownership of the Common Stock is comprised of (a) 3,741,545 shares of Common Stock and (b) 1,250,000 shares of Common Stock issuable upon exercise of the Warrants, which, in each case, are owned by the Redmile Clients. The shares of Common Stock may be deemed beneficially owned by Redmile Group, LLC as investment manager of the Redmile Clients since, in such capacity, Redmile Group, LLC exercises voting and investment power over all of the shares held by the Redmile Clients.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6" w:lineRule="exact"/>
        <w:rPr>
          <w:rFonts w:ascii="Arial" w:cs="Arial" w:eastAsia="Arial" w:hAnsi="Arial"/>
          <w:sz w:val="26"/>
          <w:szCs w:val="26"/>
          <w:color w:val="auto"/>
          <w:vertAlign w:val="superscript"/>
        </w:rPr>
      </w:pPr>
    </w:p>
    <w:p>
      <w:pPr>
        <w:ind w:right="20" w:firstLine="8"/>
        <w:spacing w:after="0" w:line="232" w:lineRule="auto"/>
        <w:tabs>
          <w:tab w:leader="none" w:pos="22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Percentage based on: (i) 50,905,972 shares of Common Stock outstanding as of October 10, 2023, as reported by the Issuer in its Prospectus Supplement and News Release, plus (ii) 1,250,000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00166B105</w:t>
      </w:r>
    </w:p>
    <w:p>
      <w:pPr>
        <w:spacing w:after="0" w:line="243" w:lineRule="exact"/>
        <w:rPr>
          <w:sz w:val="20"/>
          <w:szCs w:val="20"/>
          <w:color w:val="auto"/>
        </w:rPr>
      </w:pPr>
    </w:p>
    <w:p>
      <w:pPr>
        <w:ind w:left="680" w:hanging="561"/>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4963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963160"/>
                    </a:xfrm>
                    <a:prstGeom prst="rect">
                      <a:avLst/>
                    </a:prstGeom>
                    <a:noFill/>
                  </pic:spPr>
                </pic:pic>
              </a:graphicData>
            </a:graphic>
          </wp:anchor>
        </w:drawing>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Redmile Biopharma Investments III, L.P.</w:t>
      </w:r>
    </w:p>
    <w:p>
      <w:pPr>
        <w:spacing w:after="0" w:line="23" w:lineRule="exact"/>
        <w:rPr>
          <w:sz w:val="20"/>
          <w:szCs w:val="20"/>
          <w:color w:val="auto"/>
        </w:rPr>
      </w:pPr>
    </w:p>
    <w:p>
      <w:pPr>
        <w:ind w:left="680" w:hanging="561"/>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8" w:lineRule="exact"/>
        <w:rPr>
          <w:sz w:val="20"/>
          <w:szCs w:val="20"/>
          <w:color w:val="auto"/>
        </w:rPr>
      </w:pPr>
    </w:p>
    <w:p>
      <w:pPr>
        <w:ind w:left="68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6" w:lineRule="exact"/>
        <w:rPr>
          <w:sz w:val="20"/>
          <w:szCs w:val="20"/>
          <w:color w:val="auto"/>
        </w:rPr>
      </w:pPr>
    </w:p>
    <w:p>
      <w:pPr>
        <w:ind w:left="68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3" w:lineRule="exact"/>
        <w:rPr>
          <w:sz w:val="20"/>
          <w:szCs w:val="20"/>
          <w:color w:val="auto"/>
        </w:rPr>
      </w:pPr>
    </w:p>
    <w:p>
      <w:pPr>
        <w:ind w:left="680" w:hanging="561"/>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2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5</w:t>
            </w:r>
          </w:p>
        </w:tc>
        <w:tc>
          <w:tcPr>
            <w:tcW w:w="8820" w:type="dxa"/>
            <w:vAlign w:val="bottom"/>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434"/>
        </w:trPr>
        <w:tc>
          <w:tcPr>
            <w:tcW w:w="17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NUMBER OF</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6</w:t>
            </w:r>
          </w:p>
        </w:tc>
        <w:tc>
          <w:tcPr>
            <w:tcW w:w="8820" w:type="dxa"/>
            <w:vAlign w:val="bottom"/>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52"/>
        </w:trPr>
        <w:tc>
          <w:tcPr>
            <w:tcW w:w="172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SHARES</w:t>
            </w:r>
          </w:p>
        </w:tc>
        <w:tc>
          <w:tcPr>
            <w:tcW w:w="500" w:type="dxa"/>
            <w:vAlign w:val="bottom"/>
          </w:tcPr>
          <w:p>
            <w:pPr>
              <w:spacing w:after="0"/>
              <w:rPr>
                <w:sz w:val="21"/>
                <w:szCs w:val="21"/>
                <w:color w:val="auto"/>
              </w:rPr>
            </w:pPr>
          </w:p>
        </w:tc>
        <w:tc>
          <w:tcPr>
            <w:tcW w:w="8820" w:type="dxa"/>
            <w:vAlign w:val="bottom"/>
          </w:tcPr>
          <w:p>
            <w:pPr>
              <w:ind w:left="300"/>
              <w:spacing w:after="0" w:line="247" w:lineRule="exact"/>
              <w:rPr>
                <w:sz w:val="20"/>
                <w:szCs w:val="20"/>
                <w:color w:val="auto"/>
              </w:rPr>
            </w:pPr>
            <w:r>
              <w:rPr>
                <w:rFonts w:ascii="Arial" w:cs="Arial" w:eastAsia="Arial" w:hAnsi="Arial"/>
                <w:sz w:val="17"/>
                <w:szCs w:val="17"/>
                <w:b w:val="1"/>
                <w:bCs w:val="1"/>
                <w:color w:val="auto"/>
              </w:rPr>
              <w:t xml:space="preserve">3,675,481 </w:t>
            </w:r>
            <w:r>
              <w:rPr>
                <w:rFonts w:ascii="Arial" w:cs="Arial" w:eastAsia="Arial" w:hAnsi="Arial"/>
                <w:sz w:val="28"/>
                <w:szCs w:val="28"/>
                <w:b w:val="1"/>
                <w:bCs w:val="1"/>
                <w:color w:val="auto"/>
                <w:vertAlign w:val="superscript"/>
              </w:rPr>
              <w:t>(5)</w:t>
            </w:r>
          </w:p>
        </w:tc>
        <w:tc>
          <w:tcPr>
            <w:tcW w:w="0" w:type="dxa"/>
            <w:vAlign w:val="bottom"/>
          </w:tcPr>
          <w:p>
            <w:pPr>
              <w:spacing w:after="0"/>
              <w:rPr>
                <w:sz w:val="1"/>
                <w:szCs w:val="1"/>
                <w:color w:val="auto"/>
              </w:rPr>
            </w:pPr>
          </w:p>
        </w:tc>
      </w:tr>
      <w:tr>
        <w:trPr>
          <w:trHeight w:val="81"/>
        </w:trPr>
        <w:tc>
          <w:tcPr>
            <w:tcW w:w="1720" w:type="dxa"/>
            <w:vAlign w:val="bottom"/>
            <w:vMerge w:val="restart"/>
          </w:tcPr>
          <w:p>
            <w:pPr>
              <w:jc w:val="center"/>
              <w:ind w:right="90"/>
              <w:spacing w:after="0" w:line="184" w:lineRule="exact"/>
              <w:rPr>
                <w:sz w:val="20"/>
                <w:szCs w:val="20"/>
                <w:color w:val="auto"/>
              </w:rPr>
            </w:pPr>
            <w:r>
              <w:rPr>
                <w:rFonts w:ascii="Arial" w:cs="Arial" w:eastAsia="Arial" w:hAnsi="Arial"/>
                <w:sz w:val="18"/>
                <w:szCs w:val="18"/>
                <w:b w:val="1"/>
                <w:bCs w:val="1"/>
                <w:color w:val="auto"/>
              </w:rPr>
              <w:t>BENEFICIALLY</w:t>
            </w:r>
          </w:p>
        </w:tc>
        <w:tc>
          <w:tcPr>
            <w:tcW w:w="50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vMerge w:val="continue"/>
          </w:tcPr>
          <w:p>
            <w:pPr>
              <w:spacing w:after="0"/>
              <w:rPr>
                <w:sz w:val="7"/>
                <w:szCs w:val="7"/>
                <w:color w:val="auto"/>
              </w:rPr>
            </w:pPr>
          </w:p>
        </w:tc>
        <w:tc>
          <w:tcPr>
            <w:tcW w:w="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7</w:t>
            </w:r>
          </w:p>
        </w:tc>
        <w:tc>
          <w:tcPr>
            <w:tcW w:w="8820" w:type="dxa"/>
            <w:vAlign w:val="bottom"/>
            <w:vMerge w:val="restart"/>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45"/>
        </w:trPr>
        <w:tc>
          <w:tcPr>
            <w:tcW w:w="17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OWNED BY EACH</w:t>
            </w:r>
          </w:p>
        </w:tc>
        <w:tc>
          <w:tcPr>
            <w:tcW w:w="50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7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rPr>
              <w:t>REPORTING</w:t>
            </w:r>
          </w:p>
        </w:tc>
        <w:tc>
          <w:tcPr>
            <w:tcW w:w="500" w:type="dxa"/>
            <w:vAlign w:val="bottom"/>
          </w:tcPr>
          <w:p>
            <w:pPr>
              <w:spacing w:after="0"/>
              <w:rPr>
                <w:sz w:val="18"/>
                <w:szCs w:val="18"/>
                <w:color w:val="auto"/>
              </w:rPr>
            </w:pPr>
          </w:p>
        </w:tc>
        <w:tc>
          <w:tcPr>
            <w:tcW w:w="882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6"/>
        </w:trPr>
        <w:tc>
          <w:tcPr>
            <w:tcW w:w="17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PERSON WITH</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72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720" w:type="dxa"/>
            <w:vAlign w:val="bottom"/>
            <w:vMerge w:val="continue"/>
          </w:tcPr>
          <w:p>
            <w:pPr>
              <w:spacing w:after="0"/>
              <w:rPr>
                <w:sz w:val="5"/>
                <w:szCs w:val="5"/>
                <w:color w:val="auto"/>
              </w:rPr>
            </w:pPr>
          </w:p>
        </w:tc>
        <w:tc>
          <w:tcPr>
            <w:tcW w:w="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8</w:t>
            </w:r>
          </w:p>
        </w:tc>
        <w:tc>
          <w:tcPr>
            <w:tcW w:w="8820" w:type="dxa"/>
            <w:vAlign w:val="bottom"/>
            <w:vMerge w:val="restart"/>
          </w:tcPr>
          <w:p>
            <w:pPr>
              <w:ind w:left="3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67"/>
        </w:trPr>
        <w:tc>
          <w:tcPr>
            <w:tcW w:w="17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3,675,481</w:t>
      </w:r>
      <w:r>
        <w:rPr>
          <w:rFonts w:ascii="Arial" w:cs="Arial" w:eastAsia="Arial" w:hAnsi="Arial"/>
          <w:sz w:val="29"/>
          <w:szCs w:val="29"/>
          <w:b w:val="1"/>
          <w:bCs w:val="1"/>
          <w:color w:val="auto"/>
          <w:vertAlign w:val="superscript"/>
        </w:rPr>
        <w:t>(5)</w:t>
      </w:r>
    </w:p>
    <w:p>
      <w:pPr>
        <w:ind w:left="680" w:hanging="561"/>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162"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3,675,481</w:t>
      </w:r>
      <w:r>
        <w:rPr>
          <w:rFonts w:ascii="Arial" w:cs="Arial" w:eastAsia="Arial" w:hAnsi="Arial"/>
          <w:sz w:val="29"/>
          <w:szCs w:val="29"/>
          <w:b w:val="1"/>
          <w:bCs w:val="1"/>
          <w:color w:val="auto"/>
          <w:vertAlign w:val="superscript"/>
        </w:rPr>
        <w:t>(5)</w:t>
      </w:r>
    </w:p>
    <w:p>
      <w:pPr>
        <w:ind w:left="680" w:hanging="561"/>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36" w:lineRule="exact"/>
        <w:rPr>
          <w:rFonts w:ascii="Arial" w:cs="Arial" w:eastAsia="Arial" w:hAnsi="Arial"/>
          <w:sz w:val="18"/>
          <w:szCs w:val="18"/>
          <w:b w:val="1"/>
          <w:bCs w:val="1"/>
          <w:color w:val="auto"/>
        </w:rPr>
      </w:pPr>
    </w:p>
    <w:p>
      <w:pPr>
        <w:ind w:left="680" w:hanging="561"/>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17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29"/>
          <w:szCs w:val="29"/>
          <w:color w:val="auto"/>
          <w:vertAlign w:val="superscript"/>
        </w:rPr>
        <w:t>(6)</w:t>
      </w:r>
    </w:p>
    <w:p>
      <w:pPr>
        <w:ind w:left="680" w:hanging="561"/>
        <w:spacing w:after="0"/>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20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23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8" w:lineRule="exact"/>
        <w:rPr>
          <w:sz w:val="20"/>
          <w:szCs w:val="20"/>
          <w:color w:val="auto"/>
        </w:rPr>
      </w:pPr>
    </w:p>
    <w:p>
      <w:pPr>
        <w:ind w:right="40" w:firstLine="8"/>
        <w:spacing w:after="0" w:line="232" w:lineRule="auto"/>
        <w:tabs>
          <w:tab w:leader="none" w:pos="212"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Redmile Biopharma Investments III, L.P. beneficially owns (i) 2,425,481 shares of Common Stock, and (ii) 1,250,000 shares of Common Stock issuable upon exercise of the Warrants.</w:t>
      </w:r>
    </w:p>
    <w:p>
      <w:pPr>
        <w:spacing w:after="0" w:line="27" w:lineRule="exact"/>
        <w:rPr>
          <w:rFonts w:ascii="Arial" w:cs="Arial" w:eastAsia="Arial" w:hAnsi="Arial"/>
          <w:sz w:val="25"/>
          <w:szCs w:val="25"/>
          <w:color w:val="auto"/>
          <w:vertAlign w:val="superscript"/>
        </w:rPr>
      </w:pPr>
    </w:p>
    <w:p>
      <w:pPr>
        <w:ind w:right="20" w:firstLine="8"/>
        <w:spacing w:after="0" w:line="232" w:lineRule="auto"/>
        <w:tabs>
          <w:tab w:leader="none" w:pos="22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Percentage based on: (i) 50,905,972 shares of Common Stock outstanding as of October 10, 2023, as reported by the Issuer in its Prospectus Supplement and News Release, plus (ii) 1,250,000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ALX Oncology Holdings Inc.</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323 Allerton Avenue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South San Francisco, California 94080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Persons Filing</w:t>
      </w:r>
    </w:p>
    <w:p>
      <w:pPr>
        <w:spacing w:after="0" w:line="225" w:lineRule="exact"/>
        <w:rPr>
          <w:rFonts w:ascii="Arial" w:cs="Arial" w:eastAsia="Arial" w:hAnsi="Arial"/>
          <w:sz w:val="18"/>
          <w:szCs w:val="18"/>
          <w:color w:val="auto"/>
        </w:rPr>
      </w:pPr>
    </w:p>
    <w:p>
      <w:pPr>
        <w:ind w:left="980" w:right="7619"/>
        <w:spacing w:after="0" w:line="291" w:lineRule="auto"/>
        <w:rPr>
          <w:rFonts w:ascii="Arial" w:cs="Arial" w:eastAsia="Arial" w:hAnsi="Arial"/>
          <w:sz w:val="18"/>
          <w:szCs w:val="18"/>
          <w:color w:val="auto"/>
        </w:rPr>
      </w:pPr>
      <w:r>
        <w:rPr>
          <w:rFonts w:ascii="Arial" w:cs="Arial" w:eastAsia="Arial" w:hAnsi="Arial"/>
          <w:sz w:val="16"/>
          <w:szCs w:val="16"/>
          <w:color w:val="auto"/>
        </w:rPr>
        <w:t>Redmile Group, LLC Jeremy C. Green</w:t>
      </w:r>
    </w:p>
    <w:p>
      <w:pPr>
        <w:ind w:left="980"/>
        <w:spacing w:after="0"/>
        <w:rPr>
          <w:rFonts w:ascii="Arial" w:cs="Arial" w:eastAsia="Arial" w:hAnsi="Arial"/>
          <w:sz w:val="18"/>
          <w:szCs w:val="18"/>
          <w:color w:val="auto"/>
        </w:rPr>
      </w:pPr>
      <w:r>
        <w:rPr>
          <w:rFonts w:ascii="Arial" w:cs="Arial" w:eastAsia="Arial" w:hAnsi="Arial"/>
          <w:sz w:val="18"/>
          <w:szCs w:val="18"/>
          <w:color w:val="auto"/>
        </w:rPr>
        <w:t>Redmile Biopharma Investments III, L.P.</w:t>
      </w:r>
    </w:p>
    <w:p>
      <w:pPr>
        <w:spacing w:after="0" w:line="210"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w:t>
      </w:r>
    </w:p>
    <w:p>
      <w:pPr>
        <w:spacing w:after="0" w:line="248" w:lineRule="exact"/>
        <w:rPr>
          <w:rFonts w:ascii="Arial" w:cs="Arial" w:eastAsia="Arial" w:hAnsi="Arial"/>
          <w:sz w:val="16"/>
          <w:szCs w:val="16"/>
          <w:color w:val="auto"/>
        </w:rPr>
      </w:pPr>
    </w:p>
    <w:p>
      <w:pPr>
        <w:ind w:left="980" w:right="6839"/>
        <w:spacing w:after="0" w:line="257" w:lineRule="auto"/>
        <w:rPr>
          <w:rFonts w:ascii="Arial" w:cs="Arial" w:eastAsia="Arial" w:hAnsi="Arial"/>
          <w:sz w:val="16"/>
          <w:szCs w:val="16"/>
          <w:color w:val="auto"/>
        </w:rPr>
      </w:pPr>
      <w:r>
        <w:rPr>
          <w:rFonts w:ascii="Arial" w:cs="Arial" w:eastAsia="Arial" w:hAnsi="Arial"/>
          <w:sz w:val="18"/>
          <w:szCs w:val="18"/>
          <w:color w:val="auto"/>
        </w:rPr>
        <w:t>Redmile Group, LLC One Letterman Drive Building D, Suite D3-300 The Presidio of San Francisco San Francisco, California 94129</w:t>
      </w:r>
    </w:p>
    <w:p>
      <w:pPr>
        <w:spacing w:after="0" w:line="187"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Jeremy C. Green</w:t>
      </w:r>
    </w:p>
    <w:p>
      <w:pPr>
        <w:spacing w:after="0" w:line="23"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c/o Redmile Group, LLC (NY Office)</w:t>
      </w:r>
    </w:p>
    <w:p>
      <w:pPr>
        <w:spacing w:after="0" w:line="9" w:lineRule="exact"/>
        <w:rPr>
          <w:rFonts w:ascii="Arial" w:cs="Arial" w:eastAsia="Arial" w:hAnsi="Arial"/>
          <w:sz w:val="16"/>
          <w:szCs w:val="16"/>
          <w:color w:val="auto"/>
        </w:rPr>
      </w:pPr>
    </w:p>
    <w:p>
      <w:pPr>
        <w:ind w:left="980" w:right="7199"/>
        <w:spacing w:after="0" w:line="260" w:lineRule="auto"/>
        <w:rPr>
          <w:rFonts w:ascii="Arial" w:cs="Arial" w:eastAsia="Arial" w:hAnsi="Arial"/>
          <w:sz w:val="16"/>
          <w:szCs w:val="16"/>
          <w:color w:val="auto"/>
        </w:rPr>
      </w:pPr>
      <w:r>
        <w:rPr>
          <w:rFonts w:ascii="Arial" w:cs="Arial" w:eastAsia="Arial" w:hAnsi="Arial"/>
          <w:sz w:val="18"/>
          <w:szCs w:val="18"/>
          <w:color w:val="auto"/>
        </w:rPr>
        <w:t>45 W. 27th Street, Floor 11 New York, NY 10001</w:t>
      </w:r>
    </w:p>
    <w:p>
      <w:pPr>
        <w:spacing w:after="0" w:line="185" w:lineRule="exact"/>
        <w:rPr>
          <w:rFonts w:ascii="Arial" w:cs="Arial" w:eastAsia="Arial" w:hAnsi="Arial"/>
          <w:sz w:val="16"/>
          <w:szCs w:val="16"/>
          <w:color w:val="auto"/>
        </w:rPr>
      </w:pPr>
    </w:p>
    <w:p>
      <w:pPr>
        <w:ind w:left="980" w:right="6199"/>
        <w:spacing w:after="0" w:line="258" w:lineRule="auto"/>
        <w:rPr>
          <w:rFonts w:ascii="Arial" w:cs="Arial" w:eastAsia="Arial" w:hAnsi="Arial"/>
          <w:sz w:val="16"/>
          <w:szCs w:val="16"/>
          <w:color w:val="auto"/>
        </w:rPr>
      </w:pPr>
      <w:r>
        <w:rPr>
          <w:rFonts w:ascii="Arial" w:cs="Arial" w:eastAsia="Arial" w:hAnsi="Arial"/>
          <w:sz w:val="18"/>
          <w:szCs w:val="18"/>
          <w:color w:val="auto"/>
        </w:rPr>
        <w:t>Redmile Biopharma Investments III, L.P. c/o Redmile Group, LLC</w:t>
      </w:r>
    </w:p>
    <w:p>
      <w:pPr>
        <w:spacing w:after="0" w:line="1" w:lineRule="exact"/>
        <w:rPr>
          <w:rFonts w:ascii="Arial" w:cs="Arial" w:eastAsia="Arial" w:hAnsi="Arial"/>
          <w:sz w:val="16"/>
          <w:szCs w:val="16"/>
          <w:color w:val="auto"/>
        </w:rPr>
      </w:pPr>
    </w:p>
    <w:p>
      <w:pPr>
        <w:ind w:left="980" w:right="6839"/>
        <w:spacing w:after="0" w:line="273" w:lineRule="auto"/>
        <w:rPr>
          <w:rFonts w:ascii="Arial" w:cs="Arial" w:eastAsia="Arial" w:hAnsi="Arial"/>
          <w:sz w:val="16"/>
          <w:szCs w:val="16"/>
          <w:color w:val="auto"/>
        </w:rPr>
      </w:pPr>
      <w:r>
        <w:rPr>
          <w:rFonts w:ascii="Arial" w:cs="Arial" w:eastAsia="Arial" w:hAnsi="Arial"/>
          <w:sz w:val="17"/>
          <w:szCs w:val="17"/>
          <w:color w:val="auto"/>
        </w:rPr>
        <w:t>One Letterman Drive Building D, Suite D3-300 The Presidio of San Francisco San Francisco, California 94129</w:t>
      </w:r>
    </w:p>
    <w:p>
      <w:pPr>
        <w:spacing w:after="0" w:line="176" w:lineRule="exact"/>
        <w:rPr>
          <w:rFonts w:ascii="Arial" w:cs="Arial" w:eastAsia="Arial" w:hAnsi="Arial"/>
          <w:sz w:val="16"/>
          <w:szCs w:val="16"/>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Redmile Group, LLC: Delaware</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Jeremy C. Green: United Kingdom</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Redmile Biopharma Investments III, L.P.: Delaware</w:t>
      </w:r>
    </w:p>
    <w:p>
      <w:pPr>
        <w:spacing w:after="0" w:line="210"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225" w:lineRule="exact"/>
        <w:rPr>
          <w:rFonts w:ascii="Arial" w:cs="Arial" w:eastAsia="Arial" w:hAnsi="Arial"/>
          <w:sz w:val="18"/>
          <w:szCs w:val="18"/>
          <w:color w:val="auto"/>
        </w:rPr>
      </w:pPr>
    </w:p>
    <w:p>
      <w:pPr>
        <w:ind w:left="980" w:right="8019" w:hanging="648"/>
        <w:spacing w:after="0" w:line="623"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CUSIP Number 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229" w:lineRule="exact"/>
        <w:rPr>
          <w:sz w:val="20"/>
          <w:szCs w:val="20"/>
          <w:color w:val="auto"/>
        </w:rPr>
      </w:pP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3" w:lineRule="exact"/>
        <w:rPr>
          <w:rFonts w:ascii="Arial" w:cs="Arial" w:eastAsia="Arial" w:hAnsi="Arial"/>
          <w:sz w:val="18"/>
          <w:szCs w:val="18"/>
          <w:color w:val="auto"/>
        </w:rPr>
      </w:pP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An investment adviser in accordance with § 240.13d-1(b)(1)(ii)(E);</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 240.13d-1(b)(1)(ii)(F);</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240.13d-1(b)(1)(ii)(G);</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1260" w:right="100" w:hanging="685"/>
        <w:spacing w:after="0" w:line="250" w:lineRule="auto"/>
        <w:tabs>
          <w:tab w:leader="none" w:pos="9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ind w:left="920" w:hanging="345"/>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A non-U.S. institution in accordance with § 240.13d-1(b)(1)(ii)(J);</w:t>
      </w:r>
    </w:p>
    <w:p>
      <w:pPr>
        <w:spacing w:after="0" w:line="9" w:lineRule="exact"/>
        <w:rPr>
          <w:rFonts w:ascii="Arial" w:cs="Arial" w:eastAsia="Arial" w:hAnsi="Arial"/>
          <w:sz w:val="18"/>
          <w:szCs w:val="18"/>
          <w:color w:val="auto"/>
        </w:rPr>
      </w:pPr>
    </w:p>
    <w:p>
      <w:pPr>
        <w:ind w:left="1260" w:hanging="685"/>
        <w:spacing w:after="0" w:line="260" w:lineRule="auto"/>
        <w:tabs>
          <w:tab w:leader="none" w:pos="9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o Group, in accordance with § 240.13d-1(b)(1)(ii)(K). If filing as a non-U.S. institution in accordance with § 240.13d-1(b)(1)(ii)(J), please specify the type of institution: __________</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right="7080"/>
        <w:spacing w:after="0" w:line="291" w:lineRule="auto"/>
        <w:rPr>
          <w:rFonts w:ascii="Arial" w:cs="Arial" w:eastAsia="Arial" w:hAnsi="Arial"/>
          <w:sz w:val="18"/>
          <w:szCs w:val="18"/>
          <w:color w:val="auto"/>
        </w:rPr>
      </w:pPr>
      <w:r>
        <w:rPr>
          <w:rFonts w:ascii="Arial" w:cs="Arial" w:eastAsia="Arial" w:hAnsi="Arial"/>
          <w:sz w:val="16"/>
          <w:szCs w:val="16"/>
          <w:color w:val="auto"/>
        </w:rPr>
        <w:t>Redmile Group, LLC – 4,991,545 (1) Jeremy C. Green – 4,991,545 (1)</w:t>
      </w:r>
    </w:p>
    <w:p>
      <w:pPr>
        <w:ind w:left="1300"/>
        <w:spacing w:after="0"/>
        <w:rPr>
          <w:rFonts w:ascii="Arial" w:cs="Arial" w:eastAsia="Arial" w:hAnsi="Arial"/>
          <w:sz w:val="18"/>
          <w:szCs w:val="18"/>
          <w:color w:val="auto"/>
        </w:rPr>
      </w:pPr>
      <w:r>
        <w:rPr>
          <w:rFonts w:ascii="Arial" w:cs="Arial" w:eastAsia="Arial" w:hAnsi="Arial"/>
          <w:sz w:val="18"/>
          <w:szCs w:val="18"/>
          <w:color w:val="auto"/>
        </w:rPr>
        <w:t>Redmile Biopharma Investments III, L.P. – 3,675,481 (1)</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right="7420"/>
        <w:spacing w:after="0" w:line="291" w:lineRule="auto"/>
        <w:rPr>
          <w:rFonts w:ascii="Arial" w:cs="Arial" w:eastAsia="Arial" w:hAnsi="Arial"/>
          <w:sz w:val="18"/>
          <w:szCs w:val="18"/>
          <w:color w:val="auto"/>
        </w:rPr>
      </w:pPr>
      <w:r>
        <w:rPr>
          <w:rFonts w:ascii="Arial" w:cs="Arial" w:eastAsia="Arial" w:hAnsi="Arial"/>
          <w:sz w:val="16"/>
          <w:szCs w:val="16"/>
          <w:color w:val="auto"/>
        </w:rPr>
        <w:t>Redmile Group, LLC – 9.6% (2) Jeremy C. Green – 9.6% (2)</w:t>
      </w:r>
    </w:p>
    <w:p>
      <w:pPr>
        <w:ind w:left="1300"/>
        <w:spacing w:after="0"/>
        <w:rPr>
          <w:rFonts w:ascii="Arial" w:cs="Arial" w:eastAsia="Arial" w:hAnsi="Arial"/>
          <w:sz w:val="18"/>
          <w:szCs w:val="18"/>
          <w:color w:val="auto"/>
        </w:rPr>
      </w:pPr>
      <w:r>
        <w:rPr>
          <w:rFonts w:ascii="Arial" w:cs="Arial" w:eastAsia="Arial" w:hAnsi="Arial"/>
          <w:sz w:val="18"/>
          <w:szCs w:val="18"/>
          <w:color w:val="auto"/>
        </w:rPr>
        <w:t>Redmile Biopharma Investments III, L.P. – 7.1% (2)</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Number of shares as to which Redmile Group, LLC has:</w:t>
      </w:r>
    </w:p>
    <w:p>
      <w:pPr>
        <w:spacing w:after="0" w:line="225" w:lineRule="exact"/>
        <w:rPr>
          <w:rFonts w:ascii="Arial" w:cs="Arial" w:eastAsia="Arial" w:hAnsi="Arial"/>
          <w:sz w:val="18"/>
          <w:szCs w:val="18"/>
          <w:color w:val="auto"/>
        </w:rPr>
      </w:pPr>
    </w:p>
    <w:p>
      <w:pPr>
        <w:ind w:left="1620" w:right="6600" w:hanging="316"/>
        <w:spacing w:after="0" w:line="500"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1620" w:hanging="316"/>
        <w:spacing w:after="0"/>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4,991,545 (1)</w:t>
      </w:r>
    </w:p>
    <w:p>
      <w:pPr>
        <w:spacing w:after="0" w:line="225" w:lineRule="exact"/>
        <w:rPr>
          <w:rFonts w:ascii="Arial" w:cs="Arial" w:eastAsia="Arial" w:hAnsi="Arial"/>
          <w:sz w:val="18"/>
          <w:szCs w:val="18"/>
          <w:color w:val="auto"/>
        </w:rPr>
      </w:pPr>
    </w:p>
    <w:p>
      <w:pPr>
        <w:ind w:left="1620" w:right="5680" w:hanging="316"/>
        <w:spacing w:after="0" w:line="500"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1620" w:right="5500" w:hanging="316"/>
        <w:spacing w:after="0" w:line="527"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4,991,545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88" w:right="49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t>Number of shares as to which Jeremy C. Green has:</w:t>
      </w:r>
    </w:p>
    <w:p>
      <w:pPr>
        <w:spacing w:after="0" w:line="225" w:lineRule="exact"/>
        <w:rPr>
          <w:sz w:val="20"/>
          <w:szCs w:val="20"/>
          <w:color w:val="auto"/>
        </w:rPr>
      </w:pPr>
    </w:p>
    <w:p>
      <w:pPr>
        <w:ind w:left="964" w:right="6760" w:hanging="316"/>
        <w:spacing w:after="0" w:line="500" w:lineRule="auto"/>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964" w:hanging="316"/>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964"/>
        <w:spacing w:after="0"/>
        <w:rPr>
          <w:rFonts w:ascii="Arial" w:cs="Arial" w:eastAsia="Arial" w:hAnsi="Arial"/>
          <w:sz w:val="18"/>
          <w:szCs w:val="18"/>
          <w:color w:val="auto"/>
        </w:rPr>
      </w:pPr>
      <w:r>
        <w:rPr>
          <w:rFonts w:ascii="Arial" w:cs="Arial" w:eastAsia="Arial" w:hAnsi="Arial"/>
          <w:sz w:val="18"/>
          <w:szCs w:val="18"/>
          <w:color w:val="auto"/>
        </w:rPr>
        <w:t>4,991,545 (1)</w:t>
      </w:r>
    </w:p>
    <w:p>
      <w:pPr>
        <w:spacing w:after="0" w:line="225" w:lineRule="exact"/>
        <w:rPr>
          <w:rFonts w:ascii="Arial" w:cs="Arial" w:eastAsia="Arial" w:hAnsi="Arial"/>
          <w:sz w:val="18"/>
          <w:szCs w:val="18"/>
          <w:color w:val="auto"/>
        </w:rPr>
      </w:pPr>
    </w:p>
    <w:p>
      <w:pPr>
        <w:ind w:left="964" w:right="5840" w:hanging="316"/>
        <w:spacing w:after="0" w:line="500" w:lineRule="auto"/>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964" w:right="5660" w:hanging="316"/>
        <w:spacing w:after="0" w:line="500" w:lineRule="auto"/>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4,991,545 (1)</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Number of shares as to which Redmile Biopharma Investments III, L.P. has:</w:t>
      </w:r>
    </w:p>
    <w:p>
      <w:pPr>
        <w:spacing w:after="0" w:line="225" w:lineRule="exact"/>
        <w:rPr>
          <w:sz w:val="20"/>
          <w:szCs w:val="20"/>
          <w:color w:val="auto"/>
        </w:rPr>
      </w:pPr>
    </w:p>
    <w:p>
      <w:pPr>
        <w:ind w:left="964" w:right="6760" w:hanging="316"/>
        <w:spacing w:after="0" w:line="500" w:lineRule="auto"/>
        <w:tabs>
          <w:tab w:leader="none" w:pos="9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964" w:hanging="316"/>
        <w:spacing w:after="0"/>
        <w:tabs>
          <w:tab w:leader="none" w:pos="9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964"/>
        <w:spacing w:after="0"/>
        <w:rPr>
          <w:rFonts w:ascii="Arial" w:cs="Arial" w:eastAsia="Arial" w:hAnsi="Arial"/>
          <w:sz w:val="18"/>
          <w:szCs w:val="18"/>
          <w:color w:val="auto"/>
        </w:rPr>
      </w:pPr>
      <w:r>
        <w:rPr>
          <w:rFonts w:ascii="Arial" w:cs="Arial" w:eastAsia="Arial" w:hAnsi="Arial"/>
          <w:sz w:val="18"/>
          <w:szCs w:val="18"/>
          <w:color w:val="auto"/>
        </w:rPr>
        <w:t>3,675,481 (1)</w:t>
      </w:r>
    </w:p>
    <w:p>
      <w:pPr>
        <w:spacing w:after="0" w:line="225" w:lineRule="exact"/>
        <w:rPr>
          <w:rFonts w:ascii="Arial" w:cs="Arial" w:eastAsia="Arial" w:hAnsi="Arial"/>
          <w:sz w:val="18"/>
          <w:szCs w:val="18"/>
          <w:color w:val="auto"/>
        </w:rPr>
      </w:pPr>
    </w:p>
    <w:p>
      <w:pPr>
        <w:ind w:left="964" w:right="5840" w:hanging="316"/>
        <w:spacing w:after="0" w:line="500" w:lineRule="auto"/>
        <w:tabs>
          <w:tab w:leader="none" w:pos="9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 w:lineRule="exact"/>
        <w:rPr>
          <w:rFonts w:ascii="Arial" w:cs="Arial" w:eastAsia="Arial" w:hAnsi="Arial"/>
          <w:sz w:val="18"/>
          <w:szCs w:val="18"/>
          <w:color w:val="auto"/>
        </w:rPr>
      </w:pPr>
    </w:p>
    <w:p>
      <w:pPr>
        <w:ind w:left="964" w:hanging="316"/>
        <w:spacing w:after="0"/>
        <w:tabs>
          <w:tab w:leader="none" w:pos="9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964"/>
        <w:spacing w:after="0"/>
        <w:rPr>
          <w:rFonts w:ascii="Arial" w:cs="Arial" w:eastAsia="Arial" w:hAnsi="Arial"/>
          <w:sz w:val="18"/>
          <w:szCs w:val="18"/>
          <w:color w:val="auto"/>
        </w:rPr>
      </w:pPr>
      <w:r>
        <w:rPr>
          <w:rFonts w:ascii="Arial" w:cs="Arial" w:eastAsia="Arial" w:hAnsi="Arial"/>
          <w:sz w:val="18"/>
          <w:szCs w:val="18"/>
          <w:color w:val="auto"/>
        </w:rPr>
        <w:t>3,675,481 (1)</w:t>
      </w:r>
    </w:p>
    <w:p>
      <w:pPr>
        <w:spacing w:after="0" w:line="225" w:lineRule="exact"/>
        <w:rPr>
          <w:rFonts w:ascii="Arial" w:cs="Arial" w:eastAsia="Arial" w:hAnsi="Arial"/>
          <w:sz w:val="18"/>
          <w:szCs w:val="18"/>
          <w:color w:val="auto"/>
        </w:rPr>
      </w:pPr>
    </w:p>
    <w:p>
      <w:pPr>
        <w:jc w:val="both"/>
        <w:ind w:left="324" w:hanging="324"/>
        <w:spacing w:after="0" w:line="273" w:lineRule="auto"/>
        <w:tabs>
          <w:tab w:leader="none" w:pos="32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Issuer’s common shares reported herein are held by, or issuable upon exercise of the Warrants by, certain private investment vehicles and/or sub-advised accounts, including Redmile Biopharma Investments III, L.P. (collectively, the “Redmile Clients”), for which Redmile Group, LLC is the investment manager/adviser and, in such capacity, exercises voting and investment power over all of the common shares held by the Redmile Clients and may be deemed to be the beneficial owner of these shares. Jeremy C. Green serves as the principal of Redmile Group, LLC and also may be deemed to be the beneficial owner of these shares. Redmile Group, LLC and Mr. Green each disclaim beneficial ownership of these shares, except to the extent of its or his pecuniary interest in such shares, if any.</w:t>
      </w:r>
    </w:p>
    <w:p>
      <w:pPr>
        <w:spacing w:after="0" w:line="177" w:lineRule="exact"/>
        <w:rPr>
          <w:rFonts w:ascii="Arial" w:cs="Arial" w:eastAsia="Arial" w:hAnsi="Arial"/>
          <w:sz w:val="17"/>
          <w:szCs w:val="17"/>
          <w:color w:val="auto"/>
        </w:rPr>
      </w:pPr>
    </w:p>
    <w:p>
      <w:pPr>
        <w:ind w:left="324" w:hanging="4"/>
        <w:spacing w:after="0" w:line="277" w:lineRule="auto"/>
        <w:rPr>
          <w:rFonts w:ascii="Arial" w:cs="Arial" w:eastAsia="Arial" w:hAnsi="Arial"/>
          <w:sz w:val="17"/>
          <w:szCs w:val="17"/>
          <w:color w:val="auto"/>
        </w:rPr>
      </w:pPr>
      <w:r>
        <w:rPr>
          <w:rFonts w:ascii="Arial" w:cs="Arial" w:eastAsia="Arial" w:hAnsi="Arial"/>
          <w:sz w:val="18"/>
          <w:szCs w:val="18"/>
          <w:color w:val="auto"/>
        </w:rPr>
        <w:t>Redmile Biopharma Investments III, L.P. is the direct beneficial owner of 2,425,481 shares of Common Stock and all of the shares of Common Stock issuable upon exercise of the Warrants.</w:t>
      </w:r>
    </w:p>
    <w:p>
      <w:pPr>
        <w:spacing w:after="0" w:line="170" w:lineRule="exact"/>
        <w:rPr>
          <w:rFonts w:ascii="Arial" w:cs="Arial" w:eastAsia="Arial" w:hAnsi="Arial"/>
          <w:sz w:val="17"/>
          <w:szCs w:val="17"/>
          <w:color w:val="auto"/>
        </w:rPr>
      </w:pPr>
    </w:p>
    <w:p>
      <w:pPr>
        <w:ind w:left="324" w:hanging="324"/>
        <w:spacing w:after="0" w:line="308" w:lineRule="auto"/>
        <w:tabs>
          <w:tab w:leader="none" w:pos="324"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Percentage based on: (i) 50,905,972 shares of Common Stock outstanding as of October 10, 2023, as reported by the Issuer in its Prospectus Supplement and News Release, plus (ii) 1,250,000 shares of Common Stock issuable upon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393700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[_]</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980" w:right="1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the response to Item 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Redmile Group, LLC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Jeremy C. Green</w:t>
      </w:r>
    </w:p>
    <w:p>
      <w:pPr>
        <w:spacing w:after="0" w:line="200" w:lineRule="exact"/>
        <w:rPr>
          <w:sz w:val="20"/>
          <w:szCs w:val="20"/>
          <w:color w:val="auto"/>
        </w:rPr>
      </w:pP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Redmile Biopharma Investments III,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Redmile Biopharma Investments III (GP), LLC, its general partner</w:t>
      </w: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1120" w:right="5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undersigned hereby agree to the joint filing on behalf of each of them of a Statement on Schedule 13G (including any and all amendments thereto, the “</w:t>
      </w:r>
      <w:r>
        <w:rPr>
          <w:rFonts w:ascii="Arial" w:cs="Arial" w:eastAsia="Arial" w:hAnsi="Arial"/>
          <w:sz w:val="18"/>
          <w:szCs w:val="18"/>
          <w:u w:val="single" w:color="auto"/>
          <w:color w:val="auto"/>
        </w:rPr>
        <w:t>Schedule 13G</w:t>
      </w:r>
      <w:r>
        <w:rPr>
          <w:rFonts w:ascii="Arial" w:cs="Arial" w:eastAsia="Arial" w:hAnsi="Arial"/>
          <w:sz w:val="18"/>
          <w:szCs w:val="18"/>
          <w:color w:val="auto"/>
        </w:rPr>
        <w:t>”) relating to the Common Stock of ALX Oncology Holdings Inc., which may be deemed necessary pursuant to Regulation 13D or 13G promulgated under the Exchange Act.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understood and agreed that a copy of this Joint Filing Agreement shall be attached as an exhibit to the Schedule 13G, filed on behalf of each of the parties 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this Joint Filing Agreement as of the 16th day of October,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REDMILE GROUP, LLC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JEREMY C. GREEN</w:t>
      </w: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REDMILE BIOPHARMA INVESTMENTS III,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Redmile Biopharma Investments III (GP), LLC,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1"/>
      <w:numFmt w:val="bullet"/>
      <w:start w:val="1"/>
    </w:lvl>
  </w:abstractNum>
  <w:abstractNum w:abstractNumId="4">
    <w:nsid w:val="7C83E458"/>
    <w:multiLevelType w:val="hybridMultilevel"/>
    <w:lvl w:ilvl="0">
      <w:lvlJc w:val="left"/>
      <w:lvlText w:val="2"/>
      <w:numFmt w:val="bullet"/>
      <w:start w:val="1"/>
    </w:lvl>
  </w:abstractNum>
  <w:abstractNum w:abstractNumId="5">
    <w:nsid w:val="257130A3"/>
    <w:multiLevelType w:val="hybridMultilevel"/>
    <w:lvl w:ilvl="0">
      <w:lvlJc w:val="left"/>
      <w:lvlText w:val="3"/>
      <w:numFmt w:val="bullet"/>
      <w:start w:val="1"/>
    </w:lvl>
  </w:abstractNum>
  <w:abstractNum w:abstractNumId="6">
    <w:nsid w:val="62BBD95A"/>
    <w:multiLevelType w:val="hybridMultilevel"/>
    <w:lvl w:ilvl="0">
      <w:lvlJc w:val="left"/>
      <w:lvlText w:val="4"/>
      <w:numFmt w:val="bullet"/>
      <w:start w:val="1"/>
    </w:lvl>
  </w:abstractNum>
  <w:abstractNum w:abstractNumId="7">
    <w:nsid w:val="436C6125"/>
    <w:multiLevelType w:val="hybridMultilevel"/>
    <w:lvl w:ilvl="0">
      <w:lvlJc w:val="left"/>
      <w:lvlText w:val="8"/>
      <w:numFmt w:val="bullet"/>
      <w:start w:val="1"/>
    </w:lvl>
  </w:abstractNum>
  <w:abstractNum w:abstractNumId="8">
    <w:nsid w:val="628C895D"/>
    <w:multiLevelType w:val="hybridMultilevel"/>
    <w:lvl w:ilvl="0">
      <w:lvlJc w:val="left"/>
      <w:lvlText w:val="9"/>
      <w:numFmt w:val="bullet"/>
      <w:start w:val="1"/>
    </w:lvl>
  </w:abstractNum>
  <w:abstractNum w:abstractNumId="9">
    <w:nsid w:val="333AB105"/>
    <w:multiLevelType w:val="hybridMultilevel"/>
    <w:lvl w:ilvl="0">
      <w:lvlJc w:val="left"/>
      <w:lvlText w:val="%1"/>
      <w:numFmt w:val="decimal"/>
      <w:start w:val="10"/>
    </w:lvl>
  </w:abstractNum>
  <w:abstractNum w:abstractNumId="10">
    <w:nsid w:val="721DA317"/>
    <w:multiLevelType w:val="hybridMultilevel"/>
    <w:lvl w:ilvl="0">
      <w:lvlJc w:val="left"/>
      <w:lvlText w:val="%1"/>
      <w:numFmt w:val="decimal"/>
      <w:start w:val="12"/>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bullet"/>
      <w:start w:val="1"/>
    </w:lvl>
  </w:abstractNum>
  <w:abstractNum w:abstractNumId="13">
    <w:nsid w:val="6763845E"/>
    <w:multiLevelType w:val="hybridMultilevel"/>
    <w:lvl w:ilvl="0">
      <w:lvlJc w:val="left"/>
      <w:lvlText w:val="2"/>
      <w:numFmt w:val="bullet"/>
      <w:start w:val="1"/>
    </w:lvl>
  </w:abstractNum>
  <w:abstractNum w:abstractNumId="14">
    <w:nsid w:val="75A2A8D4"/>
    <w:multiLevelType w:val="hybridMultilevel"/>
    <w:lvl w:ilvl="0">
      <w:lvlJc w:val="left"/>
      <w:lvlText w:val="3"/>
      <w:numFmt w:val="bullet"/>
      <w:start w:val="1"/>
    </w:lvl>
  </w:abstractNum>
  <w:abstractNum w:abstractNumId="15">
    <w:nsid w:val="8EDBDAB"/>
    <w:multiLevelType w:val="hybridMultilevel"/>
    <w:lvl w:ilvl="0">
      <w:lvlJc w:val="left"/>
      <w:lvlText w:val="9"/>
      <w:numFmt w:val="bullet"/>
      <w:start w:val="1"/>
    </w:lvl>
  </w:abstractNum>
  <w:abstractNum w:abstractNumId="16">
    <w:nsid w:val="79838CB2"/>
    <w:multiLevelType w:val="hybridMultilevel"/>
    <w:lvl w:ilvl="0">
      <w:lvlJc w:val="left"/>
      <w:lvlText w:val="%1"/>
      <w:numFmt w:val="decimal"/>
      <w:start w:val="10"/>
    </w:lvl>
  </w:abstractNum>
  <w:abstractNum w:abstractNumId="17">
    <w:nsid w:val="4353D0CD"/>
    <w:multiLevelType w:val="hybridMultilevel"/>
    <w:lvl w:ilvl="0">
      <w:lvlJc w:val="left"/>
      <w:lvlText w:val="%1"/>
      <w:numFmt w:val="decimal"/>
      <w:start w:val="12"/>
    </w:lvl>
  </w:abstractNum>
  <w:abstractNum w:abstractNumId="18">
    <w:nsid w:val="B03E0C6"/>
    <w:multiLevelType w:val="hybridMultilevel"/>
    <w:lvl w:ilvl="0">
      <w:lvlJc w:val="left"/>
      <w:lvlText w:val="(%1)"/>
      <w:numFmt w:val="decimal"/>
      <w:start w:val="3"/>
    </w:lvl>
  </w:abstractNum>
  <w:abstractNum w:abstractNumId="19">
    <w:nsid w:val="189A769B"/>
    <w:multiLevelType w:val="hybridMultilevel"/>
    <w:lvl w:ilvl="0">
      <w:lvlJc w:val="left"/>
      <w:lvlText w:val="1"/>
      <w:numFmt w:val="bullet"/>
      <w:start w:val="1"/>
    </w:lvl>
  </w:abstractNum>
  <w:abstractNum w:abstractNumId="20">
    <w:nsid w:val="54E49EB4"/>
    <w:multiLevelType w:val="hybridMultilevel"/>
    <w:lvl w:ilvl="0">
      <w:lvlJc w:val="left"/>
      <w:lvlText w:val="2"/>
      <w:numFmt w:val="bullet"/>
      <w:start w:val="1"/>
    </w:lvl>
  </w:abstractNum>
  <w:abstractNum w:abstractNumId="21">
    <w:nsid w:val="71F32454"/>
    <w:multiLevelType w:val="hybridMultilevel"/>
    <w:lvl w:ilvl="0">
      <w:lvlJc w:val="left"/>
      <w:lvlText w:val="3"/>
      <w:numFmt w:val="bullet"/>
      <w:start w:val="1"/>
    </w:lvl>
  </w:abstractNum>
  <w:abstractNum w:abstractNumId="22">
    <w:nsid w:val="2CA88611"/>
    <w:multiLevelType w:val="hybridMultilevel"/>
    <w:lvl w:ilvl="0">
      <w:lvlJc w:val="left"/>
      <w:lvlText w:val="9"/>
      <w:numFmt w:val="bullet"/>
      <w:start w:val="1"/>
    </w:lvl>
  </w:abstractNum>
  <w:abstractNum w:abstractNumId="23">
    <w:nsid w:val="836C40E"/>
    <w:multiLevelType w:val="hybridMultilevel"/>
    <w:lvl w:ilvl="0">
      <w:lvlJc w:val="left"/>
      <w:lvlText w:val="%1"/>
      <w:numFmt w:val="decimal"/>
      <w:start w:val="10"/>
    </w:lvl>
  </w:abstractNum>
  <w:abstractNum w:abstractNumId="24">
    <w:nsid w:val="2901D82"/>
    <w:multiLevelType w:val="hybridMultilevel"/>
    <w:lvl w:ilvl="0">
      <w:lvlJc w:val="left"/>
      <w:lvlText w:val="%1"/>
      <w:numFmt w:val="decimal"/>
      <w:start w:val="12"/>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
    </w:lvl>
    <w:lvl w:ilvl="1">
      <w:lvlJc w:val="left"/>
      <w:lvlText w:val="(%2)"/>
      <w:numFmt w:val="lowerRoman"/>
      <w:start w:val="1"/>
    </w:lvl>
  </w:abstractNum>
  <w:abstractNum w:abstractNumId="30">
    <w:nsid w:val="6CEAF087"/>
    <w:multiLevelType w:val="hybridMultilevel"/>
    <w:lvl w:ilvl="0">
      <w:lvlJc w:val="left"/>
      <w:lvlText w:val="(%1)"/>
      <w:numFmt w:val="lowerRoman"/>
      <w:start w:val="1"/>
    </w:lvl>
  </w:abstractNum>
  <w:abstractNum w:abstractNumId="31">
    <w:nsid w:val="22221A70"/>
    <w:multiLevelType w:val="hybridMultilevel"/>
    <w:lvl w:ilvl="0">
      <w:lvlJc w:val="left"/>
      <w:lvlText w:val="%1"/>
      <w:numFmt w:val="decimal"/>
      <w:start w:val="1"/>
    </w:lvl>
    <w:lvl w:ilvl="1">
      <w:lvlJc w:val="left"/>
      <w:lvlText w:val="(%2)"/>
      <w:numFmt w:val="lowerRoman"/>
      <w:start w:val="1"/>
    </w:lvl>
  </w:abstractNum>
  <w:abstractNum w:abstractNumId="32">
    <w:nsid w:val="4516DDE9"/>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2023-10-16T16:22:18Z</dcterms:created>
  <dcterms:modified xsi:type="dcterms:W3CDTF">2023-10-16T16:22:18Z</dcterms:modified>
</cp:coreProperties>
</file>