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18510ds3.htm"/>
        <w:bookmarkStart w:id="1" w:name="ksd518510ds3"/>
        <w:bookmarkEnd w:id="0"/>
        <w:bookmarkEnd w:id="1"/>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September 1,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32"/>
        </w:rPr>
      </w:pPr>
      <w:r>
        <w:rPr>
          <w:rFonts w:ascii="Times New Roman" w:hAnsi="Times New Roman"/>
          <w:b/>
          <w:sz w:val="32"/>
        </w:rPr>
        <w:t>FORM S-3</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42"/>
        </w:rPr>
      </w:pPr>
      <w:r>
        <w:rPr>
          <w:rFonts w:ascii="Times New Roman" w:hAnsi="Times New Roman"/>
          <w:b/>
          <w:sz w:val="42"/>
        </w:rPr>
        <w:t xml:space="preserve">ALX ONCOLOGY HOLDINGS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85-0642577</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40" w:after="0"/>
        <w:jc w:val="center"/>
        <w:rPr>
          <w:rFonts w:ascii="Times New Roman" w:hAnsi="Times New Roman"/>
          <w:b/>
          <w:sz w:val="18"/>
        </w:rPr>
      </w:pPr>
      <w:r>
        <w:rPr>
          <w:rFonts w:ascii="Times New Roman" w:hAnsi="Times New Roman"/>
          <w:b/>
          <w:sz w:val="18"/>
        </w:rPr>
        <w:t xml:space="preserve">323 Allerton Avenue </w:t>
      </w:r>
    </w:p>
    <w:p>
      <w:pPr>
        <w:pStyle w:val="TextBody"/>
        <w:bidi w:val="0"/>
        <w:spacing w:before="0" w:after="0"/>
        <w:jc w:val="center"/>
        <w:rPr>
          <w:rFonts w:ascii="Times New Roman" w:hAnsi="Times New Roman"/>
          <w:b/>
          <w:sz w:val="18"/>
        </w:rPr>
      </w:pPr>
      <w:r>
        <w:rPr>
          <w:rFonts w:ascii="Times New Roman" w:hAnsi="Times New Roman"/>
          <w:b/>
          <w:sz w:val="18"/>
        </w:rPr>
        <w:t xml:space="preserve">South San Francisco, CA 94080 </w:t>
      </w:r>
    </w:p>
    <w:p>
      <w:pPr>
        <w:pStyle w:val="TextBody"/>
        <w:bidi w:val="0"/>
        <w:spacing w:before="0" w:after="0"/>
        <w:jc w:val="center"/>
        <w:rPr>
          <w:rFonts w:ascii="Times New Roman" w:hAnsi="Times New Roman"/>
          <w:b/>
          <w:sz w:val="18"/>
        </w:rPr>
      </w:pPr>
      <w:r>
        <w:rPr>
          <w:rFonts w:ascii="Times New Roman" w:hAnsi="Times New Roman"/>
          <w:b/>
          <w:sz w:val="18"/>
        </w:rPr>
        <w:t>650-466-7125</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Jaume Pons, Ph.D.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ALX Oncology Holdings Inc. </w:t>
      </w:r>
    </w:p>
    <w:p>
      <w:pPr>
        <w:pStyle w:val="TextBody"/>
        <w:bidi w:val="0"/>
        <w:spacing w:before="0" w:after="0"/>
        <w:jc w:val="center"/>
        <w:rPr>
          <w:rFonts w:ascii="Times New Roman" w:hAnsi="Times New Roman"/>
          <w:b/>
          <w:sz w:val="18"/>
        </w:rPr>
      </w:pPr>
      <w:r>
        <w:rPr>
          <w:rFonts w:ascii="Times New Roman" w:hAnsi="Times New Roman"/>
          <w:b/>
          <w:sz w:val="18"/>
        </w:rPr>
        <w:t xml:space="preserve">323 Allerton Avenue </w:t>
      </w:r>
    </w:p>
    <w:p>
      <w:pPr>
        <w:pStyle w:val="TextBody"/>
        <w:bidi w:val="0"/>
        <w:spacing w:before="0" w:after="0"/>
        <w:jc w:val="center"/>
        <w:rPr>
          <w:rFonts w:ascii="Times New Roman" w:hAnsi="Times New Roman"/>
          <w:b/>
          <w:sz w:val="18"/>
        </w:rPr>
      </w:pPr>
      <w:r>
        <w:rPr>
          <w:rFonts w:ascii="Times New Roman" w:hAnsi="Times New Roman"/>
          <w:b/>
          <w:sz w:val="18"/>
        </w:rPr>
        <w:t xml:space="preserve">South San Francisco, CA 94080 </w:t>
      </w:r>
    </w:p>
    <w:p>
      <w:pPr>
        <w:pStyle w:val="TextBody"/>
        <w:bidi w:val="0"/>
        <w:spacing w:before="0" w:after="0"/>
        <w:jc w:val="center"/>
        <w:rPr>
          <w:rFonts w:ascii="Times New Roman" w:hAnsi="Times New Roman"/>
          <w:b/>
          <w:sz w:val="18"/>
        </w:rPr>
      </w:pPr>
      <w:r>
        <w:rPr>
          <w:rFonts w:ascii="Times New Roman" w:hAnsi="Times New Roman"/>
          <w:b/>
          <w:sz w:val="18"/>
        </w:rPr>
        <w:t>650-466-7125</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center"/>
        <w:rPr>
          <w:rFonts w:ascii="Times New Roman" w:hAnsi="Times New Roman"/>
          <w:b/>
          <w:sz w:val="18"/>
        </w:rPr>
      </w:pPr>
      <w:r>
        <w:rPr>
          <w:rFonts w:ascii="Times New Roman" w:hAnsi="Times New Roman"/>
          <w:b/>
          <w:sz w:val="18"/>
        </w:rPr>
        <w:t xml:space="preserve">Kenneth A. Clark </w:t>
      </w:r>
    </w:p>
    <w:p>
      <w:pPr>
        <w:pStyle w:val="TextBody"/>
        <w:bidi w:val="0"/>
        <w:spacing w:before="0" w:after="0"/>
        <w:jc w:val="center"/>
        <w:rPr>
          <w:rFonts w:ascii="Times New Roman" w:hAnsi="Times New Roman"/>
          <w:b/>
          <w:sz w:val="18"/>
        </w:rPr>
      </w:pPr>
      <w:r>
        <w:rPr>
          <w:rFonts w:ascii="Times New Roman" w:hAnsi="Times New Roman"/>
          <w:b/>
          <w:sz w:val="18"/>
        </w:rPr>
        <w:t xml:space="preserve">Michael E. Coke </w:t>
      </w:r>
    </w:p>
    <w:p>
      <w:pPr>
        <w:pStyle w:val="TextBody"/>
        <w:bidi w:val="0"/>
        <w:spacing w:before="0" w:after="0"/>
        <w:jc w:val="center"/>
        <w:rPr>
          <w:rFonts w:ascii="Times New Roman" w:hAnsi="Times New Roman"/>
          <w:b/>
          <w:sz w:val="18"/>
        </w:rPr>
      </w:pPr>
      <w:r>
        <w:rPr>
          <w:rFonts w:ascii="Times New Roman" w:hAnsi="Times New Roman"/>
          <w:b/>
          <w:sz w:val="18"/>
        </w:rPr>
        <w:t xml:space="preserve">Christina L. Poulsen </w:t>
      </w:r>
    </w:p>
    <w:p>
      <w:pPr>
        <w:pStyle w:val="TextBody"/>
        <w:bidi w:val="0"/>
        <w:spacing w:before="0" w:after="0"/>
        <w:jc w:val="center"/>
        <w:rPr>
          <w:rFonts w:ascii="Times New Roman" w:hAnsi="Times New Roman"/>
          <w:b/>
          <w:sz w:val="18"/>
        </w:rPr>
      </w:pPr>
      <w:r>
        <w:rPr>
          <w:rFonts w:ascii="Times New Roman" w:hAnsi="Times New Roman"/>
          <w:b/>
          <w:sz w:val="18"/>
        </w:rPr>
        <w:t xml:space="preserve">Wilson Sonsini Goodrich &amp; Rosati, P.C. </w:t>
      </w:r>
    </w:p>
    <w:p>
      <w:pPr>
        <w:pStyle w:val="TextBody"/>
        <w:bidi w:val="0"/>
        <w:spacing w:before="0" w:after="0"/>
        <w:jc w:val="center"/>
        <w:rPr>
          <w:rFonts w:ascii="Times New Roman" w:hAnsi="Times New Roman"/>
          <w:b/>
          <w:sz w:val="18"/>
        </w:rPr>
      </w:pPr>
      <w:r>
        <w:rPr>
          <w:rFonts w:ascii="Times New Roman" w:hAnsi="Times New Roman"/>
          <w:b/>
          <w:sz w:val="18"/>
        </w:rPr>
        <w:t xml:space="preserve">650 Page Mill Road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California 94304 </w:t>
      </w:r>
    </w:p>
    <w:p>
      <w:pPr>
        <w:pStyle w:val="TextBody"/>
        <w:bidi w:val="0"/>
        <w:spacing w:before="0" w:after="0"/>
        <w:jc w:val="center"/>
        <w:rPr>
          <w:rFonts w:ascii="Times New Roman" w:hAnsi="Times New Roman"/>
          <w:b/>
          <w:sz w:val="18"/>
        </w:rPr>
      </w:pPr>
      <w:r>
        <w:rPr>
          <w:rFonts w:ascii="Times New Roman" w:hAnsi="Times New Roman"/>
          <w:b/>
          <w:sz w:val="18"/>
        </w:rPr>
        <w:t>650-493-9300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From time to time after the effective date of this Registration Statement. </w:t>
      </w:r>
    </w:p>
    <w:p>
      <w:pPr>
        <w:pStyle w:val="TextBody"/>
        <w:bidi w:val="0"/>
        <w:spacing w:before="40" w:after="0"/>
        <w:jc w:val="center"/>
        <w:rPr>
          <w:rFonts w:ascii="Times New Roman" w:hAnsi="Times New Roman"/>
          <w:sz w:val="18"/>
        </w:rPr>
      </w:pPr>
      <w:r>
        <w:rPr>
          <w:rFonts w:ascii="Times New Roman" w:hAnsi="Times New Roman"/>
          <w:b/>
          <w:sz w:val="18"/>
        </w:rPr>
        <w:t>(</w:t>
      </w:r>
      <w:r>
        <w:rPr>
          <w:rFonts w:ascii="Times New Roman" w:hAnsi="Times New Roman"/>
          <w:sz w:val="18"/>
        </w:rPr>
        <w:t>Approximate date of commencement of proposed sale to the public</w:t>
      </w:r>
      <w:r>
        <w:rPr>
          <w:rFonts w:ascii="Times New Roman" w:hAnsi="Times New Roman"/>
          <w:b/>
          <w:sz w:val="18"/>
        </w:rPr>
        <w:t xml:space="preserve">) </w:t>
      </w:r>
    </w:p>
    <w:p>
      <w:pPr>
        <w:pStyle w:val="TextBody"/>
        <w:bidi w:val="0"/>
        <w:spacing w:before="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on filing with the Commission pursuant to Rule 462(e)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2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2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4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EB0029"/>
          <w:sz w:val="20"/>
        </w:rPr>
      </w:pPr>
      <w:r>
        <w:rPr>
          <w:rFonts w:ascii="Arial Narrow" w:hAnsi="Arial Narrow"/>
          <w:b/>
          <w:color w:val="EB0029"/>
          <w:sz w:val="20"/>
        </w:rPr>
        <w:t xml:space="preserve">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EB0029"/>
          <w:sz w:val="20"/>
        </w:rPr>
      </w:pPr>
      <w:r>
        <w:rPr>
          <w:rFonts w:ascii="Times New Roman" w:hAnsi="Times New Roman"/>
          <w:b/>
          <w:color w:val="EB0029"/>
          <w:sz w:val="20"/>
        </w:rPr>
        <w:t xml:space="preserve">SUBJECT TO COMPLETION, DATED SEPTEMBER 1, 2023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ALX Oncology Holdings,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805" cy="78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805" cy="787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18,446,936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resale or other disposition from time to time of up to 18,446,936 shares of our common stock, par value $0.001 per share by the selling stockholders identified in this prospectus, including their transferees, pledgees, donees or other successors-in-interest (the Selling Stockholders). We are not offering any shares of our common stock for sale under this prospectus. We will not receive any of the proceeds from the sale of common stock by the Selling Stockholders. All expenses of registration incurred in connection with this offering are being borne by us. All selling and other expenses incurred by the Selling Stockholders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their securities on any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negotiated prices. See Plan of Distribution which begins on page 10. </w:t>
      </w:r>
    </w:p>
    <w:p>
      <w:pPr>
        <w:pStyle w:val="TextBody"/>
        <w:bidi w:val="0"/>
        <w:spacing w:before="240" w:after="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the entire prospectus and any amendments or supplements carefully before you make your investment decision. </w:t>
      </w:r>
    </w:p>
    <w:p>
      <w:pPr>
        <w:pStyle w:val="TextBody"/>
        <w:bidi w:val="0"/>
        <w:spacing w:before="240" w:after="0"/>
        <w:jc w:val="left"/>
        <w:rPr/>
      </w:pPr>
      <w:r>
        <w:rPr>
          <w:rFonts w:ascii="Times New Roman" w:hAnsi="Times New Roman"/>
          <w:b/>
          <w:sz w:val="24"/>
        </w:rPr>
        <w:t>INVESTING IN OUR SECURITIES INVOLVES RISKS. SEE </w:t>
      </w:r>
      <w:hyperlink w:anchor="toc518510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IN ANY SIMILAR SECTION CONTAINED IN OR INCORPORATED BY REFERENCE HEREIN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ALXO. On August 31, 2023, the last reported sale price of our common stock on The Nasdaq Global Select Market was $4.26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10">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18510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51851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the Selling Stockholders may sell securities from time to time and in one or more offerings as described in this prospectus. We may also authorize one or more free writing prospectuses to be provided to you that may contain material information relating to these offerings. The free writing prospectus may also add, update or change information contained in this prospectus with respect to that offering. If there is any inconsistency between the information in this prospectus and the applicable free writing prospectus, you should rely on the free writing prospectus. Before purchasing any securities, you should carefully read this prospectus and any applicable free writing prospectuses, together with the additional information described under the headings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provide you with any information or to make any representations other than those contained in, or incorporated by reference into, this prospectus or any free writing prospectuses prepared by or on behalf of us or to which we have referred you. We and the Selling Stockholders take no responsibility for, and can provide no assurance as to the reliability of, any other information that others may give you. The Selling Stockholders will not make an offer to sell these securities in any jurisdiction where the offer or sale is not permitted. You should assume that the information appearing in this prospectus is accurate only as of the date on its respective cover, that the information appearing in any applicable free writing prospectus is accurate only as of the date of that free writing prospectus,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and any related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ALX Oncology Holdings, we, our, us and the Company in this prospectus, we mean ALX Oncology Holdings Inc., unless the context indicates otherwise or unless otherwise specified. When we refer to you, we mean the potential purchasers of the applicable series of securities offered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518510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common stock discussed under Risk Factors beginning on page 4 of this prospectus, the Risk Factors section of our most recent Annual Report on Form 10-K, as may be updated by our subsequent Quarterly Reports on Form 10-Q, along with our consolidated financial statements and notes to those consolidated financial statements and the other information incorporated by reference in this prospectus supplement and the accompanying prospectus and in our filings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immuno-oncology company focused on helping patients fight cancer by developing a pipeline of product candidates lock the CD47 immune checkpoint pathway. Our lead candidate, evorpacept, is currently in multiple Phase 1 and 2 clinical trials. Cancer cells leverage CD47, a cell surface protein, as a dont eat me signal to evade macrophage phagocytosis or as a dont activate T-cell signal that prevents activation of T-cells by dendritic cells. Our company is developing a next-generation checkpoint inhibitor designed to have a high affinity for CD47 and to avoid the limitations caused by hematologic toxicities inherent in other CD47 blocking approaches. Rationally engineered with an inactive Fc effector function, evorpacepts clinical data has demonstrated a substantially better safety profile to date than other anti-CD47 molecules in the clinic with an active Fc (i.e., binding the Fc gamma receptor on macrophages). This favorable safety profile allows us to dose higher with minimal overlapping toxicity in the combination treatment setting. CD47 expressed on cancer cells binds to its receptor SIRPα, which is predominantly expressed on two cell types: macrophages and dendritic cells. ALX Oncology intends to focus evorpacept development with the standard-of-care agents, as originally designed, revolving around these two cell types. As of June 30, 2023, we had dosed over 300 subjects with evorpacept across a range of hematologic and solid malignancies in combination with a number of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 Additionally, with our acquisition of ScalmiBio, Inc. (ScalmiBio) in October 2021, we are developing antibody drug conjugate, or ADC, candidates based on our expertise in protein engineering and oncology.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ALX Oncology and other marks as trademarks in the United States and other countries.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Stockholders: </w:t>
            </w:r>
          </w:p>
        </w:tc>
        <w:tc>
          <w:tcPr>
            <w:tcW w:w="6328" w:type="dxa"/>
            <w:tcBorders/>
          </w:tcPr>
          <w:p>
            <w:pPr>
              <w:pStyle w:val="TableContents"/>
              <w:bidi w:val="0"/>
              <w:spacing w:before="0" w:after="283"/>
              <w:jc w:val="left"/>
              <w:rPr/>
            </w:pPr>
            <w:r>
              <w:rPr/>
              <w:t xml:space="preserve">Up to 18,446,936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Outstanding as of June 30, 2023 </w:t>
            </w:r>
          </w:p>
        </w:tc>
        <w:tc>
          <w:tcPr>
            <w:tcW w:w="6328" w:type="dxa"/>
            <w:tcBorders/>
          </w:tcPr>
          <w:p>
            <w:pPr>
              <w:pStyle w:val="TableContents"/>
              <w:bidi w:val="0"/>
              <w:spacing w:before="0" w:after="283"/>
              <w:jc w:val="left"/>
              <w:rPr/>
            </w:pPr>
            <w:r>
              <w:rPr/>
              <w:t xml:space="preserve">40,992,179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shares of our common stock by the Selling Stockholders in this offering. See the sections titled Use of Proceeds and Selling Stockholders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 xml:space="preserve">ALXO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securities involves substantial risks. You should read the Risk Factors section of this prospectus and in the documents incorporated by reference in this prospectus for a discussion of factors to consider before deciding to purchase our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51851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this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by the selling stockholders of the shares of our common stock covered by this prospectus could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18,446,936 shares of common stock registered hereby represent approximately 45.0% of our total outstanding shares of common stock as of June 30, 2023. The resale of all or a substantial number of these shares in the public market by the selling stockholders, or the perception that such sales might occur, could depress the market price of our common stock, which could impair our ability to raise capital through the sale of additional equity or equity-linked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518510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our ability to grow a sales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to conduct preclinical research activities, and for the manufacture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mechanisms of action, safety profile,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and focus of our current and future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product candidates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including collaborations and investigator sponsored trials, to demonstrate the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product candidates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and ability to successfully manufacture and supply our product candidates for clinical trials and for commercial use,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clinical trials of our product candidates, and for the manufacture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including our technology platform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COVID-19 pandemic, rising interest rates, bank failures or instability in the financial services sector, or geopolitical risks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for and prospects of our acquisitions and other business development activities, and our ability to successfully capitalize on these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financial and internal controls;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and cash equivalents, short-term and long-term investments, and the funds available from our term loan.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51851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our common stock in this offering. The Selling Stockholders will receive all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fees and expenses of our counsel, certain expenses of counsel to the Selling Stockholders and our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518510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On April 1, 2020, we entered into an investors rights agreement with the Selling Stockholders and certain other stockholders. This prospectus, which is being filed pursuant to our obligations under the investors rights agreement, covers the sale or other disposition by the Selling Stockholders of up to the total number of shares of common stock held by the selling stockholders. The shares of common stock were originally acquired in various transactions prior to or in conjunction with the Companys initial public offering.</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the Selling Stockholder in this prospectus, we mean the person listed in the table below, as well as its donees, pledgees, assignees, transferees, distributees, successors and others who later hold the resale shares. 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covered hereby. The shares of our common stock covered hereby may be offered from time to time by the Selling Stockholders.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of each Selling Stockholder, the number of shares and percentage of our common stock beneficially owned by the Selling Stockholders as of June 30, 2023, based on 40,992,179 shares of our common stock outstanding, after giving effect to the resales, the number of shares of our common stock that may be offered under this prospectus, and the number and percentage of our common stock beneficially owned by the Selling Stockholders assuming all of the shares of our common stock registered hereunder are sold. 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The number of shares of our common stock in the column Number of Shares Offered represents all of the shares of our common stock that a Selling Stockholder may offer and sell from time to time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regarding shares beneficially owned after the offering assumes the sale of all shares offered by the Selling Stockholders. To our knowledge, subject to community property laws where applicable, except as otherwise noted in any footnote to the table, each person named in the table has sole voting and investment power with respect to the shares of common stock set forth opposite such persons name.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9"/>
        <w:gridCol w:w="184"/>
        <w:gridCol w:w="68"/>
        <w:gridCol w:w="1148"/>
        <w:gridCol w:w="60"/>
        <w:gridCol w:w="184"/>
        <w:gridCol w:w="142"/>
        <w:gridCol w:w="1049"/>
        <w:gridCol w:w="282"/>
        <w:gridCol w:w="184"/>
        <w:gridCol w:w="60"/>
        <w:gridCol w:w="986"/>
        <w:gridCol w:w="60"/>
        <w:gridCol w:w="184"/>
        <w:gridCol w:w="878"/>
        <w:gridCol w:w="332"/>
        <w:gridCol w:w="198"/>
        <w:gridCol w:w="296"/>
        <w:gridCol w:w="869"/>
        <w:gridCol w:w="341"/>
        <w:gridCol w:w="71"/>
      </w:tblGrid>
      <w:tr>
        <w:trPr/>
        <w:tc>
          <w:tcPr>
            <w:tcW w:w="2629"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62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6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Offering</w:t>
            </w:r>
          </w:p>
        </w:tc>
        <w:tc>
          <w:tcPr>
            <w:tcW w:w="28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4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9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Offering</w:t>
            </w:r>
          </w:p>
        </w:tc>
        <w:tc>
          <w:tcPr>
            <w:tcW w:w="71" w:type="dxa"/>
            <w:tcBorders/>
            <w:vAlign w:val="bottom"/>
          </w:tcPr>
          <w:p>
            <w:pPr>
              <w:pStyle w:val="TableContents"/>
              <w:bidi w:val="0"/>
              <w:spacing w:before="0" w:after="283"/>
              <w:jc w:val="left"/>
              <w:rPr/>
            </w:pPr>
            <w:r>
              <w:rPr/>
              <w:t> </w:t>
            </w:r>
          </w:p>
        </w:tc>
      </w:tr>
      <w:tr>
        <w:trPr/>
        <w:tc>
          <w:tcPr>
            <w:tcW w:w="2629" w:type="dxa"/>
            <w:tcBorders/>
            <w:vAlign w:val="bottom"/>
          </w:tcPr>
          <w:p>
            <w:pPr>
              <w:pStyle w:val="TableContents"/>
              <w:bidi w:val="0"/>
              <w:spacing w:before="0" w:after="283"/>
              <w:jc w:val="left"/>
              <w:rPr>
                <w:b/>
              </w:rPr>
            </w:pPr>
            <w:r>
              <w:rPr>
                <w:b/>
              </w:rPr>
              <w:t>Name</w:t>
            </w:r>
          </w:p>
        </w:tc>
        <w:tc>
          <w:tcPr>
            <w:tcW w:w="184"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Beneficially</w:t>
              <w:br/>
              <w:t>Owned</w:t>
            </w:r>
          </w:p>
        </w:tc>
        <w:tc>
          <w:tcPr>
            <w:tcW w:w="28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Offered</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1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Beneficially</w:t>
              <w:br/>
              <w:t>Owned</w:t>
            </w:r>
          </w:p>
        </w:tc>
        <w:tc>
          <w:tcPr>
            <w:tcW w:w="71"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Entities affiliated with venBio Partners(1)</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9,699,925</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23.7</w:t>
            </w:r>
          </w:p>
        </w:tc>
        <w:tc>
          <w:tcPr>
            <w:tcW w:w="28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9,699,925</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right"/>
              <w:rPr/>
            </w:pPr>
            <w:r>
              <w:rPr/>
              <w:t></w:t>
            </w:r>
          </w:p>
        </w:tc>
        <w:tc>
          <w:tcPr>
            <w:tcW w:w="1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2629" w:type="dxa"/>
            <w:tcBorders/>
          </w:tcPr>
          <w:p>
            <w:pPr>
              <w:pStyle w:val="TableContents"/>
              <w:bidi w:val="0"/>
              <w:spacing w:before="0" w:after="0"/>
              <w:jc w:val="left"/>
              <w:rPr>
                <w:rFonts w:ascii="Times New Roman" w:hAnsi="Times New Roman"/>
                <w:b/>
                <w:sz w:val="20"/>
              </w:rPr>
            </w:pPr>
            <w:r>
              <w:rPr>
                <w:rFonts w:ascii="Times New Roman" w:hAnsi="Times New Roman"/>
                <w:b/>
                <w:sz w:val="20"/>
              </w:rPr>
              <w:t>Entities affiliated with Lightstone Ventures(2)</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4,526,963</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11.0</w:t>
            </w:r>
          </w:p>
        </w:tc>
        <w:tc>
          <w:tcPr>
            <w:tcW w:w="28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4,526,963</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right"/>
              <w:rPr/>
            </w:pPr>
            <w:r>
              <w:rPr/>
              <w:t></w:t>
            </w:r>
          </w:p>
        </w:tc>
        <w:tc>
          <w:tcPr>
            <w:tcW w:w="1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Entities affiliated with Vivo Capital(3)</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4,220,048</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10.3</w:t>
            </w:r>
          </w:p>
        </w:tc>
        <w:tc>
          <w:tcPr>
            <w:tcW w:w="28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4,220,048</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right"/>
              <w:rPr/>
            </w:pPr>
            <w:r>
              <w:rPr/>
              <w:t></w:t>
            </w:r>
          </w:p>
        </w:tc>
        <w:tc>
          <w:tcPr>
            <w:tcW w:w="1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GS GP II Ltd and GS GP Ltd and the Managing Directors of venBio SPV, LLC (SPV LLC), Robert Adelman and Corey Goodman, one of our directors, share voting and dispositive power with respect to the shares held of record by GSF II LP, GSF LP and SPV LLC. This amount excludes: (i) 96,406 shares held of record by Dr. Adelman; (ii) 113,287 shares held of record by the Goodman Barinaga Trust for which Dr. Goodman serves as trustee; (iii) 54,083 shares held of record by the Emaldi Corporation for which Dr. Goodman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serves as a director; and (iv) 51,383 shares issuable upon options held of record by Dr. Goodman that are currently exercisable or exercisable within 60 days of June 30, 2023. The address for these entities is c/o venBio Partners, LLC, 1700 Owens Street, Suite 595, San Francisco, California 94158.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 of (i) 2,097,327 shares held of record by Lightstone Ventures, LP (LV LP); (ii) 2,023,469 shares held of record by Lightstone Ventures II, LP (LV II LP); (iii) 285,955 shares held of record by Lightstone Ventures (A), LP (LV(A) LP); and (iv) 120,212 shares held of record by Lightstone Ventures II (A), LP (LV II(A) LP and, collectively with LV LP, LV II LP and LV(A) LP, the Lightstone Funds). LSV Associates, LLC (LSV Associates) is the General Partner of LV LP and LV(A) LP, and LSV Associates II, LLC (LSV Associates II) is the General Partner of LV II LP and LV II(A) LP. As the managing directors of LSV Associates and LSV Associates II, Michael A. Carusi, Jean M. George and Henry A. Plain, Jr. share voting and dispositive power with respect to the shares held of record by the Lightstone Funds. The address for these entities is c/o LSV Capital Management, LLC, 2884 Sand Hill Road, Suite 121, Menlo Park, California 94025.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 of (i) 4,034,522 shares held of record by Vivo Capital Fund IX, L.P. (VIVO IX LP) and (ii) 185,526 shares held of record by Vivo Opportunity Fund Holdings, L.P. (VOF). Vivo Capital IX, LLC (VIVO IX LLC) is the General Partner of VIVO IX LP. Vivo Opportunity, LLC is the general partner of VOF. The address for these entities is c/o Vivo Capital, 192 Lytton Avenue, Palo Alto, California 94301.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Party Transactions with the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Dr. Corey Goodman, a member of our board directors and the Executive Chairman of our board of directors, co-founded and has served as a Managing Partner of venBio Partners, or venBio, since March 2010. </w:t>
      </w:r>
    </w:p>
    <w:p>
      <w:pPr>
        <w:pStyle w:val="TextBody"/>
        <w:bidi w:val="0"/>
        <w:spacing w:before="240" w:after="0"/>
        <w:jc w:val="left"/>
        <w:rPr>
          <w:rFonts w:ascii="Times New Roman" w:hAnsi="Times New Roman"/>
          <w:sz w:val="20"/>
        </w:rPr>
      </w:pPr>
      <w:r>
        <w:rPr>
          <w:rFonts w:ascii="Times New Roman" w:hAnsi="Times New Roman"/>
          <w:sz w:val="20"/>
        </w:rPr>
        <w:t xml:space="preserve">Dr. Jaume Pons, our President, Chief Executive Officer, Chief Executive Officer of ALX Oncology Limited, and a member of our board of directors, has served as a Venture Partner at venBio since January 2017. Dr. Pons entered into a consulting agreement with venBio to provide assistance with deal generation, evaluate potential investments and serve on boards of venBios portfolio companies. In accordance with this agreement as compensation for services provided, venBio paid Dr. Pons approximately $125,000 per year each year from 2017 to 2022. The consulting agreement remains in effect until terminated by either party with or without prior notice. </w:t>
      </w:r>
    </w:p>
    <w:p>
      <w:pPr>
        <w:pStyle w:val="TextBody"/>
        <w:bidi w:val="0"/>
        <w:spacing w:before="240" w:after="0"/>
        <w:jc w:val="left"/>
        <w:rPr>
          <w:rFonts w:ascii="Times New Roman" w:hAnsi="Times New Roman"/>
          <w:sz w:val="20"/>
        </w:rPr>
      </w:pPr>
      <w:r>
        <w:rPr>
          <w:rFonts w:ascii="Times New Roman" w:hAnsi="Times New Roman"/>
          <w:sz w:val="20"/>
        </w:rPr>
        <w:t xml:space="preserve">Dr. Pons has served as a Scientific Advisor at Lightstone Ventures, or Lightstone, since January 2019. </w:t>
      </w:r>
    </w:p>
    <w:p>
      <w:pPr>
        <w:pStyle w:val="TextBody"/>
        <w:bidi w:val="0"/>
        <w:spacing w:before="240" w:after="0"/>
        <w:jc w:val="left"/>
        <w:rPr>
          <w:rFonts w:ascii="Times New Roman" w:hAnsi="Times New Roman"/>
          <w:sz w:val="20"/>
        </w:rPr>
      </w:pPr>
      <w:r>
        <w:rPr>
          <w:rFonts w:ascii="Times New Roman" w:hAnsi="Times New Roman"/>
          <w:sz w:val="20"/>
        </w:rPr>
        <w:t xml:space="preserve">Jack Nielsen, a member of our board of directors, has served as a Managing Partner at Vivo Capital LLC since March 2021 and previously served as a Managing Director since August 2017. </w:t>
      </w:r>
    </w:p>
    <w:p>
      <w:pPr>
        <w:pStyle w:val="TextBody"/>
        <w:bidi w:val="0"/>
        <w:spacing w:before="240" w:after="0"/>
        <w:jc w:val="left"/>
        <w:rPr>
          <w:rFonts w:ascii="Times New Roman" w:hAnsi="Times New Roman"/>
          <w:sz w:val="20"/>
        </w:rPr>
      </w:pPr>
      <w:r>
        <w:rPr>
          <w:rFonts w:ascii="Times New Roman" w:hAnsi="Times New Roman"/>
          <w:sz w:val="20"/>
        </w:rPr>
        <w:t xml:space="preserve">For a detailed discussion of our directors compensation and our related party transactions, please see the Director Compensation and Certain Relationships, Related Party and Other Transactions sections, respectively, in our Definitive Proxy Statement on Schedule 14A, filed with the SEC on April 24,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518510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pledges, transferees or other successors-in-interest selling shares of common stock previously issued and the shares of common stock issuable upon exercise of interests in shares of common stock received after the date of this prospectus from a Selling Stockholder as a gift, pledge, partnership distribution or other transfer, may, from time to time, sell, transfer or otherwise dispose any or all of the shares of common stock beneficially owned by them and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sales may be made on one or more exchanges or in the over-the-counter market or otherwise, at prices and at terms then prevailing or at prices related to the then current market price, or in negotiated transactions. The Selling Stockholders may also pledge the shares of common stock to secure debts and other obligations or on foreclosure of a pledge, in options transactions or through convertible securities or agreements to be satisfied by the delivery of shares of common stock, or any other manner permitted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effect such transactions by selling the shares of common stock to or through broker-dealers. The shares of common stock may be sold through broker-dealers by one or more of, or a combination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broker-dealer so engaged will attempt to sell the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shares under Rule 144 under the Securities Act of 1933, as amended, if available, rather than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transfer the shares of common stock in other circumstances, in which case the transferees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have informed us that, except as set forth below, none of them have any agreement or understanding, directly or indirectly, with any person to distribute the common stock. If any Selling Stockholder notifies us that a material arrangement has been entered into with a broker-dealer for the sale of shares through a block trade, special offering or secondary distribution or a purchase by a broker or dealer, we may be required to file a prospectus supplement pursuant to the applicable rules promulgated under the Securities Act of 1933. Selling Stockholders who are entities rather than natural persons may distribute shares to their partners, members, shareholders or other owners in normal course, who may in turn sell the shares in the manner listed above. The Selling Stockholders may also sell their shares through a combination of any of the above methods of sale.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Selling Stockholder will sell any or all of the shares of common stock registered pursuant to the shelf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all fees and expenses incident to the registration of the shares. We have agreed to indemnify the Selling Stockholders against certain losses, claims, damages and liabilities, including liabilities under the Securities Act, or the Selling Stockholders may be entitled to contribution. We may be indemnified by the Selling Stockholders against civil liabilities, including liabilities under the Securities Act that may arise from written information furnished to us by the Selling Stockholders specifically for use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restrict or suspend offers and sales or other dispositions of the shares under the shelf registration statement, of which this prospectus forms a part, at any time from and after the effective date of the shelf registration statement, subject to certain terms and conditions. In the event of such restriction or suspension, the Selling Stockholders will not be able to offer or sell or otherwise dispose of the shares of common stock under the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Once sold under the shelf registration statement, of which this prospectus forms a part, the shares of common stock will be freely tradeable in the hands of persons other than our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518510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offered hereby has been passed upon for us by Wilson Sonsini Goodrich &amp; Rosati, Professional Corporation, Palo Alto, California.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1" w:name="toc518510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ALX Oncology Holdings Inc. and subsidiaries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480" w:after="0"/>
        <w:jc w:val="center"/>
        <w:rPr>
          <w:rFonts w:ascii="Times New Roman" w:hAnsi="Times New Roman"/>
          <w:b/>
          <w:sz w:val="20"/>
        </w:rPr>
      </w:pPr>
      <w:bookmarkStart w:id="12" w:name="toc518510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518510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March 9,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and June 30, 2023, filed with the SEC on </w:t>
            </w:r>
            <w:hyperlink r:id="rId4">
              <w:r>
                <w:rPr>
                  <w:rStyle w:val="InternetLink"/>
                  <w:rFonts w:ascii="Times New Roman" w:hAnsi="Times New Roman"/>
                  <w:sz w:val="20"/>
                </w:rPr>
                <w:t>May  11, 2023</w:t>
              </w:r>
            </w:hyperlink>
            <w:r>
              <w:rPr>
                <w:rFonts w:ascii="Times New Roman" w:hAnsi="Times New Roman"/>
                <w:sz w:val="20"/>
              </w:rPr>
              <w:t xml:space="preserve"> and </w:t>
            </w:r>
            <w:hyperlink r:id="rId5">
              <w:r>
                <w:rPr>
                  <w:rStyle w:val="InternetLink"/>
                  <w:rFonts w:ascii="Times New Roman" w:hAnsi="Times New Roman"/>
                  <w:sz w:val="20"/>
                </w:rPr>
                <w:t>August 10,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June  20,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 our Annual Report on Form 10-K for the year ended December 31, 2022, from our </w:t>
            </w:r>
            <w:hyperlink r:id="rId7">
              <w:r>
                <w:rPr>
                  <w:rStyle w:val="InternetLink"/>
                  <w:rFonts w:ascii="Times New Roman" w:hAnsi="Times New Roman"/>
                  <w:sz w:val="20"/>
                </w:rPr>
                <w:t>definitive proxy statement</w:t>
              </w:r>
            </w:hyperlink>
            <w:r>
              <w:rPr>
                <w:rFonts w:ascii="Times New Roman" w:hAnsi="Times New Roman"/>
                <w:sz w:val="20"/>
              </w:rPr>
              <w:t xml:space="preserve"> relating to our 2023 annual meeting of stockholders, filed with the SEC on April 24,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8">
              <w:r>
                <w:rPr>
                  <w:rStyle w:val="InternetLink"/>
                  <w:rFonts w:ascii="Times New Roman" w:hAnsi="Times New Roman"/>
                  <w:sz w:val="20"/>
                </w:rPr>
                <w:t>Form 8-A</w:t>
              </w:r>
            </w:hyperlink>
            <w:r>
              <w:rPr>
                <w:rFonts w:ascii="Times New Roman" w:hAnsi="Times New Roman"/>
                <w:sz w:val="20"/>
              </w:rPr>
              <w:t xml:space="preserve">, filed with the SEC on July 13, 2020, including any amendments thereto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a copy of any or all of the information that is incorporated by reference in the prospectus but not delivered with the prospectus. You can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ALX Oncology Holdings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323 Allerton Avenue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650-466-7125</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accessible through any website referred to in this prospectus or any document incorporated herein is not, and should not be deemed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(other than the SEC registration and FINRA filing fees) of the expenses (all of which are to be paid by the registrant) that we may incur in connection with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42"/>
        <w:gridCol w:w="412"/>
        <w:gridCol w:w="145"/>
        <w:gridCol w:w="582"/>
        <w:gridCol w:w="158"/>
      </w:tblGrid>
      <w:tr>
        <w:trPr/>
        <w:tc>
          <w:tcPr>
            <w:tcW w:w="5642"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8,396</w:t>
            </w:r>
          </w:p>
        </w:tc>
        <w:tc>
          <w:tcPr>
            <w:tcW w:w="158" w:type="dxa"/>
            <w:tcBorders/>
            <w:shd w:fill="CCEEFF" w:val="clear"/>
            <w:vAlign w:val="bottom"/>
          </w:tcPr>
          <w:p>
            <w:pPr>
              <w:pStyle w:val="TableContents"/>
              <w:bidi w:val="0"/>
              <w:spacing w:before="0" w:after="283"/>
              <w:jc w:val="left"/>
              <w:rPr/>
            </w:pPr>
            <w:r>
              <w:rPr/>
              <w:t> </w:t>
            </w:r>
          </w:p>
        </w:tc>
      </w:tr>
      <w:tr>
        <w:trPr/>
        <w:tc>
          <w:tcPr>
            <w:tcW w:w="5642"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5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 (including Blue Sky fees)</w:t>
            </w:r>
          </w:p>
        </w:tc>
        <w:tc>
          <w:tcPr>
            <w:tcW w:w="4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5642"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5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trustee and warrant agent and depositary fees and expenses</w:t>
            </w:r>
          </w:p>
        </w:tc>
        <w:tc>
          <w:tcPr>
            <w:tcW w:w="4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5642"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5642"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8,396</w:t>
            </w:r>
          </w:p>
        </w:tc>
        <w:tc>
          <w:tcPr>
            <w:tcW w:w="158" w:type="dxa"/>
            <w:tcBorders/>
            <w:shd w:fill="CCEEFF" w:val="clear"/>
            <w:vAlign w:val="bottom"/>
          </w:tcPr>
          <w:p>
            <w:pPr>
              <w:pStyle w:val="TableContents"/>
              <w:bidi w:val="0"/>
              <w:spacing w:before="0" w:after="283"/>
              <w:jc w:val="left"/>
              <w:rPr/>
            </w:pPr>
            <w:r>
              <w:rPr/>
              <w:t> </w:t>
            </w:r>
          </w:p>
        </w:tc>
      </w:tr>
      <w:tr>
        <w:trPr/>
        <w:tc>
          <w:tcPr>
            <w:tcW w:w="5642"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Delaware General Corporation Law. The registrant has entered into indemnification agreements with each of its directors and officers to provide these directors additional contractual assurances regarding the scope of the indemnification set forth in the registrants Certificate of Incorporation and amended and restated By-laws and to provide additional procedural protections. There is no pending litigation or proceeding involving a director or executive officer of the registrant for which indemnification is sought.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unlawful payments of dividends or unlawful stock repurchases, redemptions or other distributions, (iv) for any transaction from which the director or officer derived an improper personal benefit, or (v) an officer in any action by or in the right of the corporation. The registrants Certificate of Incorporation provides for such 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S-3 is set forth on the Exhibit Index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
        <w:gridCol w:w="350"/>
        <w:gridCol w:w="3276"/>
        <w:gridCol w:w="240"/>
        <w:gridCol w:w="554"/>
        <w:gridCol w:w="240"/>
        <w:gridCol w:w="962"/>
        <w:gridCol w:w="240"/>
        <w:gridCol w:w="723"/>
        <w:gridCol w:w="240"/>
        <w:gridCol w:w="1406"/>
        <w:gridCol w:w="240"/>
        <w:gridCol w:w="993"/>
      </w:tblGrid>
      <w:tr>
        <w:trPr/>
        <w:tc>
          <w:tcPr>
            <w:tcW w:w="741"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27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741"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327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598" w:type="dxa"/>
            <w:gridSpan w:val="9"/>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INCORPORATED BY REFERENCE</w:t>
            </w:r>
          </w:p>
        </w:tc>
      </w:tr>
      <w:tr>
        <w:trPr/>
        <w:tc>
          <w:tcPr>
            <w:tcW w:w="74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w:t>
            </w:r>
          </w:p>
        </w:tc>
        <w:tc>
          <w:tcPr>
            <w:tcW w:w="350" w:type="dxa"/>
            <w:tcBorders/>
            <w:vAlign w:val="bottom"/>
          </w:tcPr>
          <w:p>
            <w:pPr>
              <w:pStyle w:val="TableContents"/>
              <w:bidi w:val="0"/>
              <w:spacing w:before="0" w:after="283"/>
              <w:jc w:val="left"/>
              <w:rPr/>
            </w:pPr>
            <w:r>
              <w:rPr/>
              <w:t>  </w:t>
            </w:r>
          </w:p>
        </w:tc>
        <w:tc>
          <w:tcPr>
            <w:tcW w:w="327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TITLE</w:t>
            </w:r>
          </w:p>
        </w:tc>
        <w:tc>
          <w:tcPr>
            <w:tcW w:w="240" w:type="dxa"/>
            <w:tcBorders/>
            <w:vAlign w:val="bottom"/>
          </w:tcPr>
          <w:p>
            <w:pPr>
              <w:pStyle w:val="TableContents"/>
              <w:bidi w:val="0"/>
              <w:spacing w:before="0" w:after="283"/>
              <w:jc w:val="left"/>
              <w:rPr/>
            </w:pPr>
            <w:r>
              <w:rPr/>
              <w:t>  </w:t>
            </w:r>
          </w:p>
        </w:tc>
        <w:tc>
          <w:tcPr>
            <w:tcW w:w="5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FORM</w:t>
            </w:r>
          </w:p>
        </w:tc>
        <w:tc>
          <w:tcPr>
            <w:tcW w:w="240" w:type="dxa"/>
            <w:tcBorders/>
            <w:vAlign w:val="bottom"/>
          </w:tcPr>
          <w:p>
            <w:pPr>
              <w:pStyle w:val="TableContents"/>
              <w:bidi w:val="0"/>
              <w:spacing w:before="0" w:after="283"/>
              <w:jc w:val="left"/>
              <w:rPr/>
            </w:pPr>
            <w:r>
              <w:rPr/>
              <w:t>  </w:t>
            </w:r>
          </w:p>
        </w:tc>
        <w:tc>
          <w:tcPr>
            <w:tcW w:w="96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FILE NO.</w:t>
            </w:r>
          </w:p>
        </w:tc>
        <w:tc>
          <w:tcPr>
            <w:tcW w:w="240" w:type="dxa"/>
            <w:tcBorders/>
            <w:vAlign w:val="bottom"/>
          </w:tcPr>
          <w:p>
            <w:pPr>
              <w:pStyle w:val="TableContents"/>
              <w:bidi w:val="0"/>
              <w:spacing w:before="0" w:after="283"/>
              <w:jc w:val="left"/>
              <w:rPr/>
            </w:pPr>
            <w:r>
              <w:rPr/>
              <w:t>  </w:t>
            </w:r>
          </w:p>
        </w:tc>
        <w:tc>
          <w:tcPr>
            <w:tcW w:w="72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240" w:type="dxa"/>
            <w:tcBorders/>
            <w:vAlign w:val="bottom"/>
          </w:tcPr>
          <w:p>
            <w:pPr>
              <w:pStyle w:val="TableContents"/>
              <w:bidi w:val="0"/>
              <w:spacing w:before="0" w:after="283"/>
              <w:jc w:val="left"/>
              <w:rPr/>
            </w:pPr>
            <w:r>
              <w:rPr/>
              <w:t>  </w:t>
            </w:r>
          </w:p>
        </w:tc>
        <w:tc>
          <w:tcPr>
            <w:tcW w:w="140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FILING DATE</w:t>
            </w:r>
          </w:p>
        </w:tc>
        <w:tc>
          <w:tcPr>
            <w:tcW w:w="240" w:type="dxa"/>
            <w:tcBorders/>
            <w:vAlign w:val="bottom"/>
          </w:tcPr>
          <w:p>
            <w:pPr>
              <w:pStyle w:val="TableContents"/>
              <w:bidi w:val="0"/>
              <w:spacing w:before="0" w:after="283"/>
              <w:jc w:val="left"/>
              <w:rPr/>
            </w:pPr>
            <w:r>
              <w:rPr/>
              <w:t>  </w:t>
            </w:r>
          </w:p>
        </w:tc>
        <w:tc>
          <w:tcPr>
            <w:tcW w:w="99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FILED</w:t>
              <w:br/>
              <w:t>HEREWITH</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3.1</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r:id="rId9">
              <w:r>
                <w:rPr>
                  <w:rStyle w:val="InternetLink"/>
                </w:rPr>
                <w:t>Amended and Restated Certificate of Incorporation of the Registrant.</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center"/>
              <w:rPr/>
            </w:pPr>
            <w:r>
              <w:rPr/>
              <w:t>8-K</w:t>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center"/>
              <w:rPr/>
            </w:pPr>
            <w:r>
              <w:rPr/>
              <w:t>001-39386</w:t>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center"/>
              <w:rPr/>
            </w:pPr>
            <w:r>
              <w:rPr/>
              <w:t>3.1</w:t>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center"/>
              <w:rPr/>
            </w:pPr>
            <w:r>
              <w:rPr/>
              <w:t>July 21, 2020</w:t>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3.2</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r:id="rId10">
              <w:r>
                <w:rPr>
                  <w:rStyle w:val="InternetLink"/>
                </w:rPr>
                <w:t>Amended and Restated Bylaws of the Registrant.</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center"/>
              <w:rPr/>
            </w:pPr>
            <w:r>
              <w:rPr/>
              <w:t>8-K</w:t>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center"/>
              <w:rPr/>
            </w:pPr>
            <w:r>
              <w:rPr/>
              <w:t>001-39386</w:t>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center"/>
              <w:rPr/>
            </w:pPr>
            <w:r>
              <w:rPr/>
              <w:t>3.1</w:t>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center"/>
              <w:rPr/>
            </w:pPr>
            <w:r>
              <w:rPr/>
              <w:t>June 20, 2023</w:t>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4.1</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r:id="rId11">
              <w:r>
                <w:rPr>
                  <w:rStyle w:val="InternetLink"/>
                </w:rPr>
                <w:t>Amended and Restated Investors Rights Agreement among the Registrant and certain stockholders, dated April 1, 2020.</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center"/>
              <w:rPr/>
            </w:pPr>
            <w:r>
              <w:rPr/>
              <w:t>S-1</w:t>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center"/>
              <w:rPr/>
            </w:pPr>
            <w:r>
              <w:rPr/>
              <w:t>333-239490</w:t>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center"/>
              <w:rPr/>
            </w:pPr>
            <w:r>
              <w:rPr/>
              <w:t>4.1</w:t>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center"/>
              <w:rPr/>
            </w:pPr>
            <w:r>
              <w:rPr/>
              <w:t>June 26, 2020</w:t>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4.2</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r:id="rId12">
              <w:r>
                <w:rPr>
                  <w:rStyle w:val="InternetLink"/>
                </w:rPr>
                <w:t>Specimen common stock certificate of the Registrant.</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center"/>
              <w:rPr/>
            </w:pPr>
            <w:r>
              <w:rPr/>
              <w:t>S-1</w:t>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center"/>
              <w:rPr/>
            </w:pPr>
            <w:r>
              <w:rPr/>
              <w:t>333-239490</w:t>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center"/>
              <w:rPr/>
            </w:pPr>
            <w:r>
              <w:rPr/>
              <w:t>4.2</w:t>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center"/>
              <w:rPr/>
            </w:pPr>
            <w:r>
              <w:rPr/>
              <w:t>June 26, 2020</w:t>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5.1</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w:anchor="d518510dex51.htm">
              <w:r>
                <w:rPr>
                  <w:rStyle w:val="InternetLink"/>
                </w:rPr>
                <w:t xml:space="preserve">Opinion of Wilson Sonsini Goodrich &amp; Rosati, Professional Corporation. </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center"/>
              <w:rPr/>
            </w:pPr>
            <w:r>
              <w:rPr/>
              <w:t>X</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23.1</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w:anchor="d518510dex231.htm">
              <w:r>
                <w:rPr>
                  <w:rStyle w:val="InternetLink"/>
                </w:rPr>
                <w:t xml:space="preserve">Consent of KPMG LLP, Independent Registered Public Accounting Firm. </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center"/>
              <w:rPr/>
            </w:pPr>
            <w:r>
              <w:rPr/>
              <w:t>X</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23.2</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w:anchor="d518510dex51.htm">
              <w:r>
                <w:rPr>
                  <w:rStyle w:val="InternetLink"/>
                </w:rPr>
                <w:t xml:space="preserve">Consent of Wilson Sonsini Goodrich &amp; Rosati, Professional Corporation (included in Exhibit 5.1). </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center"/>
              <w:rPr/>
            </w:pPr>
            <w:r>
              <w:rPr/>
              <w:t>X</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24.1</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w:anchor="sig">
              <w:r>
                <w:rPr>
                  <w:rStyle w:val="InternetLink"/>
                </w:rPr>
                <w:t xml:space="preserve">Powers of Attorney (additional power of attorney incorporated by reference to the signature page hereto). </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center"/>
              <w:rPr/>
            </w:pPr>
            <w:r>
              <w:rPr/>
              <w:t>X</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1646"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107.1</w:t>
            </w:r>
          </w:p>
        </w:tc>
        <w:tc>
          <w:tcPr>
            <w:tcW w:w="35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hyperlink w:anchor="d518510dexfilingfees.htm">
              <w:r>
                <w:rPr>
                  <w:rStyle w:val="InternetLink"/>
                </w:rPr>
                <w:t xml:space="preserve">Filing Fee Table </w:t>
              </w:r>
            </w:hyperlink>
          </w:p>
        </w:tc>
        <w:tc>
          <w:tcPr>
            <w:tcW w:w="240"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center"/>
              <w:rPr/>
            </w:pPr>
            <w:r>
              <w:rPr/>
              <w:t>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South San Francisco, State of California, on September 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0"/>
        <w:gridCol w:w="958"/>
        <w:gridCol w:w="2754"/>
      </w:tblGrid>
      <w:tr>
        <w:trPr/>
        <w:tc>
          <w:tcPr>
            <w:tcW w:w="370" w:type="dxa"/>
            <w:tcBorders/>
            <w:vAlign w:val="center"/>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ALX ONCOLOGY HOLDINGS INC.</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958"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Jaume Pons, Ph.D.</w:t>
            </w:r>
          </w:p>
        </w:tc>
      </w:tr>
      <w:tr>
        <w:trPr/>
        <w:tc>
          <w:tcPr>
            <w:tcW w:w="37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pPr>
            <w:r>
              <w:rPr/>
              <w:t> </w:t>
            </w:r>
          </w:p>
        </w:tc>
        <w:tc>
          <w:tcPr>
            <w:tcW w:w="2754" w:type="dxa"/>
            <w:tcBorders/>
            <w:vAlign w:val="bottom"/>
          </w:tcPr>
          <w:p>
            <w:pPr>
              <w:pStyle w:val="TableContents"/>
              <w:bidi w:val="0"/>
              <w:spacing w:before="0" w:after="283"/>
              <w:jc w:val="left"/>
              <w:rPr/>
            </w:pPr>
            <w:r>
              <w:rPr/>
              <w:t>Jaume Pons, Ph.D.</w:t>
            </w:r>
          </w:p>
        </w:tc>
      </w:tr>
      <w:tr>
        <w:trPr/>
        <w:tc>
          <w:tcPr>
            <w:tcW w:w="37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pPr>
            <w:r>
              <w:rPr/>
              <w:t> </w:t>
            </w:r>
          </w:p>
        </w:tc>
        <w:tc>
          <w:tcPr>
            <w:tcW w:w="2754" w:type="dxa"/>
            <w:tcBorders/>
            <w:vAlign w:val="bottom"/>
          </w:tcPr>
          <w:p>
            <w:pPr>
              <w:pStyle w:val="TableContents"/>
              <w:bidi w:val="0"/>
              <w:spacing w:before="0" w:after="283"/>
              <w:jc w:val="left"/>
              <w:rPr>
                <w:i/>
              </w:rPr>
            </w:pPr>
            <w:r>
              <w:rPr>
                <w:i/>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this Registration Statement and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10"/>
        <w:gridCol w:w="120"/>
        <w:gridCol w:w="4082"/>
        <w:gridCol w:w="201"/>
        <w:gridCol w:w="2092"/>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2092" w:type="dxa"/>
            <w:tcBorders/>
            <w:vAlign w:val="bottom"/>
          </w:tcPr>
          <w:p>
            <w:pPr>
              <w:pStyle w:val="TableContents"/>
              <w:bidi w:val="0"/>
              <w:spacing w:before="0" w:after="283"/>
              <w:jc w:val="center"/>
              <w:rPr>
                <w:b/>
              </w:rPr>
            </w:pPr>
            <w:r>
              <w:rPr>
                <w:b/>
              </w:rPr>
              <w:t>Date</w:t>
            </w:r>
          </w:p>
        </w:tc>
      </w:tr>
      <w:tr>
        <w:trPr>
          <w:trHeight w:val="240" w:hRule="atLeast"/>
        </w:trPr>
        <w:tc>
          <w:tcPr>
            <w:tcW w:w="3710" w:type="dxa"/>
            <w:tcBorders/>
            <w:vAlign w:val="center"/>
          </w:tcPr>
          <w:p>
            <w:pPr>
              <w:pStyle w:val="TableContents"/>
              <w:bidi w:val="0"/>
              <w:spacing w:before="0" w:after="283"/>
              <w:jc w:val="left"/>
              <w:rPr>
                <w:sz w:val="4"/>
                <w:szCs w:val="4"/>
              </w:rPr>
            </w:pPr>
            <w:r>
              <w:rPr>
                <w:sz w:val="4"/>
                <w:szCs w:val="4"/>
              </w:rPr>
            </w:r>
          </w:p>
        </w:tc>
        <w:tc>
          <w:tcPr>
            <w:tcW w:w="4202" w:type="dxa"/>
            <w:gridSpan w:val="2"/>
            <w:tcBorders/>
            <w:vAlign w:val="center"/>
          </w:tcPr>
          <w:p>
            <w:pPr>
              <w:pStyle w:val="TableContents"/>
              <w:bidi w:val="0"/>
              <w:spacing w:before="0" w:after="283"/>
              <w:jc w:val="left"/>
              <w:rPr>
                <w:sz w:val="4"/>
                <w:szCs w:val="4"/>
              </w:rPr>
            </w:pPr>
            <w:r>
              <w:rPr>
                <w:sz w:val="4"/>
                <w:szCs w:val="4"/>
              </w:rPr>
            </w:r>
          </w:p>
        </w:tc>
        <w:tc>
          <w:tcPr>
            <w:tcW w:w="2293"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Jaume Pons, Ph.D.</w:t>
            </w:r>
          </w:p>
          <w:p>
            <w:pPr>
              <w:pStyle w:val="TableContents"/>
              <w:bidi w:val="0"/>
              <w:spacing w:before="0" w:after="20"/>
              <w:jc w:val="left"/>
              <w:rPr>
                <w:rFonts w:ascii="Times New Roman" w:hAnsi="Times New Roman"/>
                <w:sz w:val="20"/>
              </w:rPr>
            </w:pPr>
            <w:r>
              <w:rPr>
                <w:rFonts w:ascii="Times New Roman" w:hAnsi="Times New Roman"/>
                <w:sz w:val="20"/>
              </w:rPr>
              <w:t>Jaume Pons, Ph.D.</w:t>
            </w:r>
          </w:p>
        </w:tc>
        <w:tc>
          <w:tcPr>
            <w:tcW w:w="120"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201"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center"/>
              <w:rPr/>
            </w:pPr>
            <w:r>
              <w:rPr/>
              <w:t>September 1, 2023</w:t>
            </w:r>
          </w:p>
        </w:tc>
      </w:tr>
      <w:tr>
        <w:trPr>
          <w:trHeight w:val="240" w:hRule="atLeast"/>
        </w:trPr>
        <w:tc>
          <w:tcPr>
            <w:tcW w:w="3710" w:type="dxa"/>
            <w:tcBorders/>
            <w:vAlign w:val="center"/>
          </w:tcPr>
          <w:p>
            <w:pPr>
              <w:pStyle w:val="TableContents"/>
              <w:bidi w:val="0"/>
              <w:spacing w:before="0" w:after="283"/>
              <w:jc w:val="left"/>
              <w:rPr>
                <w:sz w:val="4"/>
                <w:szCs w:val="4"/>
              </w:rPr>
            </w:pPr>
            <w:r>
              <w:rPr>
                <w:sz w:val="4"/>
                <w:szCs w:val="4"/>
              </w:rPr>
            </w:r>
          </w:p>
        </w:tc>
        <w:tc>
          <w:tcPr>
            <w:tcW w:w="4202" w:type="dxa"/>
            <w:gridSpan w:val="2"/>
            <w:tcBorders/>
            <w:vAlign w:val="center"/>
          </w:tcPr>
          <w:p>
            <w:pPr>
              <w:pStyle w:val="TableContents"/>
              <w:bidi w:val="0"/>
              <w:spacing w:before="0" w:after="283"/>
              <w:jc w:val="left"/>
              <w:rPr>
                <w:sz w:val="4"/>
                <w:szCs w:val="4"/>
              </w:rPr>
            </w:pPr>
            <w:r>
              <w:rPr>
                <w:sz w:val="4"/>
                <w:szCs w:val="4"/>
              </w:rPr>
            </w:r>
          </w:p>
        </w:tc>
        <w:tc>
          <w:tcPr>
            <w:tcW w:w="2293"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Peter Garcia</w:t>
            </w:r>
          </w:p>
          <w:p>
            <w:pPr>
              <w:pStyle w:val="TableContents"/>
              <w:bidi w:val="0"/>
              <w:spacing w:before="0" w:after="20"/>
              <w:jc w:val="left"/>
              <w:rPr>
                <w:rFonts w:ascii="Times New Roman" w:hAnsi="Times New Roman"/>
                <w:sz w:val="20"/>
              </w:rPr>
            </w:pPr>
            <w:r>
              <w:rPr>
                <w:rFonts w:ascii="Times New Roman" w:hAnsi="Times New Roman"/>
                <w:sz w:val="20"/>
              </w:rPr>
              <w:t>Peter Garcia</w:t>
            </w:r>
          </w:p>
        </w:tc>
        <w:tc>
          <w:tcPr>
            <w:tcW w:w="120"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201"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center"/>
              <w:rPr/>
            </w:pPr>
            <w:r>
              <w:rPr/>
              <w:t>September 1, 2023</w:t>
            </w:r>
          </w:p>
        </w:tc>
      </w:tr>
      <w:tr>
        <w:trPr>
          <w:trHeight w:val="240" w:hRule="atLeast"/>
        </w:trPr>
        <w:tc>
          <w:tcPr>
            <w:tcW w:w="3710" w:type="dxa"/>
            <w:tcBorders/>
            <w:vAlign w:val="center"/>
          </w:tcPr>
          <w:p>
            <w:pPr>
              <w:pStyle w:val="TableContents"/>
              <w:bidi w:val="0"/>
              <w:spacing w:before="0" w:after="283"/>
              <w:jc w:val="left"/>
              <w:rPr>
                <w:sz w:val="4"/>
                <w:szCs w:val="4"/>
              </w:rPr>
            </w:pPr>
            <w:r>
              <w:rPr>
                <w:sz w:val="4"/>
                <w:szCs w:val="4"/>
              </w:rPr>
            </w:r>
          </w:p>
        </w:tc>
        <w:tc>
          <w:tcPr>
            <w:tcW w:w="4202" w:type="dxa"/>
            <w:gridSpan w:val="2"/>
            <w:tcBorders/>
            <w:vAlign w:val="center"/>
          </w:tcPr>
          <w:p>
            <w:pPr>
              <w:pStyle w:val="TableContents"/>
              <w:bidi w:val="0"/>
              <w:spacing w:before="0" w:after="283"/>
              <w:jc w:val="left"/>
              <w:rPr>
                <w:sz w:val="4"/>
                <w:szCs w:val="4"/>
              </w:rPr>
            </w:pPr>
            <w:r>
              <w:rPr>
                <w:sz w:val="4"/>
                <w:szCs w:val="4"/>
              </w:rPr>
            </w:r>
          </w:p>
        </w:tc>
        <w:tc>
          <w:tcPr>
            <w:tcW w:w="2293"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Shelly Pinto</w:t>
            </w:r>
          </w:p>
          <w:p>
            <w:pPr>
              <w:pStyle w:val="TableContents"/>
              <w:bidi w:val="0"/>
              <w:spacing w:before="0" w:after="20"/>
              <w:jc w:val="left"/>
              <w:rPr>
                <w:rFonts w:ascii="Times New Roman" w:hAnsi="Times New Roman"/>
                <w:sz w:val="20"/>
              </w:rPr>
            </w:pPr>
            <w:r>
              <w:rPr>
                <w:rFonts w:ascii="Times New Roman" w:hAnsi="Times New Roman"/>
                <w:sz w:val="20"/>
              </w:rPr>
              <w:t>Shelly Pinto</w:t>
            </w:r>
          </w:p>
        </w:tc>
        <w:tc>
          <w:tcPr>
            <w:tcW w:w="120"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Finance and Chief Accounting Officer</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201"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center"/>
              <w:rPr/>
            </w:pPr>
            <w:r>
              <w:rPr/>
              <w:t>September 1, 2023</w:t>
            </w:r>
          </w:p>
        </w:tc>
      </w:tr>
      <w:tr>
        <w:trPr>
          <w:trHeight w:val="240" w:hRule="atLeast"/>
        </w:trPr>
        <w:tc>
          <w:tcPr>
            <w:tcW w:w="3710" w:type="dxa"/>
            <w:tcBorders/>
            <w:vAlign w:val="center"/>
          </w:tcPr>
          <w:p>
            <w:pPr>
              <w:pStyle w:val="TableContents"/>
              <w:bidi w:val="0"/>
              <w:spacing w:before="0" w:after="283"/>
              <w:jc w:val="left"/>
              <w:rPr>
                <w:sz w:val="4"/>
                <w:szCs w:val="4"/>
              </w:rPr>
            </w:pPr>
            <w:r>
              <w:rPr>
                <w:sz w:val="4"/>
                <w:szCs w:val="4"/>
              </w:rPr>
            </w:r>
          </w:p>
        </w:tc>
        <w:tc>
          <w:tcPr>
            <w:tcW w:w="4202" w:type="dxa"/>
            <w:gridSpan w:val="2"/>
            <w:tcBorders/>
            <w:vAlign w:val="center"/>
          </w:tcPr>
          <w:p>
            <w:pPr>
              <w:pStyle w:val="TableContents"/>
              <w:bidi w:val="0"/>
              <w:spacing w:before="0" w:after="283"/>
              <w:jc w:val="left"/>
              <w:rPr>
                <w:sz w:val="4"/>
                <w:szCs w:val="4"/>
              </w:rPr>
            </w:pPr>
            <w:r>
              <w:rPr>
                <w:sz w:val="4"/>
                <w:szCs w:val="4"/>
              </w:rPr>
            </w:r>
          </w:p>
        </w:tc>
        <w:tc>
          <w:tcPr>
            <w:tcW w:w="2293"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Itziar Canamasas, Ph.D.</w:t>
            </w:r>
          </w:p>
          <w:p>
            <w:pPr>
              <w:pStyle w:val="TableContents"/>
              <w:bidi w:val="0"/>
              <w:spacing w:before="0" w:after="20"/>
              <w:jc w:val="left"/>
              <w:rPr>
                <w:rFonts w:ascii="Times New Roman" w:hAnsi="Times New Roman"/>
                <w:sz w:val="20"/>
              </w:rPr>
            </w:pPr>
            <w:r>
              <w:rPr>
                <w:rFonts w:ascii="Times New Roman" w:hAnsi="Times New Roman"/>
                <w:sz w:val="20"/>
              </w:rPr>
              <w:t>Itziar Canamasas, Ph.D.</w:t>
            </w:r>
          </w:p>
        </w:tc>
        <w:tc>
          <w:tcPr>
            <w:tcW w:w="120"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center"/>
              <w:rPr/>
            </w:pPr>
            <w:r>
              <w:rPr/>
              <w:t>September 1, 2023</w:t>
            </w:r>
          </w:p>
        </w:tc>
      </w:tr>
      <w:tr>
        <w:trPr>
          <w:trHeight w:val="240" w:hRule="atLeast"/>
        </w:trPr>
        <w:tc>
          <w:tcPr>
            <w:tcW w:w="3710" w:type="dxa"/>
            <w:tcBorders/>
            <w:vAlign w:val="center"/>
          </w:tcPr>
          <w:p>
            <w:pPr>
              <w:pStyle w:val="TableContents"/>
              <w:bidi w:val="0"/>
              <w:spacing w:before="0" w:after="283"/>
              <w:jc w:val="left"/>
              <w:rPr>
                <w:sz w:val="4"/>
                <w:szCs w:val="4"/>
              </w:rPr>
            </w:pPr>
            <w:r>
              <w:rPr>
                <w:sz w:val="4"/>
                <w:szCs w:val="4"/>
              </w:rPr>
            </w:r>
          </w:p>
        </w:tc>
        <w:tc>
          <w:tcPr>
            <w:tcW w:w="4202" w:type="dxa"/>
            <w:gridSpan w:val="2"/>
            <w:tcBorders/>
            <w:vAlign w:val="center"/>
          </w:tcPr>
          <w:p>
            <w:pPr>
              <w:pStyle w:val="TableContents"/>
              <w:bidi w:val="0"/>
              <w:spacing w:before="0" w:after="283"/>
              <w:jc w:val="left"/>
              <w:rPr>
                <w:sz w:val="4"/>
                <w:szCs w:val="4"/>
              </w:rPr>
            </w:pPr>
            <w:r>
              <w:rPr>
                <w:sz w:val="4"/>
                <w:szCs w:val="4"/>
              </w:rPr>
            </w:r>
          </w:p>
        </w:tc>
        <w:tc>
          <w:tcPr>
            <w:tcW w:w="2293"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Corey Goodman, Ph.D.</w:t>
            </w:r>
          </w:p>
          <w:p>
            <w:pPr>
              <w:pStyle w:val="TableContents"/>
              <w:bidi w:val="0"/>
              <w:spacing w:before="0" w:after="20"/>
              <w:jc w:val="left"/>
              <w:rPr>
                <w:rFonts w:ascii="Times New Roman" w:hAnsi="Times New Roman"/>
                <w:sz w:val="20"/>
              </w:rPr>
            </w:pPr>
            <w:r>
              <w:rPr>
                <w:rFonts w:ascii="Times New Roman" w:hAnsi="Times New Roman"/>
                <w:sz w:val="20"/>
              </w:rPr>
              <w:t>Corey Goodman, Ph.D.</w:t>
            </w:r>
          </w:p>
        </w:tc>
        <w:tc>
          <w:tcPr>
            <w:tcW w:w="120"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Executive Chairman of the Board of Directors</w:t>
            </w:r>
          </w:p>
        </w:tc>
        <w:tc>
          <w:tcPr>
            <w:tcW w:w="201"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center"/>
              <w:rPr/>
            </w:pPr>
            <w:r>
              <w:rPr/>
              <w:t>September 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719"/>
        <w:gridCol w:w="121"/>
        <w:gridCol w:w="4049"/>
        <w:gridCol w:w="201"/>
        <w:gridCol w:w="2115"/>
      </w:tblGrid>
      <w:tr>
        <w:trPr/>
        <w:tc>
          <w:tcPr>
            <w:tcW w:w="371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3719" w:type="dxa"/>
            <w:tcBorders/>
            <w:vAlign w:val="bottom"/>
          </w:tcPr>
          <w:p>
            <w:pPr>
              <w:pStyle w:val="TableContents"/>
              <w:bidi w:val="0"/>
              <w:spacing w:before="0" w:after="283"/>
              <w:jc w:val="center"/>
              <w:rPr>
                <w:b/>
              </w:rPr>
            </w:pPr>
            <w:r>
              <w:rPr>
                <w:b/>
              </w:rPr>
              <w:t>Signature</w:t>
            </w:r>
          </w:p>
        </w:tc>
        <w:tc>
          <w:tcPr>
            <w:tcW w:w="121" w:type="dxa"/>
            <w:tcBorders/>
            <w:vAlign w:val="bottom"/>
          </w:tcPr>
          <w:p>
            <w:pPr>
              <w:pStyle w:val="TableContents"/>
              <w:bidi w:val="0"/>
              <w:spacing w:before="0" w:after="283"/>
              <w:jc w:val="left"/>
              <w:rPr/>
            </w:pPr>
            <w:r>
              <w:rPr/>
              <w:t>  </w:t>
            </w:r>
          </w:p>
        </w:tc>
        <w:tc>
          <w:tcPr>
            <w:tcW w:w="4049"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2115" w:type="dxa"/>
            <w:tcBorders/>
            <w:vAlign w:val="bottom"/>
          </w:tcPr>
          <w:p>
            <w:pPr>
              <w:pStyle w:val="TableContents"/>
              <w:bidi w:val="0"/>
              <w:spacing w:before="0" w:after="283"/>
              <w:jc w:val="center"/>
              <w:rPr>
                <w:b/>
              </w:rPr>
            </w:pPr>
            <w:r>
              <w:rPr>
                <w:b/>
              </w:rPr>
              <w:t>Date</w:t>
            </w:r>
          </w:p>
        </w:tc>
      </w:tr>
      <w:tr>
        <w:trPr>
          <w:trHeight w:val="240" w:hRule="atLeast"/>
        </w:trPr>
        <w:tc>
          <w:tcPr>
            <w:tcW w:w="3719" w:type="dxa"/>
            <w:tcBorders/>
            <w:vAlign w:val="center"/>
          </w:tcPr>
          <w:p>
            <w:pPr>
              <w:pStyle w:val="TableContents"/>
              <w:bidi w:val="0"/>
              <w:spacing w:before="0" w:after="283"/>
              <w:jc w:val="left"/>
              <w:rPr>
                <w:sz w:val="4"/>
                <w:szCs w:val="4"/>
              </w:rPr>
            </w:pPr>
            <w:r>
              <w:rPr>
                <w:sz w:val="4"/>
                <w:szCs w:val="4"/>
              </w:rPr>
            </w:r>
          </w:p>
        </w:tc>
        <w:tc>
          <w:tcPr>
            <w:tcW w:w="4170"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r>
      <w:tr>
        <w:trPr/>
        <w:tc>
          <w:tcPr>
            <w:tcW w:w="371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Rekha Hemrajani</w:t>
            </w:r>
          </w:p>
          <w:p>
            <w:pPr>
              <w:pStyle w:val="TableContents"/>
              <w:bidi w:val="0"/>
              <w:spacing w:before="0" w:after="20"/>
              <w:jc w:val="left"/>
              <w:rPr>
                <w:rFonts w:ascii="Times New Roman" w:hAnsi="Times New Roman"/>
                <w:sz w:val="20"/>
              </w:rPr>
            </w:pPr>
            <w:r>
              <w:rPr>
                <w:rFonts w:ascii="Times New Roman" w:hAnsi="Times New Roman"/>
                <w:sz w:val="20"/>
              </w:rPr>
              <w:t>Rekha Hemrajani</w:t>
            </w:r>
          </w:p>
        </w:tc>
        <w:tc>
          <w:tcPr>
            <w:tcW w:w="121" w:type="dxa"/>
            <w:tcBorders/>
            <w:vAlign w:val="bottom"/>
          </w:tcPr>
          <w:p>
            <w:pPr>
              <w:pStyle w:val="TableContents"/>
              <w:bidi w:val="0"/>
              <w:spacing w:before="0" w:after="283"/>
              <w:jc w:val="left"/>
              <w:rPr/>
            </w:pPr>
            <w:r>
              <w:rPr/>
              <w:t>  </w:t>
            </w:r>
          </w:p>
        </w:tc>
        <w:tc>
          <w:tcPr>
            <w:tcW w:w="4049"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center"/>
              <w:rPr/>
            </w:pPr>
            <w:r>
              <w:rPr/>
              <w:t>September 1, 2023</w:t>
            </w:r>
          </w:p>
        </w:tc>
      </w:tr>
      <w:tr>
        <w:trPr>
          <w:trHeight w:val="240" w:hRule="atLeast"/>
        </w:trPr>
        <w:tc>
          <w:tcPr>
            <w:tcW w:w="3719" w:type="dxa"/>
            <w:tcBorders/>
            <w:vAlign w:val="center"/>
          </w:tcPr>
          <w:p>
            <w:pPr>
              <w:pStyle w:val="TableContents"/>
              <w:bidi w:val="0"/>
              <w:spacing w:before="0" w:after="283"/>
              <w:jc w:val="left"/>
              <w:rPr>
                <w:sz w:val="4"/>
                <w:szCs w:val="4"/>
              </w:rPr>
            </w:pPr>
            <w:r>
              <w:rPr>
                <w:sz w:val="4"/>
                <w:szCs w:val="4"/>
              </w:rPr>
            </w:r>
          </w:p>
        </w:tc>
        <w:tc>
          <w:tcPr>
            <w:tcW w:w="4170"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r>
      <w:tr>
        <w:trPr/>
        <w:tc>
          <w:tcPr>
            <w:tcW w:w="371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Jason Lettmann</w:t>
            </w:r>
          </w:p>
          <w:p>
            <w:pPr>
              <w:pStyle w:val="TableContents"/>
              <w:bidi w:val="0"/>
              <w:spacing w:before="0" w:after="20"/>
              <w:jc w:val="left"/>
              <w:rPr>
                <w:rFonts w:ascii="Times New Roman" w:hAnsi="Times New Roman"/>
                <w:sz w:val="20"/>
              </w:rPr>
            </w:pPr>
            <w:r>
              <w:rPr>
                <w:rFonts w:ascii="Times New Roman" w:hAnsi="Times New Roman"/>
                <w:sz w:val="20"/>
              </w:rPr>
              <w:t>Jason Lettmann</w:t>
            </w:r>
          </w:p>
        </w:tc>
        <w:tc>
          <w:tcPr>
            <w:tcW w:w="121" w:type="dxa"/>
            <w:tcBorders/>
            <w:vAlign w:val="bottom"/>
          </w:tcPr>
          <w:p>
            <w:pPr>
              <w:pStyle w:val="TableContents"/>
              <w:bidi w:val="0"/>
              <w:spacing w:before="0" w:after="283"/>
              <w:jc w:val="left"/>
              <w:rPr/>
            </w:pPr>
            <w:r>
              <w:rPr/>
              <w:t>  </w:t>
            </w:r>
          </w:p>
        </w:tc>
        <w:tc>
          <w:tcPr>
            <w:tcW w:w="4049"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center"/>
              <w:rPr/>
            </w:pPr>
            <w:r>
              <w:rPr/>
              <w:t>September 1, 2023</w:t>
            </w:r>
          </w:p>
        </w:tc>
      </w:tr>
      <w:tr>
        <w:trPr>
          <w:trHeight w:val="240" w:hRule="atLeast"/>
        </w:trPr>
        <w:tc>
          <w:tcPr>
            <w:tcW w:w="3719" w:type="dxa"/>
            <w:tcBorders/>
            <w:vAlign w:val="center"/>
          </w:tcPr>
          <w:p>
            <w:pPr>
              <w:pStyle w:val="TableContents"/>
              <w:bidi w:val="0"/>
              <w:spacing w:before="0" w:after="283"/>
              <w:jc w:val="left"/>
              <w:rPr>
                <w:sz w:val="4"/>
                <w:szCs w:val="4"/>
              </w:rPr>
            </w:pPr>
            <w:r>
              <w:rPr>
                <w:sz w:val="4"/>
                <w:szCs w:val="4"/>
              </w:rPr>
            </w:r>
          </w:p>
        </w:tc>
        <w:tc>
          <w:tcPr>
            <w:tcW w:w="4170"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r>
      <w:tr>
        <w:trPr/>
        <w:tc>
          <w:tcPr>
            <w:tcW w:w="371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Scott Garland</w:t>
            </w:r>
          </w:p>
          <w:p>
            <w:pPr>
              <w:pStyle w:val="TableContents"/>
              <w:bidi w:val="0"/>
              <w:spacing w:before="0" w:after="20"/>
              <w:jc w:val="left"/>
              <w:rPr>
                <w:rFonts w:ascii="Times New Roman" w:hAnsi="Times New Roman"/>
                <w:sz w:val="20"/>
              </w:rPr>
            </w:pPr>
            <w:r>
              <w:rPr>
                <w:rFonts w:ascii="Times New Roman" w:hAnsi="Times New Roman"/>
                <w:sz w:val="20"/>
              </w:rPr>
              <w:t>Scott Garland</w:t>
            </w:r>
          </w:p>
        </w:tc>
        <w:tc>
          <w:tcPr>
            <w:tcW w:w="121" w:type="dxa"/>
            <w:tcBorders/>
            <w:vAlign w:val="bottom"/>
          </w:tcPr>
          <w:p>
            <w:pPr>
              <w:pStyle w:val="TableContents"/>
              <w:bidi w:val="0"/>
              <w:spacing w:before="0" w:after="283"/>
              <w:jc w:val="left"/>
              <w:rPr/>
            </w:pPr>
            <w:r>
              <w:rPr/>
              <w:t>  </w:t>
            </w:r>
          </w:p>
        </w:tc>
        <w:tc>
          <w:tcPr>
            <w:tcW w:w="4049"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center"/>
              <w:rPr/>
            </w:pPr>
            <w:r>
              <w:rPr/>
              <w:t>September 1, 2023</w:t>
            </w:r>
          </w:p>
        </w:tc>
      </w:tr>
      <w:tr>
        <w:trPr>
          <w:trHeight w:val="240" w:hRule="atLeast"/>
        </w:trPr>
        <w:tc>
          <w:tcPr>
            <w:tcW w:w="3719" w:type="dxa"/>
            <w:tcBorders/>
            <w:vAlign w:val="center"/>
          </w:tcPr>
          <w:p>
            <w:pPr>
              <w:pStyle w:val="TableContents"/>
              <w:bidi w:val="0"/>
              <w:spacing w:before="0" w:after="283"/>
              <w:jc w:val="left"/>
              <w:rPr>
                <w:sz w:val="4"/>
                <w:szCs w:val="4"/>
              </w:rPr>
            </w:pPr>
            <w:r>
              <w:rPr>
                <w:sz w:val="4"/>
                <w:szCs w:val="4"/>
              </w:rPr>
            </w:r>
          </w:p>
        </w:tc>
        <w:tc>
          <w:tcPr>
            <w:tcW w:w="4170"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r>
      <w:tr>
        <w:trPr/>
        <w:tc>
          <w:tcPr>
            <w:tcW w:w="371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Jack Nielsen</w:t>
            </w:r>
          </w:p>
          <w:p>
            <w:pPr>
              <w:pStyle w:val="TableContents"/>
              <w:bidi w:val="0"/>
              <w:spacing w:before="0" w:after="20"/>
              <w:jc w:val="left"/>
              <w:rPr>
                <w:rFonts w:ascii="Times New Roman" w:hAnsi="Times New Roman"/>
                <w:sz w:val="20"/>
              </w:rPr>
            </w:pPr>
            <w:r>
              <w:rPr>
                <w:rFonts w:ascii="Times New Roman" w:hAnsi="Times New Roman"/>
                <w:sz w:val="20"/>
              </w:rPr>
              <w:t>Jack Nielsen</w:t>
            </w:r>
          </w:p>
        </w:tc>
        <w:tc>
          <w:tcPr>
            <w:tcW w:w="121" w:type="dxa"/>
            <w:tcBorders/>
            <w:vAlign w:val="bottom"/>
          </w:tcPr>
          <w:p>
            <w:pPr>
              <w:pStyle w:val="TableContents"/>
              <w:bidi w:val="0"/>
              <w:spacing w:before="0" w:after="283"/>
              <w:jc w:val="left"/>
              <w:rPr/>
            </w:pPr>
            <w:r>
              <w:rPr/>
              <w:t>  </w:t>
            </w:r>
          </w:p>
        </w:tc>
        <w:tc>
          <w:tcPr>
            <w:tcW w:w="4049"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center"/>
              <w:rPr/>
            </w:pPr>
            <w:r>
              <w:rPr/>
              <w:t>September 1, 2023</w:t>
            </w:r>
          </w:p>
        </w:tc>
      </w:tr>
      <w:tr>
        <w:trPr>
          <w:trHeight w:val="240" w:hRule="atLeast"/>
        </w:trPr>
        <w:tc>
          <w:tcPr>
            <w:tcW w:w="3719" w:type="dxa"/>
            <w:tcBorders/>
            <w:vAlign w:val="center"/>
          </w:tcPr>
          <w:p>
            <w:pPr>
              <w:pStyle w:val="TableContents"/>
              <w:bidi w:val="0"/>
              <w:spacing w:before="0" w:after="283"/>
              <w:jc w:val="left"/>
              <w:rPr>
                <w:sz w:val="4"/>
                <w:szCs w:val="4"/>
              </w:rPr>
            </w:pPr>
            <w:r>
              <w:rPr>
                <w:sz w:val="4"/>
                <w:szCs w:val="4"/>
              </w:rPr>
            </w:r>
          </w:p>
        </w:tc>
        <w:tc>
          <w:tcPr>
            <w:tcW w:w="4170"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r>
      <w:tr>
        <w:trPr/>
        <w:tc>
          <w:tcPr>
            <w:tcW w:w="371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Sophia Randolph, M.D., Ph.D.</w:t>
            </w:r>
          </w:p>
          <w:p>
            <w:pPr>
              <w:pStyle w:val="TableContents"/>
              <w:bidi w:val="0"/>
              <w:spacing w:before="0" w:after="20"/>
              <w:jc w:val="left"/>
              <w:rPr>
                <w:rFonts w:ascii="Times New Roman" w:hAnsi="Times New Roman"/>
                <w:sz w:val="20"/>
              </w:rPr>
            </w:pPr>
            <w:r>
              <w:rPr>
                <w:rFonts w:ascii="Times New Roman" w:hAnsi="Times New Roman"/>
                <w:sz w:val="20"/>
              </w:rPr>
              <w:t>Sophia Randolph, M.D., Ph.D.</w:t>
            </w:r>
          </w:p>
        </w:tc>
        <w:tc>
          <w:tcPr>
            <w:tcW w:w="121" w:type="dxa"/>
            <w:tcBorders/>
            <w:vAlign w:val="bottom"/>
          </w:tcPr>
          <w:p>
            <w:pPr>
              <w:pStyle w:val="TableContents"/>
              <w:bidi w:val="0"/>
              <w:spacing w:before="0" w:after="283"/>
              <w:jc w:val="left"/>
              <w:rPr/>
            </w:pPr>
            <w:r>
              <w:rPr/>
              <w:t>  </w:t>
            </w:r>
          </w:p>
        </w:tc>
        <w:tc>
          <w:tcPr>
            <w:tcW w:w="4049"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115" w:type="dxa"/>
            <w:tcBorders/>
          </w:tcPr>
          <w:p>
            <w:pPr>
              <w:pStyle w:val="TableContents"/>
              <w:bidi w:val="0"/>
              <w:spacing w:before="0" w:after="283"/>
              <w:jc w:val="center"/>
              <w:rPr/>
            </w:pPr>
            <w:r>
              <w:rPr/>
              <w:t>September 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5" w:name="d518510dex51.htm"/>
      <w:bookmarkStart w:id="16" w:name="ksd518510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6"/>
        <w:gridCol w:w="122"/>
        <w:gridCol w:w="3087"/>
      </w:tblGrid>
      <w:tr>
        <w:trPr/>
        <w:tc>
          <w:tcPr>
            <w:tcW w:w="69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6996" w:type="dxa"/>
            <w:tcBorders/>
          </w:tcPr>
          <w:p>
            <w:pPr>
              <w:pStyle w:val="TableContents"/>
              <w:bidi w:val="0"/>
              <w:spacing w:before="0" w:after="20"/>
              <w:jc w:val="left"/>
              <w:rPr/>
            </w:pPr>
            <w:r>
              <w:rPr/>
              <w:drawing>
                <wp:inline distT="0" distB="0" distL="0" distR="0">
                  <wp:extent cx="12192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219200" cy="457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Wilson Sonsini Goodrich &amp; Rosati </w:t>
              <w:b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650 Page Mill Road </w:t>
              <w:br/>
              <w:t>Palo Alto, CA 94304-1050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O: 650.493.9300 </w:t>
              <w:br/>
              <w:t>F: 650.493.6811</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September 1, 2023 </w:t>
      </w:r>
    </w:p>
    <w:p>
      <w:pPr>
        <w:pStyle w:val="TextBody"/>
        <w:bidi w:val="0"/>
        <w:spacing w:before="240" w:after="0"/>
        <w:jc w:val="left"/>
        <w:rPr>
          <w:rFonts w:ascii="Times New Roman" w:hAnsi="Times New Roman"/>
          <w:sz w:val="20"/>
        </w:rPr>
      </w:pPr>
      <w:r>
        <w:rPr>
          <w:rFonts w:ascii="Times New Roman" w:hAnsi="Times New Roman"/>
          <w:sz w:val="20"/>
        </w:rPr>
        <w:t xml:space="preserve">ALX Oncology Holdings Inc. </w:t>
      </w:r>
    </w:p>
    <w:p>
      <w:pPr>
        <w:pStyle w:val="TextBody"/>
        <w:bidi w:val="0"/>
        <w:spacing w:before="0" w:after="0"/>
        <w:jc w:val="left"/>
        <w:rPr>
          <w:rFonts w:ascii="Times New Roman" w:hAnsi="Times New Roman"/>
          <w:sz w:val="20"/>
        </w:rPr>
      </w:pPr>
      <w:r>
        <w:rPr>
          <w:rFonts w:ascii="Times New Roman" w:hAnsi="Times New Roman"/>
          <w:sz w:val="20"/>
        </w:rPr>
        <w:t xml:space="preserve">323 Allerton Avenue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At your request, we have examined the Registration Statement on Form S-3 (the Registration Statement), filed by ALX Oncology Holdings Inc., a Delaware corporation (the Company), with the Securities and Exchange Commission (the Commission) in connection with the registration pursuant to the Securities Act of 1933, as amended (the Act), of the Securities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relates to the proposed offer and sale by the selling stockholders (the Selling Stockholders), from time to time, pursuant to Rule 415 under the Act, as set forth in the Registration Statement, the prospectus contained therein (the Prospectus) and the supplements to the prospectus referred to therein (each a Prospectus Supplement), of up to an aggregate of 18,446,936 shares (the Securities) of the Companys common stock, par value $0.001 per share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to be sold from time to time as set forth in the Registration Statement, the Prospectus contained therein and the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Selling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AUSTIN    BEIJING    BOSTON    BOULDER    BRUSSELS     HONG KONG    LONDON    LOS ANGELES    NEW YORK    PALO ALTO </w:t>
      </w:r>
    </w:p>
    <w:p>
      <w:pPr>
        <w:pStyle w:val="TextBody"/>
        <w:bidi w:val="0"/>
        <w:spacing w:before="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096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609600" cy="228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ALX Oncology Holdings Inc. </w:t>
      </w:r>
    </w:p>
    <w:p>
      <w:pPr>
        <w:pStyle w:val="TextBody"/>
        <w:bidi w:val="0"/>
        <w:spacing w:before="0" w:after="0"/>
        <w:jc w:val="left"/>
        <w:rPr>
          <w:rFonts w:ascii="Times New Roman" w:hAnsi="Times New Roman"/>
          <w:sz w:val="20"/>
        </w:rPr>
      </w:pPr>
      <w:r>
        <w:rPr>
          <w:rFonts w:ascii="Times New Roman" w:hAnsi="Times New Roman"/>
          <w:sz w:val="20"/>
        </w:rPr>
        <w:t xml:space="preserve">September 1, 2023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Stockholders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that there will be sufficient shares of Common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such examination, we are of the opinion that the Securities have been duly authorized and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that any document is legal, valid and binding is qualified as to: </w:t>
      </w:r>
    </w:p>
    <w:p>
      <w:pPr>
        <w:pStyle w:val="TextBody"/>
        <w:bidi w:val="0"/>
        <w:spacing w:before="120" w:after="0"/>
        <w:jc w:val="left"/>
        <w:rPr>
          <w:rFonts w:ascii="Times New Roman" w:hAnsi="Times New Roman"/>
          <w:sz w:val="20"/>
        </w:rPr>
      </w:pPr>
      <w:r>
        <w:rPr>
          <w:rFonts w:ascii="Times New Roman" w:hAnsi="Times New Roman"/>
          <w:sz w:val="20"/>
        </w:rPr>
        <w:t xml:space="preserve">(a) limitations imposed by bankruptcy, insolvency, reorganization, arrangement, fraudulent transfer, moratorium or other similar laws relating to or affecting the rights of creditors generally; </w:t>
      </w:r>
    </w:p>
    <w:p>
      <w:pPr>
        <w:pStyle w:val="TextBody"/>
        <w:bidi w:val="0"/>
        <w:spacing w:before="240" w:after="0"/>
        <w:jc w:val="left"/>
        <w:rPr>
          <w:rFonts w:ascii="Times New Roman" w:hAnsi="Times New Roman"/>
          <w:sz w:val="20"/>
        </w:rPr>
      </w:pPr>
      <w:r>
        <w:rPr>
          <w:rFonts w:ascii="Times New Roman" w:hAnsi="Times New Roman"/>
          <w:sz w:val="20"/>
        </w:rPr>
        <w:t xml:space="preserve">(b) rights to indemnification and contribution, which may be limited by applicable law or equitable principles; and </w:t>
      </w:r>
    </w:p>
    <w:p>
      <w:pPr>
        <w:pStyle w:val="TextBody"/>
        <w:bidi w:val="0"/>
        <w:spacing w:before="240" w:after="0"/>
        <w:jc w:val="left"/>
        <w:rPr>
          <w:rFonts w:ascii="Times New Roman" w:hAnsi="Times New Roman"/>
          <w:sz w:val="20"/>
        </w:rPr>
      </w:pPr>
      <w:r>
        <w:rPr>
          <w:rFonts w:ascii="Times New Roman" w:hAnsi="Times New Roman"/>
          <w:sz w:val="20"/>
        </w:rPr>
        <w:t xml:space="preserve">(c) the effect of general principles of equity, including without limitation concepts of materiality, reasonableness, good faith and fair dealing, and the possible unavailability of specific performance or injunctive relief,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the laws of any other jurisdiction, other than the federal laws of the United States of America and the General Corporation Law of the State of Delaware.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0960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609600" cy="228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ALX Oncology Holdings Inc. </w:t>
      </w:r>
    </w:p>
    <w:p>
      <w:pPr>
        <w:pStyle w:val="TextBody"/>
        <w:bidi w:val="0"/>
        <w:spacing w:before="0" w:after="0"/>
        <w:jc w:val="left"/>
        <w:rPr>
          <w:rFonts w:ascii="Times New Roman" w:hAnsi="Times New Roman"/>
          <w:sz w:val="20"/>
        </w:rPr>
      </w:pPr>
      <w:r>
        <w:rPr>
          <w:rFonts w:ascii="Times New Roman" w:hAnsi="Times New Roman"/>
          <w:sz w:val="20"/>
        </w:rPr>
        <w:t xml:space="preserve">September 1, 2023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WILSON SONSINI GOODRICH &amp; ROSATI</w:t>
            </w:r>
          </w:p>
        </w:tc>
      </w:tr>
      <w:tr>
        <w:trPr/>
        <w:tc>
          <w:tcPr>
            <w:tcW w:w="4082" w:type="dxa"/>
            <w:tcBorders/>
          </w:tcPr>
          <w:p>
            <w:pPr>
              <w:pStyle w:val="TableContents"/>
              <w:bidi w:val="0"/>
              <w:spacing w:before="0" w:after="283"/>
              <w:jc w:val="left"/>
              <w:rPr/>
            </w:pPr>
            <w:r>
              <w:rPr/>
              <w:t>Professional Corporation</w:t>
            </w:r>
          </w:p>
        </w:tc>
      </w:tr>
    </w:tbl>
    <w:p>
      <w:pPr>
        <w:pStyle w:val="TextBody"/>
        <w:bidi w:val="0"/>
        <w:spacing w:before="0" w:after="0"/>
        <w:jc w:val="right"/>
        <w:rPr>
          <w:rFonts w:ascii="Times New Roman" w:hAnsi="Times New Roman"/>
          <w:b/>
          <w:sz w:val="20"/>
        </w:rPr>
      </w:pPr>
      <w:bookmarkStart w:id="17" w:name="d518510dex231.htm"/>
      <w:bookmarkStart w:id="18" w:name="ksd518510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9, 2023, with respect to the consolidated financial statements of ALX Oncology Holdings Inc., incorporated herein by reference,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1, 2023 </w:t>
      </w:r>
    </w:p>
    <w:p>
      <w:pPr>
        <w:pStyle w:val="TextBody"/>
        <w:bidi w:val="0"/>
        <w:spacing w:before="0" w:after="0"/>
        <w:jc w:val="right"/>
        <w:rPr>
          <w:rFonts w:ascii="Times New Roman" w:hAnsi="Times New Roman"/>
          <w:b/>
          <w:sz w:val="20"/>
        </w:rPr>
      </w:pPr>
      <w:bookmarkStart w:id="19" w:name="d518510dexfilingfees.htm"/>
      <w:bookmarkStart w:id="20" w:name="ksd518510dexfilingfees"/>
      <w:bookmarkEnd w:id="19"/>
      <w:bookmarkEnd w:id="20"/>
      <w:r>
        <w:rPr>
          <w:rFonts w:ascii="Times New Roman" w:hAnsi="Times New Roman"/>
          <w:b/>
          <w:sz w:val="20"/>
        </w:rPr>
        <w:t xml:space="preserve">Exhibit 107.1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ALX Oncology Holdings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10620" w:type="dxa"/>
        <w:jc w:val="center"/>
        <w:tblInd w:w="0" w:type="dxa"/>
        <w:tblLayout w:type="fixed"/>
        <w:tblCellMar>
          <w:top w:w="0" w:type="dxa"/>
          <w:left w:w="0" w:type="dxa"/>
          <w:bottom w:w="0" w:type="dxa"/>
          <w:right w:w="0" w:type="dxa"/>
        </w:tblCellMar>
      </w:tblPr>
      <w:tblGrid>
        <w:gridCol w:w="545"/>
        <w:gridCol w:w="120"/>
        <w:gridCol w:w="980"/>
        <w:gridCol w:w="120"/>
        <w:gridCol w:w="905"/>
        <w:gridCol w:w="120"/>
        <w:gridCol w:w="1310"/>
        <w:gridCol w:w="120"/>
        <w:gridCol w:w="1175"/>
        <w:gridCol w:w="120"/>
        <w:gridCol w:w="845"/>
        <w:gridCol w:w="120"/>
        <w:gridCol w:w="1640"/>
        <w:gridCol w:w="120"/>
        <w:gridCol w:w="1280"/>
        <w:gridCol w:w="120"/>
        <w:gridCol w:w="98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8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Security  </w:t>
              <w:br/>
              <w:t>Type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0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Security Class Title</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1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Fee  </w:t>
              <w:br/>
              <w:t>Calculation  </w:t>
              <w:br/>
              <w:t>or Carry  </w:t>
              <w:br/>
              <w:t>Forward  </w:t>
              <w:br/>
              <w:t>Rule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Amount  </w:t>
              <w:br/>
              <w:t>Registered(1)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Proposed  </w:t>
            </w:r>
          </w:p>
          <w:p>
            <w:pPr>
              <w:pStyle w:val="TableContents"/>
              <w:bidi w:val="0"/>
              <w:spacing w:before="0" w:after="0"/>
              <w:jc w:val="center"/>
              <w:rPr>
                <w:rFonts w:ascii="Times New Roman" w:hAnsi="Times New Roman"/>
                <w:b/>
                <w:sz w:val="16"/>
              </w:rPr>
            </w:pPr>
            <w:r>
              <w:rPr>
                <w:rFonts w:ascii="Times New Roman" w:hAnsi="Times New Roman"/>
                <w:b/>
                <w:sz w:val="16"/>
              </w:rPr>
              <w:t>Maximum  </w:t>
            </w:r>
          </w:p>
          <w:p>
            <w:pPr>
              <w:pStyle w:val="TableContents"/>
              <w:bidi w:val="0"/>
              <w:spacing w:before="0" w:after="0"/>
              <w:jc w:val="center"/>
              <w:rPr>
                <w:rFonts w:ascii="Times New Roman" w:hAnsi="Times New Roman"/>
                <w:b/>
                <w:sz w:val="16"/>
              </w:rPr>
            </w:pPr>
            <w:r>
              <w:rPr>
                <w:rFonts w:ascii="Times New Roman" w:hAnsi="Times New Roman"/>
                <w:b/>
                <w:sz w:val="16"/>
              </w:rPr>
              <w:t>Offering  </w:t>
            </w:r>
          </w:p>
          <w:p>
            <w:pPr>
              <w:pStyle w:val="TableContents"/>
              <w:bidi w:val="0"/>
              <w:spacing w:before="0" w:after="0"/>
              <w:jc w:val="center"/>
              <w:rPr>
                <w:rFonts w:ascii="Times New Roman" w:hAnsi="Times New Roman"/>
                <w:b/>
                <w:sz w:val="16"/>
              </w:rPr>
            </w:pPr>
            <w:r>
              <w:rPr>
                <w:rFonts w:ascii="Times New Roman" w:hAnsi="Times New Roman"/>
                <w:b/>
                <w:sz w:val="16"/>
              </w:rPr>
              <w:t>Price Per  </w:t>
            </w:r>
          </w:p>
          <w:p>
            <w:pPr>
              <w:pStyle w:val="TableContents"/>
              <w:bidi w:val="0"/>
              <w:spacing w:before="0" w:after="20"/>
              <w:jc w:val="center"/>
              <w:rPr>
                <w:rFonts w:ascii="Times New Roman" w:hAnsi="Times New Roman"/>
                <w:b/>
                <w:sz w:val="16"/>
              </w:rPr>
            </w:pPr>
            <w:r>
              <w:rPr>
                <w:rFonts w:ascii="Times New Roman" w:hAnsi="Times New Roman"/>
                <w:b/>
                <w:sz w:val="16"/>
              </w:rPr>
              <w:t>Security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4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Offering</w:t>
            </w:r>
          </w:p>
          <w:p>
            <w:pPr>
              <w:pStyle w:val="TableContents"/>
              <w:bidi w:val="0"/>
              <w:spacing w:before="0" w:after="20"/>
              <w:jc w:val="center"/>
              <w:rPr>
                <w:rFonts w:ascii="Times New Roman" w:hAnsi="Times New Roman"/>
                <w:b/>
                <w:sz w:val="16"/>
              </w:rPr>
            </w:pPr>
            <w:r>
              <w:rPr>
                <w:rFonts w:ascii="Times New Roman" w:hAnsi="Times New Roman"/>
                <w:b/>
                <w:sz w:val="16"/>
              </w:rPr>
              <w:t>Price</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Fee</w:t>
            </w:r>
          </w:p>
          <w:p>
            <w:pPr>
              <w:pStyle w:val="TableContents"/>
              <w:bidi w:val="0"/>
              <w:spacing w:before="0" w:after="20"/>
              <w:jc w:val="center"/>
              <w:rPr>
                <w:rFonts w:ascii="Times New Roman" w:hAnsi="Times New Roman"/>
                <w:b/>
                <w:sz w:val="16"/>
              </w:rPr>
            </w:pPr>
            <w:r>
              <w:rPr>
                <w:rFonts w:ascii="Times New Roman" w:hAnsi="Times New Roman"/>
                <w:b/>
                <w:sz w:val="16"/>
              </w:rPr>
              <w:t>Rate</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8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Registration</w:t>
            </w:r>
          </w:p>
          <w:p>
            <w:pPr>
              <w:pStyle w:val="TableContents"/>
              <w:bidi w:val="0"/>
              <w:spacing w:before="0" w:after="20"/>
              <w:jc w:val="center"/>
              <w:rPr>
                <w:rFonts w:ascii="Times New Roman" w:hAnsi="Times New Roman"/>
                <w:b/>
                <w:sz w:val="16"/>
              </w:rPr>
            </w:pPr>
            <w:r>
              <w:rPr>
                <w:rFonts w:ascii="Times New Roman" w:hAnsi="Times New Roman"/>
                <w:b/>
                <w:sz w:val="16"/>
              </w:rPr>
              <w:t>Fee</w:t>
            </w:r>
          </w:p>
        </w:tc>
      </w:tr>
      <w:tr>
        <w:trPr/>
        <w:tc>
          <w:tcPr>
            <w:tcW w:w="54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center"/>
              <w:rPr>
                <w:rFonts w:ascii="Times New Roman" w:hAnsi="Times New Roman"/>
                <w:sz w:val="20"/>
              </w:rPr>
            </w:pPr>
            <w:r>
              <w:rPr>
                <w:rFonts w:ascii="Times New Roman" w:hAnsi="Times New Roman"/>
                <w:sz w:val="20"/>
              </w:rPr>
              <w:t>Fees  </w:t>
            </w:r>
          </w:p>
          <w:p>
            <w:pPr>
              <w:pStyle w:val="TableContents"/>
              <w:bidi w:val="0"/>
              <w:spacing w:before="0" w:after="20"/>
              <w:jc w:val="center"/>
              <w:rPr>
                <w:rFonts w:ascii="Times New Roman" w:hAnsi="Times New Roman"/>
                <w:sz w:val="20"/>
              </w:rPr>
            </w:pPr>
            <w:r>
              <w:rPr>
                <w:rFonts w:ascii="Times New Roman" w:hAnsi="Times New Roman"/>
                <w:sz w:val="20"/>
              </w:rPr>
              <w:t>to Be   Paid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Equity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0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Common Stock, par value $0.001 per share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Other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18,446,936</w:t>
              <w:br/>
              <w:t>(2)</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4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$4.13(3)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$76,185,845.68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0.00011020  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$8,395.69</w:t>
            </w:r>
          </w:p>
        </w:tc>
      </w:tr>
      <w:tr>
        <w:trPr/>
        <w:tc>
          <w:tcPr>
            <w:tcW w:w="54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855" w:type="dxa"/>
            <w:gridSpan w:val="13"/>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Total Offering Amounts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$8,395.69</w:t>
            </w:r>
          </w:p>
        </w:tc>
      </w:tr>
      <w:tr>
        <w:trPr/>
        <w:tc>
          <w:tcPr>
            <w:tcW w:w="54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855" w:type="dxa"/>
            <w:gridSpan w:val="13"/>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Total Fees Previously Paid</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w:t>
            </w:r>
          </w:p>
        </w:tc>
      </w:tr>
      <w:tr>
        <w:trPr/>
        <w:tc>
          <w:tcPr>
            <w:tcW w:w="54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855" w:type="dxa"/>
            <w:gridSpan w:val="13"/>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Total Fee Offsets(4)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w:t>
            </w:r>
          </w:p>
        </w:tc>
      </w:tr>
      <w:tr>
        <w:trPr/>
        <w:tc>
          <w:tcPr>
            <w:tcW w:w="54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855" w:type="dxa"/>
            <w:gridSpan w:val="13"/>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Net Fee Due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$8,395.69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under the Securities Act of 1933, as amended (the Securities Act), this registration statement also covers any additional securities that may be offered or issued in connection with any stock dividend, stock split, recapitalization or similar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registered for resale by the Selling Stockholders named in this registration statement, consisting of 18,446,936 issued and outstanding shares of common stock, par value $0.001 per share (Common Stock) held by the Selling Stockholders.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 457(c) under the Securities Act, based on the average of the high and low sales prices of the Common Stock as reported by The Nasdaq Global Select Market on August 28,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does not have any fee offsets.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10182/000095017023007013/alxo-20221231.htm" TargetMode="External"/><Relationship Id="rId4" Type="http://schemas.openxmlformats.org/officeDocument/2006/relationships/hyperlink" Target="http://www.sec.gov/Archives/edgar/data/1810182/000095017023021247/alxo-20230331.htm" TargetMode="External"/><Relationship Id="rId5" Type="http://schemas.openxmlformats.org/officeDocument/2006/relationships/hyperlink" Target="http://www.sec.gov/Archives/edgar/data/1810182/000095017023041319/alxo-20230630.htm" TargetMode="External"/><Relationship Id="rId6" Type="http://schemas.openxmlformats.org/officeDocument/2006/relationships/hyperlink" Target="http://www.sec.gov/Archives/edgar/data/1810182/000095017023028787/alxo-20230616.htm" TargetMode="External"/><Relationship Id="rId7" Type="http://schemas.openxmlformats.org/officeDocument/2006/relationships/hyperlink" Target="http://www.sec.gov/Archives/edgar/data/1810182/000095017023013952/alxo_def_14a_2023_proxy.htm" TargetMode="External"/><Relationship Id="rId8" Type="http://schemas.openxmlformats.org/officeDocument/2006/relationships/hyperlink" Target="http://www.sec.gov/Archives/edgar/data/0001810182/000119312520191878/d936945d8a12b.htm" TargetMode="External"/><Relationship Id="rId9" Type="http://schemas.openxmlformats.org/officeDocument/2006/relationships/hyperlink" Target="http://www.sec.gov/Archives/edgar/data/1810182/000119312520196288/d47591dex31.htm" TargetMode="External"/><Relationship Id="rId10" Type="http://schemas.openxmlformats.org/officeDocument/2006/relationships/hyperlink" Target="http://www.sec.gov/Archives/edgar/data/1810182/000095017023028787/alxo-ex3_1.htm" TargetMode="External"/><Relationship Id="rId11" Type="http://schemas.openxmlformats.org/officeDocument/2006/relationships/hyperlink" Target="http://www.sec.gov/Archives/edgar/data/1810182/000119312520181021/d913838dex41.htm" TargetMode="External"/><Relationship Id="rId12" Type="http://schemas.openxmlformats.org/officeDocument/2006/relationships/hyperlink" Target="http://www.sec.gov/Archives/edgar/data/1810182/000119312520181021/d913838dex42.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10223</Words>
  <Characters>54197</Characters>
  <CharactersWithSpaces>64632</CharactersWithSpaces>
  <Paragraphs>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