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9, 2020.</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85-0642577</w:t>
            </w:r>
          </w:p>
        </w:tc>
      </w:tr>
      <w:tr>
        <w:trPr>
          <w:trHeight w:val="148"/>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866 Malcolm Road, Suite 100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Burlingame, California 94010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Jaume Pons, Ph.D.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866 Malcolm Road, Suite 100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Burlingame, California 94010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4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3060" w:type="dxa"/>
            <w:vAlign w:val="bottom"/>
          </w:tcPr>
          <w:p>
            <w:pPr>
              <w:spacing w:after="0"/>
              <w:rPr>
                <w:sz w:val="18"/>
                <w:szCs w:val="18"/>
                <w:color w:val="auto"/>
              </w:rPr>
            </w:pPr>
          </w:p>
        </w:tc>
      </w:tr>
      <w:tr>
        <w:trPr>
          <w:trHeight w:val="216"/>
        </w:trPr>
        <w:tc>
          <w:tcPr>
            <w:tcW w:w="36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Kenneth A. Clark</w:t>
            </w:r>
          </w:p>
        </w:tc>
        <w:tc>
          <w:tcPr>
            <w:tcW w:w="3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Peter Garcia</w:t>
            </w: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Dave Peinsipp</w:t>
            </w:r>
          </w:p>
        </w:tc>
      </w:tr>
      <w:tr>
        <w:trPr>
          <w:trHeight w:val="216"/>
        </w:trPr>
        <w:tc>
          <w:tcPr>
            <w:tcW w:w="36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Tony Jeffries</w:t>
            </w:r>
          </w:p>
        </w:tc>
        <w:tc>
          <w:tcPr>
            <w:tcW w:w="3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Kristin E. VanderPas</w:t>
            </w:r>
          </w:p>
        </w:tc>
      </w:tr>
      <w:tr>
        <w:trPr>
          <w:trHeight w:val="216"/>
        </w:trPr>
        <w:tc>
          <w:tcPr>
            <w:tcW w:w="36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Michael E. Coke</w:t>
            </w:r>
          </w:p>
        </w:tc>
        <w:tc>
          <w:tcPr>
            <w:tcW w:w="3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Laura Berezin</w:t>
            </w:r>
          </w:p>
        </w:tc>
      </w:tr>
      <w:tr>
        <w:trPr>
          <w:trHeight w:val="216"/>
        </w:trPr>
        <w:tc>
          <w:tcPr>
            <w:tcW w:w="36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Christina L. Poulsen</w:t>
            </w:r>
          </w:p>
        </w:tc>
        <w:tc>
          <w:tcPr>
            <w:tcW w:w="3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866 Malcolm Road, Suite 100</w:t>
            </w: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Denny Won</w:t>
            </w:r>
          </w:p>
        </w:tc>
      </w:tr>
      <w:tr>
        <w:trPr>
          <w:trHeight w:val="216"/>
        </w:trPr>
        <w:tc>
          <w:tcPr>
            <w:tcW w:w="36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Wilson Sonsini Goodrich &amp; Rosati, P.C.</w:t>
            </w:r>
          </w:p>
        </w:tc>
        <w:tc>
          <w:tcPr>
            <w:tcW w:w="3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Burlingame, California 94010</w:t>
            </w: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Cooley LLP</w:t>
            </w:r>
          </w:p>
        </w:tc>
      </w:tr>
      <w:tr>
        <w:trPr>
          <w:trHeight w:val="216"/>
        </w:trPr>
        <w:tc>
          <w:tcPr>
            <w:tcW w:w="36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650 Page Mill Road</w:t>
            </w:r>
          </w:p>
        </w:tc>
        <w:tc>
          <w:tcPr>
            <w:tcW w:w="3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650-466-7125</w:t>
            </w: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101 California Street</w:t>
            </w:r>
          </w:p>
        </w:tc>
      </w:tr>
      <w:tr>
        <w:trPr>
          <w:trHeight w:val="216"/>
        </w:trPr>
        <w:tc>
          <w:tcPr>
            <w:tcW w:w="36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Palo Alto, California 94304</w:t>
            </w:r>
          </w:p>
        </w:tc>
        <w:tc>
          <w:tcPr>
            <w:tcW w:w="3460" w:type="dxa"/>
            <w:vAlign w:val="bottom"/>
          </w:tcPr>
          <w:p>
            <w:pPr>
              <w:spacing w:after="0"/>
              <w:rPr>
                <w:sz w:val="18"/>
                <w:szCs w:val="18"/>
                <w:color w:val="auto"/>
              </w:rPr>
            </w:pP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San Francisco, California 94111</w:t>
            </w:r>
          </w:p>
        </w:tc>
      </w:tr>
      <w:tr>
        <w:trPr>
          <w:trHeight w:val="238"/>
        </w:trPr>
        <w:tc>
          <w:tcPr>
            <w:tcW w:w="36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650-493-9300</w:t>
            </w:r>
          </w:p>
        </w:tc>
        <w:tc>
          <w:tcPr>
            <w:tcW w:w="3460" w:type="dxa"/>
            <w:vAlign w:val="bottom"/>
          </w:tcPr>
          <w:p>
            <w:pPr>
              <w:spacing w:after="0"/>
              <w:rPr>
                <w:sz w:val="20"/>
                <w:szCs w:val="20"/>
                <w:color w:val="auto"/>
              </w:rPr>
            </w:pP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415-693-2000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121"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Registration No. 333-251171</w:t>
      </w:r>
    </w:p>
    <w:p>
      <w:pPr>
        <w:spacing w:after="0" w:line="71"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1"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0960"/>
          </w:cols>
          <w:pgMar w:left="440" w:top="225" w:right="499" w:bottom="0" w:gutter="0" w:footer="0" w:header="0"/>
        </w:sectPr>
      </w:pPr>
    </w:p>
    <w:bookmarkStart w:id="1" w:name="page2"/>
    <w:bookmarkEnd w:id="1"/>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70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70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ind w:left="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ind w:left="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70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7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12"/>
                <w:szCs w:val="12"/>
                <w:b w:val="1"/>
                <w:bCs w:val="1"/>
                <w:color w:val="auto"/>
              </w:rPr>
              <w:t>(2)</w:t>
            </w:r>
          </w:p>
        </w:tc>
        <w:tc>
          <w:tcPr>
            <w:tcW w:w="154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 xml:space="preserve">OFFERING PRICE </w:t>
            </w:r>
            <w:r>
              <w:rPr>
                <w:rFonts w:ascii="Times New Roman" w:cs="Times New Roman" w:eastAsia="Times New Roman" w:hAnsi="Times New Roman"/>
                <w:sz w:val="12"/>
                <w:szCs w:val="12"/>
                <w:b w:val="1"/>
                <w:bCs w:val="1"/>
                <w:color w:val="auto"/>
              </w:rPr>
              <w:t>(2)</w:t>
            </w:r>
          </w:p>
        </w:tc>
        <w:tc>
          <w:tcPr>
            <w:tcW w:w="170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 xml:space="preserve">REGISTRATION FEE </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54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437,000</w:t>
            </w:r>
          </w:p>
        </w:tc>
        <w:tc>
          <w:tcPr>
            <w:tcW w:w="154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rPr>
              <w:t>$76.00</w:t>
            </w:r>
          </w:p>
        </w:tc>
        <w:tc>
          <w:tcPr>
            <w:tcW w:w="154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w w:val="99"/>
              </w:rPr>
              <w:t>$33,212,000</w:t>
            </w:r>
          </w:p>
        </w:tc>
        <w:tc>
          <w:tcPr>
            <w:tcW w:w="170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40" w:hanging="424"/>
        <w:spacing w:after="0" w:line="255" w:lineRule="auto"/>
        <w:tabs>
          <w:tab w:leader="none" w:pos="42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only the additional number of shares being registered and includes 57,000 shares issuable upon the exercise of the underwriters’ option to purchase additional shares. Does not include the securities, the offer and sale of which the Registrant previously registered on a Registration Statement on Form S-1 (File No. 333-251171) (the Earlier Registration Statement), for which a filing fee of $18,484 was previously paid upon the filing of such Earlier Registration Statement.</w:t>
      </w:r>
    </w:p>
    <w:p>
      <w:pPr>
        <w:spacing w:after="0" w:line="2" w:lineRule="exact"/>
        <w:rPr>
          <w:rFonts w:ascii="Times New Roman" w:cs="Times New Roman" w:eastAsia="Times New Roman" w:hAnsi="Times New Roman"/>
          <w:sz w:val="15"/>
          <w:szCs w:val="15"/>
          <w:color w:val="auto"/>
        </w:rPr>
      </w:pPr>
    </w:p>
    <w:p>
      <w:pPr>
        <w:ind w:left="424" w:right="40" w:hanging="424"/>
        <w:spacing w:after="0" w:line="250" w:lineRule="auto"/>
        <w:tabs>
          <w:tab w:leader="none" w:pos="42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Registrant previously registered securities on the Earlier Registration Statement, which was declared effective by the Securities and Exchange Commission on December 9, 2020. In accordance with Rule 462(b) under the Securities Act of 1933, as amended (the Securities Act), an additional amount of securities having a proposed maximum aggregate offering price of $33,212,000 are hereby registered, which includes shares issuable upon the exercise of the underwriters’ option to purchase additional shares.</w:t>
      </w:r>
    </w:p>
    <w:p>
      <w:pPr>
        <w:spacing w:after="0" w:line="1"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Calculated pursuant to Rule 457(a)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 AND INCORPORATION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INFORMATION BY REFERENCE</w:t>
      </w:r>
    </w:p>
    <w:p>
      <w:pPr>
        <w:spacing w:after="0" w:line="207" w:lineRule="exact"/>
        <w:rPr>
          <w:sz w:val="20"/>
          <w:szCs w:val="20"/>
          <w:color w:val="auto"/>
        </w:rPr>
      </w:pPr>
    </w:p>
    <w:p>
      <w:pPr>
        <w:jc w:val="both"/>
        <w:ind w:right="440" w:firstLine="440"/>
        <w:spacing w:after="0" w:line="261" w:lineRule="auto"/>
        <w:rPr>
          <w:sz w:val="20"/>
          <w:szCs w:val="20"/>
          <w:color w:val="auto"/>
        </w:rPr>
      </w:pPr>
      <w:r>
        <w:rPr>
          <w:rFonts w:ascii="Times New Roman" w:cs="Times New Roman" w:eastAsia="Times New Roman" w:hAnsi="Times New Roman"/>
          <w:sz w:val="18"/>
          <w:szCs w:val="18"/>
          <w:color w:val="auto"/>
        </w:rPr>
        <w:t>Pursuant to Rule 462(b) under the Securities Act of 1933, as amended, ALX Oncology Holdings Inc., a Delaware corporation, is filing this registration statement with the Securities and Exchange Commission (SEC). This registration statement relates to the public offering of securities contemplated by the Registration Statement on Form S-1, as amended (File No. 333-251171), which we originally filed on December 7, 2020 (the Earlier Registration Statement), and which the SEC declared effective on December 9, 2020.</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We are filing this registration statement for the sole purpose of increasing the aggregate number of shares of common stock, par value $0.001 per share, offered by us by 437,000 shares, 57,000 of which are subject to purchase upon exercise of the underwriters’ option to purchase additional shares of common stock. The additional shares of common stock that are being registered for issuance and sale pursuant to this registration statement are in an amount and at a price that together represent no more than 20% of the maximum aggregate offering price set forth in the Calculation of Registration Fee table contained in the Earlier Registration Statement. The information set forth in the Earlier Registration Statement is incorporated by reference in this filing.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required opinion and consents are listed on the Exhibit Index attached hereto and filed herewith.</w:t>
      </w:r>
    </w:p>
    <w:p>
      <w:pPr>
        <w:sectPr>
          <w:pgSz w:w="11900" w:h="16838" w:orient="portrait"/>
          <w:cols w:equalWidth="0" w:num="1">
            <w:col w:w="10960"/>
          </w:cols>
          <w:pgMar w:left="440" w:top="266"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32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97"/>
        </w:trPr>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42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0" w:type="dxa"/>
            <w:vAlign w:val="bottom"/>
          </w:tcPr>
          <w:p>
            <w:pPr>
              <w:spacing w:after="0"/>
              <w:rPr>
                <w:sz w:val="24"/>
                <w:szCs w:val="24"/>
                <w:color w:val="auto"/>
              </w:rPr>
            </w:pPr>
          </w:p>
        </w:tc>
        <w:tc>
          <w:tcPr>
            <w:tcW w:w="9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9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tcPr>
          <w:p>
            <w:pPr>
              <w:spacing w:after="0"/>
              <w:rPr>
                <w:sz w:val="24"/>
                <w:szCs w:val="24"/>
                <w:color w:val="auto"/>
              </w:rPr>
            </w:pPr>
          </w:p>
        </w:tc>
        <w:tc>
          <w:tcPr>
            <w:tcW w:w="9200" w:type="dxa"/>
            <w:vAlign w:val="bottom"/>
            <w:gridSpan w:val="4"/>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Opinion of Wilson Sonsini Goodrich &amp; Rosati, Professional Corporation.</w:t>
              </w:r>
            </w:hyperlink>
          </w:p>
        </w:tc>
      </w:tr>
      <w:tr>
        <w:trPr>
          <w:trHeight w:val="324"/>
        </w:trPr>
        <w:tc>
          <w:tcPr>
            <w:tcW w:w="9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95"/>
              </w:rPr>
              <w:t>23.1</w:t>
            </w:r>
          </w:p>
        </w:tc>
        <w:tc>
          <w:tcPr>
            <w:tcW w:w="920" w:type="dxa"/>
            <w:vAlign w:val="bottom"/>
          </w:tcPr>
          <w:p>
            <w:pPr>
              <w:spacing w:after="0"/>
              <w:rPr>
                <w:sz w:val="24"/>
                <w:szCs w:val="24"/>
                <w:color w:val="auto"/>
              </w:rPr>
            </w:pPr>
          </w:p>
        </w:tc>
        <w:tc>
          <w:tcPr>
            <w:tcW w:w="9200" w:type="dxa"/>
            <w:vAlign w:val="bottom"/>
            <w:gridSpan w:val="4"/>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Consent of Independent Registered Public Accounting Firm as to the Registrant.</w:t>
              </w:r>
            </w:hyperlink>
          </w:p>
        </w:tc>
      </w:tr>
      <w:tr>
        <w:trPr>
          <w:trHeight w:val="324"/>
        </w:trPr>
        <w:tc>
          <w:tcPr>
            <w:tcW w:w="9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95"/>
              </w:rPr>
              <w:t>23.2</w:t>
            </w:r>
          </w:p>
        </w:tc>
        <w:tc>
          <w:tcPr>
            <w:tcW w:w="920" w:type="dxa"/>
            <w:vAlign w:val="bottom"/>
          </w:tcPr>
          <w:p>
            <w:pPr>
              <w:spacing w:after="0"/>
              <w:rPr>
                <w:sz w:val="24"/>
                <w:szCs w:val="24"/>
                <w:color w:val="auto"/>
              </w:rPr>
            </w:pPr>
          </w:p>
        </w:tc>
        <w:tc>
          <w:tcPr>
            <w:tcW w:w="9200" w:type="dxa"/>
            <w:vAlign w:val="bottom"/>
            <w:gridSpan w:val="4"/>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u w:val="single" w:color="auto"/>
                  <w:color w:val="0000EE"/>
                </w:rPr>
                <w:t>Consent of Independent Registered Public Accounting Firm as to ALX Oncology Limited</w:t>
              </w:r>
              <w:r>
                <w:rPr>
                  <w:rFonts w:ascii="Times New Roman" w:cs="Times New Roman" w:eastAsia="Times New Roman" w:hAnsi="Times New Roman"/>
                  <w:sz w:val="18"/>
                  <w:szCs w:val="18"/>
                  <w:color w:val="0000EE"/>
                </w:rPr>
                <w:t>.</w:t>
              </w:r>
            </w:hyperlink>
          </w:p>
        </w:tc>
      </w:tr>
      <w:tr>
        <w:trPr>
          <w:trHeight w:val="324"/>
        </w:trPr>
        <w:tc>
          <w:tcPr>
            <w:tcW w:w="9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95"/>
              </w:rPr>
              <w:t>23.3</w:t>
            </w:r>
          </w:p>
        </w:tc>
        <w:tc>
          <w:tcPr>
            <w:tcW w:w="920" w:type="dxa"/>
            <w:vAlign w:val="bottom"/>
          </w:tcPr>
          <w:p>
            <w:pPr>
              <w:spacing w:after="0"/>
              <w:rPr>
                <w:sz w:val="24"/>
                <w:szCs w:val="24"/>
                <w:color w:val="auto"/>
              </w:rPr>
            </w:pPr>
          </w:p>
        </w:tc>
        <w:tc>
          <w:tcPr>
            <w:tcW w:w="9200" w:type="dxa"/>
            <w:vAlign w:val="bottom"/>
            <w:gridSpan w:val="4"/>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Consent of Wilson Sonsini Goodrich &amp; Rosati, Professional Corporation (reference is made to Exhibit 5.1).</w:t>
              </w:r>
            </w:hyperlink>
          </w:p>
        </w:tc>
      </w:tr>
      <w:tr>
        <w:trPr>
          <w:trHeight w:val="283"/>
        </w:trPr>
        <w:tc>
          <w:tcPr>
            <w:tcW w:w="9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95"/>
              </w:rPr>
              <w:t>24.1</w:t>
            </w:r>
          </w:p>
        </w:tc>
        <w:tc>
          <w:tcPr>
            <w:tcW w:w="920" w:type="dxa"/>
            <w:vAlign w:val="bottom"/>
          </w:tcPr>
          <w:p>
            <w:pPr>
              <w:spacing w:after="0"/>
              <w:rPr>
                <w:sz w:val="24"/>
                <w:szCs w:val="24"/>
                <w:color w:val="auto"/>
              </w:rPr>
            </w:pPr>
          </w:p>
        </w:tc>
        <w:tc>
          <w:tcPr>
            <w:tcW w:w="82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Power of Attorney (incorporated by reference to Exhibit 24.1 of the Form S-1 Registration Statement (Registration</w:t>
              </w:r>
            </w:hyperlink>
          </w:p>
        </w:tc>
        <w:tc>
          <w:tcPr>
            <w:tcW w:w="9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0" w:type="dxa"/>
            <w:vAlign w:val="bottom"/>
            <w:gridSpan w:val="4"/>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No. 333-251171) filed on December 7, 2020).</w:t>
              </w:r>
            </w:hyperlink>
          </w:p>
        </w:tc>
      </w:tr>
      <w:tr>
        <w:trPr>
          <w:trHeight w:val="20"/>
        </w:trPr>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on Form S-1 to be signed on its behalf by the undersigned, thereunto duly authorized, in the City of Burlingame, State of California, on the 9th day of December 2020.</w:t>
      </w:r>
    </w:p>
    <w:p>
      <w:pPr>
        <w:spacing w:after="0" w:line="1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Jaume Pons, Ph.D.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Jaume Pons</w:t>
            </w: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xml:space="preserve">President, Chief Executive Officer and Director </w:t>
            </w:r>
            <w:r>
              <w:rPr>
                <w:rFonts w:ascii="Times New Roman" w:cs="Times New Roman" w:eastAsia="Times New Roman" w:hAnsi="Times New Roman"/>
                <w:sz w:val="18"/>
                <w:szCs w:val="18"/>
                <w:i w:val="1"/>
                <w:iCs w:val="1"/>
                <w:color w:val="auto"/>
              </w:rPr>
              <w:t>(Principal</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Jaume Pons, Ph.D.</w:t>
            </w: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9"/>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Peter Garcia</w:t>
            </w: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Garcia</w:t>
            </w: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9"/>
        </w:trPr>
        <w:tc>
          <w:tcPr>
            <w:tcW w:w="4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Steffen Pietzke</w:t>
            </w: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Vice President, Finance and Chief Accounting Officer</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Steffen Pietzke</w:t>
            </w: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Corey Goodman, Ph.D.</w:t>
            </w: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Jason Lettmann</w:t>
            </w: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Jack Nielsen</w:t>
            </w: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2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Graham Walmsley, M.D., Ph.D.</w:t>
            </w: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5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Jaume Pons</w:t>
            </w: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360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Jaume Pons, Ph.D.</w:t>
            </w:r>
          </w:p>
        </w:tc>
        <w:tc>
          <w:tcPr>
            <w:tcW w:w="320" w:type="dxa"/>
            <w:vAlign w:val="bottom"/>
            <w:tcBorders>
              <w:top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8"/>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II-2</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660"/>
          </w:cols>
          <w:pgMar w:left="440" w:top="266" w:right="799" w:bottom="1440" w:gutter="0" w:footer="0" w:header="0"/>
        </w:sectPr>
      </w:pPr>
    </w:p>
    <w:bookmarkStart w:id="5" w:name="page6"/>
    <w:bookmarkEnd w:id="5"/>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39825"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139825" cy="480060"/>
                    </a:xfrm>
                    <a:prstGeom prst="rect">
                      <a:avLst/>
                    </a:prstGeom>
                    <a:noFill/>
                  </pic:spPr>
                </pic:pic>
              </a:graphicData>
            </a:graphic>
          </wp:anchor>
        </w:drawing>
      </w:r>
    </w:p>
    <w:p>
      <w:pPr>
        <w:spacing w:after="0" w:line="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2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650.493.6811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9,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31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Securities Registered under Registration Statement on Form S-1 (File No. 333-251171) and Registration Statement filed pursuant to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462(b) of the Securities Act of 1933, as amended (the “Securities 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ALX Oncology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pursuant to Rule 462(b) of the Securities Act in connection with the registration under the Securities Act of 437,000 shares of the Company’s common stock, $0.001 par value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including up to 57,000 shares issuable upon exercise of an option to purchase additional shares granted by the Company. The Registration Statement incorporates by reference the Registration Statement on Form S-1 (No. 333-251171) (the “</w:t>
      </w:r>
      <w:r>
        <w:rPr>
          <w:rFonts w:ascii="Times New Roman" w:cs="Times New Roman" w:eastAsia="Times New Roman" w:hAnsi="Times New Roman"/>
          <w:sz w:val="18"/>
          <w:szCs w:val="18"/>
          <w:b w:val="1"/>
          <w:bCs w:val="1"/>
          <w:color w:val="auto"/>
        </w:rPr>
        <w:t>Prior Registration Statement</w:t>
      </w:r>
      <w:r>
        <w:rPr>
          <w:rFonts w:ascii="Times New Roman" w:cs="Times New Roman" w:eastAsia="Times New Roman" w:hAnsi="Times New Roman"/>
          <w:sz w:val="18"/>
          <w:szCs w:val="18"/>
          <w:color w:val="auto"/>
        </w:rPr>
        <w:t>”), which was declared effective on December 9, 2020, including the prospectus which forms part of the Registration Statement. We understand that the Shares are to be sold by the Company to the underwriters for resale to the public as described in the Registration Statement and the Prior Registration Statement and pursuant to an underwriting agreement, substantially in the form filed as an exhibit to the Prior Registration Statement, to be entered into by and among the Company and the underwriters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(including the statutory provisions and all applicable judicial decisions interpreting those laws) and the federal laws of the United States of America.</w:t>
      </w:r>
    </w:p>
    <w:p>
      <w:pPr>
        <w:sectPr>
          <w:pgSz w:w="11900" w:h="16838" w:orient="portrait"/>
          <w:cols w:equalWidth="0" w:num="1">
            <w:col w:w="11020"/>
          </w:cols>
          <w:pgMar w:left="440" w:top="117" w:right="439" w:bottom="1440" w:gutter="0" w:footer="0" w:header="0"/>
        </w:sectPr>
      </w:pP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AUSTIN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firstLine="66"/>
        <w:spacing w:after="0" w:line="312" w:lineRule="auto"/>
        <w:rPr>
          <w:sz w:val="20"/>
          <w:szCs w:val="20"/>
          <w:color w:val="auto"/>
        </w:rPr>
      </w:pPr>
      <w:r>
        <w:rPr>
          <w:rFonts w:ascii="Times New Roman" w:cs="Times New Roman" w:eastAsia="Times New Roman" w:hAnsi="Times New Roman"/>
          <w:sz w:val="17"/>
          <w:szCs w:val="17"/>
          <w:color w:val="auto"/>
        </w:rPr>
        <w:t>BEIJING SAN DIEGO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1100" w:val="left"/>
          <w:tab w:leader="none" w:pos="2360" w:val="left"/>
          <w:tab w:leader="none" w:pos="3800" w:val="left"/>
          <w:tab w:leader="none" w:pos="492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7"/>
          <w:szCs w:val="17"/>
          <w:color w:val="auto"/>
        </w:rPr>
        <w:t>LOS ANGELES</w:t>
      </w:r>
    </w:p>
    <w:p>
      <w:pPr>
        <w:spacing w:after="0" w:line="27" w:lineRule="exact"/>
        <w:rPr>
          <w:sz w:val="20"/>
          <w:szCs w:val="20"/>
          <w:color w:val="auto"/>
        </w:rPr>
      </w:pPr>
    </w:p>
    <w:p>
      <w:pPr>
        <w:ind w:left="220"/>
        <w:spacing w:after="0"/>
        <w:tabs>
          <w:tab w:leader="none" w:pos="1980" w:val="left"/>
          <w:tab w:leader="none" w:pos="3100" w:val="left"/>
          <w:tab w:leader="none" w:pos="4400" w:val="left"/>
        </w:tabs>
        <w:rPr>
          <w:sz w:val="20"/>
          <w:szCs w:val="20"/>
          <w:color w:val="auto"/>
        </w:rPr>
      </w:pPr>
      <w:r>
        <w:rPr>
          <w:rFonts w:ascii="Times New Roman" w:cs="Times New Roman" w:eastAsia="Times New Roman" w:hAnsi="Times New Roman"/>
          <w:sz w:val="18"/>
          <w:szCs w:val="18"/>
          <w:color w:val="auto"/>
        </w:rPr>
        <w:t>SAN FRANCISCO</w:t>
      </w:r>
      <w:r>
        <w:rPr>
          <w:sz w:val="20"/>
          <w:szCs w:val="20"/>
          <w:color w:val="auto"/>
        </w:rPr>
        <w:tab/>
      </w:r>
      <w:r>
        <w:rPr>
          <w:rFonts w:ascii="Times New Roman" w:cs="Times New Roman" w:eastAsia="Times New Roman" w:hAnsi="Times New Roman"/>
          <w:sz w:val="18"/>
          <w:szCs w:val="18"/>
          <w:color w:val="auto"/>
        </w:rPr>
        <w:t>SEATTLE</w:t>
      </w:r>
      <w:r>
        <w:rPr>
          <w:sz w:val="20"/>
          <w:szCs w:val="20"/>
          <w:color w:val="auto"/>
        </w:rPr>
        <w:tab/>
      </w:r>
      <w:r>
        <w:rPr>
          <w:rFonts w:ascii="Times New Roman" w:cs="Times New Roman" w:eastAsia="Times New Roman" w:hAnsi="Times New Roman"/>
          <w:sz w:val="18"/>
          <w:szCs w:val="18"/>
          <w:color w:val="auto"/>
        </w:rPr>
        <w:t>SHANGHAI</w:t>
      </w:r>
      <w:r>
        <w:rPr>
          <w:sz w:val="20"/>
          <w:szCs w:val="20"/>
          <w:color w:val="auto"/>
        </w:rPr>
        <w:tab/>
      </w:r>
      <w:r>
        <w:rPr>
          <w:rFonts w:ascii="Times New Roman" w:cs="Times New Roman" w:eastAsia="Times New Roman" w:hAnsi="Times New Roman"/>
          <w:sz w:val="17"/>
          <w:szCs w:val="17"/>
          <w:color w:val="auto"/>
        </w:rPr>
        <w:t>WASHINGTON, DC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00" w:firstLine="187"/>
        <w:spacing w:after="0" w:line="282" w:lineRule="auto"/>
        <w:rPr>
          <w:sz w:val="20"/>
          <w:szCs w:val="20"/>
          <w:color w:val="auto"/>
        </w:rPr>
      </w:pPr>
      <w:r>
        <w:rPr>
          <w:rFonts w:ascii="Times New Roman" w:cs="Times New Roman" w:eastAsia="Times New Roman" w:hAnsi="Times New Roman"/>
          <w:sz w:val="18"/>
          <w:szCs w:val="18"/>
          <w:color w:val="auto"/>
        </w:rPr>
        <w:t>NEW YORK PALO ALTO WILMINGTON, DE</w:t>
      </w:r>
    </w:p>
    <w:p>
      <w:pPr>
        <w:sectPr>
          <w:pgSz w:w="11900" w:h="16838" w:orient="portrait"/>
          <w:cols w:equalWidth="0" w:num="4">
            <w:col w:w="740" w:space="300"/>
            <w:col w:w="960" w:space="140"/>
            <w:col w:w="6140" w:space="160"/>
            <w:col w:w="2580"/>
          </w:cols>
          <w:pgMar w:left="440" w:top="117"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9825"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480060"/>
                    </a:xfrm>
                    <a:prstGeom prst="rect">
                      <a:avLst/>
                    </a:prstGeom>
                    <a:noFill/>
                  </pic:spPr>
                </pic:pic>
              </a:graphicData>
            </a:graphic>
          </wp:anchor>
        </w:drawing>
        <w:t>December 9,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right="80" w:firstLine="440"/>
        <w:spacing w:after="0" w:line="312" w:lineRule="auto"/>
        <w:rPr>
          <w:sz w:val="20"/>
          <w:szCs w:val="20"/>
          <w:color w:val="auto"/>
        </w:rPr>
      </w:pPr>
      <w:r>
        <w:rPr>
          <w:rFonts w:ascii="Times New Roman" w:cs="Times New Roman" w:eastAsia="Times New Roman" w:hAnsi="Times New Roman"/>
          <w:sz w:val="17"/>
          <w:szCs w:val="17"/>
          <w:color w:val="auto"/>
        </w:rPr>
        <w:t>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140"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We consent to the use of this opinion as an exhibit to the Registration Statement, and we consent to the reference of our name under the caption “Legal Matters” in the prospectus forming part of the Prior Registration Statement, which is incorporated by reference into the Registration Statement.</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840"/>
          </w:cols>
          <w:pgMar w:left="440" w:top="1134" w:right="6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11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consent to the use of our report dated June 12, 2020, except for the retroactive effect of the reverse stock split as described under the heading ‘Reverse Stock Split’ in Note 4, which is as of July 13, 2020, with respect to the balance sheet of ALX Oncology Holdings Inc. as of April 1, 2020 (inception), and the related notes, in the registration statement (No. 333-251171) on Form S-1, included therein and incorporated by reference herein, and to the reference to our firm under the heading “Experts”.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2020</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Limited:</w:t>
      </w:r>
    </w:p>
    <w:p>
      <w:pPr>
        <w:spacing w:after="0" w:line="11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consent to the use of our report dated May 5, 2020, except for the retroactive effect of the reverse stock split as described under the heading ‘Reverse Stock Split’ in Note 13, which is as of July 13, 2020, with respect to the consolidated balance sheets of ALX Oncology Limited and subsidiaries as of December 31, 2018 and 2019, the related consolidated statements of operations and comprehensive loss, convertible preferred shares and shareholders’ deficit, and cash flows for each of the years in the two-year period ended December 31, 2019, and the related notes, in the registration statement (No. 333-251171) on Form S-1, included therein and incorporated by reference herein, and to the reference to our firm under the heading “Experts”.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jpeg"/><Relationship Id="rId21" Type="http://schemas.openxmlformats.org/officeDocument/2006/relationships/hyperlink" Target="http://www.sec.gov/Archives/edgar/data/1810182/000119312520311731/d10330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2020-12-09T20:26:37Z</dcterms:created>
  <dcterms:modified xsi:type="dcterms:W3CDTF">2020-12-09T20:26:37Z</dcterms:modified>
</cp:coreProperties>
</file>