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0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00090"/>
                    </a:xfrm>
                    <a:prstGeom prst="rect">
                      <a:avLst/>
                    </a:prstGeom>
                    <a:noFill/>
                  </pic:spPr>
                </pic:pic>
              </a:graphicData>
            </a:graphic>
          </wp:anchor>
        </w:drawing>
      </w:r>
    </w:p>
    <w:p>
      <w:pPr>
        <w:sectPr>
          <w:pgSz w:w="11900" w:h="16838" w:orient="portrait"/>
          <w:cols w:equalWidth="0" w:num="1">
            <w:col w:w="10940"/>
          </w:cols>
          <w:pgMar w:left="480" w:top="230" w:right="479" w:bottom="49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Klencke Barbara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ALX ONCOLOGY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ALXO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49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C/O ALX ONCOLOGY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323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49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60,000</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60,000</w:t>
            </w:r>
          </w:p>
        </w:tc>
        <w:tc>
          <w:tcPr>
            <w:tcW w:w="9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01/20/2035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8"/>
              </w:rPr>
              <w:t>40,400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1.65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09/16/2035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5"/>
              </w:rPr>
              <w:t>300,000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1.05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01/25/2036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5"/>
              </w:rPr>
              <w:t>100,000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1.48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 shares are held directly by the reporting person's spouse.</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2. Shares subject to the option vest in 36 equal monthly installments beginning on February 21, 2025.</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3. One-third of the shares subject to the option vest on each of September 17, 2025, January 31, 2026 and June 30, 2026.</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4. Shares subject to the option vest in 12 equal monthly installments beginning on February 26, 2026.</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Shelly Pinto,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490" w:gutter="0" w:footer="0" w:header="0"/>
          <w:type w:val="continuous"/>
        </w:sectPr>
      </w:pPr>
    </w:p>
    <w:bookmarkStart w:id="1" w:name="page2"/>
    <w:bookmarkEnd w:id="1"/>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as a Section 16 reporting person of ALX Oncology Holdings Inc. (the “Company”), hereby constitutes and appoints Jason Lettmann, Shelly Pinto and Harish Shantharam, and each of them, as the undersigned’s true and lawful attorney-in-fact to:</w:t>
      </w:r>
    </w:p>
    <w:p>
      <w:pPr>
        <w:spacing w:after="0" w:line="208" w:lineRule="exact"/>
        <w:rPr>
          <w:sz w:val="20"/>
          <w:szCs w:val="20"/>
          <w:color w:val="auto"/>
        </w:rPr>
      </w:pPr>
    </w:p>
    <w:p>
      <w:pPr>
        <w:ind w:left="1460" w:hanging="679"/>
        <w:spacing w:after="0" w:line="249" w:lineRule="auto"/>
        <w:tabs>
          <w:tab w:leader="none" w:pos="12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18" w:lineRule="exact"/>
        <w:rPr>
          <w:rFonts w:ascii="Times New Roman" w:cs="Times New Roman" w:eastAsia="Times New Roman" w:hAnsi="Times New Roman"/>
          <w:sz w:val="22"/>
          <w:szCs w:val="22"/>
          <w:color w:val="auto"/>
        </w:rPr>
      </w:pPr>
    </w:p>
    <w:p>
      <w:pPr>
        <w:ind w:left="1460" w:right="20" w:hanging="679"/>
        <w:spacing w:after="0" w:line="273" w:lineRule="auto"/>
        <w:tabs>
          <w:tab w:leader="none" w:pos="12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necessary in order to file such forms with the SEC, any securities exchange or national association, the Company and such other person or agency as the attorneys-in-fact shall deem appropriate.</w:t>
      </w:r>
    </w:p>
    <w:p>
      <w:pPr>
        <w:spacing w:after="0" w:line="190"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3"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08" w:lineRule="exact"/>
        <w:rPr>
          <w:sz w:val="20"/>
          <w:szCs w:val="20"/>
          <w:color w:val="auto"/>
        </w:rPr>
      </w:pPr>
    </w:p>
    <w:p>
      <w:pPr>
        <w:jc w:val="both"/>
        <w:ind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25th day of February, 2026.</w:t>
      </w:r>
    </w:p>
    <w:p>
      <w:pPr>
        <w:spacing w:after="0" w:line="200" w:lineRule="exact"/>
        <w:rPr>
          <w:sz w:val="20"/>
          <w:szCs w:val="20"/>
          <w:color w:val="auto"/>
        </w:rPr>
      </w:pPr>
    </w:p>
    <w:p>
      <w:pPr>
        <w:spacing w:after="0" w:line="24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Signature: /s/ Barbara Klencke</w:t>
      </w:r>
    </w:p>
    <w:p>
      <w:pPr>
        <w:spacing w:after="0" w:line="25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Print Name: Barbara Klencke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1452880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47647"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2026-03-05T15:05:01Z</dcterms:created>
  <dcterms:modified xsi:type="dcterms:W3CDTF">2026-03-05T15:05:01Z</dcterms:modified>
</cp:coreProperties>
</file>