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60"/>
        <w:spacing w:after="0" w:line="220" w:lineRule="auto"/>
        <w:rPr>
          <w:sz w:val="20"/>
          <w:szCs w:val="20"/>
          <w:color w:val="auto"/>
        </w:rPr>
      </w:pPr>
      <w:r>
        <w:rPr>
          <w:rFonts w:ascii="Arial" w:cs="Arial" w:eastAsia="Arial" w:hAnsi="Arial"/>
          <w:sz w:val="27"/>
          <w:szCs w:val="27"/>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3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13"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001-39386</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-232410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76" w:lineRule="exact"/>
        <w:rPr>
          <w:sz w:val="24"/>
          <w:szCs w:val="24"/>
          <w:color w:val="auto"/>
        </w:rPr>
      </w:pPr>
    </w:p>
    <w:tbl>
      <w:tblPr>
        <w:tblLayout w:type="fixed"/>
        <w:tblInd w:w="1580" w:type="dxa"/>
        <w:tblCellMar>
          <w:top w:w="0" w:type="dxa"/>
          <w:left w:w="0" w:type="dxa"/>
          <w:bottom w:w="0" w:type="dxa"/>
          <w:right w:w="0" w:type="dxa"/>
        </w:tblCellMar>
      </w:tblPr>
      <w:tr>
        <w:trPr>
          <w:trHeight w:val="207"/>
        </w:trPr>
        <w:tc>
          <w:tcPr>
            <w:tcW w:w="2920" w:type="dxa"/>
            <w:vAlign w:val="bottom"/>
          </w:tcPr>
          <w:p>
            <w:pPr>
              <w:jc w:val="center"/>
              <w:ind w:right="359"/>
              <w:spacing w:after="0"/>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spacing w:after="0"/>
              <w:rPr>
                <w:sz w:val="17"/>
                <w:szCs w:val="17"/>
                <w:color w:val="auto"/>
              </w:rPr>
            </w:pPr>
          </w:p>
        </w:tc>
        <w:tc>
          <w:tcPr>
            <w:tcW w:w="2260" w:type="dxa"/>
            <w:vAlign w:val="bottom"/>
          </w:tcPr>
          <w:p>
            <w:pPr>
              <w:jc w:val="right"/>
              <w:ind w:right="64"/>
              <w:spacing w:after="0"/>
              <w:rPr>
                <w:sz w:val="20"/>
                <w:szCs w:val="20"/>
                <w:color w:val="auto"/>
              </w:rPr>
            </w:pPr>
            <w:r>
              <w:rPr>
                <w:rFonts w:ascii="Arial" w:cs="Arial" w:eastAsia="Arial" w:hAnsi="Arial"/>
                <w:sz w:val="18"/>
                <w:szCs w:val="18"/>
                <w:b w:val="1"/>
                <w:bCs w:val="1"/>
                <w:color w:val="auto"/>
              </w:rPr>
              <w:t>85-0642577</w:t>
            </w:r>
          </w:p>
        </w:tc>
        <w:tc>
          <w:tcPr>
            <w:tcW w:w="0" w:type="dxa"/>
            <w:vAlign w:val="bottom"/>
          </w:tcPr>
          <w:p>
            <w:pPr>
              <w:spacing w:after="0"/>
              <w:rPr>
                <w:sz w:val="1"/>
                <w:szCs w:val="1"/>
                <w:color w:val="auto"/>
              </w:rPr>
            </w:pPr>
          </w:p>
        </w:tc>
      </w:tr>
      <w:tr>
        <w:trPr>
          <w:trHeight w:val="144"/>
        </w:trPr>
        <w:tc>
          <w:tcPr>
            <w:tcW w:w="2920" w:type="dxa"/>
            <w:vAlign w:val="bottom"/>
          </w:tcPr>
          <w:p>
            <w:pPr>
              <w:jc w:val="center"/>
              <w:ind w:right="359"/>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2240" w:type="dxa"/>
            <w:vAlign w:val="bottom"/>
          </w:tcPr>
          <w:p>
            <w:pPr>
              <w:spacing w:after="0"/>
              <w:rPr>
                <w:sz w:val="12"/>
                <w:szCs w:val="12"/>
                <w:color w:val="auto"/>
              </w:rPr>
            </w:pPr>
          </w:p>
        </w:tc>
        <w:tc>
          <w:tcPr>
            <w:tcW w:w="2260" w:type="dxa"/>
            <w:vAlign w:val="bottom"/>
          </w:tcPr>
          <w:p>
            <w:pPr>
              <w:jc w:val="center"/>
              <w:ind w:left="1064"/>
              <w:spacing w:after="0" w:line="14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71"/>
        </w:trPr>
        <w:tc>
          <w:tcPr>
            <w:tcW w:w="2920" w:type="dxa"/>
            <w:vAlign w:val="bottom"/>
          </w:tcPr>
          <w:p>
            <w:pPr>
              <w:jc w:val="center"/>
              <w:ind w:right="359"/>
              <w:spacing w:after="0"/>
              <w:rPr>
                <w:sz w:val="20"/>
                <w:szCs w:val="20"/>
                <w:color w:val="auto"/>
              </w:rPr>
            </w:pPr>
            <w:r>
              <w:rPr>
                <w:rFonts w:ascii="Arial" w:cs="Arial" w:eastAsia="Arial" w:hAnsi="Arial"/>
                <w:sz w:val="14"/>
                <w:szCs w:val="14"/>
                <w:b w:val="1"/>
                <w:bCs w:val="1"/>
                <w:color w:val="auto"/>
                <w:w w:val="94"/>
              </w:rPr>
              <w:t>incorporation or organization)</w:t>
            </w:r>
          </w:p>
        </w:tc>
        <w:tc>
          <w:tcPr>
            <w:tcW w:w="2240" w:type="dxa"/>
            <w:vAlign w:val="bottom"/>
          </w:tcPr>
          <w:p>
            <w:pPr>
              <w:spacing w:after="0"/>
              <w:rPr>
                <w:sz w:val="14"/>
                <w:szCs w:val="14"/>
                <w:color w:val="auto"/>
              </w:rPr>
            </w:pPr>
          </w:p>
        </w:tc>
        <w:tc>
          <w:tcPr>
            <w:tcW w:w="2260" w:type="dxa"/>
            <w:vAlign w:val="bottom"/>
          </w:tcPr>
          <w:p>
            <w:pPr>
              <w:jc w:val="center"/>
              <w:ind w:left="1044"/>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03"/>
        </w:trPr>
        <w:tc>
          <w:tcPr>
            <w:tcW w:w="2920" w:type="dxa"/>
            <w:vAlign w:val="bottom"/>
          </w:tcPr>
          <w:p>
            <w:pPr>
              <w:jc w:val="center"/>
              <w:ind w:right="359"/>
              <w:spacing w:after="0" w:line="202" w:lineRule="exact"/>
              <w:rPr>
                <w:sz w:val="20"/>
                <w:szCs w:val="20"/>
                <w:color w:val="auto"/>
              </w:rPr>
            </w:pPr>
            <w:r>
              <w:rPr>
                <w:rFonts w:ascii="Arial" w:cs="Arial" w:eastAsia="Arial" w:hAnsi="Arial"/>
                <w:sz w:val="18"/>
                <w:szCs w:val="18"/>
                <w:b w:val="1"/>
                <w:bCs w:val="1"/>
                <w:color w:val="auto"/>
                <w:w w:val="90"/>
              </w:rPr>
              <w:t>323 Allerton Avenue</w:t>
            </w:r>
          </w:p>
        </w:tc>
        <w:tc>
          <w:tcPr>
            <w:tcW w:w="4500" w:type="dxa"/>
            <w:vAlign w:val="bottom"/>
            <w:gridSpan w:val="2"/>
            <w:vMerge w:val="restart"/>
          </w:tcPr>
          <w:p>
            <w:pPr>
              <w:jc w:val="right"/>
              <w:ind w:right="264"/>
              <w:spacing w:after="0"/>
              <w:rPr>
                <w:sz w:val="20"/>
                <w:szCs w:val="20"/>
                <w:color w:val="auto"/>
              </w:rPr>
            </w:pPr>
            <w:r>
              <w:rPr>
                <w:rFonts w:ascii="Arial" w:cs="Arial" w:eastAsia="Arial" w:hAnsi="Arial"/>
                <w:sz w:val="18"/>
                <w:szCs w:val="18"/>
                <w:b w:val="1"/>
                <w:bCs w:val="1"/>
                <w:color w:val="auto"/>
              </w:rPr>
              <w:t>94080</w:t>
            </w:r>
          </w:p>
        </w:tc>
        <w:tc>
          <w:tcPr>
            <w:tcW w:w="0" w:type="dxa"/>
            <w:vAlign w:val="bottom"/>
          </w:tcPr>
          <w:p>
            <w:pPr>
              <w:spacing w:after="0"/>
              <w:rPr>
                <w:sz w:val="1"/>
                <w:szCs w:val="1"/>
                <w:color w:val="auto"/>
              </w:rPr>
            </w:pPr>
          </w:p>
        </w:tc>
      </w:tr>
      <w:tr>
        <w:trPr>
          <w:trHeight w:val="198"/>
        </w:trPr>
        <w:tc>
          <w:tcPr>
            <w:tcW w:w="2920" w:type="dxa"/>
            <w:vAlign w:val="bottom"/>
          </w:tcPr>
          <w:p>
            <w:pPr>
              <w:jc w:val="center"/>
              <w:ind w:right="379"/>
              <w:spacing w:after="0" w:line="198" w:lineRule="exact"/>
              <w:rPr>
                <w:sz w:val="20"/>
                <w:szCs w:val="20"/>
                <w:color w:val="auto"/>
              </w:rPr>
            </w:pPr>
            <w:r>
              <w:rPr>
                <w:rFonts w:ascii="Arial" w:cs="Arial" w:eastAsia="Arial" w:hAnsi="Arial"/>
                <w:sz w:val="18"/>
                <w:szCs w:val="18"/>
                <w:b w:val="1"/>
                <w:bCs w:val="1"/>
                <w:color w:val="auto"/>
                <w:w w:val="90"/>
              </w:rPr>
              <w:t>South San Francisco, California</w:t>
            </w:r>
          </w:p>
        </w:tc>
        <w:tc>
          <w:tcPr>
            <w:tcW w:w="45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920" w:type="dxa"/>
            <w:vAlign w:val="bottom"/>
          </w:tcPr>
          <w:p>
            <w:pPr>
              <w:jc w:val="center"/>
              <w:ind w:right="3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40" w:type="dxa"/>
            <w:vAlign w:val="bottom"/>
          </w:tcPr>
          <w:p>
            <w:pPr>
              <w:spacing w:after="0"/>
              <w:rPr>
                <w:sz w:val="16"/>
                <w:szCs w:val="16"/>
                <w:color w:val="auto"/>
              </w:rPr>
            </w:pPr>
          </w:p>
        </w:tc>
        <w:tc>
          <w:tcPr>
            <w:tcW w:w="2260" w:type="dxa"/>
            <w:vAlign w:val="bottom"/>
          </w:tcPr>
          <w:p>
            <w:pPr>
              <w:jc w:val="center"/>
              <w:ind w:left="1044"/>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 650-466-7125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40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5"/>
                <w:szCs w:val="15"/>
                <w:color w:val="auto"/>
              </w:rPr>
            </w:pP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6"/>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12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rPr>
              <w:t>ALXO</w:t>
            </w:r>
          </w:p>
        </w:tc>
        <w:tc>
          <w:tcPr>
            <w:tcW w:w="100" w:type="dxa"/>
            <w:vAlign w:val="bottom"/>
          </w:tcPr>
          <w:p>
            <w:pPr>
              <w:spacing w:after="0"/>
              <w:rPr>
                <w:sz w:val="15"/>
                <w:szCs w:val="15"/>
                <w:color w:val="auto"/>
              </w:rPr>
            </w:pPr>
          </w:p>
        </w:tc>
        <w:tc>
          <w:tcPr>
            <w:tcW w:w="4380" w:type="dxa"/>
            <w:vAlign w:val="bottom"/>
          </w:tcPr>
          <w:p>
            <w:pPr>
              <w:jc w:val="center"/>
              <w:spacing w:after="0"/>
              <w:rPr>
                <w:sz w:val="20"/>
                <w:szCs w:val="20"/>
                <w:color w:val="auto"/>
              </w:rPr>
            </w:pPr>
            <w:r>
              <w:rPr>
                <w:rFonts w:ascii="Arial" w:cs="Arial" w:eastAsia="Arial" w:hAnsi="Arial"/>
                <w:sz w:val="14"/>
                <w:szCs w:val="14"/>
                <w:color w:val="auto"/>
                <w:w w:val="93"/>
              </w:rPr>
              <w:t>The Nasdaq Global Select Market</w:t>
            </w:r>
          </w:p>
        </w:tc>
        <w:tc>
          <w:tcPr>
            <w:tcW w:w="0" w:type="dxa"/>
            <w:vAlign w:val="bottom"/>
          </w:tcPr>
          <w:p>
            <w:pPr>
              <w:spacing w:after="0"/>
              <w:rPr>
                <w:sz w:val="1"/>
                <w:szCs w:val="1"/>
                <w:color w:val="auto"/>
              </w:rPr>
            </w:pPr>
          </w:p>
        </w:tc>
      </w:tr>
    </w:tbl>
    <w:p>
      <w:pPr>
        <w:spacing w:after="0" w:line="218" w:lineRule="exact"/>
        <w:rPr>
          <w:sz w:val="24"/>
          <w:szCs w:val="24"/>
          <w:color w:val="auto"/>
        </w:rPr>
      </w:pPr>
    </w:p>
    <w:p>
      <w:pPr>
        <w:ind w:right="40" w:firstLine="30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240" w:firstLine="30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140" w:firstLine="300"/>
        <w:spacing w:after="0" w:line="25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Arial" w:cs="Arial" w:eastAsia="Arial" w:hAnsi="Arial"/>
                <w:sz w:val="14"/>
                <w:szCs w:val="14"/>
                <w:color w:val="auto"/>
              </w:rPr>
              <w:t>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0"/>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Arial" w:cs="Arial" w:eastAsia="Arial" w:hAnsi="Arial"/>
                <w:sz w:val="14"/>
                <w:szCs w:val="14"/>
                <w:color w:val="auto"/>
              </w:rPr>
              <w:t>Smaller reporting company</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72" w:lineRule="exact"/>
        <w:rPr>
          <w:sz w:val="24"/>
          <w:szCs w:val="24"/>
          <w:color w:val="auto"/>
        </w:rPr>
      </w:pPr>
    </w:p>
    <w:p>
      <w:pPr>
        <w:ind w:right="280" w:firstLine="3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300" w:right="3420"/>
        <w:spacing w:after="0" w:line="22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May 2, 2022, the Registrant had 40,680,947 shares of common stock outstanding,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346710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0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53"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95" w:lineRule="exact"/>
        <w:rPr>
          <w:sz w:val="20"/>
          <w:szCs w:val="20"/>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03" w:lineRule="exact"/>
        <w:rPr>
          <w:rFonts w:ascii="Arial" w:cs="Arial" w:eastAsia="Arial" w:hAnsi="Arial"/>
          <w:sz w:val="18"/>
          <w:szCs w:val="18"/>
          <w:color w:val="auto"/>
        </w:rPr>
      </w:pPr>
    </w:p>
    <w:p>
      <w:pPr>
        <w:ind w:left="1260" w:right="60" w:hanging="368"/>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the geographic areas of focus and our ability to grow a sales team;</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03" w:lineRule="exact"/>
        <w:rPr>
          <w:rFonts w:ascii="Arial" w:cs="Arial" w:eastAsia="Arial" w:hAnsi="Arial"/>
          <w:sz w:val="18"/>
          <w:szCs w:val="18"/>
          <w:color w:val="auto"/>
        </w:rPr>
      </w:pPr>
    </w:p>
    <w:p>
      <w:pPr>
        <w:ind w:left="1260" w:right="80" w:hanging="368"/>
        <w:spacing w:after="0" w:line="248"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7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preclinical research activities, and for the manufacture of our product candidates;</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and the reporting of data from those trials;</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product candidates, and other positive results;</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03"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103" w:lineRule="exact"/>
        <w:rPr>
          <w:rFonts w:ascii="Arial" w:cs="Arial" w:eastAsia="Arial" w:hAnsi="Arial"/>
          <w:sz w:val="18"/>
          <w:szCs w:val="18"/>
          <w:color w:val="auto"/>
        </w:rPr>
      </w:pPr>
    </w:p>
    <w:p>
      <w:pPr>
        <w:ind w:left="1260" w:right="180" w:hanging="368"/>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that we may pursue;</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03" w:lineRule="exact"/>
        <w:rPr>
          <w:rFonts w:ascii="Arial" w:cs="Arial" w:eastAsia="Arial" w:hAnsi="Arial"/>
          <w:sz w:val="18"/>
          <w:szCs w:val="18"/>
          <w:color w:val="auto"/>
        </w:rPr>
      </w:pPr>
    </w:p>
    <w:p>
      <w:pPr>
        <w:ind w:left="1260" w:right="520" w:hanging="368"/>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62" w:lineRule="exact"/>
        <w:rPr>
          <w:rFonts w:ascii="Arial" w:cs="Arial" w:eastAsia="Arial" w:hAnsi="Arial"/>
          <w:sz w:val="18"/>
          <w:szCs w:val="18"/>
          <w:color w:val="auto"/>
        </w:rPr>
      </w:pPr>
    </w:p>
    <w:p>
      <w:pPr>
        <w:ind w:left="1260" w:right="680" w:hanging="368"/>
        <w:spacing w:after="0" w:line="261"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clinical trials of our product candidates, and for the manufacture of our product candidates;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ind w:left="1260" w:right="500" w:hanging="368"/>
        <w:spacing w:after="0" w:line="261"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115" w:lineRule="exact"/>
        <w:rPr>
          <w:rFonts w:ascii="Arial" w:cs="Arial" w:eastAsia="Arial" w:hAnsi="Arial"/>
          <w:sz w:val="17"/>
          <w:szCs w:val="17"/>
          <w:color w:val="auto"/>
        </w:rPr>
      </w:pPr>
    </w:p>
    <w:p>
      <w:pPr>
        <w:ind w:left="1260" w:hanging="368"/>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impact of the ongoing COVID-19 pandemic or geopolitical risks on our business;</w:t>
      </w:r>
    </w:p>
    <w:p>
      <w:pPr>
        <w:spacing w:after="0" w:line="103" w:lineRule="exact"/>
        <w:rPr>
          <w:rFonts w:ascii="Arial" w:cs="Arial" w:eastAsia="Arial" w:hAnsi="Arial"/>
          <w:sz w:val="18"/>
          <w:szCs w:val="18"/>
          <w:color w:val="auto"/>
        </w:rPr>
      </w:pPr>
    </w:p>
    <w:p>
      <w:pPr>
        <w:ind w:left="1260" w:right="320" w:hanging="368"/>
        <w:spacing w:after="0" w:line="261"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for and prospects of our acquisitions and other business development activities, and our ability to successfully capitalize on these opportunities; and</w:t>
      </w:r>
    </w:p>
    <w:p>
      <w:pPr>
        <w:spacing w:after="0" w:line="62" w:lineRule="exact"/>
        <w:rPr>
          <w:rFonts w:ascii="Arial" w:cs="Arial" w:eastAsia="Arial" w:hAnsi="Arial"/>
          <w:sz w:val="18"/>
          <w:szCs w:val="18"/>
          <w:color w:val="auto"/>
        </w:rPr>
      </w:pPr>
    </w:p>
    <w:p>
      <w:pPr>
        <w:ind w:left="1260" w:hanging="368"/>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anticipated use of our existing cash and cash equivalents and short-term and long-term investments.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Quarterly Report, whether as a result of any new information, future events or otherwise.</w:t>
      </w:r>
    </w:p>
    <w:p>
      <w:pPr>
        <w:spacing w:after="0" w:line="7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PART I</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20" w:type="dxa"/>
            <w:vAlign w:val="bottom"/>
            <w:gridSpan w:val="12"/>
            <w:vMerge w:val="restart"/>
          </w:tcPr>
          <w:p>
            <w:pPr>
              <w:jc w:val="center"/>
              <w:ind w:right="2960"/>
              <w:spacing w:after="0"/>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3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20" w:type="dxa"/>
            <w:vAlign w:val="bottom"/>
            <w:gridSpan w:val="12"/>
            <w:vMerge w:val="continue"/>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80" w:type="dxa"/>
            <w:vAlign w:val="bottom"/>
          </w:tcPr>
          <w:p>
            <w:pPr>
              <w:ind w:left="140"/>
              <w:spacing w:after="0" w:line="169" w:lineRule="exact"/>
              <w:rPr>
                <w:sz w:val="20"/>
                <w:szCs w:val="20"/>
                <w:color w:val="auto"/>
              </w:rPr>
            </w:pPr>
            <w:r>
              <w:rPr>
                <w:rFonts w:ascii="Arial" w:cs="Arial" w:eastAsia="Arial" w:hAnsi="Arial"/>
                <w:sz w:val="18"/>
                <w:szCs w:val="18"/>
                <w:color w:val="auto"/>
              </w:rPr>
              <w:t>Item 1</w:t>
            </w:r>
          </w:p>
        </w:tc>
        <w:tc>
          <w:tcPr>
            <w:tcW w:w="3420" w:type="dxa"/>
            <w:vAlign w:val="bottom"/>
            <w:gridSpan w:val="12"/>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Financial Statements (Unaudited)</w:t>
              </w:r>
            </w:hyperlink>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1380" w:type="dxa"/>
            <w:vAlign w:val="bottom"/>
          </w:tcPr>
          <w:p>
            <w:pPr>
              <w:spacing w:after="0"/>
              <w:rPr>
                <w:sz w:val="14"/>
                <w:szCs w:val="14"/>
                <w:color w:val="auto"/>
              </w:rPr>
            </w:pPr>
          </w:p>
        </w:tc>
        <w:tc>
          <w:tcPr>
            <w:tcW w:w="2400" w:type="dxa"/>
            <w:vAlign w:val="bottom"/>
            <w:tcBorders>
              <w:top w:val="single" w:sz="8" w:color="0000FF"/>
            </w:tcBorders>
            <w:gridSpan w:val="10"/>
          </w:tcPr>
          <w:p>
            <w:pPr>
              <w:spacing w:after="0" w:line="169" w:lineRule="exact"/>
              <w:rPr>
                <w:rFonts w:ascii="Arial" w:cs="Arial" w:eastAsia="Arial" w:hAnsi="Arial"/>
                <w:sz w:val="18"/>
                <w:szCs w:val="18"/>
                <w:color w:val="0000FF"/>
                <w:w w:val="87"/>
              </w:rPr>
            </w:pPr>
            <w:hyperlink w:anchor="page5">
              <w:r>
                <w:rPr>
                  <w:rFonts w:ascii="Arial" w:cs="Arial" w:eastAsia="Arial" w:hAnsi="Arial"/>
                  <w:sz w:val="18"/>
                  <w:szCs w:val="18"/>
                  <w:color w:val="0000FF"/>
                  <w:w w:val="87"/>
                </w:rPr>
                <w:t>Condensed Consolidated Balance</w:t>
              </w:r>
            </w:hyperlink>
          </w:p>
        </w:tc>
        <w:tc>
          <w:tcPr>
            <w:tcW w:w="6740" w:type="dxa"/>
            <w:vAlign w:val="bottom"/>
            <w:gridSpan w:val="13"/>
          </w:tcPr>
          <w:p>
            <w:pPr>
              <w:ind w:left="60"/>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Sheets</w:t>
              </w:r>
            </w:hyperlink>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220" w:type="dxa"/>
            <w:vAlign w:val="bottom"/>
            <w:gridSpan w:val="12"/>
            <w:vMerge w:val="restart"/>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Operations</w:t>
              </w:r>
            </w:hyperlink>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w:t>
            </w: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2920" w:type="dxa"/>
            <w:vAlign w:val="bottom"/>
            <w:gridSpan w:val="11"/>
          </w:tcPr>
          <w:p>
            <w:pPr>
              <w:spacing w:after="0" w:line="169"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Condensed Consolidated Statements of</w:t>
              </w:r>
            </w:hyperlink>
          </w:p>
        </w:tc>
        <w:tc>
          <w:tcPr>
            <w:tcW w:w="6220" w:type="dxa"/>
            <w:vAlign w:val="bottom"/>
            <w:gridSpan w:val="1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140" w:type="dxa"/>
            <w:vAlign w:val="bottom"/>
            <w:gridSpan w:val="23"/>
          </w:tcPr>
          <w:p>
            <w:pPr>
              <w:spacing w:after="0" w:line="169"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Comprehensive Loss</w:t>
              </w:r>
            </w:hyperlink>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8</w:t>
            </w: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4380" w:type="dxa"/>
            <w:vAlign w:val="bottom"/>
            <w:gridSpan w:val="19"/>
          </w:tcPr>
          <w:p>
            <w:pPr>
              <w:spacing w:after="0" w:line="169" w:lineRule="exact"/>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Consolidated Statements of Stockholders' Equity</w:t>
              </w:r>
            </w:hyperlink>
          </w:p>
        </w:tc>
        <w:tc>
          <w:tcPr>
            <w:tcW w:w="11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2"/>
            <w:vMerge w:val="restart"/>
          </w:tcPr>
          <w:p>
            <w:pPr>
              <w:spacing w:after="0" w:line="20" w:lineRule="exact"/>
              <w:rPr>
                <w:sz w:val="1"/>
                <w:szCs w:val="1"/>
                <w:color w:val="auto"/>
              </w:rPr>
            </w:pPr>
          </w:p>
        </w:tc>
        <w:tc>
          <w:tcPr>
            <w:tcW w:w="940" w:type="dxa"/>
            <w:vAlign w:val="bottom"/>
            <w:gridSpan w:val="2"/>
            <w:vMerge w:val="restart"/>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w:t>
            </w: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4360" w:type="dxa"/>
            <w:vAlign w:val="bottom"/>
            <w:gridSpan w:val="18"/>
          </w:tcPr>
          <w:p>
            <w:pPr>
              <w:spacing w:after="0" w:line="169" w:lineRule="exact"/>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w:t>
              </w:r>
            </w:hyperlink>
          </w:p>
        </w:tc>
        <w:tc>
          <w:tcPr>
            <w:tcW w:w="1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9140" w:type="dxa"/>
            <w:vAlign w:val="bottom"/>
            <w:gridSpan w:val="23"/>
          </w:tcPr>
          <w:p>
            <w:pPr>
              <w:spacing w:after="0" w:line="169" w:lineRule="exact"/>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w:t>
              </w:r>
            </w:hyperlink>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2</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140" w:type="dxa"/>
            <w:vAlign w:val="bottom"/>
            <w:gridSpan w:val="8"/>
            <w:vMerge w:val="restart"/>
          </w:tcPr>
          <w:p>
            <w:pPr>
              <w:spacing w:after="0" w:line="189" w:lineRule="exact"/>
              <w:rPr>
                <w:rFonts w:ascii="Arial" w:cs="Arial" w:eastAsia="Arial" w:hAnsi="Arial"/>
                <w:sz w:val="18"/>
                <w:szCs w:val="18"/>
                <w:color w:val="0000FF"/>
              </w:rPr>
            </w:pPr>
            <w:hyperlink w:anchor="page20">
              <w:r>
                <w:rPr>
                  <w:rFonts w:ascii="Arial" w:cs="Arial" w:eastAsia="Arial" w:hAnsi="Arial"/>
                  <w:sz w:val="18"/>
                  <w:szCs w:val="18"/>
                  <w:color w:val="0000FF"/>
                </w:rPr>
                <w:t>Condition and Results of Operations</w:t>
              </w:r>
            </w:hyperlink>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169"/>
        </w:trPr>
        <w:tc>
          <w:tcPr>
            <w:tcW w:w="1380" w:type="dxa"/>
            <w:vAlign w:val="bottom"/>
            <w:vMerge w:val="continue"/>
          </w:tcPr>
          <w:p>
            <w:pPr>
              <w:spacing w:after="0"/>
              <w:rPr>
                <w:sz w:val="14"/>
                <w:szCs w:val="14"/>
                <w:color w:val="auto"/>
              </w:rPr>
            </w:pPr>
          </w:p>
        </w:tc>
        <w:tc>
          <w:tcPr>
            <w:tcW w:w="4000" w:type="dxa"/>
            <w:vAlign w:val="bottom"/>
            <w:gridSpan w:val="15"/>
          </w:tcPr>
          <w:p>
            <w:pPr>
              <w:spacing w:after="0" w:line="169" w:lineRule="exact"/>
              <w:rPr>
                <w:rFonts w:ascii="Arial" w:cs="Arial" w:eastAsia="Arial" w:hAnsi="Arial"/>
                <w:sz w:val="18"/>
                <w:szCs w:val="18"/>
                <w:color w:val="0000FF"/>
                <w:w w:val="95"/>
              </w:rPr>
            </w:pPr>
            <w:hyperlink w:anchor="page20">
              <w:r>
                <w:rPr>
                  <w:rFonts w:ascii="Arial" w:cs="Arial" w:eastAsia="Arial" w:hAnsi="Arial"/>
                  <w:sz w:val="18"/>
                  <w:szCs w:val="18"/>
                  <w:color w:val="0000FF"/>
                  <w:w w:val="95"/>
                </w:rPr>
                <w:t>Management’s Discussion and Analysis of Financial</w:t>
              </w:r>
            </w:hyperlink>
          </w:p>
        </w:tc>
        <w:tc>
          <w:tcPr>
            <w:tcW w:w="5140" w:type="dxa"/>
            <w:vAlign w:val="bottom"/>
            <w:gridSpan w:val="8"/>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700" w:type="dxa"/>
            <w:vAlign w:val="bottom"/>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169"/>
        </w:trPr>
        <w:tc>
          <w:tcPr>
            <w:tcW w:w="1380" w:type="dxa"/>
            <w:vAlign w:val="bottom"/>
            <w:vMerge w:val="continue"/>
          </w:tcPr>
          <w:p>
            <w:pPr>
              <w:spacing w:after="0"/>
              <w:rPr>
                <w:sz w:val="14"/>
                <w:szCs w:val="14"/>
                <w:color w:val="auto"/>
              </w:rPr>
            </w:pPr>
          </w:p>
        </w:tc>
        <w:tc>
          <w:tcPr>
            <w:tcW w:w="6440" w:type="dxa"/>
            <w:vAlign w:val="bottom"/>
            <w:gridSpan w:val="22"/>
          </w:tcPr>
          <w:p>
            <w:pPr>
              <w:spacing w:after="0" w:line="169" w:lineRule="exact"/>
              <w:rPr>
                <w:rFonts w:ascii="Arial" w:cs="Arial" w:eastAsia="Arial" w:hAnsi="Arial"/>
                <w:sz w:val="18"/>
                <w:szCs w:val="18"/>
                <w:color w:val="0000FF"/>
              </w:rPr>
            </w:pPr>
            <w:hyperlink w:anchor="page30">
              <w:r>
                <w:rPr>
                  <w:rFonts w:ascii="Arial" w:cs="Arial" w:eastAsia="Arial" w:hAnsi="Arial"/>
                  <w:sz w:val="18"/>
                  <w:szCs w:val="18"/>
                  <w:color w:val="0000FF"/>
                </w:rPr>
                <w:t>Quantitative and Qualitative Disclosures about Market Risk</w:t>
              </w:r>
            </w:hyperlink>
          </w:p>
        </w:tc>
        <w:tc>
          <w:tcPr>
            <w:tcW w:w="27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4</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4"/>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160" w:type="dxa"/>
            <w:vAlign w:val="bottom"/>
            <w:gridSpan w:val="3"/>
            <w:vMerge w:val="restart"/>
          </w:tcPr>
          <w:p>
            <w:pPr>
              <w:spacing w:after="0" w:line="20" w:lineRule="exact"/>
              <w:rPr>
                <w:sz w:val="1"/>
                <w:szCs w:val="1"/>
                <w:color w:val="auto"/>
              </w:rPr>
            </w:pPr>
          </w:p>
        </w:tc>
        <w:tc>
          <w:tcPr>
            <w:tcW w:w="3640" w:type="dxa"/>
            <w:vAlign w:val="bottom"/>
            <w:gridSpan w:val="3"/>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30</w:t>
            </w:r>
          </w:p>
        </w:tc>
        <w:tc>
          <w:tcPr>
            <w:tcW w:w="0" w:type="dxa"/>
            <w:vAlign w:val="bottom"/>
          </w:tcPr>
          <w:p>
            <w:pPr>
              <w:spacing w:after="0" w:line="20" w:lineRule="exact"/>
              <w:rPr>
                <w:sz w:val="1"/>
                <w:szCs w:val="1"/>
                <w:color w:val="auto"/>
              </w:rPr>
            </w:pPr>
          </w:p>
        </w:tc>
      </w:tr>
      <w:tr>
        <w:trPr>
          <w:trHeight w:val="169"/>
        </w:trPr>
        <w:tc>
          <w:tcPr>
            <w:tcW w:w="1380" w:type="dxa"/>
            <w:vAlign w:val="bottom"/>
            <w:vMerge w:val="continue"/>
          </w:tcPr>
          <w:p>
            <w:pPr>
              <w:spacing w:after="0"/>
              <w:rPr>
                <w:sz w:val="14"/>
                <w:szCs w:val="14"/>
                <w:color w:val="auto"/>
              </w:rPr>
            </w:pPr>
          </w:p>
        </w:tc>
        <w:tc>
          <w:tcPr>
            <w:tcW w:w="4300" w:type="dxa"/>
            <w:vAlign w:val="bottom"/>
            <w:gridSpan w:val="16"/>
          </w:tcPr>
          <w:p>
            <w:pPr>
              <w:spacing w:after="0" w:line="169" w:lineRule="exact"/>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40" w:type="dxa"/>
            <w:vAlign w:val="bottom"/>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3640" w:type="dxa"/>
            <w:vAlign w:val="bottom"/>
            <w:gridSpan w:val="3"/>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1380" w:type="dxa"/>
            <w:vAlign w:val="bottom"/>
          </w:tcPr>
          <w:p>
            <w:pPr>
              <w:ind w:left="360"/>
              <w:spacing w:after="0"/>
              <w:rPr>
                <w:sz w:val="20"/>
                <w:szCs w:val="20"/>
                <w:color w:val="auto"/>
              </w:rPr>
            </w:pPr>
            <w:r>
              <w:rPr>
                <w:rFonts w:ascii="Arial" w:cs="Arial" w:eastAsia="Arial" w:hAnsi="Arial"/>
                <w:sz w:val="18"/>
                <w:szCs w:val="18"/>
                <w:b w:val="1"/>
                <w:bCs w:val="1"/>
                <w:color w:val="auto"/>
              </w:rPr>
              <w:t>PART II</w:t>
            </w:r>
          </w:p>
        </w:tc>
        <w:tc>
          <w:tcPr>
            <w:tcW w:w="6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1"/>
          </w:tcPr>
          <w:p>
            <w:pPr>
              <w:jc w:val="center"/>
              <w:ind w:right="3440"/>
              <w:spacing w:after="0"/>
              <w:rPr>
                <w:rFonts w:ascii="Arial" w:cs="Arial" w:eastAsia="Arial" w:hAnsi="Arial"/>
                <w:sz w:val="18"/>
                <w:szCs w:val="18"/>
                <w:color w:val="0000FF"/>
                <w:w w:val="96"/>
              </w:rPr>
            </w:pPr>
            <w:hyperlink w:anchor="page31">
              <w:r>
                <w:rPr>
                  <w:rFonts w:ascii="Arial" w:cs="Arial" w:eastAsia="Arial" w:hAnsi="Arial"/>
                  <w:sz w:val="18"/>
                  <w:szCs w:val="18"/>
                  <w:color w:val="0000FF"/>
                  <w:w w:val="96"/>
                </w:rPr>
                <w:t>OTHER INFORMATION</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380" w:type="dxa"/>
            <w:vAlign w:val="bottom"/>
          </w:tcPr>
          <w:p>
            <w:pPr>
              <w:ind w:left="140"/>
              <w:spacing w:after="0" w:line="169" w:lineRule="exact"/>
              <w:rPr>
                <w:sz w:val="20"/>
                <w:szCs w:val="20"/>
                <w:color w:val="auto"/>
              </w:rPr>
            </w:pPr>
            <w:r>
              <w:rPr>
                <w:rFonts w:ascii="Arial" w:cs="Arial" w:eastAsia="Arial" w:hAnsi="Arial"/>
                <w:sz w:val="18"/>
                <w:szCs w:val="18"/>
                <w:color w:val="auto"/>
              </w:rPr>
              <w:t>Item 1</w:t>
            </w:r>
          </w:p>
        </w:tc>
        <w:tc>
          <w:tcPr>
            <w:tcW w:w="3640" w:type="dxa"/>
            <w:vAlign w:val="bottom"/>
            <w:gridSpan w:val="13"/>
          </w:tcPr>
          <w:p>
            <w:pPr>
              <w:spacing w:after="0" w:line="169" w:lineRule="exact"/>
              <w:rPr>
                <w:rFonts w:ascii="Arial" w:cs="Arial" w:eastAsia="Arial" w:hAnsi="Arial"/>
                <w:sz w:val="18"/>
                <w:szCs w:val="18"/>
                <w:color w:val="0000FF"/>
              </w:rPr>
            </w:pPr>
            <w:hyperlink w:anchor="page31">
              <w:r>
                <w:rPr>
                  <w:rFonts w:ascii="Arial" w:cs="Arial" w:eastAsia="Arial" w:hAnsi="Arial"/>
                  <w:sz w:val="18"/>
                  <w:szCs w:val="18"/>
                  <w:color w:val="0000FF"/>
                </w:rPr>
                <w:t>Legal Proceedings</w:t>
              </w:r>
            </w:hyperlink>
          </w:p>
        </w:tc>
        <w:tc>
          <w:tcPr>
            <w:tcW w:w="700" w:type="dxa"/>
            <w:vAlign w:val="bottom"/>
            <w:tcBorders>
              <w:top w:val="single" w:sz="8" w:color="0000FF"/>
            </w:tcBorders>
            <w:gridSpan w:val="4"/>
          </w:tcPr>
          <w:p>
            <w:pPr>
              <w:spacing w:after="0"/>
              <w:rPr>
                <w:sz w:val="14"/>
                <w:szCs w:val="14"/>
                <w:color w:val="auto"/>
              </w:rPr>
            </w:pPr>
          </w:p>
        </w:tc>
        <w:tc>
          <w:tcPr>
            <w:tcW w:w="1160" w:type="dxa"/>
            <w:vAlign w:val="bottom"/>
            <w:tcBorders>
              <w:top w:val="single" w:sz="8" w:color="0000FF"/>
            </w:tcBorders>
            <w:gridSpan w:val="3"/>
          </w:tcPr>
          <w:p>
            <w:pPr>
              <w:spacing w:after="0"/>
              <w:rPr>
                <w:sz w:val="14"/>
                <w:szCs w:val="14"/>
                <w:color w:val="auto"/>
              </w:rPr>
            </w:pPr>
          </w:p>
        </w:tc>
        <w:tc>
          <w:tcPr>
            <w:tcW w:w="3640" w:type="dxa"/>
            <w:vAlign w:val="bottom"/>
            <w:gridSpan w:val="3"/>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69"/>
        </w:trPr>
        <w:tc>
          <w:tcPr>
            <w:tcW w:w="1380" w:type="dxa"/>
            <w:vAlign w:val="bottom"/>
          </w:tcPr>
          <w:p>
            <w:pPr>
              <w:ind w:left="140"/>
              <w:spacing w:after="0" w:line="169"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7"/>
              </w:rPr>
            </w:pPr>
            <w:hyperlink w:anchor="page31">
              <w:r>
                <w:rPr>
                  <w:rFonts w:ascii="Arial" w:cs="Arial" w:eastAsia="Arial" w:hAnsi="Arial"/>
                  <w:sz w:val="18"/>
                  <w:szCs w:val="18"/>
                  <w:color w:val="0000FF"/>
                  <w:w w:val="87"/>
                </w:rPr>
                <w:t>Risk Factors</w:t>
              </w:r>
            </w:hyperlink>
          </w:p>
        </w:tc>
        <w:tc>
          <w:tcPr>
            <w:tcW w:w="20" w:type="dxa"/>
            <w:vAlign w:val="bottom"/>
            <w:tcBorders>
              <w:top w:val="single" w:sz="8" w:color="0000FF"/>
              <w:bottom w:val="single" w:sz="8" w:color="0000EE"/>
            </w:tcBorders>
          </w:tcPr>
          <w:p>
            <w:pPr>
              <w:spacing w:after="0"/>
              <w:rPr>
                <w:sz w:val="14"/>
                <w:szCs w:val="14"/>
                <w:color w:val="auto"/>
              </w:rPr>
            </w:pPr>
          </w:p>
        </w:tc>
        <w:tc>
          <w:tcPr>
            <w:tcW w:w="400" w:type="dxa"/>
            <w:vAlign w:val="bottom"/>
            <w:tcBorders>
              <w:top w:val="single" w:sz="8" w:color="0000FF"/>
            </w:tcBorders>
            <w:gridSpan w:val="3"/>
          </w:tcPr>
          <w:p>
            <w:pPr>
              <w:spacing w:after="0"/>
              <w:rPr>
                <w:sz w:val="14"/>
                <w:szCs w:val="14"/>
                <w:color w:val="auto"/>
              </w:rPr>
            </w:pPr>
          </w:p>
        </w:tc>
        <w:tc>
          <w:tcPr>
            <w:tcW w:w="1040" w:type="dxa"/>
            <w:vAlign w:val="bottom"/>
            <w:gridSpan w:val="3"/>
          </w:tcPr>
          <w:p>
            <w:pPr>
              <w:spacing w:after="0"/>
              <w:rPr>
                <w:sz w:val="14"/>
                <w:szCs w:val="14"/>
                <w:color w:val="auto"/>
              </w:rPr>
            </w:pPr>
          </w:p>
        </w:tc>
        <w:tc>
          <w:tcPr>
            <w:tcW w:w="1980" w:type="dxa"/>
            <w:vAlign w:val="bottom"/>
            <w:gridSpan w:val="8"/>
          </w:tcPr>
          <w:p>
            <w:pPr>
              <w:spacing w:after="0"/>
              <w:rPr>
                <w:sz w:val="14"/>
                <w:szCs w:val="14"/>
                <w:color w:val="auto"/>
              </w:rPr>
            </w:pPr>
          </w:p>
        </w:tc>
        <w:tc>
          <w:tcPr>
            <w:tcW w:w="4800" w:type="dxa"/>
            <w:vAlign w:val="bottom"/>
            <w:gridSpan w:val="6"/>
          </w:tcPr>
          <w:p>
            <w:pPr>
              <w:spacing w:after="0"/>
              <w:rPr>
                <w:sz w:val="14"/>
                <w:szCs w:val="14"/>
                <w:color w:val="auto"/>
              </w:rPr>
            </w:pPr>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69"/>
        </w:trPr>
        <w:tc>
          <w:tcPr>
            <w:tcW w:w="1380" w:type="dxa"/>
            <w:vAlign w:val="bottom"/>
          </w:tcPr>
          <w:p>
            <w:pPr>
              <w:ind w:left="140"/>
              <w:spacing w:after="0" w:line="169" w:lineRule="exact"/>
              <w:rPr>
                <w:sz w:val="20"/>
                <w:szCs w:val="20"/>
                <w:color w:val="auto"/>
              </w:rPr>
            </w:pPr>
            <w:r>
              <w:rPr>
                <w:rFonts w:ascii="Arial" w:cs="Arial" w:eastAsia="Arial" w:hAnsi="Arial"/>
                <w:sz w:val="18"/>
                <w:szCs w:val="18"/>
                <w:color w:val="auto"/>
              </w:rPr>
              <w:t>Item 2</w:t>
            </w:r>
          </w:p>
        </w:tc>
        <w:tc>
          <w:tcPr>
            <w:tcW w:w="920" w:type="dxa"/>
            <w:vAlign w:val="bottom"/>
            <w:gridSpan w:val="3"/>
          </w:tcPr>
          <w:p>
            <w:pPr>
              <w:spacing w:after="0" w:line="169" w:lineRule="exact"/>
              <w:rPr>
                <w:rFonts w:ascii="Arial" w:cs="Arial" w:eastAsia="Arial" w:hAnsi="Arial"/>
                <w:sz w:val="18"/>
                <w:szCs w:val="18"/>
                <w:color w:val="0000FF"/>
                <w:w w:val="87"/>
              </w:rPr>
            </w:pPr>
            <w:hyperlink w:anchor="page91">
              <w:r>
                <w:rPr>
                  <w:rFonts w:ascii="Arial" w:cs="Arial" w:eastAsia="Arial" w:hAnsi="Arial"/>
                  <w:sz w:val="18"/>
                  <w:szCs w:val="18"/>
                  <w:color w:val="0000FF"/>
                  <w:w w:val="87"/>
                </w:rPr>
                <w:t>Unregistered</w:t>
              </w:r>
            </w:hyperlink>
          </w:p>
        </w:tc>
        <w:tc>
          <w:tcPr>
            <w:tcW w:w="8220" w:type="dxa"/>
            <w:vAlign w:val="bottom"/>
            <w:gridSpan w:val="20"/>
          </w:tcPr>
          <w:p>
            <w:pPr>
              <w:ind w:left="40"/>
              <w:spacing w:after="0" w:line="169" w:lineRule="exact"/>
              <w:rPr>
                <w:rFonts w:ascii="Arial" w:cs="Arial" w:eastAsia="Arial" w:hAnsi="Arial"/>
                <w:sz w:val="18"/>
                <w:szCs w:val="18"/>
                <w:color w:val="0000FF"/>
              </w:rPr>
            </w:pPr>
            <w:hyperlink w:anchor="page91">
              <w:r>
                <w:rPr>
                  <w:rFonts w:ascii="Arial" w:cs="Arial" w:eastAsia="Arial" w:hAnsi="Arial"/>
                  <w:sz w:val="18"/>
                  <w:szCs w:val="18"/>
                  <w:color w:val="0000FF"/>
                </w:rPr>
                <w:t>Sales of Equity Securities and Use of Proceeds</w:t>
              </w:r>
            </w:hyperlink>
          </w:p>
        </w:tc>
        <w:tc>
          <w:tcPr>
            <w:tcW w:w="720" w:type="dxa"/>
            <w:vAlign w:val="bottom"/>
          </w:tcPr>
          <w:p>
            <w:pPr>
              <w:jc w:val="right"/>
              <w:spacing w:after="0" w:line="169"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3</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1980" w:type="dxa"/>
            <w:vAlign w:val="bottom"/>
            <w:gridSpan w:val="8"/>
            <w:shd w:val="clear" w:color="auto" w:fill="0000FF"/>
          </w:tcPr>
          <w:p>
            <w:pPr>
              <w:spacing w:after="0" w:line="20" w:lineRule="exact"/>
              <w:rPr>
                <w:sz w:val="1"/>
                <w:szCs w:val="1"/>
                <w:color w:val="auto"/>
              </w:rPr>
            </w:pPr>
          </w:p>
        </w:tc>
        <w:tc>
          <w:tcPr>
            <w:tcW w:w="4800" w:type="dxa"/>
            <w:vAlign w:val="bottom"/>
            <w:gridSpan w:val="6"/>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169"/>
        </w:trPr>
        <w:tc>
          <w:tcPr>
            <w:tcW w:w="1380" w:type="dxa"/>
            <w:vAlign w:val="bottom"/>
            <w:vMerge w:val="continue"/>
          </w:tcPr>
          <w:p>
            <w:pPr>
              <w:spacing w:after="0"/>
              <w:rPr>
                <w:sz w:val="14"/>
                <w:szCs w:val="14"/>
                <w:color w:val="auto"/>
              </w:rPr>
            </w:pPr>
          </w:p>
        </w:tc>
        <w:tc>
          <w:tcPr>
            <w:tcW w:w="4340" w:type="dxa"/>
            <w:vAlign w:val="bottom"/>
            <w:gridSpan w:val="17"/>
          </w:tcPr>
          <w:p>
            <w:pPr>
              <w:spacing w:after="0" w:line="169" w:lineRule="exact"/>
              <w:rPr>
                <w:rFonts w:ascii="Arial" w:cs="Arial" w:eastAsia="Arial" w:hAnsi="Arial"/>
                <w:sz w:val="18"/>
                <w:szCs w:val="18"/>
                <w:color w:val="0000FF"/>
              </w:rPr>
            </w:pPr>
            <w:hyperlink w:anchor="page91">
              <w:r>
                <w:rPr>
                  <w:rFonts w:ascii="Arial" w:cs="Arial" w:eastAsia="Arial" w:hAnsi="Arial"/>
                  <w:sz w:val="18"/>
                  <w:szCs w:val="18"/>
                  <w:color w:val="0000FF"/>
                </w:rPr>
                <w:t>Defaults Upon Senior Securities</w:t>
              </w:r>
            </w:hyperlink>
          </w:p>
        </w:tc>
        <w:tc>
          <w:tcPr>
            <w:tcW w:w="4800" w:type="dxa"/>
            <w:vAlign w:val="bottom"/>
            <w:gridSpan w:val="6"/>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4</w:t>
            </w:r>
          </w:p>
        </w:tc>
        <w:tc>
          <w:tcPr>
            <w:tcW w:w="62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6780" w:type="dxa"/>
            <w:vAlign w:val="bottom"/>
            <w:gridSpan w:val="14"/>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169"/>
        </w:trPr>
        <w:tc>
          <w:tcPr>
            <w:tcW w:w="1380" w:type="dxa"/>
            <w:vAlign w:val="bottom"/>
            <w:vMerge w:val="continue"/>
          </w:tcPr>
          <w:p>
            <w:pPr>
              <w:spacing w:after="0"/>
              <w:rPr>
                <w:sz w:val="14"/>
                <w:szCs w:val="14"/>
                <w:color w:val="auto"/>
              </w:rPr>
            </w:pPr>
          </w:p>
        </w:tc>
        <w:tc>
          <w:tcPr>
            <w:tcW w:w="2360" w:type="dxa"/>
            <w:vAlign w:val="bottom"/>
            <w:gridSpan w:val="9"/>
          </w:tcPr>
          <w:p>
            <w:pPr>
              <w:spacing w:after="0" w:line="169" w:lineRule="exact"/>
              <w:rPr>
                <w:rFonts w:ascii="Arial" w:cs="Arial" w:eastAsia="Arial" w:hAnsi="Arial"/>
                <w:sz w:val="18"/>
                <w:szCs w:val="18"/>
                <w:color w:val="0000FF"/>
              </w:rPr>
            </w:pPr>
            <w:hyperlink w:anchor="page91">
              <w:r>
                <w:rPr>
                  <w:rFonts w:ascii="Arial" w:cs="Arial" w:eastAsia="Arial" w:hAnsi="Arial"/>
                  <w:sz w:val="18"/>
                  <w:szCs w:val="18"/>
                  <w:color w:val="0000FF"/>
                </w:rPr>
                <w:t>Mine Safety Disclosures</w:t>
              </w:r>
            </w:hyperlink>
          </w:p>
        </w:tc>
        <w:tc>
          <w:tcPr>
            <w:tcW w:w="6780" w:type="dxa"/>
            <w:vAlign w:val="bottom"/>
            <w:gridSpan w:val="14"/>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5</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380" w:type="dxa"/>
            <w:vAlign w:val="bottom"/>
            <w:gridSpan w:val="16"/>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91</w:t>
            </w:r>
          </w:p>
        </w:tc>
        <w:tc>
          <w:tcPr>
            <w:tcW w:w="0" w:type="dxa"/>
            <w:vAlign w:val="bottom"/>
          </w:tcPr>
          <w:p>
            <w:pPr>
              <w:spacing w:after="0" w:line="20" w:lineRule="exact"/>
              <w:rPr>
                <w:sz w:val="1"/>
                <w:szCs w:val="1"/>
                <w:color w:val="auto"/>
              </w:rPr>
            </w:pPr>
          </w:p>
        </w:tc>
      </w:tr>
      <w:tr>
        <w:trPr>
          <w:trHeight w:val="169"/>
        </w:trPr>
        <w:tc>
          <w:tcPr>
            <w:tcW w:w="1380" w:type="dxa"/>
            <w:vAlign w:val="bottom"/>
            <w:vMerge w:val="continue"/>
          </w:tcPr>
          <w:p>
            <w:pPr>
              <w:spacing w:after="0"/>
              <w:rPr>
                <w:sz w:val="14"/>
                <w:szCs w:val="14"/>
                <w:color w:val="auto"/>
              </w:rPr>
            </w:pPr>
          </w:p>
        </w:tc>
        <w:tc>
          <w:tcPr>
            <w:tcW w:w="1760" w:type="dxa"/>
            <w:vAlign w:val="bottom"/>
            <w:gridSpan w:val="7"/>
          </w:tcPr>
          <w:p>
            <w:pPr>
              <w:spacing w:after="0" w:line="169" w:lineRule="exact"/>
              <w:rPr>
                <w:rFonts w:ascii="Arial" w:cs="Arial" w:eastAsia="Arial" w:hAnsi="Arial"/>
                <w:sz w:val="18"/>
                <w:szCs w:val="18"/>
                <w:color w:val="0000FF"/>
              </w:rPr>
            </w:pPr>
            <w:hyperlink w:anchor="page91">
              <w:r>
                <w:rPr>
                  <w:rFonts w:ascii="Arial" w:cs="Arial" w:eastAsia="Arial" w:hAnsi="Arial"/>
                  <w:sz w:val="18"/>
                  <w:szCs w:val="18"/>
                  <w:color w:val="0000FF"/>
                </w:rPr>
                <w:t>Other Information</w:t>
              </w:r>
            </w:hyperlink>
          </w:p>
        </w:tc>
        <w:tc>
          <w:tcPr>
            <w:tcW w:w="7380" w:type="dxa"/>
            <w:vAlign w:val="bottom"/>
            <w:gridSpan w:val="16"/>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ind w:left="140"/>
              <w:spacing w:after="0" w:line="189" w:lineRule="exact"/>
              <w:rPr>
                <w:sz w:val="20"/>
                <w:szCs w:val="20"/>
                <w:color w:val="auto"/>
              </w:rPr>
            </w:pPr>
            <w:r>
              <w:rPr>
                <w:rFonts w:ascii="Arial" w:cs="Arial" w:eastAsia="Arial" w:hAnsi="Arial"/>
                <w:sz w:val="18"/>
                <w:szCs w:val="18"/>
                <w:color w:val="auto"/>
              </w:rPr>
              <w:t>Item 6</w:t>
            </w:r>
          </w:p>
        </w:tc>
        <w:tc>
          <w:tcPr>
            <w:tcW w:w="6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840" w:type="dxa"/>
            <w:vAlign w:val="bottom"/>
            <w:gridSpan w:val="18"/>
            <w:vMerge w:val="restart"/>
          </w:tcPr>
          <w:p>
            <w:pPr>
              <w:spacing w:after="0" w:line="20" w:lineRule="exact"/>
              <w:rPr>
                <w:sz w:val="1"/>
                <w:szCs w:val="1"/>
                <w:color w:val="auto"/>
              </w:rPr>
            </w:pPr>
          </w:p>
        </w:tc>
        <w:tc>
          <w:tcPr>
            <w:tcW w:w="72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92</w:t>
            </w:r>
          </w:p>
        </w:tc>
        <w:tc>
          <w:tcPr>
            <w:tcW w:w="0" w:type="dxa"/>
            <w:vAlign w:val="bottom"/>
          </w:tcPr>
          <w:p>
            <w:pPr>
              <w:spacing w:after="0" w:line="20" w:lineRule="exact"/>
              <w:rPr>
                <w:sz w:val="1"/>
                <w:szCs w:val="1"/>
                <w:color w:val="auto"/>
              </w:rPr>
            </w:pPr>
          </w:p>
        </w:tc>
      </w:tr>
      <w:tr>
        <w:trPr>
          <w:trHeight w:val="169"/>
        </w:trPr>
        <w:tc>
          <w:tcPr>
            <w:tcW w:w="1380" w:type="dxa"/>
            <w:vAlign w:val="bottom"/>
            <w:vMerge w:val="continue"/>
          </w:tcPr>
          <w:p>
            <w:pPr>
              <w:spacing w:after="0"/>
              <w:rPr>
                <w:sz w:val="14"/>
                <w:szCs w:val="14"/>
                <w:color w:val="auto"/>
              </w:rPr>
            </w:pPr>
          </w:p>
        </w:tc>
        <w:tc>
          <w:tcPr>
            <w:tcW w:w="1300" w:type="dxa"/>
            <w:vAlign w:val="bottom"/>
            <w:gridSpan w:val="5"/>
          </w:tcPr>
          <w:p>
            <w:pPr>
              <w:spacing w:after="0" w:line="169" w:lineRule="exact"/>
              <w:rPr>
                <w:rFonts w:ascii="Arial" w:cs="Arial" w:eastAsia="Arial" w:hAnsi="Arial"/>
                <w:sz w:val="18"/>
                <w:szCs w:val="18"/>
                <w:color w:val="0000FF"/>
              </w:rPr>
            </w:pPr>
            <w:hyperlink w:anchor="page92">
              <w:r>
                <w:rPr>
                  <w:rFonts w:ascii="Arial" w:cs="Arial" w:eastAsia="Arial" w:hAnsi="Arial"/>
                  <w:sz w:val="18"/>
                  <w:szCs w:val="18"/>
                  <w:color w:val="0000FF"/>
                </w:rPr>
                <w:t>Exhibits</w:t>
              </w:r>
            </w:hyperlink>
          </w:p>
        </w:tc>
        <w:tc>
          <w:tcPr>
            <w:tcW w:w="7840" w:type="dxa"/>
            <w:vAlign w:val="bottom"/>
            <w:gridSpan w:val="18"/>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40" w:type="dxa"/>
            <w:vAlign w:val="bottom"/>
            <w:gridSpan w:val="1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80" w:type="dxa"/>
            <w:vAlign w:val="bottom"/>
          </w:tcPr>
          <w:p>
            <w:pPr>
              <w:spacing w:after="0"/>
              <w:rPr>
                <w:sz w:val="24"/>
                <w:szCs w:val="24"/>
                <w:color w:val="auto"/>
              </w:rPr>
            </w:pPr>
          </w:p>
        </w:tc>
        <w:tc>
          <w:tcPr>
            <w:tcW w:w="9140" w:type="dxa"/>
            <w:vAlign w:val="bottom"/>
            <w:gridSpan w:val="23"/>
          </w:tcPr>
          <w:p>
            <w:pPr>
              <w:spacing w:after="0"/>
              <w:rPr>
                <w:rFonts w:ascii="Arial" w:cs="Arial" w:eastAsia="Arial" w:hAnsi="Arial"/>
                <w:sz w:val="18"/>
                <w:szCs w:val="18"/>
                <w:color w:val="0000FF"/>
              </w:rPr>
            </w:pPr>
            <w:hyperlink w:anchor="page93">
              <w:r>
                <w:rPr>
                  <w:rFonts w:ascii="Arial" w:cs="Arial" w:eastAsia="Arial" w:hAnsi="Arial"/>
                  <w:sz w:val="18"/>
                  <w:szCs w:val="18"/>
                  <w:color w:val="0000FF"/>
                </w:rPr>
                <w:t>SIGNATURES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729"/>
        </w:trPr>
        <w:tc>
          <w:tcPr>
            <w:tcW w:w="1380" w:type="dxa"/>
            <w:vAlign w:val="bottom"/>
            <w:tcBorders>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34" w:lineRule="auto"/>
        <w:rPr>
          <w:sz w:val="20"/>
          <w:szCs w:val="20"/>
          <w:color w:val="auto"/>
        </w:rPr>
      </w:pPr>
      <w:r>
        <w:rPr>
          <w:rFonts w:ascii="Arial" w:cs="Arial" w:eastAsia="Arial" w:hAnsi="Arial"/>
          <w:sz w:val="18"/>
          <w:szCs w:val="18"/>
          <w:b w:val="1"/>
          <w:bCs w:val="1"/>
          <w:color w:val="auto"/>
        </w:rPr>
        <w:t>ALX ONCOLOGY HOLDINGS INC.</w:t>
      </w:r>
    </w:p>
    <w:p>
      <w:pPr>
        <w:jc w:val="center"/>
        <w:spacing w:after="0" w:line="235"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5" w:lineRule="auto"/>
        <w:rPr>
          <w:sz w:val="20"/>
          <w:szCs w:val="20"/>
          <w:color w:val="auto"/>
        </w:rPr>
      </w:pPr>
      <w:r>
        <w:rPr>
          <w:rFonts w:ascii="Arial" w:cs="Arial" w:eastAsia="Arial" w:hAnsi="Arial"/>
          <w:sz w:val="18"/>
          <w:szCs w:val="18"/>
          <w:color w:val="auto"/>
        </w:rPr>
        <w:t>(unaudited)</w:t>
      </w: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7"/>
                <w:szCs w:val="17"/>
                <w:color w:val="auto"/>
              </w:rPr>
            </w:pPr>
          </w:p>
        </w:tc>
        <w:tc>
          <w:tcPr>
            <w:tcW w:w="15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21"/>
        </w:trPr>
        <w:tc>
          <w:tcPr>
            <w:tcW w:w="7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159,086</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363,667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157,510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4,929</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3,352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321,525</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367,019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1,338</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897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25,109</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15,704</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12,267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Pr>
          <w:p>
            <w:pPr>
              <w:ind w:left="380"/>
              <w:spacing w:after="0" w:line="196" w:lineRule="exact"/>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363,676</w:t>
            </w: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380,183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5,133</w:t>
            </w:r>
          </w:p>
        </w:tc>
        <w:tc>
          <w:tcPr>
            <w:tcW w:w="30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3,764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Payable and accrued liabilities due to related party</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1,446</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8,729</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15,308</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15,295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4,772</w:t>
            </w:r>
          </w:p>
        </w:tc>
        <w:tc>
          <w:tcPr>
            <w:tcW w:w="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20,080</w:t>
            </w:r>
          </w:p>
        </w:tc>
        <w:tc>
          <w:tcPr>
            <w:tcW w:w="3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17,134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10)</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200"/>
              <w:spacing w:after="0" w:line="162" w:lineRule="exact"/>
              <w:rPr>
                <w:sz w:val="20"/>
                <w:szCs w:val="20"/>
                <w:color w:val="auto"/>
              </w:rPr>
            </w:pPr>
            <w:r>
              <w:rPr>
                <w:rFonts w:ascii="Arial" w:cs="Arial" w:eastAsia="Arial" w:hAnsi="Arial"/>
                <w:sz w:val="18"/>
                <w:szCs w:val="18"/>
                <w:color w:val="auto"/>
              </w:rPr>
              <w:t>Common stock, $0.001 par value; 1,000,000,000 shares authorized</w:t>
            </w: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80" w:type="dxa"/>
            <w:vAlign w:val="bottom"/>
          </w:tcPr>
          <w:p>
            <w:pPr>
              <w:ind w:left="340"/>
              <w:spacing w:after="0" w:line="176" w:lineRule="exact"/>
              <w:rPr>
                <w:sz w:val="20"/>
                <w:szCs w:val="20"/>
                <w:color w:val="auto"/>
              </w:rPr>
            </w:pPr>
            <w:r>
              <w:rPr>
                <w:rFonts w:ascii="Arial" w:cs="Arial" w:eastAsia="Arial" w:hAnsi="Arial"/>
                <w:sz w:val="18"/>
                <w:szCs w:val="18"/>
                <w:color w:val="auto"/>
              </w:rPr>
              <w:t>as of March 31, 2022 and December 31, 2021; 40,656,632 and</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80" w:type="dxa"/>
            <w:vAlign w:val="bottom"/>
          </w:tcPr>
          <w:p>
            <w:pPr>
              <w:ind w:left="340"/>
              <w:spacing w:after="0" w:line="176" w:lineRule="exact"/>
              <w:rPr>
                <w:sz w:val="20"/>
                <w:szCs w:val="20"/>
                <w:color w:val="auto"/>
              </w:rPr>
            </w:pPr>
            <w:r>
              <w:rPr>
                <w:rFonts w:ascii="Arial" w:cs="Arial" w:eastAsia="Arial" w:hAnsi="Arial"/>
                <w:sz w:val="18"/>
                <w:szCs w:val="18"/>
                <w:color w:val="auto"/>
              </w:rPr>
              <w:t>40,587,067 shares issued and outstanding as of March 31, 2022 and</w:t>
            </w:r>
          </w:p>
        </w:tc>
        <w:tc>
          <w:tcPr>
            <w:tcW w:w="28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340"/>
              <w:spacing w:after="0"/>
              <w:rPr>
                <w:sz w:val="20"/>
                <w:szCs w:val="20"/>
                <w:color w:val="auto"/>
              </w:rPr>
            </w:pPr>
            <w:r>
              <w:rPr>
                <w:rFonts w:ascii="Arial" w:cs="Arial" w:eastAsia="Arial" w:hAnsi="Arial"/>
                <w:sz w:val="18"/>
                <w:szCs w:val="18"/>
                <w:color w:val="auto"/>
              </w:rPr>
              <w:t>December 31, 2021, respectively</w:t>
            </w:r>
          </w:p>
        </w:tc>
        <w:tc>
          <w:tcPr>
            <w:tcW w:w="28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570,679</w:t>
            </w: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564,993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7"/>
                <w:szCs w:val="17"/>
                <w:color w:val="auto"/>
              </w:rPr>
            </w:pPr>
          </w:p>
        </w:tc>
        <w:tc>
          <w:tcPr>
            <w:tcW w:w="17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(606 )</w:t>
            </w:r>
          </w:p>
        </w:tc>
        <w:tc>
          <w:tcPr>
            <w:tcW w:w="200" w:type="dxa"/>
            <w:vAlign w:val="bottom"/>
          </w:tcPr>
          <w:p>
            <w:pPr>
              <w:spacing w:after="0"/>
              <w:rPr>
                <w:sz w:val="17"/>
                <w:szCs w:val="17"/>
                <w:color w:val="auto"/>
              </w:rPr>
            </w:pPr>
          </w:p>
        </w:tc>
        <w:tc>
          <w:tcPr>
            <w:tcW w:w="1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7"/>
                <w:szCs w:val="17"/>
                <w:color w:val="auto"/>
              </w:rPr>
            </w:pPr>
          </w:p>
        </w:tc>
        <w:tc>
          <w:tcPr>
            <w:tcW w:w="17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(226,518 )</w:t>
            </w:r>
          </w:p>
        </w:tc>
        <w:tc>
          <w:tcPr>
            <w:tcW w:w="2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(201,985 )</w:t>
            </w:r>
          </w:p>
        </w:tc>
        <w:tc>
          <w:tcPr>
            <w:tcW w:w="0" w:type="dxa"/>
            <w:vAlign w:val="bottom"/>
          </w:tcPr>
          <w:p>
            <w:pPr>
              <w:spacing w:after="0"/>
              <w:rPr>
                <w:sz w:val="1"/>
                <w:szCs w:val="1"/>
                <w:color w:val="auto"/>
              </w:rPr>
            </w:pPr>
          </w:p>
        </w:tc>
      </w:tr>
      <w:tr>
        <w:trPr>
          <w:trHeight w:val="196"/>
        </w:trPr>
        <w:tc>
          <w:tcPr>
            <w:tcW w:w="748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343,596</w:t>
            </w:r>
          </w:p>
        </w:tc>
        <w:tc>
          <w:tcPr>
            <w:tcW w:w="300" w:type="dxa"/>
            <w:vAlign w:val="bottom"/>
            <w:tcBorders>
              <w:top w:val="single" w:sz="8" w:color="CFF0FC"/>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363,049</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363,676</w:t>
            </w:r>
          </w:p>
        </w:tc>
        <w:tc>
          <w:tcPr>
            <w:tcW w:w="3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380,183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-3270885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-3270885</wp:posOffset>
            </wp:positionV>
            <wp:extent cx="5969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-2748280</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-2748280</wp:posOffset>
            </wp:positionV>
            <wp:extent cx="5969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-1410970</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-1410970</wp:posOffset>
            </wp:positionV>
            <wp:extent cx="5969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-296545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-296545</wp:posOffset>
            </wp:positionV>
            <wp:extent cx="5969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4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3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4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17,073</w:t>
            </w:r>
          </w:p>
        </w:tc>
        <w:tc>
          <w:tcPr>
            <w:tcW w:w="300" w:type="dxa"/>
            <w:vAlign w:val="bottom"/>
          </w:tcPr>
          <w:p>
            <w:pPr>
              <w:spacing w:after="0"/>
              <w:rPr>
                <w:sz w:val="17"/>
                <w:szCs w:val="17"/>
                <w:color w:val="auto"/>
              </w:rPr>
            </w:pPr>
          </w:p>
        </w:tc>
        <w:tc>
          <w:tcPr>
            <w:tcW w:w="680" w:type="dxa"/>
            <w:vAlign w:val="bottom"/>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9,849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7,674</w:t>
            </w:r>
          </w:p>
        </w:tc>
        <w:tc>
          <w:tcPr>
            <w:tcW w:w="3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4,359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24,747</w:t>
            </w:r>
          </w:p>
        </w:tc>
        <w:tc>
          <w:tcPr>
            <w:tcW w:w="3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(24,747</w:t>
            </w:r>
          </w:p>
        </w:tc>
        <w:tc>
          <w:tcPr>
            <w:tcW w:w="30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(14,208</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34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(11 )</w:t>
            </w:r>
          </w:p>
        </w:tc>
        <w:tc>
          <w:tcPr>
            <w:tcW w:w="6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73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4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400" w:type="dxa"/>
            <w:vAlign w:val="bottom"/>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(24,533 )</w:t>
            </w:r>
          </w:p>
        </w:tc>
        <w:tc>
          <w:tcPr>
            <w:tcW w:w="680" w:type="dxa"/>
            <w:vAlign w:val="bottom"/>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(14,185 )</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400" w:type="dxa"/>
            <w:vAlign w:val="bottom"/>
            <w:tcBorders>
              <w:bottom w:val="single" w:sz="8" w:color="auto"/>
            </w:tcBorders>
            <w:shd w:val="clear" w:color="auto" w:fill="CFF0FC"/>
          </w:tcPr>
          <w:p>
            <w:pPr>
              <w:jc w:val="right"/>
              <w:ind w:right="210"/>
              <w:spacing w:after="0" w:line="18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(0.60</w:t>
            </w:r>
          </w:p>
        </w:tc>
        <w:tc>
          <w:tcPr>
            <w:tcW w:w="300" w:type="dxa"/>
            <w:vAlign w:val="bottom"/>
            <w:tcBorders>
              <w:bottom w:val="single" w:sz="8" w:color="CFF0FC"/>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ind w:right="49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(0.35</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43"/>
        </w:trPr>
        <w:tc>
          <w:tcPr>
            <w:tcW w:w="734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shares of common stock used to</w:t>
            </w:r>
          </w:p>
        </w:tc>
        <w:tc>
          <w:tcPr>
            <w:tcW w:w="40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40,616,302</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40,055,435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340" w:type="dxa"/>
            <w:vAlign w:val="bottom"/>
          </w:tcPr>
          <w:p>
            <w:pPr>
              <w:ind w:left="160"/>
              <w:spacing w:after="0" w:line="156" w:lineRule="exact"/>
              <w:rPr>
                <w:sz w:val="20"/>
                <w:szCs w:val="20"/>
                <w:color w:val="auto"/>
              </w:rPr>
            </w:pPr>
            <w:r>
              <w:rPr>
                <w:rFonts w:ascii="Arial" w:cs="Arial" w:eastAsia="Arial" w:hAnsi="Arial"/>
                <w:sz w:val="18"/>
                <w:szCs w:val="18"/>
                <w:color w:val="auto"/>
              </w:rPr>
              <w:t>compute net loss per shares, basic and diluted</w:t>
            </w: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-1085215</wp:posOffset>
            </wp:positionV>
            <wp:extent cx="6858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-1085215</wp:posOffset>
            </wp:positionV>
            <wp:extent cx="5969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-553720</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-553720</wp:posOffset>
            </wp:positionV>
            <wp:extent cx="5969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-264795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-248285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-264795</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-248285</wp:posOffset>
            </wp:positionV>
            <wp:extent cx="596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29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76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March 31,</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64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1020" w:type="dxa"/>
            <w:vAlign w:val="bottom"/>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(24,533</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(14,185</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 net of tax:</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loss on available-for-sale investments</w:t>
            </w:r>
          </w:p>
        </w:tc>
        <w:tc>
          <w:tcPr>
            <w:tcW w:w="10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(606 )</w:t>
            </w:r>
          </w:p>
        </w:tc>
        <w:tc>
          <w:tcPr>
            <w:tcW w:w="10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
        </w:trPr>
        <w:tc>
          <w:tcPr>
            <w:tcW w:w="764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Total comprehensive loss</w:t>
            </w:r>
          </w:p>
        </w:tc>
        <w:tc>
          <w:tcPr>
            <w:tcW w:w="1020" w:type="dxa"/>
            <w:vAlign w:val="bottom"/>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w w:val="91"/>
              </w:rPr>
              <w:t>(25,139 )</w:t>
            </w:r>
          </w:p>
        </w:tc>
        <w:tc>
          <w:tcPr>
            <w:tcW w:w="1000" w:type="dxa"/>
            <w:vAlign w:val="bottom"/>
          </w:tcPr>
          <w:p>
            <w:pPr>
              <w:jc w:val="right"/>
              <w:ind w:right="8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1"/>
              </w:rPr>
              <w:t>(14,185 )</w:t>
            </w:r>
          </w:p>
        </w:tc>
      </w:tr>
      <w:tr>
        <w:trPr>
          <w:trHeight w:val="20"/>
        </w:trPr>
        <w:tc>
          <w:tcPr>
            <w:tcW w:w="7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-159385</wp:posOffset>
            </wp:positionV>
            <wp:extent cx="6032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2"/>
        </w:trPr>
        <w:tc>
          <w:tcPr>
            <w:tcW w:w="2960" w:type="dxa"/>
            <w:vAlign w:val="bottom"/>
          </w:tcPr>
          <w:p>
            <w:pPr>
              <w:spacing w:after="0"/>
              <w:rPr>
                <w:sz w:val="10"/>
                <w:szCs w:val="10"/>
                <w:color w:val="auto"/>
              </w:rPr>
            </w:pPr>
          </w:p>
        </w:tc>
        <w:tc>
          <w:tcPr>
            <w:tcW w:w="2380" w:type="dxa"/>
            <w:vAlign w:val="bottom"/>
            <w:gridSpan w:val="3"/>
            <w:vMerge w:val="restart"/>
          </w:tcPr>
          <w:p>
            <w:pPr>
              <w:jc w:val="right"/>
              <w:ind w:right="515"/>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2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260" w:type="dxa"/>
            <w:vAlign w:val="bottom"/>
            <w:gridSpan w:val="2"/>
            <w:vMerge w:val="restart"/>
          </w:tcPr>
          <w:p>
            <w:pPr>
              <w:jc w:val="right"/>
              <w:ind w:right="328"/>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380" w:type="dxa"/>
            <w:vAlign w:val="bottom"/>
            <w:tcBorders>
              <w:bottom w:val="single" w:sz="8" w:color="auto"/>
            </w:tcBorders>
            <w:gridSpan w:val="3"/>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40,587,067</w:t>
            </w:r>
          </w:p>
        </w:tc>
        <w:tc>
          <w:tcPr>
            <w:tcW w:w="240" w:type="dxa"/>
            <w:vAlign w:val="bottom"/>
            <w:tcBorders>
              <w:right w:val="single" w:sz="8" w:color="CFF0FC"/>
            </w:tcBorders>
            <w:shd w:val="clear" w:color="auto" w:fill="CFF0FC"/>
          </w:tcPr>
          <w:p>
            <w:pPr>
              <w:spacing w:after="0"/>
              <w:rPr>
                <w:sz w:val="14"/>
                <w:szCs w:val="14"/>
                <w:color w:val="auto"/>
              </w:rPr>
            </w:pPr>
          </w:p>
        </w:tc>
        <w:tc>
          <w:tcPr>
            <w:tcW w:w="940" w:type="dxa"/>
            <w:vAlign w:val="bottom"/>
            <w:shd w:val="clear" w:color="auto" w:fill="CFF0FC"/>
          </w:tcPr>
          <w:p>
            <w:pPr>
              <w:jc w:val="right"/>
              <w:ind w:right="795"/>
              <w:spacing w:after="0"/>
              <w:rPr>
                <w:sz w:val="20"/>
                <w:szCs w:val="20"/>
                <w:color w:val="auto"/>
              </w:rPr>
            </w:pPr>
            <w:r>
              <w:rPr>
                <w:rFonts w:ascii="Arial" w:cs="Arial" w:eastAsia="Arial" w:hAnsi="Arial"/>
                <w:sz w:val="14"/>
                <w:szCs w:val="14"/>
                <w:color w:val="auto"/>
                <w:w w:val="76"/>
              </w:rPr>
              <w:t>$</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2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564,993</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(201,985</w:t>
            </w:r>
          </w:p>
        </w:tc>
        <w:tc>
          <w:tcPr>
            <w:tcW w:w="220" w:type="dxa"/>
            <w:vAlign w:val="bottom"/>
            <w:tcBorders>
              <w:right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363,049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96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w:t>
            </w: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60" w:type="dxa"/>
            <w:vAlign w:val="bottom"/>
          </w:tcPr>
          <w:p>
            <w:pPr>
              <w:ind w:left="300"/>
              <w:spacing w:after="0"/>
              <w:rPr>
                <w:sz w:val="20"/>
                <w:szCs w:val="20"/>
                <w:color w:val="auto"/>
              </w:rPr>
            </w:pPr>
            <w:r>
              <w:rPr>
                <w:rFonts w:ascii="Arial" w:cs="Arial" w:eastAsia="Arial" w:hAnsi="Arial"/>
                <w:sz w:val="14"/>
                <w:szCs w:val="14"/>
                <w:color w:val="auto"/>
              </w:rPr>
              <w:t>under equity incentive plans</w:t>
            </w:r>
          </w:p>
        </w:tc>
        <w:tc>
          <w:tcPr>
            <w:tcW w:w="1200" w:type="dxa"/>
            <w:vAlign w:val="bottom"/>
          </w:tcPr>
          <w:p>
            <w:pPr>
              <w:jc w:val="right"/>
              <w:spacing w:after="0"/>
              <w:rPr>
                <w:sz w:val="20"/>
                <w:szCs w:val="20"/>
                <w:color w:val="auto"/>
              </w:rPr>
            </w:pPr>
            <w:r>
              <w:rPr>
                <w:rFonts w:ascii="Arial" w:cs="Arial" w:eastAsia="Arial" w:hAnsi="Arial"/>
                <w:sz w:val="14"/>
                <w:szCs w:val="14"/>
                <w:color w:val="auto"/>
              </w:rPr>
              <w:t>69,565</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CFF0FC"/>
            </w:tcBorders>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5,501</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5,501</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60" w:type="dxa"/>
            <w:vAlign w:val="bottom"/>
          </w:tcPr>
          <w:p>
            <w:pPr>
              <w:ind w:left="200"/>
              <w:spacing w:after="0" w:line="143" w:lineRule="exact"/>
              <w:rPr>
                <w:sz w:val="20"/>
                <w:szCs w:val="20"/>
                <w:color w:val="auto"/>
              </w:rPr>
            </w:pPr>
            <w:r>
              <w:rPr>
                <w:rFonts w:ascii="Arial" w:cs="Arial" w:eastAsia="Arial" w:hAnsi="Arial"/>
                <w:sz w:val="14"/>
                <w:szCs w:val="14"/>
                <w:color w:val="auto"/>
              </w:rPr>
              <w:t>Unrealized loss on available-</w:t>
            </w: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60" w:type="dxa"/>
            <w:vAlign w:val="bottom"/>
          </w:tcPr>
          <w:p>
            <w:pPr>
              <w:ind w:left="300"/>
              <w:spacing w:after="0"/>
              <w:rPr>
                <w:sz w:val="20"/>
                <w:szCs w:val="20"/>
                <w:color w:val="auto"/>
              </w:rPr>
            </w:pPr>
            <w:r>
              <w:rPr>
                <w:rFonts w:ascii="Arial" w:cs="Arial" w:eastAsia="Arial" w:hAnsi="Arial"/>
                <w:sz w:val="14"/>
                <w:szCs w:val="14"/>
                <w:color w:val="auto"/>
              </w:rPr>
              <w:t>for-sale investments</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(606 )</w:t>
            </w:r>
          </w:p>
        </w:tc>
        <w:tc>
          <w:tcPr>
            <w:tcW w:w="12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(606 )</w:t>
            </w:r>
          </w:p>
        </w:tc>
        <w:tc>
          <w:tcPr>
            <w:tcW w:w="0" w:type="dxa"/>
            <w:vAlign w:val="bottom"/>
          </w:tcPr>
          <w:p>
            <w:pPr>
              <w:spacing w:after="0"/>
              <w:rPr>
                <w:sz w:val="1"/>
                <w:szCs w:val="1"/>
                <w:color w:val="auto"/>
              </w:rPr>
            </w:pPr>
          </w:p>
        </w:tc>
      </w:tr>
      <w:tr>
        <w:trPr>
          <w:trHeight w:val="175"/>
        </w:trPr>
        <w:tc>
          <w:tcPr>
            <w:tcW w:w="296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CFF0FC"/>
            </w:tcBorders>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(24,533 )</w:t>
            </w:r>
          </w:p>
        </w:tc>
        <w:tc>
          <w:tcPr>
            <w:tcW w:w="1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(24,533 )</w:t>
            </w:r>
          </w:p>
        </w:tc>
        <w:tc>
          <w:tcPr>
            <w:tcW w:w="0" w:type="dxa"/>
            <w:vAlign w:val="bottom"/>
          </w:tcPr>
          <w:p>
            <w:pPr>
              <w:spacing w:after="0"/>
              <w:rPr>
                <w:sz w:val="1"/>
                <w:szCs w:val="1"/>
                <w:color w:val="auto"/>
              </w:rPr>
            </w:pPr>
          </w:p>
        </w:tc>
      </w:tr>
      <w:tr>
        <w:trPr>
          <w:trHeight w:val="20"/>
        </w:trPr>
        <w:tc>
          <w:tcPr>
            <w:tcW w:w="2960" w:type="dxa"/>
            <w:vAlign w:val="bottom"/>
            <w:tcBorders>
              <w:right w:val="single" w:sz="8" w:color="CFF0FC"/>
            </w:tcBorders>
            <w:shd w:val="clear" w:color="auto" w:fill="CFF0FC"/>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6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1200" w:type="dxa"/>
            <w:vAlign w:val="bottom"/>
          </w:tcPr>
          <w:p>
            <w:pPr>
              <w:jc w:val="right"/>
              <w:spacing w:after="0"/>
              <w:rPr>
                <w:sz w:val="20"/>
                <w:szCs w:val="20"/>
                <w:color w:val="auto"/>
              </w:rPr>
            </w:pPr>
            <w:r>
              <w:rPr>
                <w:rFonts w:ascii="Arial" w:cs="Arial" w:eastAsia="Arial" w:hAnsi="Arial"/>
                <w:sz w:val="14"/>
                <w:szCs w:val="14"/>
                <w:color w:val="auto"/>
              </w:rPr>
              <w:t>40,656,632</w:t>
            </w:r>
          </w:p>
        </w:tc>
        <w:tc>
          <w:tcPr>
            <w:tcW w:w="240" w:type="dxa"/>
            <w:vAlign w:val="bottom"/>
          </w:tcPr>
          <w:p>
            <w:pPr>
              <w:spacing w:after="0"/>
              <w:rPr>
                <w:sz w:val="14"/>
                <w:szCs w:val="14"/>
                <w:color w:val="auto"/>
              </w:rPr>
            </w:pPr>
          </w:p>
        </w:tc>
        <w:tc>
          <w:tcPr>
            <w:tcW w:w="940" w:type="dxa"/>
            <w:vAlign w:val="bottom"/>
          </w:tcPr>
          <w:p>
            <w:pPr>
              <w:jc w:val="right"/>
              <w:ind w:right="795"/>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570,679</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(606 )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(226,518 )</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343,596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2"/>
        </w:trPr>
        <w:tc>
          <w:tcPr>
            <w:tcW w:w="2960" w:type="dxa"/>
            <w:vAlign w:val="bottom"/>
          </w:tcPr>
          <w:p>
            <w:pPr>
              <w:spacing w:after="0"/>
              <w:rPr>
                <w:sz w:val="10"/>
                <w:szCs w:val="10"/>
                <w:color w:val="auto"/>
              </w:rPr>
            </w:pPr>
          </w:p>
        </w:tc>
        <w:tc>
          <w:tcPr>
            <w:tcW w:w="2380" w:type="dxa"/>
            <w:vAlign w:val="bottom"/>
            <w:gridSpan w:val="3"/>
            <w:vMerge w:val="restart"/>
          </w:tcPr>
          <w:p>
            <w:pPr>
              <w:jc w:val="right"/>
              <w:ind w:right="555"/>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80"/>
              <w:spacing w:after="0" w:line="122"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0"/>
                <w:szCs w:val="10"/>
                <w:color w:val="auto"/>
              </w:rPr>
            </w:pPr>
          </w:p>
        </w:tc>
        <w:tc>
          <w:tcPr>
            <w:tcW w:w="126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2380" w:type="dxa"/>
            <w:vAlign w:val="bottom"/>
            <w:tcBorders>
              <w:bottom w:val="single" w:sz="8" w:color="auto"/>
            </w:tcBorders>
            <w:gridSpan w:val="3"/>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right"/>
              <w:ind w:right="348"/>
              <w:spacing w:after="0" w:line="14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2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Capital</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5"/>
              </w:rPr>
              <w:t>Loss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9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39,844,522</w:t>
            </w:r>
          </w:p>
        </w:tc>
        <w:tc>
          <w:tcPr>
            <w:tcW w:w="240" w:type="dxa"/>
            <w:vAlign w:val="bottom"/>
            <w:tcBorders>
              <w:right w:val="single" w:sz="8" w:color="CFF0FC"/>
            </w:tcBorders>
            <w:shd w:val="clear" w:color="auto" w:fill="CFF0FC"/>
          </w:tcPr>
          <w:p>
            <w:pPr>
              <w:spacing w:after="0"/>
              <w:rPr>
                <w:sz w:val="14"/>
                <w:szCs w:val="14"/>
                <w:color w:val="auto"/>
              </w:rPr>
            </w:pPr>
          </w:p>
        </w:tc>
        <w:tc>
          <w:tcPr>
            <w:tcW w:w="940" w:type="dxa"/>
            <w:vAlign w:val="bottom"/>
            <w:shd w:val="clear" w:color="auto" w:fill="CFF0FC"/>
          </w:tcPr>
          <w:p>
            <w:pPr>
              <w:jc w:val="right"/>
              <w:ind w:right="815"/>
              <w:spacing w:after="0"/>
              <w:rPr>
                <w:sz w:val="20"/>
                <w:szCs w:val="20"/>
                <w:color w:val="auto"/>
              </w:rPr>
            </w:pPr>
            <w:r>
              <w:rPr>
                <w:rFonts w:ascii="Arial" w:cs="Arial" w:eastAsia="Arial" w:hAnsi="Arial"/>
                <w:sz w:val="10"/>
                <w:szCs w:val="10"/>
                <w:color w:val="auto"/>
                <w:w w:val="71"/>
              </w:rPr>
              <w:t>$</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200" w:type="dxa"/>
            <w:vAlign w:val="bottom"/>
            <w:tcBorders>
              <w:right w:val="single" w:sz="8" w:color="CFF0FC"/>
            </w:tcBorders>
            <w:shd w:val="clear" w:color="auto" w:fill="CFF0FC"/>
          </w:tcPr>
          <w:p>
            <w:pPr>
              <w:spacing w:after="0"/>
              <w:rPr>
                <w:sz w:val="14"/>
                <w:szCs w:val="14"/>
                <w:color w:val="auto"/>
              </w:rPr>
            </w:pPr>
          </w:p>
        </w:tc>
        <w:tc>
          <w:tcPr>
            <w:tcW w:w="160" w:type="dxa"/>
            <w:vAlign w:val="bottom"/>
            <w:shd w:val="clear" w:color="auto" w:fill="CFF0FC"/>
          </w:tcPr>
          <w:p>
            <w:pPr>
              <w:jc w:val="right"/>
              <w:ind w:right="38"/>
              <w:spacing w:after="0"/>
              <w:rPr>
                <w:sz w:val="20"/>
                <w:szCs w:val="20"/>
                <w:color w:val="auto"/>
              </w:rPr>
            </w:pPr>
            <w:r>
              <w:rPr>
                <w:rFonts w:ascii="Arial" w:cs="Arial" w:eastAsia="Arial" w:hAnsi="Arial"/>
                <w:sz w:val="10"/>
                <w:szCs w:val="10"/>
                <w:color w:val="auto"/>
                <w:w w:val="71"/>
              </w:rPr>
              <w:t>$</w:t>
            </w: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548,327</w:t>
            </w:r>
          </w:p>
        </w:tc>
        <w:tc>
          <w:tcPr>
            <w:tcW w:w="300" w:type="dxa"/>
            <w:vAlign w:val="bottom"/>
            <w:gridSpan w:val="2"/>
            <w:shd w:val="clear" w:color="auto" w:fill="CFF0FC"/>
          </w:tcPr>
          <w:p>
            <w:pPr>
              <w:jc w:val="right"/>
              <w:ind w:right="11"/>
              <w:spacing w:after="0"/>
              <w:rPr>
                <w:sz w:val="20"/>
                <w:szCs w:val="20"/>
                <w:color w:val="auto"/>
              </w:rPr>
            </w:pPr>
            <w:r>
              <w:rPr>
                <w:rFonts w:ascii="Arial" w:cs="Arial" w:eastAsia="Arial" w:hAnsi="Arial"/>
                <w:sz w:val="14"/>
                <w:szCs w:val="14"/>
                <w:color w:val="auto"/>
              </w:rPr>
              <w:t>$</w:t>
            </w:r>
          </w:p>
        </w:tc>
        <w:tc>
          <w:tcPr>
            <w:tcW w:w="12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(118,522</w:t>
            </w:r>
          </w:p>
        </w:tc>
        <w:tc>
          <w:tcPr>
            <w:tcW w:w="220" w:type="dxa"/>
            <w:vAlign w:val="bottom"/>
            <w:tcBorders>
              <w:right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429,845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960" w:type="dxa"/>
            <w:vAlign w:val="bottom"/>
          </w:tcPr>
          <w:p>
            <w:pPr>
              <w:ind w:left="200"/>
              <w:spacing w:after="0" w:line="143" w:lineRule="exact"/>
              <w:rPr>
                <w:sz w:val="20"/>
                <w:szCs w:val="20"/>
                <w:color w:val="auto"/>
              </w:rPr>
            </w:pPr>
            <w:r>
              <w:rPr>
                <w:rFonts w:ascii="Arial" w:cs="Arial" w:eastAsia="Arial" w:hAnsi="Arial"/>
                <w:sz w:val="14"/>
                <w:szCs w:val="14"/>
                <w:color w:val="auto"/>
              </w:rPr>
              <w:t>Issuance of common stock</w:t>
            </w: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960" w:type="dxa"/>
            <w:vAlign w:val="bottom"/>
          </w:tcPr>
          <w:p>
            <w:pPr>
              <w:ind w:left="300"/>
              <w:spacing w:after="0"/>
              <w:rPr>
                <w:sz w:val="20"/>
                <w:szCs w:val="20"/>
                <w:color w:val="auto"/>
              </w:rPr>
            </w:pPr>
            <w:r>
              <w:rPr>
                <w:rFonts w:ascii="Arial" w:cs="Arial" w:eastAsia="Arial" w:hAnsi="Arial"/>
                <w:sz w:val="14"/>
                <w:szCs w:val="14"/>
                <w:color w:val="auto"/>
              </w:rPr>
              <w:t>under equity incentive plans</w:t>
            </w:r>
          </w:p>
        </w:tc>
        <w:tc>
          <w:tcPr>
            <w:tcW w:w="1200" w:type="dxa"/>
            <w:vAlign w:val="bottom"/>
          </w:tcPr>
          <w:p>
            <w:pPr>
              <w:jc w:val="right"/>
              <w:spacing w:after="0"/>
              <w:rPr>
                <w:sz w:val="20"/>
                <w:szCs w:val="20"/>
                <w:color w:val="auto"/>
              </w:rPr>
            </w:pPr>
            <w:r>
              <w:rPr>
                <w:rFonts w:ascii="Arial" w:cs="Arial" w:eastAsia="Arial" w:hAnsi="Arial"/>
                <w:sz w:val="14"/>
                <w:szCs w:val="14"/>
                <w:color w:val="auto"/>
              </w:rPr>
              <w:t>364,047</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2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right w:val="single" w:sz="8" w:color="CFF0FC"/>
            </w:tcBorders>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CFF0FC"/>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20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60" w:type="dxa"/>
            <w:vAlign w:val="bottom"/>
            <w:tcBorders>
              <w:right w:val="single" w:sz="8" w:color="CFF0FC"/>
            </w:tcBorders>
            <w:gridSpan w:val="2"/>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0"/>
              <w:spacing w:after="0"/>
              <w:rPr>
                <w:sz w:val="20"/>
                <w:szCs w:val="20"/>
                <w:color w:val="auto"/>
              </w:rPr>
            </w:pPr>
            <w:r>
              <w:rPr>
                <w:rFonts w:ascii="Arial" w:cs="Arial" w:eastAsia="Arial" w:hAnsi="Arial"/>
                <w:sz w:val="14"/>
                <w:szCs w:val="14"/>
                <w:color w:val="auto"/>
              </w:rPr>
              <w:t>Net loss</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88"/>
              <w:spacing w:after="0"/>
              <w:rPr>
                <w:sz w:val="20"/>
                <w:szCs w:val="20"/>
                <w:color w:val="auto"/>
              </w:rPr>
            </w:pPr>
            <w:r>
              <w:rPr>
                <w:rFonts w:ascii="Arial" w:cs="Arial" w:eastAsia="Arial" w:hAnsi="Arial"/>
                <w:sz w:val="14"/>
                <w:szCs w:val="14"/>
                <w:color w:val="auto"/>
              </w:rPr>
              <w:t>(14,185 )</w:t>
            </w:r>
          </w:p>
        </w:tc>
        <w:tc>
          <w:tcPr>
            <w:tcW w:w="12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color w:val="auto"/>
              </w:rPr>
              <w:t>(14,185 )</w:t>
            </w:r>
          </w:p>
        </w:tc>
        <w:tc>
          <w:tcPr>
            <w:tcW w:w="0" w:type="dxa"/>
            <w:vAlign w:val="bottom"/>
          </w:tcPr>
          <w:p>
            <w:pPr>
              <w:spacing w:after="0"/>
              <w:rPr>
                <w:sz w:val="1"/>
                <w:szCs w:val="1"/>
                <w:color w:val="auto"/>
              </w:rPr>
            </w:pPr>
          </w:p>
        </w:tc>
      </w:tr>
      <w:tr>
        <w:trPr>
          <w:trHeight w:val="209"/>
        </w:trPr>
        <w:tc>
          <w:tcPr>
            <w:tcW w:w="296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12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40,208,569</w:t>
            </w:r>
          </w:p>
        </w:tc>
        <w:tc>
          <w:tcPr>
            <w:tcW w:w="240" w:type="dxa"/>
            <w:vAlign w:val="bottom"/>
            <w:tcBorders>
              <w:bottom w:val="single" w:sz="8" w:color="CFF0FC"/>
              <w:right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ind w:right="815"/>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38"/>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551,151</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5"/>
                <w:szCs w:val="5"/>
                <w:color w:val="auto"/>
                <w:w w:val="70"/>
              </w:rPr>
              <w:t>$</w:t>
            </w:r>
          </w:p>
        </w:tc>
        <w:tc>
          <w:tcPr>
            <w:tcW w:w="10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(132,707</w:t>
            </w:r>
          </w:p>
        </w:tc>
        <w:tc>
          <w:tcPr>
            <w:tcW w:w="220" w:type="dxa"/>
            <w:vAlign w:val="bottom"/>
            <w:tcBorders>
              <w:bottom w:val="single" w:sz="8" w:color="CFF0FC"/>
              <w:right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418,484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-1325245</wp:posOffset>
            </wp:positionV>
            <wp:extent cx="431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-1325245</wp:posOffset>
            </wp:positionV>
            <wp:extent cx="431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-1325245</wp:posOffset>
            </wp:positionV>
            <wp:extent cx="3429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-1325245</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-1325245</wp:posOffset>
            </wp:positionV>
            <wp:extent cx="5143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-1325245</wp:posOffset>
            </wp:positionV>
            <wp:extent cx="5143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-25400</wp:posOffset>
            </wp:positionV>
            <wp:extent cx="431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-7620</wp:posOffset>
            </wp:positionV>
            <wp:extent cx="431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-25400</wp:posOffset>
            </wp:positionV>
            <wp:extent cx="431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431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342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-7620</wp:posOffset>
            </wp:positionV>
            <wp:extent cx="342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-25400</wp:posOffset>
            </wp:positionV>
            <wp:extent cx="431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431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514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40" w:type="dxa"/>
            <w:vAlign w:val="bottom"/>
            <w:gridSpan w:val="5"/>
          </w:tcPr>
          <w:p>
            <w:pPr>
              <w:jc w:val="right"/>
              <w:ind w:right="95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1"/>
        </w:trPr>
        <w:tc>
          <w:tcPr>
            <w:tcW w:w="76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March 31,</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activities</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(24,533 )</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(14,185 )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lease costs</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318</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5,501</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Net amortization of premiums and accretion of discounts on investments</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(1,577 )</w:t>
            </w:r>
          </w:p>
        </w:tc>
        <w:tc>
          <w:tcPr>
            <w:tcW w:w="4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(453 )</w:t>
            </w:r>
          </w:p>
        </w:tc>
        <w:tc>
          <w:tcPr>
            <w:tcW w:w="0" w:type="dxa"/>
            <w:vAlign w:val="bottom"/>
          </w:tcPr>
          <w:p>
            <w:pPr>
              <w:spacing w:after="0"/>
              <w:rPr>
                <w:sz w:val="1"/>
                <w:szCs w:val="1"/>
                <w:color w:val="auto"/>
              </w:rPr>
            </w:pPr>
          </w:p>
        </w:tc>
      </w:tr>
      <w:tr>
        <w:trPr>
          <w:trHeight w:val="203"/>
        </w:trPr>
        <w:tc>
          <w:tcPr>
            <w:tcW w:w="7640" w:type="dxa"/>
            <w:vAlign w:val="bottom"/>
          </w:tcPr>
          <w:p>
            <w:pPr>
              <w:ind w:left="380"/>
              <w:spacing w:after="0" w:line="202" w:lineRule="exact"/>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7"/>
                <w:szCs w:val="17"/>
                <w:color w:val="auto"/>
              </w:rPr>
            </w:pPr>
          </w:p>
        </w:tc>
        <w:tc>
          <w:tcPr>
            <w:tcW w:w="1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(317 )</w:t>
            </w:r>
          </w:p>
        </w:tc>
        <w:tc>
          <w:tcPr>
            <w:tcW w:w="4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(583 )</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1,553</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80"/>
              <w:spacing w:after="0" w:line="202" w:lineRule="exact"/>
              <w:rPr>
                <w:sz w:val="20"/>
                <w:szCs w:val="20"/>
                <w:color w:val="auto"/>
              </w:rPr>
            </w:pPr>
            <w:r>
              <w:rPr>
                <w:rFonts w:ascii="Arial" w:cs="Arial" w:eastAsia="Arial" w:hAnsi="Arial"/>
                <w:sz w:val="18"/>
                <w:szCs w:val="18"/>
                <w:color w:val="auto"/>
              </w:rPr>
              <w:t>Payable and accrued liabilities due to related party</w:t>
            </w:r>
          </w:p>
        </w:tc>
        <w:tc>
          <w:tcPr>
            <w:tcW w:w="360" w:type="dxa"/>
            <w:vAlign w:val="bottom"/>
          </w:tcPr>
          <w:p>
            <w:pPr>
              <w:spacing w:after="0"/>
              <w:rPr>
                <w:sz w:val="17"/>
                <w:szCs w:val="17"/>
                <w:color w:val="auto"/>
              </w:rPr>
            </w:pPr>
          </w:p>
        </w:tc>
        <w:tc>
          <w:tcPr>
            <w:tcW w:w="1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(184 )</w:t>
            </w:r>
          </w:p>
        </w:tc>
        <w:tc>
          <w:tcPr>
            <w:tcW w:w="440" w:type="dxa"/>
            <w:vAlign w:val="bottom"/>
          </w:tcPr>
          <w:p>
            <w:pPr>
              <w:spacing w:after="0"/>
              <w:rPr>
                <w:sz w:val="17"/>
                <w:szCs w:val="17"/>
                <w:color w:val="auto"/>
              </w:rPr>
            </w:pP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(1,304 )</w:t>
            </w: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80"/>
              <w:spacing w:after="0" w:line="202" w:lineRule="exact"/>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17"/>
                <w:szCs w:val="17"/>
                <w:color w:val="auto"/>
              </w:rPr>
            </w:pPr>
          </w:p>
        </w:tc>
        <w:tc>
          <w:tcPr>
            <w:tcW w:w="1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(296 )</w:t>
            </w:r>
          </w:p>
        </w:tc>
        <w:tc>
          <w:tcPr>
            <w:tcW w:w="4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(20,674</w:t>
            </w:r>
          </w:p>
        </w:tc>
        <w:tc>
          <w:tcPr>
            <w:tcW w:w="2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(5,135</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 of investments</w:t>
            </w:r>
          </w:p>
        </w:tc>
        <w:tc>
          <w:tcPr>
            <w:tcW w:w="36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(183,332 )</w:t>
            </w:r>
          </w:p>
        </w:tc>
        <w:tc>
          <w:tcPr>
            <w:tcW w:w="4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17"/>
                <w:szCs w:val="17"/>
                <w:color w:val="auto"/>
              </w:rPr>
            </w:pPr>
          </w:p>
        </w:tc>
        <w:tc>
          <w:tcPr>
            <w:tcW w:w="1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(589 )</w:t>
            </w:r>
          </w:p>
        </w:tc>
        <w:tc>
          <w:tcPr>
            <w:tcW w:w="440" w:type="dxa"/>
            <w:vAlign w:val="bottom"/>
          </w:tcPr>
          <w:p>
            <w:pPr>
              <w:spacing w:after="0"/>
              <w:rPr>
                <w:sz w:val="17"/>
                <w:szCs w:val="17"/>
                <w:color w:val="auto"/>
              </w:rPr>
            </w:pP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(183,921</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exercise of stock options under equity incentive plan</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Principal payments on finance leases</w:t>
            </w:r>
          </w:p>
        </w:tc>
        <w:tc>
          <w:tcPr>
            <w:tcW w:w="360" w:type="dxa"/>
            <w:vAlign w:val="bottom"/>
          </w:tcPr>
          <w:p>
            <w:pPr>
              <w:spacing w:after="0"/>
              <w:rPr>
                <w:sz w:val="17"/>
                <w:szCs w:val="17"/>
                <w:color w:val="auto"/>
              </w:rPr>
            </w:pPr>
          </w:p>
        </w:tc>
        <w:tc>
          <w:tcPr>
            <w:tcW w:w="15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(105 )</w:t>
            </w:r>
          </w:p>
        </w:tc>
        <w:tc>
          <w:tcPr>
            <w:tcW w:w="440" w:type="dxa"/>
            <w:vAlign w:val="bottom"/>
          </w:tcPr>
          <w:p>
            <w:pPr>
              <w:spacing w:after="0"/>
              <w:rPr>
                <w:sz w:val="17"/>
                <w:szCs w:val="17"/>
                <w:color w:val="auto"/>
              </w:rPr>
            </w:pP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w:t>
            </w:r>
          </w:p>
        </w:tc>
        <w:tc>
          <w:tcPr>
            <w:tcW w:w="2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Pr>
          <w:p>
            <w:pPr>
              <w:spacing w:after="0"/>
              <w:rPr>
                <w:sz w:val="17"/>
                <w:szCs w:val="17"/>
                <w:color w:val="auto"/>
              </w:rPr>
            </w:pPr>
          </w:p>
        </w:tc>
        <w:tc>
          <w:tcPr>
            <w:tcW w:w="15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(204,515 )</w:t>
            </w:r>
          </w:p>
        </w:tc>
        <w:tc>
          <w:tcPr>
            <w:tcW w:w="440" w:type="dxa"/>
            <w:vAlign w:val="bottom"/>
          </w:tcPr>
          <w:p>
            <w:pPr>
              <w:spacing w:after="0"/>
              <w:rPr>
                <w:sz w:val="17"/>
                <w:szCs w:val="17"/>
                <w:color w:val="auto"/>
              </w:rPr>
            </w:pPr>
          </w:p>
        </w:tc>
        <w:tc>
          <w:tcPr>
            <w:tcW w:w="1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(4,364 )</w:t>
            </w: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year</w:t>
            </w:r>
          </w:p>
        </w:tc>
        <w:tc>
          <w:tcPr>
            <w:tcW w:w="36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363,667</w:t>
            </w:r>
          </w:p>
        </w:tc>
        <w:tc>
          <w:tcPr>
            <w:tcW w:w="2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434,219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year</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159,152</w:t>
            </w:r>
          </w:p>
        </w:tc>
        <w:tc>
          <w:tcPr>
            <w:tcW w:w="28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429,855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Purchase of property and equipment in accounts payable and</w:t>
            </w: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280" w:type="dxa"/>
            <w:vAlign w:val="bottom"/>
            <w:shd w:val="clear" w:color="auto" w:fill="CFF0FC"/>
          </w:tcPr>
          <w:p>
            <w:pPr>
              <w:spacing w:after="0"/>
              <w:rPr>
                <w:sz w:val="14"/>
                <w:szCs w:val="14"/>
                <w:color w:val="auto"/>
              </w:rPr>
            </w:pPr>
          </w:p>
        </w:tc>
        <w:tc>
          <w:tcPr>
            <w:tcW w:w="440" w:type="dxa"/>
            <w:vAlign w:val="bottom"/>
            <w:vMerge w:val="restart"/>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accrued expenses</w:t>
            </w:r>
          </w:p>
        </w:tc>
        <w:tc>
          <w:tcPr>
            <w:tcW w:w="360" w:type="dxa"/>
            <w:vAlign w:val="bottom"/>
            <w:vMerge w:val="continue"/>
            <w:shd w:val="clear" w:color="auto" w:fill="CFF0FC"/>
          </w:tcPr>
          <w:p>
            <w:pPr>
              <w:spacing w:after="0"/>
              <w:rPr>
                <w:sz w:val="18"/>
                <w:szCs w:val="18"/>
                <w:color w:val="auto"/>
              </w:rPr>
            </w:pPr>
          </w:p>
        </w:tc>
        <w:tc>
          <w:tcPr>
            <w:tcW w:w="12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vMerge w:val="continue"/>
            <w:shd w:val="clear" w:color="auto" w:fill="CFF0FC"/>
          </w:tcPr>
          <w:p>
            <w:pPr>
              <w:spacing w:after="0"/>
              <w:rPr>
                <w:sz w:val="18"/>
                <w:szCs w:val="18"/>
                <w:color w:val="auto"/>
              </w:rPr>
            </w:pPr>
          </w:p>
        </w:tc>
        <w:tc>
          <w:tcPr>
            <w:tcW w:w="126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Right-of-use asset acquired under operating leases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3,419</w:t>
            </w:r>
          </w:p>
        </w:tc>
        <w:tc>
          <w:tcPr>
            <w:tcW w:w="280" w:type="dxa"/>
            <w:vAlign w:val="bottom"/>
          </w:tcPr>
          <w:p>
            <w:pPr>
              <w:spacing w:after="0"/>
              <w:rPr>
                <w:sz w:val="17"/>
                <w:szCs w:val="17"/>
                <w:color w:val="auto"/>
              </w:rPr>
            </w:pP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Receivables for cash in-transit on exercise of common stock</w:t>
            </w: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vMerge w:val="restart"/>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under equity incentive plans</w:t>
            </w:r>
          </w:p>
        </w:tc>
        <w:tc>
          <w:tcPr>
            <w:tcW w:w="360" w:type="dxa"/>
            <w:vAlign w:val="bottom"/>
            <w:vMerge w:val="continue"/>
            <w:shd w:val="clear" w:color="auto" w:fill="CFF0FC"/>
          </w:tcPr>
          <w:p>
            <w:pPr>
              <w:spacing w:after="0"/>
              <w:rPr>
                <w:sz w:val="18"/>
                <w:szCs w:val="18"/>
                <w:color w:val="auto"/>
              </w:rPr>
            </w:pPr>
          </w:p>
        </w:tc>
        <w:tc>
          <w:tcPr>
            <w:tcW w:w="1540" w:type="dxa"/>
            <w:vAlign w:val="bottom"/>
            <w:gridSpan w:val="2"/>
            <w:vMerge w:val="continue"/>
            <w:shd w:val="clear" w:color="auto" w:fill="CFF0FC"/>
          </w:tcPr>
          <w:p>
            <w:pPr>
              <w:spacing w:after="0"/>
              <w:rPr>
                <w:sz w:val="18"/>
                <w:szCs w:val="18"/>
                <w:color w:val="auto"/>
              </w:rPr>
            </w:pPr>
          </w:p>
        </w:tc>
        <w:tc>
          <w:tcPr>
            <w:tcW w:w="440" w:type="dxa"/>
            <w:vAlign w:val="bottom"/>
            <w:vMerge w:val="continue"/>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Reconciliation of cash and cash equivalents and restricted cash:</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159,086</w:t>
            </w:r>
          </w:p>
        </w:tc>
        <w:tc>
          <w:tcPr>
            <w:tcW w:w="280" w:type="dxa"/>
            <w:vAlign w:val="bottom"/>
          </w:tcPr>
          <w:p>
            <w:pPr>
              <w:spacing w:after="0"/>
              <w:rPr>
                <w:sz w:val="17"/>
                <w:szCs w:val="17"/>
                <w:color w:val="auto"/>
              </w:rPr>
            </w:pP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429,855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Restricted cash (included in other assets)</w:t>
            </w:r>
          </w:p>
        </w:tc>
        <w:tc>
          <w:tcPr>
            <w:tcW w:w="3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764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b w:val="1"/>
                <w:bCs w:val="1"/>
                <w:color w:val="auto"/>
              </w:rPr>
              <w:t>Total cash and cash equivalents and restricted cash</w:t>
            </w:r>
          </w:p>
        </w:tc>
        <w:tc>
          <w:tcPr>
            <w:tcW w:w="36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159,152</w:t>
            </w:r>
          </w:p>
        </w:tc>
        <w:tc>
          <w:tcPr>
            <w:tcW w:w="28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429,855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-2499360</wp:posOffset>
            </wp:positionV>
            <wp:extent cx="6032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-2499360</wp:posOffset>
            </wp:positionV>
            <wp:extent cx="5969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-1967865</wp:posOffset>
            </wp:positionV>
            <wp:extent cx="6032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-1967865</wp:posOffset>
            </wp:positionV>
            <wp:extent cx="5969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-1702435</wp:posOffset>
            </wp:positionV>
            <wp:extent cx="6032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-1702435</wp:posOffset>
            </wp:positionV>
            <wp:extent cx="5969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-159385</wp:posOffset>
            </wp:positionV>
            <wp:extent cx="6032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ALX ONCOLOGY HOLDINGS INC.</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Organization</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immuno-oncology company focused on helping patients fight cancer by developing therapies that block the CD47 checkpoint pathway and bridge the innate and adaptive immune system.</w:t>
      </w:r>
    </w:p>
    <w:p>
      <w:pPr>
        <w:spacing w:after="0" w:line="80" w:lineRule="exact"/>
        <w:rPr>
          <w:sz w:val="20"/>
          <w:szCs w:val="20"/>
          <w:color w:val="auto"/>
        </w:rPr>
      </w:pPr>
    </w:p>
    <w:p>
      <w:pPr>
        <w:ind w:right="200" w:firstLine="509"/>
        <w:spacing w:after="0" w:line="284" w:lineRule="auto"/>
        <w:rPr>
          <w:sz w:val="20"/>
          <w:szCs w:val="20"/>
          <w:color w:val="auto"/>
        </w:rPr>
      </w:pPr>
      <w:r>
        <w:rPr>
          <w:rFonts w:ascii="Arial" w:cs="Arial" w:eastAsia="Arial" w:hAnsi="Arial"/>
          <w:sz w:val="16"/>
          <w:szCs w:val="16"/>
          <w:color w:val="auto"/>
        </w:rPr>
        <w:t>The Company owns subsidiaries, consisting of ALX Oncology Limited, incorporated in Ireland; ALX Oncology Inc., incorporated in the United States, Alexo International Holdings Ltd, incorporated in Malta; ScalmiBio, Inc., incorporated in the United States, Alexo Therapeutics International, incorporated in the Cayman Islands, which is a wholly-owned subsidiary of Alexo International Holdings Ltd., and Sirpant Therapeutics, incorporated in the Cayman Islands, which is a wholly-owned subsidiary of Alexo Therapeutics International, or collectively, the Subsidiaries.</w:t>
      </w:r>
    </w:p>
    <w:p>
      <w:pPr>
        <w:spacing w:after="0" w:line="47"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As of March 31, 2022, the Company has devoted substantially all of its efforts to the formation and financing of the Company, as well as product development, and has not realized product revenues from its planned principal operations. The Company has no manufacturing facilities and all manufacturing related activities are contracted out to third-party service providers.</w:t>
      </w:r>
    </w:p>
    <w:p>
      <w:pPr>
        <w:spacing w:after="0" w:line="7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Management expects to incur additional losses in the future to conduct product candidate research and development and to conduct pre-commercialization activities and recognizes that the Company will likely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spacing w:after="0" w:line="165" w:lineRule="exact"/>
        <w:rPr>
          <w:sz w:val="20"/>
          <w:szCs w:val="20"/>
          <w:color w:val="auto"/>
        </w:rPr>
      </w:pPr>
    </w:p>
    <w:p>
      <w:pPr>
        <w:ind w:left="520" w:right="7560" w:hanging="512"/>
        <w:spacing w:after="0" w:line="362" w:lineRule="auto"/>
        <w:tabs>
          <w:tab w:leader="none" w:pos="266"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Preparation</w:t>
      </w:r>
    </w:p>
    <w:p>
      <w:pPr>
        <w:spacing w:after="0" w:line="1"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generally accepted accounting principles in the United States, or GAAP, and applicable rules and regulations of the Securities and Exchange Commission, or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the Annual Report on Form 10-K for the year ended December 31, 2021 filed with the SEC on February 28, 2022.</w:t>
      </w:r>
    </w:p>
    <w:p>
      <w:pPr>
        <w:spacing w:after="0" w:line="67"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condensed consolidated balance sheet as of March 31, 2022 included herein was derived from the audited financial statements as of that date, but does not include all disclosures including notes required by GAAP.</w:t>
      </w:r>
    </w:p>
    <w:p>
      <w:pPr>
        <w:spacing w:after="0" w:line="63" w:lineRule="exact"/>
        <w:rPr>
          <w:sz w:val="20"/>
          <w:szCs w:val="20"/>
          <w:color w:val="auto"/>
        </w:rPr>
      </w:pPr>
    </w:p>
    <w:p>
      <w:pPr>
        <w:ind w:right="420" w:firstLine="509"/>
        <w:spacing w:after="0" w:line="274" w:lineRule="auto"/>
        <w:rPr>
          <w:sz w:val="20"/>
          <w:szCs w:val="20"/>
          <w:color w:val="auto"/>
        </w:rPr>
      </w:pPr>
      <w:r>
        <w:rPr>
          <w:rFonts w:ascii="Arial" w:cs="Arial" w:eastAsia="Arial" w:hAnsi="Arial"/>
          <w:sz w:val="16"/>
          <w:szCs w:val="16"/>
          <w:color w:val="auto"/>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amounts in the prior period have been reclassified to conform to the current period presentation.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220" w:firstLine="509"/>
        <w:spacing w:after="0" w:line="276"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There have been no new or material changes to the significant accounting policies discussed in the Company’s Annual Report on Form 10-K for the year ended December 31, 2021 other than the below policy on Investments.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Investments</w:t>
      </w:r>
    </w:p>
    <w:p>
      <w:pPr>
        <w:spacing w:after="0" w:line="10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Investments consist of money market funds, U.S. Treasury securities, corporate debt securities and commercial paper. The Company’s investments are classified as available-for-sale and carried at estimated fair values and reported in cash equivalents, short-term investments and long-term investments. Management determines the appropriate classification of the investments at the time they are purchased and evaluates the appropriateness of such classifications at each balance sheet date. Investments with contractual maturities greater than 12 months at date of purchase are considered long-term investments.</w:t>
      </w:r>
    </w:p>
    <w:p>
      <w:pPr>
        <w:spacing w:after="0" w:line="81" w:lineRule="exact"/>
        <w:rPr>
          <w:sz w:val="20"/>
          <w:szCs w:val="20"/>
          <w:color w:val="auto"/>
        </w:rPr>
      </w:pPr>
    </w:p>
    <w:p>
      <w:pPr>
        <w:ind w:right="180" w:firstLine="509"/>
        <w:spacing w:after="0" w:line="253" w:lineRule="auto"/>
        <w:rPr>
          <w:sz w:val="20"/>
          <w:szCs w:val="20"/>
          <w:color w:val="auto"/>
        </w:rPr>
      </w:pPr>
      <w:r>
        <w:rPr>
          <w:rFonts w:ascii="Arial" w:cs="Arial" w:eastAsia="Arial" w:hAnsi="Arial"/>
          <w:sz w:val="17"/>
          <w:szCs w:val="17"/>
          <w:color w:val="auto"/>
        </w:rPr>
        <w:t>The Company regularly reviews its investments for declines in estimated fair value below amortized cost. The factors considered in determining whether a credit loss exists include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 In circumstances when an unrealized loss is determined to be credit-related, or when the Company intends to sell or is more likely than not required to sell a security before it recovers its amortized cost basis, the difference between the fair value and the amortized cost of the security is recognized within other income (expense), net in the condensed consolidated statements of operations, and an allowance for credit loss is recorded on the condensed consolidated balance sheets. In circumstances when the decline in fair value is non-credit related, the difference is reported in accumulated other comprehensive loss, net of tax as a separate component of consolidated stockholders’ equity.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08"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auto"/>
        </w:rPr>
        <w:t>The fair value of the Company’s financial assets and liabilities are determined in accordance with the fair value hierarchy established in ASC 820, Fair Value Measurements and Disclosures.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820 requires an entity to maximize the use of observable inputs when measuring fair value and classifies those inputs into three levels: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 such as quoted prices in active markets;</w:t>
      </w:r>
    </w:p>
    <w:p>
      <w:pPr>
        <w:spacing w:after="0" w:line="104" w:lineRule="exact"/>
        <w:rPr>
          <w:sz w:val="20"/>
          <w:szCs w:val="20"/>
          <w:color w:val="auto"/>
        </w:rPr>
      </w:pPr>
    </w:p>
    <w:p>
      <w:pPr>
        <w:ind w:left="520" w:right="60"/>
        <w:spacing w:after="0" w:line="248" w:lineRule="auto"/>
        <w:rPr>
          <w:sz w:val="20"/>
          <w:szCs w:val="20"/>
          <w:color w:val="auto"/>
        </w:rPr>
      </w:pPr>
      <w:r>
        <w:rPr>
          <w:rFonts w:ascii="Arial" w:cs="Arial" w:eastAsia="Arial" w:hAnsi="Arial"/>
          <w:sz w:val="18"/>
          <w:szCs w:val="18"/>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 and</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115"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Assets and liabilities measured at fair value are classified in their entirety based on the lowest level of input that is significant to the fair value measurement. The Company classifies money market funds and U.S. treasury securities as Level 1 within the fair value hierarchy as the fair value is based on quoted prices. The Company classifies its investments in corporate debt securities and commercial paper as Level 2 within the fair value hierarchy as the fair value is estimated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73" w:lineRule="exact"/>
        <w:rPr>
          <w:sz w:val="20"/>
          <w:szCs w:val="20"/>
          <w:color w:val="auto"/>
        </w:rPr>
      </w:pPr>
    </w:p>
    <w:p>
      <w:pPr>
        <w:ind w:right="720" w:firstLine="509"/>
        <w:spacing w:after="0" w:line="324" w:lineRule="auto"/>
        <w:rPr>
          <w:sz w:val="20"/>
          <w:szCs w:val="20"/>
          <w:color w:val="auto"/>
        </w:rPr>
      </w:pPr>
      <w:r>
        <w:rPr>
          <w:rFonts w:ascii="Arial" w:cs="Arial" w:eastAsia="Arial" w:hAnsi="Arial"/>
          <w:sz w:val="16"/>
          <w:szCs w:val="16"/>
          <w:color w:val="auto"/>
        </w:rPr>
        <w:t>The following table presents the Company's investments, which consist of cash equivalents and investments classified as available-for-sale investments, that are measured at fair value on a recurring basis as of March 31, 2022 and December 31, 2021 was as follows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March 31, 2022</w:t>
            </w: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320" w:type="dxa"/>
            <w:vAlign w:val="bottom"/>
            <w:gridSpan w:val="2"/>
          </w:tcPr>
          <w:p>
            <w:pPr>
              <w:jc w:val="center"/>
              <w:spacing w:after="0" w:line="156" w:lineRule="exact"/>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3"/>
                <w:szCs w:val="13"/>
                <w:color w:val="auto"/>
              </w:rPr>
            </w:pPr>
          </w:p>
        </w:tc>
        <w:tc>
          <w:tcPr>
            <w:tcW w:w="134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w w:val="94"/>
              </w:rPr>
              <w:t>Unrealized</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3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6"/>
              </w:rPr>
              <w:t>Hierarchy</w:t>
            </w:r>
          </w:p>
        </w:tc>
        <w:tc>
          <w:tcPr>
            <w:tcW w:w="140" w:type="dxa"/>
            <w:vAlign w:val="bottom"/>
          </w:tcPr>
          <w:p>
            <w:pPr>
              <w:spacing w:after="0"/>
              <w:rPr>
                <w:sz w:val="15"/>
                <w:szCs w:val="15"/>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3"/>
              </w:rPr>
              <w:t>Amortized Cost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Level</w:t>
            </w: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6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18"/>
                <w:szCs w:val="18"/>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Money market funds</w:t>
            </w:r>
          </w:p>
        </w:tc>
        <w:tc>
          <w:tcPr>
            <w:tcW w:w="1320" w:type="dxa"/>
            <w:vAlign w:val="bottom"/>
            <w:tcBorders>
              <w:top w:val="single" w:sz="8" w:color="auto"/>
            </w:tcBorders>
            <w:gridSpan w:val="2"/>
            <w:shd w:val="clear" w:color="auto" w:fill="CFF0FC"/>
          </w:tcPr>
          <w:p>
            <w:pPr>
              <w:jc w:val="center"/>
              <w:spacing w:after="0" w:line="196" w:lineRule="exact"/>
              <w:rPr>
                <w:sz w:val="20"/>
                <w:szCs w:val="20"/>
                <w:color w:val="auto"/>
              </w:rPr>
            </w:pPr>
            <w:r>
              <w:rPr>
                <w:rFonts w:ascii="Arial" w:cs="Arial" w:eastAsia="Arial" w:hAnsi="Arial"/>
                <w:sz w:val="18"/>
                <w:szCs w:val="18"/>
                <w:color w:val="auto"/>
                <w:w w:val="96"/>
              </w:rPr>
              <w:t>Level 1</w:t>
            </w:r>
          </w:p>
        </w:tc>
        <w:tc>
          <w:tcPr>
            <w:tcW w:w="140" w:type="dxa"/>
            <w:vAlign w:val="bottom"/>
            <w:tcBorders>
              <w:right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133,284</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133,284</w:t>
            </w:r>
          </w:p>
        </w:tc>
        <w:tc>
          <w:tcPr>
            <w:tcW w:w="0" w:type="dxa"/>
            <w:vAlign w:val="bottom"/>
          </w:tcPr>
          <w:p>
            <w:pPr>
              <w:spacing w:after="0"/>
              <w:rPr>
                <w:sz w:val="1"/>
                <w:szCs w:val="1"/>
                <w:color w:val="auto"/>
              </w:rPr>
            </w:pPr>
          </w:p>
        </w:tc>
      </w:tr>
      <w:tr>
        <w:trPr>
          <w:trHeight w:val="203"/>
        </w:trPr>
        <w:tc>
          <w:tcPr>
            <w:tcW w:w="4000" w:type="dxa"/>
            <w:vAlign w:val="bottom"/>
          </w:tcPr>
          <w:p>
            <w:pPr>
              <w:ind w:left="200"/>
              <w:spacing w:after="0" w:line="202" w:lineRule="exact"/>
              <w:rPr>
                <w:sz w:val="20"/>
                <w:szCs w:val="20"/>
                <w:color w:val="auto"/>
              </w:rPr>
            </w:pPr>
            <w:r>
              <w:rPr>
                <w:rFonts w:ascii="Arial" w:cs="Arial" w:eastAsia="Arial" w:hAnsi="Arial"/>
                <w:sz w:val="18"/>
                <w:szCs w:val="18"/>
                <w:color w:val="auto"/>
              </w:rPr>
              <w:t>U.S. Treasury securities</w:t>
            </w:r>
          </w:p>
        </w:tc>
        <w:tc>
          <w:tcPr>
            <w:tcW w:w="13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6"/>
              </w:rPr>
              <w:t>Level 1</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96,360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(207 )</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96,155</w:t>
            </w: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132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6"/>
              </w:rPr>
              <w:t>Level 2</w:t>
            </w:r>
          </w:p>
        </w:tc>
        <w:tc>
          <w:tcPr>
            <w:tcW w:w="140" w:type="dxa"/>
            <w:vAlign w:val="bottom"/>
            <w:tcBorders>
              <w:righ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61,747</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(218 )</w:t>
            </w:r>
          </w:p>
        </w:tc>
        <w:tc>
          <w:tcPr>
            <w:tcW w:w="16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61,532</w:t>
            </w:r>
          </w:p>
        </w:tc>
        <w:tc>
          <w:tcPr>
            <w:tcW w:w="0" w:type="dxa"/>
            <w:vAlign w:val="bottom"/>
          </w:tcPr>
          <w:p>
            <w:pPr>
              <w:spacing w:after="0"/>
              <w:rPr>
                <w:sz w:val="1"/>
                <w:szCs w:val="1"/>
                <w:color w:val="auto"/>
              </w:rPr>
            </w:pPr>
          </w:p>
        </w:tc>
      </w:tr>
      <w:tr>
        <w:trPr>
          <w:trHeight w:val="202"/>
        </w:trPr>
        <w:tc>
          <w:tcPr>
            <w:tcW w:w="4000" w:type="dxa"/>
            <w:vAlign w:val="bottom"/>
          </w:tcPr>
          <w:p>
            <w:pPr>
              <w:ind w:left="200"/>
              <w:spacing w:after="0" w:line="202" w:lineRule="exact"/>
              <w:rPr>
                <w:sz w:val="20"/>
                <w:szCs w:val="20"/>
                <w:color w:val="auto"/>
              </w:rPr>
            </w:pPr>
            <w:r>
              <w:rPr>
                <w:rFonts w:ascii="Arial" w:cs="Arial" w:eastAsia="Arial" w:hAnsi="Arial"/>
                <w:sz w:val="18"/>
                <w:szCs w:val="18"/>
                <w:color w:val="auto"/>
              </w:rPr>
              <w:t>Commercial paper</w:t>
            </w:r>
          </w:p>
        </w:tc>
        <w:tc>
          <w:tcPr>
            <w:tcW w:w="13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6"/>
              </w:rPr>
              <w:t>Level 2</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16,133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16,133</w:t>
            </w: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1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0"/>
              <w:spacing w:after="0" w:line="202" w:lineRule="exact"/>
              <w:rPr>
                <w:sz w:val="20"/>
                <w:szCs w:val="20"/>
                <w:color w:val="auto"/>
              </w:rPr>
            </w:pPr>
            <w:r>
              <w:rPr>
                <w:rFonts w:ascii="Arial" w:cs="Arial" w:eastAsia="Arial" w:hAnsi="Arial"/>
                <w:sz w:val="18"/>
                <w:szCs w:val="18"/>
                <w:color w:val="auto"/>
              </w:rPr>
              <w:t>U.S. Treasury securities</w:t>
            </w:r>
          </w:p>
        </w:tc>
        <w:tc>
          <w:tcPr>
            <w:tcW w:w="13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6"/>
              </w:rPr>
              <w:t>Level 1</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15,768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(90 )</w:t>
            </w:r>
          </w:p>
        </w:tc>
        <w:tc>
          <w:tcPr>
            <w:tcW w:w="1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15,678</w:t>
            </w: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1320" w:type="dxa"/>
            <w:vAlign w:val="bottom"/>
            <w:gridSpan w:val="2"/>
            <w:shd w:val="clear" w:color="auto" w:fill="CFF0FC"/>
          </w:tcPr>
          <w:p>
            <w:pPr>
              <w:jc w:val="center"/>
              <w:spacing w:after="0" w:line="202" w:lineRule="exact"/>
              <w:rPr>
                <w:sz w:val="20"/>
                <w:szCs w:val="20"/>
                <w:color w:val="auto"/>
              </w:rPr>
            </w:pPr>
            <w:r>
              <w:rPr>
                <w:rFonts w:ascii="Arial" w:cs="Arial" w:eastAsia="Arial" w:hAnsi="Arial"/>
                <w:sz w:val="18"/>
                <w:szCs w:val="18"/>
                <w:color w:val="auto"/>
                <w:w w:val="96"/>
              </w:rPr>
              <w:t>Level 2</w:t>
            </w:r>
          </w:p>
        </w:tc>
        <w:tc>
          <w:tcPr>
            <w:tcW w:w="140" w:type="dxa"/>
            <w:vAlign w:val="bottom"/>
            <w:tcBorders>
              <w:right w:val="single" w:sz="8" w:color="CFF0FC"/>
            </w:tcBorders>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9,526</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(96 )</w:t>
            </w:r>
          </w:p>
        </w:tc>
        <w:tc>
          <w:tcPr>
            <w:tcW w:w="160" w:type="dxa"/>
            <w:vAlign w:val="bottom"/>
            <w:shd w:val="clear" w:color="auto" w:fill="CFF0FC"/>
          </w:tcPr>
          <w:p>
            <w:pPr>
              <w:spacing w:after="0"/>
              <w:rPr>
                <w:sz w:val="17"/>
                <w:szCs w:val="17"/>
                <w:color w:val="auto"/>
              </w:rPr>
            </w:pPr>
          </w:p>
        </w:tc>
        <w:tc>
          <w:tcPr>
            <w:tcW w:w="116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9,430</w:t>
            </w:r>
          </w:p>
        </w:tc>
        <w:tc>
          <w:tcPr>
            <w:tcW w:w="0" w:type="dxa"/>
            <w:vAlign w:val="bottom"/>
          </w:tcPr>
          <w:p>
            <w:pPr>
              <w:spacing w:after="0"/>
              <w:rPr>
                <w:sz w:val="1"/>
                <w:szCs w:val="1"/>
                <w:color w:val="auto"/>
              </w:rPr>
            </w:pPr>
          </w:p>
        </w:tc>
      </w:tr>
      <w:tr>
        <w:trPr>
          <w:trHeight w:val="20"/>
        </w:trPr>
        <w:tc>
          <w:tcPr>
            <w:tcW w:w="400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332,818</w:t>
            </w:r>
          </w:p>
        </w:tc>
        <w:tc>
          <w:tcPr>
            <w:tcW w:w="220" w:type="dxa"/>
            <w:vAlign w:val="bottom"/>
          </w:tcPr>
          <w:p>
            <w:pPr>
              <w:spacing w:after="0"/>
              <w:rPr>
                <w:sz w:val="17"/>
                <w:szCs w:val="17"/>
                <w:color w:val="auto"/>
              </w:rPr>
            </w:pP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(611 )</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332,212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0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8"/>
              </w:rPr>
              <w:t>December 31, 2021</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1320" w:type="dxa"/>
            <w:vAlign w:val="bottom"/>
            <w:gridSpan w:val="2"/>
          </w:tcPr>
          <w:p>
            <w:pPr>
              <w:jc w:val="center"/>
              <w:ind w:right="40"/>
              <w:spacing w:after="0" w:line="156" w:lineRule="exact"/>
              <w:rPr>
                <w:sz w:val="20"/>
                <w:szCs w:val="20"/>
                <w:color w:val="auto"/>
              </w:rPr>
            </w:pPr>
            <w:r>
              <w:rPr>
                <w:rFonts w:ascii="Arial" w:cs="Arial" w:eastAsia="Arial" w:hAnsi="Arial"/>
                <w:sz w:val="18"/>
                <w:szCs w:val="18"/>
                <w:b w:val="1"/>
                <w:bCs w:val="1"/>
                <w:color w:val="auto"/>
                <w:w w:val="92"/>
              </w:rPr>
              <w:t>Fair Value</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jc w:val="center"/>
              <w:ind w:right="400"/>
              <w:spacing w:after="0"/>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3"/>
                <w:szCs w:val="13"/>
                <w:color w:val="auto"/>
              </w:rPr>
            </w:pP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320" w:type="dxa"/>
            <w:vAlign w:val="bottom"/>
            <w:gridSpan w:val="2"/>
          </w:tcPr>
          <w:p>
            <w:pPr>
              <w:jc w:val="center"/>
              <w:ind w:right="20"/>
              <w:spacing w:after="0" w:line="176" w:lineRule="exact"/>
              <w:rPr>
                <w:sz w:val="20"/>
                <w:szCs w:val="20"/>
                <w:color w:val="auto"/>
              </w:rPr>
            </w:pPr>
            <w:r>
              <w:rPr>
                <w:rFonts w:ascii="Arial" w:cs="Arial" w:eastAsia="Arial" w:hAnsi="Arial"/>
                <w:sz w:val="18"/>
                <w:szCs w:val="18"/>
                <w:b w:val="1"/>
                <w:bCs w:val="1"/>
                <w:color w:val="auto"/>
                <w:w w:val="93"/>
              </w:rPr>
              <w:t>Hierarchy</w:t>
            </w:r>
          </w:p>
        </w:tc>
        <w:tc>
          <w:tcPr>
            <w:tcW w:w="140" w:type="dxa"/>
            <w:vAlign w:val="bottom"/>
          </w:tcPr>
          <w:p>
            <w:pPr>
              <w:spacing w:after="0"/>
              <w:rPr>
                <w:sz w:val="15"/>
                <w:szCs w:val="15"/>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Level</w:t>
            </w: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6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Money market funds</w:t>
            </w:r>
          </w:p>
        </w:tc>
        <w:tc>
          <w:tcPr>
            <w:tcW w:w="130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2"/>
              </w:rPr>
              <w:t>Level 1</w:t>
            </w:r>
          </w:p>
        </w:tc>
        <w:tc>
          <w:tcPr>
            <w:tcW w:w="20" w:type="dxa"/>
            <w:vAlign w:val="bottom"/>
            <w:shd w:val="clear" w:color="auto" w:fill="CFF0FC"/>
          </w:tcPr>
          <w:p>
            <w:pPr>
              <w:spacing w:after="0"/>
              <w:rPr>
                <w:sz w:val="17"/>
                <w:szCs w:val="17"/>
                <w:color w:val="auto"/>
              </w:rPr>
            </w:pPr>
          </w:p>
        </w:tc>
        <w:tc>
          <w:tcPr>
            <w:tcW w:w="140" w:type="dxa"/>
            <w:vAlign w:val="bottom"/>
            <w:tcBorders>
              <w:right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357,181</w:t>
            </w: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357,181</w:t>
            </w:r>
          </w:p>
        </w:tc>
        <w:tc>
          <w:tcPr>
            <w:tcW w:w="0" w:type="dxa"/>
            <w:vAlign w:val="bottom"/>
          </w:tcPr>
          <w:p>
            <w:pPr>
              <w:spacing w:after="0"/>
              <w:rPr>
                <w:sz w:val="1"/>
                <w:szCs w:val="1"/>
                <w:color w:val="auto"/>
              </w:rPr>
            </w:pPr>
          </w:p>
        </w:tc>
      </w:tr>
      <w:tr>
        <w:trPr>
          <w:trHeight w:val="419"/>
        </w:trPr>
        <w:tc>
          <w:tcPr>
            <w:tcW w:w="4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0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-1316355</wp:posOffset>
            </wp:positionV>
            <wp:extent cx="5143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-1316355</wp:posOffset>
            </wp:positionV>
            <wp:extent cx="431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-1316355</wp:posOffset>
            </wp:positionV>
            <wp:extent cx="6032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-1316355</wp:posOffset>
            </wp:positionV>
            <wp:extent cx="431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 w:name="page13"/>
    <w:bookmarkEnd w:id="12"/>
    <w:p>
      <w:pPr>
        <w:ind w:right="80" w:firstLine="509"/>
        <w:spacing w:after="0" w:line="261" w:lineRule="auto"/>
        <w:rPr>
          <w:sz w:val="20"/>
          <w:szCs w:val="20"/>
          <w:color w:val="auto"/>
        </w:rPr>
      </w:pPr>
      <w:r>
        <w:rPr>
          <w:rFonts w:ascii="Arial" w:cs="Arial" w:eastAsia="Arial" w:hAnsi="Arial"/>
          <w:sz w:val="18"/>
          <w:szCs w:val="18"/>
          <w:color w:val="auto"/>
        </w:rPr>
        <w:t>The fair value of cash equivalents and available-for-sale investments by classification included in the condensed consolidated balance sheets was as follows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17"/>
                <w:szCs w:val="17"/>
                <w:color w:val="auto"/>
              </w:rPr>
            </w:pPr>
          </w:p>
        </w:tc>
      </w:tr>
      <w:tr>
        <w:trPr>
          <w:trHeight w:val="221"/>
        </w:trPr>
        <w:tc>
          <w:tcPr>
            <w:tcW w:w="6680" w:type="dxa"/>
            <w:vAlign w:val="bottom"/>
          </w:tcPr>
          <w:p>
            <w:pPr>
              <w:spacing w:after="0"/>
              <w:rPr>
                <w:sz w:val="19"/>
                <w:szCs w:val="19"/>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r>
      <w:tr>
        <w:trPr>
          <w:trHeight w:val="196"/>
        </w:trPr>
        <w:tc>
          <w:tcPr>
            <w:tcW w:w="6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480" w:type="dxa"/>
            <w:vAlign w:val="bottom"/>
            <w:shd w:val="clear" w:color="auto" w:fill="CFF0FC"/>
          </w:tcPr>
          <w:p>
            <w:pPr>
              <w:jc w:val="right"/>
              <w:ind w:right="12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149,593</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357,181</w:t>
            </w:r>
          </w:p>
        </w:tc>
        <w:tc>
          <w:tcPr>
            <w:tcW w:w="60" w:type="dxa"/>
            <w:vAlign w:val="bottom"/>
            <w:shd w:val="clear" w:color="auto" w:fill="CFF0FC"/>
          </w:tcPr>
          <w:p>
            <w:pPr>
              <w:spacing w:after="0"/>
              <w:rPr>
                <w:sz w:val="17"/>
                <w:szCs w:val="17"/>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Short-term investments</w:t>
            </w:r>
          </w:p>
        </w:tc>
        <w:tc>
          <w:tcPr>
            <w:tcW w:w="14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89"/>
              </w:rPr>
              <w:t>157,510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investments</w:t>
            </w:r>
          </w:p>
        </w:tc>
        <w:tc>
          <w:tcPr>
            <w:tcW w:w="14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25,109</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66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480" w:type="dxa"/>
            <w:vAlign w:val="bottom"/>
          </w:tcPr>
          <w:p>
            <w:pPr>
              <w:jc w:val="right"/>
              <w:ind w:right="12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89"/>
              </w:rPr>
              <w:t>332,212</w:t>
            </w:r>
          </w:p>
        </w:tc>
        <w:tc>
          <w:tcPr>
            <w:tcW w:w="62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780" w:type="dxa"/>
            <w:vAlign w:val="bottom"/>
          </w:tcPr>
          <w:p>
            <w:pPr>
              <w:jc w:val="right"/>
              <w:spacing w:after="0" w:line="196" w:lineRule="exact"/>
              <w:rPr>
                <w:sz w:val="20"/>
                <w:szCs w:val="20"/>
                <w:color w:val="auto"/>
              </w:rPr>
            </w:pPr>
            <w:r>
              <w:rPr>
                <w:rFonts w:ascii="Arial" w:cs="Arial" w:eastAsia="Arial" w:hAnsi="Arial"/>
                <w:sz w:val="18"/>
                <w:szCs w:val="18"/>
                <w:color w:val="auto"/>
              </w:rPr>
              <w:t>357,181</w:t>
            </w:r>
          </w:p>
        </w:tc>
        <w:tc>
          <w:tcPr>
            <w:tcW w:w="60" w:type="dxa"/>
            <w:vAlign w:val="bottom"/>
          </w:tcPr>
          <w:p>
            <w:pPr>
              <w:spacing w:after="0"/>
              <w:rPr>
                <w:sz w:val="17"/>
                <w:szCs w:val="17"/>
                <w:color w:val="auto"/>
              </w:rPr>
            </w:pPr>
          </w:p>
        </w:tc>
      </w:tr>
      <w:tr>
        <w:trPr>
          <w:trHeight w:val="20"/>
        </w:trPr>
        <w:tc>
          <w:tcPr>
            <w:tcW w:w="66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-159385</wp:posOffset>
            </wp:positionV>
            <wp:extent cx="431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74"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Cash and cash equivalents in the above table excludes bank account cash of $9.5 million and $6.5 million as of March 31, 2022 and December 31, 2021, respectively.</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cash equivalents and available-for-sale investments by contractual maturity was as follows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c>
          <w:tcPr>
            <w:tcW w:w="60" w:type="dxa"/>
            <w:vAlign w:val="bottom"/>
          </w:tcPr>
          <w:p>
            <w:pPr>
              <w:spacing w:after="0"/>
              <w:rPr>
                <w:sz w:val="17"/>
                <w:szCs w:val="17"/>
                <w:color w:val="auto"/>
              </w:rPr>
            </w:pPr>
          </w:p>
        </w:tc>
      </w:tr>
      <w:tr>
        <w:trPr>
          <w:trHeight w:val="221"/>
        </w:trPr>
        <w:tc>
          <w:tcPr>
            <w:tcW w:w="6680" w:type="dxa"/>
            <w:vAlign w:val="bottom"/>
          </w:tcPr>
          <w:p>
            <w:pPr>
              <w:spacing w:after="0"/>
              <w:rPr>
                <w:sz w:val="19"/>
                <w:szCs w:val="19"/>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r>
      <w:tr>
        <w:trPr>
          <w:trHeight w:val="196"/>
        </w:trPr>
        <w:tc>
          <w:tcPr>
            <w:tcW w:w="6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Maturing in one year or less</w:t>
            </w:r>
          </w:p>
        </w:tc>
        <w:tc>
          <w:tcPr>
            <w:tcW w:w="1480" w:type="dxa"/>
            <w:vAlign w:val="bottom"/>
            <w:shd w:val="clear" w:color="auto" w:fill="CFF0FC"/>
          </w:tcPr>
          <w:p>
            <w:pPr>
              <w:jc w:val="right"/>
              <w:ind w:right="12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307,103</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357,181</w:t>
            </w:r>
          </w:p>
        </w:tc>
        <w:tc>
          <w:tcPr>
            <w:tcW w:w="60" w:type="dxa"/>
            <w:vAlign w:val="bottom"/>
            <w:shd w:val="clear" w:color="auto" w:fill="CFF0FC"/>
          </w:tcPr>
          <w:p>
            <w:pPr>
              <w:spacing w:after="0"/>
              <w:rPr>
                <w:sz w:val="17"/>
                <w:szCs w:val="17"/>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Maturing after one year through two years</w:t>
            </w:r>
          </w:p>
        </w:tc>
        <w:tc>
          <w:tcPr>
            <w:tcW w:w="1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25,109</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6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FF0FC"/>
          </w:tcPr>
          <w:p>
            <w:pPr>
              <w:jc w:val="right"/>
              <w:ind w:right="12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9"/>
              </w:rPr>
              <w:t>332,212</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357,181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-25400</wp:posOffset>
            </wp:positionV>
            <wp:extent cx="431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431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spacing w:after="0" w:line="74"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There were no transfers of financial instruments between the fair value measurement levels during the three months ended March 31, 2022 and there were no financial instruments classified as Level 3 as of March 31, 2022.</w:t>
      </w:r>
    </w:p>
    <w:p>
      <w:pPr>
        <w:spacing w:after="0" w:line="63"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As of March 31, 2022, accrued interest receivable related to the Company's investments was $0.6 million and was included in prepaid expenses and other current assets on the condensed consolidated balance sheet.</w:t>
      </w:r>
    </w:p>
    <w:p>
      <w:pPr>
        <w:spacing w:after="0" w:line="6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As of March 31, 2022, the unrealized losses for available-for-sale investments were non-credit related and the Company does not intend to sell the investments that were in an unrealized loss position, nor will it be required to sell those investments before recovery of their amortized costs basis, which may be maturity. As of March 31, 2022, no allowance for credit losses for the Company's investments was recorded. During the three months ended March 31, 2022, the Company did not recognize any impairment losses related to investments.</w:t>
      </w:r>
    </w:p>
    <w:p>
      <w:pPr>
        <w:spacing w:after="0" w:line="292" w:lineRule="exact"/>
        <w:rPr>
          <w:sz w:val="20"/>
          <w:szCs w:val="20"/>
          <w:color w:val="auto"/>
        </w:rPr>
      </w:pPr>
    </w:p>
    <w:p>
      <w:pPr>
        <w:ind w:left="520" w:right="8120" w:hanging="512"/>
        <w:spacing w:after="0" w:line="383" w:lineRule="auto"/>
        <w:tabs>
          <w:tab w:leader="none" w:pos="266"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 Net</w:t>
      </w:r>
    </w:p>
    <w:p>
      <w:pPr>
        <w:spacing w:after="0" w:line="1" w:lineRule="exact"/>
        <w:rPr>
          <w:rFonts w:ascii="Arial" w:cs="Arial" w:eastAsia="Arial" w:hAnsi="Arial"/>
          <w:sz w:val="17"/>
          <w:szCs w:val="17"/>
          <w:b w:val="1"/>
          <w:bCs w:val="1"/>
          <w:color w:val="auto"/>
        </w:rPr>
      </w:pPr>
    </w:p>
    <w:p>
      <w:pPr>
        <w:ind w:left="52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presents the components of property and equipment, net as of March 31, 2022 and December 31, 2021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21"/>
        </w:trPr>
        <w:tc>
          <w:tcPr>
            <w:tcW w:w="7620" w:type="dxa"/>
            <w:vAlign w:val="bottom"/>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Laboratory equipment</w:t>
            </w:r>
          </w:p>
        </w:tc>
        <w:tc>
          <w:tcPr>
            <w:tcW w:w="1220" w:type="dxa"/>
            <w:vAlign w:val="bottom"/>
            <w:shd w:val="clear" w:color="auto" w:fill="CFF0FC"/>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789</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324</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Computer hardware and software</w:t>
            </w:r>
          </w:p>
        </w:tc>
        <w:tc>
          <w:tcPr>
            <w:tcW w:w="12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275</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100" w:type="dxa"/>
            <w:vAlign w:val="bottom"/>
          </w:tcPr>
          <w:p>
            <w:pPr>
              <w:spacing w:after="0"/>
              <w:rPr>
                <w:sz w:val="17"/>
                <w:szCs w:val="17"/>
                <w:color w:val="auto"/>
              </w:rPr>
            </w:pP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2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w:t>
            </w:r>
          </w:p>
        </w:tc>
        <w:tc>
          <w:tcPr>
            <w:tcW w:w="100" w:type="dxa"/>
            <w:vAlign w:val="bottom"/>
          </w:tcPr>
          <w:p>
            <w:pPr>
              <w:spacing w:after="0"/>
              <w:rPr>
                <w:sz w:val="17"/>
                <w:szCs w:val="17"/>
                <w:color w:val="auto"/>
              </w:rPr>
            </w:pPr>
          </w:p>
        </w:tc>
      </w:tr>
      <w:tr>
        <w:trPr>
          <w:trHeight w:val="196"/>
        </w:trPr>
        <w:tc>
          <w:tcPr>
            <w:tcW w:w="76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Property and equipment, gross</w:t>
            </w:r>
          </w:p>
        </w:tc>
        <w:tc>
          <w:tcPr>
            <w:tcW w:w="12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1,459</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960</w:t>
            </w: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22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(121 )</w:t>
            </w:r>
          </w:p>
        </w:tc>
        <w:tc>
          <w:tcPr>
            <w:tcW w:w="20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(63 )</w:t>
            </w:r>
          </w:p>
        </w:tc>
      </w:tr>
      <w:tr>
        <w:trPr>
          <w:trHeight w:val="236"/>
        </w:trPr>
        <w:tc>
          <w:tcPr>
            <w:tcW w:w="76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Property and equipment, net</w:t>
            </w:r>
          </w:p>
        </w:tc>
        <w:tc>
          <w:tcPr>
            <w:tcW w:w="1220" w:type="dxa"/>
            <w:vAlign w:val="bottom"/>
            <w:tcBorders>
              <w:top w:val="single" w:sz="8" w:color="auto"/>
              <w:bottom w:val="single" w:sz="8" w:color="auto"/>
            </w:tcBorders>
            <w:shd w:val="clear" w:color="auto" w:fill="CFF0FC"/>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1,338</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03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and amortization expense was nominal for the three months ended March 31, 2022 and 2021.</w:t>
      </w:r>
    </w:p>
    <w:p>
      <w:pPr>
        <w:spacing w:after="0" w:line="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0"/>
        </w:trPr>
        <w:tc>
          <w:tcPr>
            <w:tcW w:w="764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Other Assets</w:t>
            </w: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1"/>
        </w:trPr>
        <w:tc>
          <w:tcPr>
            <w:tcW w:w="9540" w:type="dxa"/>
            <w:vAlign w:val="bottom"/>
            <w:gridSpan w:val="4"/>
          </w:tcPr>
          <w:p>
            <w:pPr>
              <w:ind w:left="520"/>
              <w:spacing w:after="0"/>
              <w:rPr>
                <w:sz w:val="20"/>
                <w:szCs w:val="20"/>
                <w:color w:val="auto"/>
              </w:rPr>
            </w:pPr>
            <w:r>
              <w:rPr>
                <w:rFonts w:ascii="Arial" w:cs="Arial" w:eastAsia="Arial" w:hAnsi="Arial"/>
                <w:sz w:val="18"/>
                <w:szCs w:val="18"/>
                <w:color w:val="auto"/>
                <w:w w:val="92"/>
              </w:rPr>
              <w:t>The following table presents the components of other assets as of March 31, 2022 and December 31, 2021 (in thousands):</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79"/>
        </w:trPr>
        <w:tc>
          <w:tcPr>
            <w:tcW w:w="7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60" w:type="dxa"/>
            <w:vAlign w:val="bottom"/>
          </w:tcPr>
          <w:p>
            <w:pPr>
              <w:spacing w:after="0"/>
              <w:rPr>
                <w:sz w:val="24"/>
                <w:szCs w:val="24"/>
                <w:color w:val="auto"/>
              </w:rPr>
            </w:pPr>
          </w:p>
        </w:tc>
      </w:tr>
      <w:tr>
        <w:trPr>
          <w:trHeight w:val="221"/>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Long-term prepaid clinical expenses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7,011</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6,694</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Long-term prepaid contract manufacturing costs</w:t>
            </w:r>
          </w:p>
        </w:tc>
        <w:tc>
          <w:tcPr>
            <w:tcW w:w="2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2,854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2,854</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4,995</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1,829</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Finance lease right-of-use assets</w:t>
            </w:r>
          </w:p>
        </w:tc>
        <w:tc>
          <w:tcPr>
            <w:tcW w:w="26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634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Deposits</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15,704</w:t>
            </w:r>
          </w:p>
        </w:tc>
        <w:tc>
          <w:tcPr>
            <w:tcW w:w="2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12,267</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51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04"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 following table presents the components of accrued expenses and other current liabilities as of March 31, 2022 and December 31, 2021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December 31,</w:t>
            </w:r>
          </w:p>
        </w:tc>
        <w:tc>
          <w:tcPr>
            <w:tcW w:w="60" w:type="dxa"/>
            <w:vAlign w:val="bottom"/>
          </w:tcPr>
          <w:p>
            <w:pPr>
              <w:spacing w:after="0"/>
              <w:rPr>
                <w:sz w:val="17"/>
                <w:szCs w:val="17"/>
                <w:color w:val="auto"/>
              </w:rPr>
            </w:pPr>
          </w:p>
        </w:tc>
      </w:tr>
      <w:tr>
        <w:trPr>
          <w:trHeight w:val="221"/>
        </w:trPr>
        <w:tc>
          <w:tcPr>
            <w:tcW w:w="7640" w:type="dxa"/>
            <w:vAlign w:val="bottom"/>
          </w:tcPr>
          <w:p>
            <w:pPr>
              <w:spacing w:after="0"/>
              <w:rPr>
                <w:sz w:val="19"/>
                <w:szCs w:val="19"/>
                <w:color w:val="auto"/>
              </w:rPr>
            </w:pP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clinical and nonclinical study costs</w:t>
            </w:r>
          </w:p>
        </w:tc>
        <w:tc>
          <w:tcPr>
            <w:tcW w:w="1220" w:type="dxa"/>
            <w:vAlign w:val="bottom"/>
            <w:shd w:val="clear" w:color="auto" w:fill="CFF0FC"/>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4,026</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4,125</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Accrued compensation and related expenses</w:t>
            </w:r>
          </w:p>
        </w:tc>
        <w:tc>
          <w:tcPr>
            <w:tcW w:w="12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4"/>
              </w:rPr>
              <w:t>2,372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3,294</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12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455</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790</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Accrued contract manufacturing</w:t>
            </w:r>
          </w:p>
        </w:tc>
        <w:tc>
          <w:tcPr>
            <w:tcW w:w="12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460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693</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Finance lease liabilities, current</w:t>
            </w:r>
          </w:p>
        </w:tc>
        <w:tc>
          <w:tcPr>
            <w:tcW w:w="12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429</w:t>
            </w: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429</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current</w:t>
            </w:r>
          </w:p>
        </w:tc>
        <w:tc>
          <w:tcPr>
            <w:tcW w:w="12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596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313</w:t>
            </w:r>
          </w:p>
        </w:tc>
        <w:tc>
          <w:tcPr>
            <w:tcW w:w="60" w:type="dxa"/>
            <w:vAlign w:val="bottom"/>
          </w:tcPr>
          <w:p>
            <w:pPr>
              <w:spacing w:after="0"/>
              <w:rPr>
                <w:sz w:val="17"/>
                <w:szCs w:val="17"/>
                <w:color w:val="auto"/>
              </w:rPr>
            </w:pPr>
          </w:p>
        </w:tc>
      </w:tr>
      <w:tr>
        <w:trPr>
          <w:trHeight w:val="203"/>
        </w:trPr>
        <w:tc>
          <w:tcPr>
            <w:tcW w:w="7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391</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257</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40" w:type="dxa"/>
            <w:vAlign w:val="bottom"/>
          </w:tcPr>
          <w:p>
            <w:pPr>
              <w:ind w:left="200"/>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1220" w:type="dxa"/>
            <w:vAlign w:val="bottom"/>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84"/>
              </w:rPr>
              <w:t>8,729</w:t>
            </w:r>
          </w:p>
        </w:tc>
        <w:tc>
          <w:tcPr>
            <w:tcW w:w="46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9,901</w:t>
            </w:r>
          </w:p>
        </w:tc>
        <w:tc>
          <w:tcPr>
            <w:tcW w:w="60" w:type="dxa"/>
            <w:vAlign w:val="bottom"/>
          </w:tcPr>
          <w:p>
            <w:pPr>
              <w:spacing w:after="0"/>
              <w:rPr>
                <w:sz w:val="17"/>
                <w:szCs w:val="17"/>
                <w:color w:val="auto"/>
              </w:rPr>
            </w:pPr>
          </w:p>
        </w:tc>
      </w:tr>
      <w:tr>
        <w:trPr>
          <w:trHeight w:val="20"/>
        </w:trPr>
        <w:tc>
          <w:tcPr>
            <w:tcW w:w="76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-159385</wp:posOffset>
            </wp:positionV>
            <wp:extent cx="514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108"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In conjunction with the adoption of ASC 842, the Company evaluated its vendor contracts to identify embedded leases, if any, and noted that a pharmaceutical support services agreement entered into in May 2016 included leases under ASC 842 because the Company has the right to direct the use of certain equipment. The embedded leases commenced in September 2020 and expire in August 2023 with no stated option to extend the term. The Company classified the leases as finance leases.</w:t>
      </w:r>
    </w:p>
    <w:p>
      <w:pPr>
        <w:spacing w:after="0" w:line="80"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 May 2021, the Company entered into a lease agreement for approximately 10,000 square feet of office space located in South San Francisco, California. The lease commenced on June 6, 2021 and expires on August 31, 2026. The lease does not provide an option to extend after it expires. The total lease payments for the life of the lease is approximately $2.0 million. The Company classified the lease as an operating lease.</w:t>
      </w:r>
    </w:p>
    <w:p>
      <w:pPr>
        <w:spacing w:after="0" w:line="56" w:lineRule="exact"/>
        <w:rPr>
          <w:sz w:val="20"/>
          <w:szCs w:val="20"/>
          <w:color w:val="auto"/>
        </w:rPr>
      </w:pPr>
    </w:p>
    <w:p>
      <w:pPr>
        <w:ind w:right="60" w:firstLine="509"/>
        <w:spacing w:after="0" w:line="250" w:lineRule="auto"/>
        <w:rPr>
          <w:sz w:val="20"/>
          <w:szCs w:val="20"/>
          <w:color w:val="auto"/>
        </w:rPr>
      </w:pPr>
      <w:r>
        <w:rPr>
          <w:rFonts w:ascii="Arial" w:cs="Arial" w:eastAsia="Arial" w:hAnsi="Arial"/>
          <w:sz w:val="17"/>
          <w:szCs w:val="17"/>
          <w:color w:val="auto"/>
        </w:rPr>
        <w:t>In February 2022, the Company entered into a lease agreement totaling approximately 11,074 square feet of office and laboratory space located in Palo Alto, California. The lease consists of two premises and expires in February 2030. The lease provides for an option to extend for two years after expiration. The lease for one premise commenced in February 2022 and the second premise commenced in April 2022. The lease provides for an annual base rent of approximately $0.8 million, which increases on an annual basis by 3%. The total lease payments for the life of the lease is approximately $7.0 million. The Company is also responsible for leasehold improvement costs related to the second premise, which are expected to be approximately $2.0 million, of which $1.5 million is to be paid with interest at a rate of 7% per annum as additional payments over the life of the lease. The Company classified the lease as an operating lease. The Company has not recognized a right-of-use asset or aggregate lease liability related to the second premise as of March 31, 2022 for the minimum rental payments as the Company did not control the underlying assets at any time in the period ended March 31, 2022. Under the terms of the lease agreement, the Company issued a letter of credit to the landlord in the amount of $0.1 million, which is collateralized by a restricted cash deposit of $0.1 million (see Note 4 "Other assets").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4" w:name="page15"/>
    <w:bookmarkEnd w:id="14"/>
    <w:p>
      <w:pPr>
        <w:ind w:right="820" w:firstLine="509"/>
        <w:spacing w:after="0" w:line="261" w:lineRule="auto"/>
        <w:rPr>
          <w:sz w:val="20"/>
          <w:szCs w:val="20"/>
          <w:color w:val="auto"/>
        </w:rPr>
      </w:pPr>
      <w:r>
        <w:rPr>
          <w:rFonts w:ascii="Arial" w:cs="Arial" w:eastAsia="Arial" w:hAnsi="Arial"/>
          <w:sz w:val="18"/>
          <w:szCs w:val="18"/>
          <w:color w:val="auto"/>
        </w:rPr>
        <w:t>As of March 31, 2022, the right-of-use asset, or ROU, recorded for operating leases and finance leases was $5.0 million and $0.6 million, respectively. These amounts were included in other assets on the condensed consolidated balance sheets.</w:t>
      </w:r>
    </w:p>
    <w:p>
      <w:pPr>
        <w:spacing w:after="0" w:line="90" w:lineRule="exact"/>
        <w:rPr>
          <w:sz w:val="20"/>
          <w:szCs w:val="20"/>
          <w:color w:val="auto"/>
        </w:rPr>
      </w:pPr>
    </w:p>
    <w:p>
      <w:pPr>
        <w:ind w:right="180" w:firstLine="563"/>
        <w:spacing w:after="0" w:line="277" w:lineRule="auto"/>
        <w:rPr>
          <w:sz w:val="20"/>
          <w:szCs w:val="20"/>
          <w:color w:val="auto"/>
        </w:rPr>
      </w:pPr>
      <w:r>
        <w:rPr>
          <w:rFonts w:ascii="Arial" w:cs="Arial" w:eastAsia="Arial" w:hAnsi="Arial"/>
          <w:sz w:val="18"/>
          <w:szCs w:val="18"/>
          <w:color w:val="auto"/>
        </w:rPr>
        <w:t>The following table presents the maturities and balance sheet information of the Company's operating and finance lease liabilities as of March 31, 2022 (in thousands, except lease term and discount rate):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8"/>
                <w:szCs w:val="18"/>
                <w:b w:val="1"/>
                <w:bCs w:val="1"/>
                <w:color w:val="auto"/>
              </w:rPr>
              <w:t>March 31, 2022</w:t>
            </w:r>
          </w:p>
        </w:tc>
        <w:tc>
          <w:tcPr>
            <w:tcW w:w="260" w:type="dxa"/>
            <w:vAlign w:val="bottom"/>
          </w:tcPr>
          <w:p>
            <w:pPr>
              <w:spacing w:after="0"/>
              <w:rPr>
                <w:sz w:val="19"/>
                <w:szCs w:val="19"/>
                <w:color w:val="auto"/>
              </w:rPr>
            </w:pPr>
          </w:p>
        </w:tc>
      </w:tr>
      <w:tr>
        <w:trPr>
          <w:trHeight w:val="183"/>
        </w:trPr>
        <w:tc>
          <w:tcPr>
            <w:tcW w:w="7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6"/>
              </w:rPr>
              <w:t>Operating Leases</w:t>
            </w:r>
          </w:p>
        </w:tc>
        <w:tc>
          <w:tcPr>
            <w:tcW w:w="220" w:type="dxa"/>
            <w:vAlign w:val="bottom"/>
          </w:tcPr>
          <w:p>
            <w:pPr>
              <w:spacing w:after="0"/>
              <w:rPr>
                <w:sz w:val="15"/>
                <w:szCs w:val="15"/>
                <w:color w:val="auto"/>
              </w:rPr>
            </w:pPr>
          </w:p>
        </w:tc>
        <w:tc>
          <w:tcPr>
            <w:tcW w:w="16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Finance Leases</w:t>
            </w:r>
          </w:p>
        </w:tc>
      </w:tr>
      <w:tr>
        <w:trPr>
          <w:trHeight w:val="196"/>
        </w:trPr>
        <w:tc>
          <w:tcPr>
            <w:tcW w:w="7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 (remaining 9 months)</w:t>
            </w: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752</w:t>
            </w:r>
          </w:p>
        </w:tc>
        <w:tc>
          <w:tcPr>
            <w:tcW w:w="4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w:t>
            </w:r>
          </w:p>
        </w:tc>
        <w:tc>
          <w:tcPr>
            <w:tcW w:w="260" w:type="dxa"/>
            <w:vAlign w:val="bottom"/>
            <w:shd w:val="clear" w:color="auto" w:fill="CFF0FC"/>
          </w:tcPr>
          <w:p>
            <w:pPr>
              <w:spacing w:after="0"/>
              <w:rPr>
                <w:sz w:val="17"/>
                <w:szCs w:val="17"/>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1,013</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c>
          <w:tcPr>
            <w:tcW w:w="260" w:type="dxa"/>
            <w:vAlign w:val="bottom"/>
          </w:tcPr>
          <w:p>
            <w:pPr>
              <w:spacing w:after="0"/>
              <w:rPr>
                <w:sz w:val="17"/>
                <w:szCs w:val="17"/>
                <w:color w:val="auto"/>
              </w:rPr>
            </w:pPr>
          </w:p>
        </w:tc>
      </w:tr>
      <w:tr>
        <w:trPr>
          <w:trHeight w:val="203"/>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1,033</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1,064</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939</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2,145</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r>
      <w:tr>
        <w:trPr>
          <w:trHeight w:val="196"/>
        </w:trPr>
        <w:tc>
          <w:tcPr>
            <w:tcW w:w="7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20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6,946</w:t>
            </w:r>
          </w:p>
        </w:tc>
        <w:tc>
          <w:tcPr>
            <w:tcW w:w="4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612</w:t>
            </w:r>
          </w:p>
        </w:tc>
        <w:tc>
          <w:tcPr>
            <w:tcW w:w="260" w:type="dxa"/>
            <w:vAlign w:val="bottom"/>
            <w:shd w:val="clear" w:color="auto" w:fill="CFF0FC"/>
          </w:tcPr>
          <w:p>
            <w:pPr>
              <w:spacing w:after="0"/>
              <w:rPr>
                <w:sz w:val="17"/>
                <w:szCs w:val="17"/>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17"/>
                <w:szCs w:val="17"/>
                <w:color w:val="auto"/>
              </w:rPr>
            </w:pPr>
          </w:p>
        </w:tc>
        <w:tc>
          <w:tcPr>
            <w:tcW w:w="18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(1,730 )</w:t>
            </w:r>
          </w:p>
        </w:tc>
        <w:tc>
          <w:tcPr>
            <w:tcW w:w="220" w:type="dxa"/>
            <w:vAlign w:val="bottom"/>
          </w:tcPr>
          <w:p>
            <w:pPr>
              <w:spacing w:after="0"/>
              <w:rPr>
                <w:sz w:val="17"/>
                <w:szCs w:val="17"/>
                <w:color w:val="auto"/>
              </w:rPr>
            </w:pPr>
          </w:p>
        </w:tc>
        <w:tc>
          <w:tcPr>
            <w:tcW w:w="16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(8 )</w:t>
            </w:r>
          </w:p>
        </w:tc>
      </w:tr>
      <w:tr>
        <w:trPr>
          <w:trHeight w:val="236"/>
        </w:trPr>
        <w:tc>
          <w:tcPr>
            <w:tcW w:w="73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liabilities</w:t>
            </w: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5,216</w:t>
            </w:r>
          </w:p>
        </w:tc>
        <w:tc>
          <w:tcPr>
            <w:tcW w:w="4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604</w:t>
            </w:r>
          </w:p>
        </w:tc>
        <w:tc>
          <w:tcPr>
            <w:tcW w:w="260" w:type="dxa"/>
            <w:vAlign w:val="bottom"/>
            <w:tcBorders>
              <w:bottom w:val="single" w:sz="8" w:color="CFF0FC"/>
            </w:tcBorders>
            <w:shd w:val="clear" w:color="auto" w:fill="CFF0FC"/>
          </w:tcPr>
          <w:p>
            <w:pPr>
              <w:spacing w:after="0"/>
              <w:rPr>
                <w:sz w:val="20"/>
                <w:szCs w:val="20"/>
                <w:color w:val="auto"/>
              </w:rPr>
            </w:pPr>
          </w:p>
        </w:tc>
      </w:tr>
      <w:tr>
        <w:trPr>
          <w:trHeight w:val="183"/>
        </w:trPr>
        <w:tc>
          <w:tcPr>
            <w:tcW w:w="7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3"/>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Lease liabilities: current </w:t>
            </w:r>
            <w:r>
              <w:rPr>
                <w:rFonts w:ascii="Arial" w:cs="Arial" w:eastAsia="Arial" w:hAnsi="Arial"/>
                <w:sz w:val="23"/>
                <w:szCs w:val="23"/>
                <w:color w:val="auto"/>
                <w:vertAlign w:val="superscript"/>
              </w:rPr>
              <w:t>(i)</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620</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429</w:t>
            </w:r>
          </w:p>
        </w:tc>
        <w:tc>
          <w:tcPr>
            <w:tcW w:w="260" w:type="dxa"/>
            <w:vAlign w:val="bottom"/>
            <w:shd w:val="clear" w:color="auto" w:fill="CFF0FC"/>
          </w:tcPr>
          <w:p>
            <w:pPr>
              <w:spacing w:after="0"/>
              <w:rPr>
                <w:sz w:val="17"/>
                <w:szCs w:val="17"/>
                <w:color w:val="auto"/>
              </w:rPr>
            </w:pPr>
          </w:p>
        </w:tc>
      </w:tr>
      <w:tr>
        <w:trPr>
          <w:trHeight w:val="203"/>
        </w:trPr>
        <w:tc>
          <w:tcPr>
            <w:tcW w:w="736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Lease liabilities: non-current </w:t>
            </w:r>
            <w:r>
              <w:rPr>
                <w:rFonts w:ascii="Arial" w:cs="Arial" w:eastAsia="Arial" w:hAnsi="Arial"/>
                <w:sz w:val="23"/>
                <w:szCs w:val="23"/>
                <w:color w:val="auto"/>
                <w:vertAlign w:val="superscript"/>
              </w:rPr>
              <w:t>(ii)</w:t>
            </w:r>
          </w:p>
        </w:tc>
        <w:tc>
          <w:tcPr>
            <w:tcW w:w="2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4,596</w:t>
            </w:r>
          </w:p>
        </w:tc>
        <w:tc>
          <w:tcPr>
            <w:tcW w:w="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175</w:t>
            </w:r>
          </w:p>
        </w:tc>
        <w:tc>
          <w:tcPr>
            <w:tcW w:w="260" w:type="dxa"/>
            <w:vAlign w:val="bottom"/>
          </w:tcPr>
          <w:p>
            <w:pPr>
              <w:spacing w:after="0"/>
              <w:rPr>
                <w:sz w:val="17"/>
                <w:szCs w:val="17"/>
                <w:color w:val="auto"/>
              </w:rPr>
            </w:pPr>
          </w:p>
        </w:tc>
      </w:tr>
      <w:tr>
        <w:trPr>
          <w:trHeight w:val="236"/>
        </w:trPr>
        <w:tc>
          <w:tcPr>
            <w:tcW w:w="73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liabilities</w:t>
            </w: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5,216</w:t>
            </w:r>
          </w:p>
        </w:tc>
        <w:tc>
          <w:tcPr>
            <w:tcW w:w="4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604</w:t>
            </w:r>
          </w:p>
        </w:tc>
        <w:tc>
          <w:tcPr>
            <w:tcW w:w="260" w:type="dxa"/>
            <w:vAlign w:val="bottom"/>
            <w:tcBorders>
              <w:bottom w:val="single" w:sz="8" w:color="CFF0FC"/>
            </w:tcBorders>
            <w:shd w:val="clear" w:color="auto" w:fill="CFF0FC"/>
          </w:tcPr>
          <w:p>
            <w:pPr>
              <w:spacing w:after="0"/>
              <w:rPr>
                <w:sz w:val="20"/>
                <w:szCs w:val="20"/>
                <w:color w:val="auto"/>
              </w:rPr>
            </w:pPr>
          </w:p>
        </w:tc>
      </w:tr>
      <w:tr>
        <w:trPr>
          <w:trHeight w:val="183"/>
        </w:trPr>
        <w:tc>
          <w:tcPr>
            <w:tcW w:w="7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3"/>
        </w:trPr>
        <w:tc>
          <w:tcPr>
            <w:tcW w:w="73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7"/>
                <w:szCs w:val="17"/>
                <w:color w:val="auto"/>
              </w:rPr>
            </w:pP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00" w:type="dxa"/>
            <w:vAlign w:val="bottom"/>
          </w:tcPr>
          <w:p>
            <w:pPr>
              <w:spacing w:after="0"/>
              <w:rPr>
                <w:sz w:val="20"/>
                <w:szCs w:val="20"/>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7.8 %</w:t>
            </w:r>
          </w:p>
        </w:tc>
        <w:tc>
          <w:tcPr>
            <w:tcW w:w="22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-977265</wp:posOffset>
            </wp:positionV>
            <wp:extent cx="1631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-960120</wp:posOffset>
            </wp:positionV>
            <wp:extent cx="1631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-977265</wp:posOffset>
            </wp:positionV>
            <wp:extent cx="1631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-960120</wp:posOffset>
            </wp:positionV>
            <wp:extent cx="1631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-428625</wp:posOffset>
            </wp:positionV>
            <wp:extent cx="1631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-411480</wp:posOffset>
            </wp:positionV>
            <wp:extent cx="1631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-428625</wp:posOffset>
            </wp:positionV>
            <wp:extent cx="1631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-411480</wp:posOffset>
            </wp:positionV>
            <wp:extent cx="1631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37" w:lineRule="exact"/>
        <w:rPr>
          <w:sz w:val="20"/>
          <w:szCs w:val="20"/>
          <w:color w:val="auto"/>
        </w:rPr>
      </w:pPr>
    </w:p>
    <w:p>
      <w:pPr>
        <w:ind w:left="760" w:right="640" w:hanging="378"/>
        <w:spacing w:after="0" w:line="291" w:lineRule="auto"/>
        <w:tabs>
          <w:tab w:leader="none" w:pos="760" w:val="left"/>
        </w:tabs>
        <w:numPr>
          <w:ilvl w:val="0"/>
          <w:numId w:val="7"/>
        </w:numPr>
        <w:rPr>
          <w:rFonts w:ascii="Arial" w:cs="Arial" w:eastAsia="Arial" w:hAnsi="Arial"/>
          <w:sz w:val="15"/>
          <w:szCs w:val="15"/>
          <w:color w:val="auto"/>
        </w:rPr>
      </w:pPr>
      <w:r>
        <w:rPr>
          <w:rFonts w:ascii="Arial" w:cs="Arial" w:eastAsia="Arial" w:hAnsi="Arial"/>
          <w:sz w:val="15"/>
          <w:szCs w:val="15"/>
          <w:color w:val="auto"/>
        </w:rPr>
        <w:t>Current lease liabilities are presented within accrued expenses and other current liabilities and payable and accrued liabilities due to related party on the condensed consolidated balance sheets and includes a nominal amount due to Tallac Therapeutics, Inc. for an operating lease.</w:t>
      </w:r>
    </w:p>
    <w:p>
      <w:pPr>
        <w:spacing w:after="0" w:line="40" w:lineRule="exact"/>
        <w:rPr>
          <w:rFonts w:ascii="Arial" w:cs="Arial" w:eastAsia="Arial" w:hAnsi="Arial"/>
          <w:sz w:val="15"/>
          <w:szCs w:val="15"/>
          <w:color w:val="auto"/>
        </w:rPr>
      </w:pPr>
    </w:p>
    <w:p>
      <w:pPr>
        <w:ind w:left="760" w:hanging="378"/>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Non-current lease liabilities are presented within other non-current liabilities on the condensed consolidated balance sheets.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ind w:left="520"/>
              <w:spacing w:after="0"/>
              <w:rPr>
                <w:sz w:val="20"/>
                <w:szCs w:val="20"/>
                <w:color w:val="auto"/>
              </w:rPr>
            </w:pPr>
            <w:r>
              <w:rPr>
                <w:rFonts w:ascii="Arial" w:cs="Arial" w:eastAsia="Arial" w:hAnsi="Arial"/>
                <w:sz w:val="18"/>
                <w:szCs w:val="18"/>
                <w:color w:val="auto"/>
              </w:rPr>
              <w:t>The following table presents the components of lease costs (in thousands):</w:t>
            </w: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9"/>
        </w:trPr>
        <w:tc>
          <w:tcPr>
            <w:tcW w:w="7640" w:type="dxa"/>
            <w:vAlign w:val="bottom"/>
          </w:tcPr>
          <w:p>
            <w:pPr>
              <w:spacing w:after="0"/>
              <w:rPr>
                <w:sz w:val="24"/>
                <w:szCs w:val="24"/>
                <w:color w:val="auto"/>
              </w:rPr>
            </w:pPr>
          </w:p>
        </w:tc>
        <w:tc>
          <w:tcPr>
            <w:tcW w:w="31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1"/>
        </w:trPr>
        <w:tc>
          <w:tcPr>
            <w:tcW w:w="764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7640" w:type="dxa"/>
            <w:vAlign w:val="bottom"/>
          </w:tcPr>
          <w:p>
            <w:pPr>
              <w:spacing w:after="0"/>
              <w:rPr>
                <w:sz w:val="17"/>
                <w:szCs w:val="17"/>
                <w:color w:val="auto"/>
              </w:rPr>
            </w:pPr>
          </w:p>
        </w:tc>
        <w:tc>
          <w:tcPr>
            <w:tcW w:w="120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7"/>
                <w:szCs w:val="17"/>
                <w:color w:val="auto"/>
              </w:rPr>
            </w:pPr>
          </w:p>
        </w:tc>
        <w:tc>
          <w:tcPr>
            <w:tcW w:w="1460" w:type="dxa"/>
            <w:vAlign w:val="bottom"/>
            <w:gridSpan w:val="2"/>
          </w:tcPr>
          <w:p>
            <w:pPr>
              <w:jc w:val="right"/>
              <w:ind w:right="130"/>
              <w:spacing w:after="0" w:line="196" w:lineRule="exact"/>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7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cost</w:t>
            </w:r>
          </w:p>
        </w:tc>
        <w:tc>
          <w:tcPr>
            <w:tcW w:w="1200" w:type="dxa"/>
            <w:vAlign w:val="bottom"/>
            <w:tcBorders>
              <w:top w:val="single" w:sz="8" w:color="auto"/>
            </w:tcBorders>
            <w:shd w:val="clear" w:color="auto" w:fill="CFF0FC"/>
          </w:tcPr>
          <w:p>
            <w:pPr>
              <w:jc w:val="right"/>
              <w:ind w:right="99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249</w:t>
            </w:r>
          </w:p>
        </w:tc>
        <w:tc>
          <w:tcPr>
            <w:tcW w:w="26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jc w:val="right"/>
              <w:ind w:right="101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Variable lease cost and other, net </w:t>
            </w:r>
            <w:r>
              <w:rPr>
                <w:rFonts w:ascii="Arial" w:cs="Arial" w:eastAsia="Arial" w:hAnsi="Arial"/>
                <w:sz w:val="23"/>
                <w:szCs w:val="23"/>
                <w:color w:val="auto"/>
                <w:vertAlign w:val="superscript"/>
              </w:rPr>
              <w:t>(i)</w:t>
            </w:r>
          </w:p>
        </w:tc>
        <w:tc>
          <w:tcPr>
            <w:tcW w:w="12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lease cost</w:t>
            </w:r>
          </w:p>
        </w:tc>
        <w:tc>
          <w:tcPr>
            <w:tcW w:w="12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7"/>
                <w:szCs w:val="17"/>
                <w:color w:val="auto"/>
              </w:rPr>
            </w:pPr>
          </w:p>
        </w:tc>
      </w:tr>
      <w:tr>
        <w:trPr>
          <w:trHeight w:val="203"/>
        </w:trPr>
        <w:tc>
          <w:tcPr>
            <w:tcW w:w="7640" w:type="dxa"/>
            <w:vAlign w:val="bottom"/>
          </w:tcPr>
          <w:p>
            <w:pPr>
              <w:ind w:left="20"/>
              <w:spacing w:after="0" w:line="202" w:lineRule="exact"/>
              <w:rPr>
                <w:sz w:val="20"/>
                <w:szCs w:val="20"/>
                <w:color w:val="auto"/>
              </w:rPr>
            </w:pPr>
            <w:r>
              <w:rPr>
                <w:rFonts w:ascii="Arial" w:cs="Arial" w:eastAsia="Arial" w:hAnsi="Arial"/>
                <w:sz w:val="18"/>
                <w:szCs w:val="18"/>
                <w:color w:val="auto"/>
              </w:rPr>
              <w:t>Finance lease cost:</w:t>
            </w:r>
          </w:p>
        </w:tc>
        <w:tc>
          <w:tcPr>
            <w:tcW w:w="1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right-of-use assets</w:t>
            </w:r>
          </w:p>
        </w:tc>
        <w:tc>
          <w:tcPr>
            <w:tcW w:w="12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w:t>
            </w:r>
          </w:p>
        </w:tc>
        <w:tc>
          <w:tcPr>
            <w:tcW w:w="2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60" w:type="dxa"/>
            <w:vAlign w:val="bottom"/>
            <w:shd w:val="clear" w:color="auto" w:fill="CFF0FC"/>
          </w:tcPr>
          <w:p>
            <w:pPr>
              <w:spacing w:after="0"/>
              <w:rPr>
                <w:sz w:val="17"/>
                <w:szCs w:val="17"/>
                <w:color w:val="auto"/>
              </w:rPr>
            </w:pPr>
          </w:p>
        </w:tc>
      </w:tr>
      <w:tr>
        <w:trPr>
          <w:trHeight w:val="202"/>
        </w:trPr>
        <w:tc>
          <w:tcPr>
            <w:tcW w:w="7640" w:type="dxa"/>
            <w:vAlign w:val="bottom"/>
          </w:tcPr>
          <w:p>
            <w:pPr>
              <w:ind w:left="200"/>
              <w:spacing w:after="0" w:line="202" w:lineRule="exact"/>
              <w:rPr>
                <w:sz w:val="20"/>
                <w:szCs w:val="20"/>
                <w:color w:val="auto"/>
              </w:rPr>
            </w:pPr>
            <w:r>
              <w:rPr>
                <w:rFonts w:ascii="Arial" w:cs="Arial" w:eastAsia="Arial" w:hAnsi="Arial"/>
                <w:sz w:val="18"/>
                <w:szCs w:val="18"/>
                <w:color w:val="auto"/>
              </w:rPr>
              <w:t>Interest</w:t>
            </w:r>
          </w:p>
        </w:tc>
        <w:tc>
          <w:tcPr>
            <w:tcW w:w="12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26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r>
      <w:tr>
        <w:trPr>
          <w:trHeight w:val="236"/>
        </w:trPr>
        <w:tc>
          <w:tcPr>
            <w:tcW w:w="76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lease costs</w:t>
            </w:r>
          </w:p>
        </w:tc>
        <w:tc>
          <w:tcPr>
            <w:tcW w:w="1200" w:type="dxa"/>
            <w:vAlign w:val="bottom"/>
            <w:tcBorders>
              <w:bottom w:val="single" w:sz="8" w:color="auto"/>
            </w:tcBorders>
            <w:shd w:val="clear" w:color="auto" w:fill="CFF0FC"/>
          </w:tcPr>
          <w:p>
            <w:pPr>
              <w:jc w:val="right"/>
              <w:ind w:right="990"/>
              <w:spacing w:after="0" w:line="182"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460</w:t>
            </w:r>
          </w:p>
        </w:tc>
        <w:tc>
          <w:tcPr>
            <w:tcW w:w="26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010"/>
              <w:spacing w:after="0" w:line="182"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9" w:lineRule="exact"/>
        <w:rPr>
          <w:sz w:val="20"/>
          <w:szCs w:val="20"/>
          <w:color w:val="auto"/>
        </w:rPr>
      </w:pPr>
    </w:p>
    <w:p>
      <w:pPr>
        <w:ind w:left="760" w:right="200" w:hanging="378"/>
        <w:spacing w:after="0" w:line="243" w:lineRule="auto"/>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variable lease cost and other, net is comprised primarily of common area maintenance charges for the operating lease, which is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supplemental cash flow disclosures for cash paid for leases: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gridSpan w:val="4"/>
          </w:tcPr>
          <w:p>
            <w:pPr>
              <w:jc w:val="right"/>
              <w:ind w:right="87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8"/>
                <w:szCs w:val="18"/>
                <w:color w:val="auto"/>
              </w:rPr>
            </w:pPr>
          </w:p>
        </w:tc>
      </w:tr>
      <w:tr>
        <w:trPr>
          <w:trHeight w:val="221"/>
        </w:trPr>
        <w:tc>
          <w:tcPr>
            <w:tcW w:w="53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53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r>
      <w:tr>
        <w:trPr>
          <w:trHeight w:val="196"/>
        </w:trPr>
        <w:tc>
          <w:tcPr>
            <w:tcW w:w="5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4"/>
              </w:rPr>
              <w:t>Cash paid for amounts included in the measurement of lease liabilities:</w:t>
            </w:r>
          </w:p>
        </w:tc>
        <w:tc>
          <w:tcPr>
            <w:tcW w:w="23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5340" w:type="dxa"/>
            <w:vAlign w:val="bottom"/>
          </w:tcPr>
          <w:p>
            <w:pPr>
              <w:ind w:left="20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26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169</w:t>
            </w:r>
          </w:p>
        </w:tc>
        <w:tc>
          <w:tcPr>
            <w:tcW w:w="7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60" w:type="dxa"/>
            <w:vAlign w:val="bottom"/>
          </w:tcPr>
          <w:p>
            <w:pPr>
              <w:spacing w:after="0"/>
              <w:rPr>
                <w:sz w:val="17"/>
                <w:szCs w:val="17"/>
                <w:color w:val="auto"/>
              </w:rPr>
            </w:pPr>
          </w:p>
        </w:tc>
      </w:tr>
      <w:tr>
        <w:trPr>
          <w:trHeight w:val="203"/>
        </w:trPr>
        <w:tc>
          <w:tcPr>
            <w:tcW w:w="53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cash flows from finance leases</w:t>
            </w:r>
          </w:p>
        </w:tc>
        <w:tc>
          <w:tcPr>
            <w:tcW w:w="268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700" w:type="dxa"/>
            <w:vAlign w:val="bottom"/>
            <w:gridSpan w:val="2"/>
            <w:shd w:val="clear" w:color="auto" w:fill="CFF0FC"/>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30"/>
        </w:trPr>
        <w:tc>
          <w:tcPr>
            <w:tcW w:w="5340" w:type="dxa"/>
            <w:vAlign w:val="bottom"/>
          </w:tcPr>
          <w:p>
            <w:pPr>
              <w:ind w:left="200"/>
              <w:spacing w:after="0"/>
              <w:rPr>
                <w:sz w:val="20"/>
                <w:szCs w:val="20"/>
                <w:color w:val="auto"/>
              </w:rPr>
            </w:pPr>
            <w:r>
              <w:rPr>
                <w:rFonts w:ascii="Arial" w:cs="Arial" w:eastAsia="Arial" w:hAnsi="Arial"/>
                <w:sz w:val="18"/>
                <w:szCs w:val="18"/>
                <w:color w:val="auto"/>
              </w:rPr>
              <w:t>Financing cash flows from finance leases</w:t>
            </w:r>
          </w:p>
        </w:tc>
        <w:tc>
          <w:tcPr>
            <w:tcW w:w="2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105</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391"/>
        </w:trPr>
        <w:tc>
          <w:tcPr>
            <w:tcW w:w="5340" w:type="dxa"/>
            <w:vAlign w:val="bottom"/>
          </w:tcPr>
          <w:p>
            <w:pPr>
              <w:spacing w:after="0"/>
              <w:rPr>
                <w:sz w:val="24"/>
                <w:szCs w:val="24"/>
                <w:color w:val="auto"/>
              </w:rPr>
            </w:pPr>
          </w:p>
        </w:tc>
        <w:tc>
          <w:tcPr>
            <w:tcW w:w="2300" w:type="dxa"/>
            <w:vAlign w:val="bottom"/>
          </w:tcPr>
          <w:p>
            <w:pPr>
              <w:jc w:val="right"/>
              <w:ind w:right="183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8"/>
        </w:trPr>
        <w:tc>
          <w:tcPr>
            <w:tcW w:w="5340" w:type="dxa"/>
            <w:vAlign w:val="bottom"/>
            <w:tcBorders>
              <w:bottom w:val="single" w:sz="8" w:color="9A9A9A"/>
            </w:tcBorders>
          </w:tcPr>
          <w:p>
            <w:pPr>
              <w:spacing w:after="0"/>
              <w:rPr>
                <w:sz w:val="7"/>
                <w:szCs w:val="7"/>
                <w:color w:val="auto"/>
              </w:rPr>
            </w:pPr>
          </w:p>
        </w:tc>
        <w:tc>
          <w:tcPr>
            <w:tcW w:w="23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(6) STOCKHOLDERS’ EQUITY</w:t>
      </w:r>
    </w:p>
    <w:p>
      <w:pPr>
        <w:spacing w:after="0" w:line="108"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On July 21, 2020, the Company’s amended and restated certificate of incorporation became effective, authorizing 1,000,000,000 shares of common stock, $0.001 par value per share, and 100,000,000 shares of undesignated preferred stock, $0.001 par value per share. As of March 31, 2022 and December 31, 2021, the Company had 40,656,632 and 40,587,067 shares of common stock outstanding, respectively.</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40" w:type="dxa"/>
            <w:vAlign w:val="bottom"/>
          </w:tcPr>
          <w:p>
            <w:pPr>
              <w:ind w:left="520"/>
              <w:spacing w:after="0"/>
              <w:rPr>
                <w:sz w:val="20"/>
                <w:szCs w:val="20"/>
                <w:color w:val="auto"/>
              </w:rPr>
            </w:pPr>
            <w:r>
              <w:rPr>
                <w:rFonts w:ascii="Arial" w:cs="Arial" w:eastAsia="Arial" w:hAnsi="Arial"/>
                <w:sz w:val="18"/>
                <w:szCs w:val="18"/>
                <w:color w:val="auto"/>
              </w:rPr>
              <w:t>Common stock reserved for future issuance as of March 31, 2022 consists of the following:</w:t>
            </w:r>
          </w:p>
        </w:tc>
        <w:tc>
          <w:tcPr>
            <w:tcW w:w="2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9"/>
        </w:trPr>
        <w:tc>
          <w:tcPr>
            <w:tcW w:w="8740" w:type="dxa"/>
            <w:vAlign w:val="bottom"/>
          </w:tcPr>
          <w:p>
            <w:pPr>
              <w:spacing w:after="0"/>
              <w:rPr>
                <w:sz w:val="24"/>
                <w:szCs w:val="24"/>
                <w:color w:val="auto"/>
              </w:rPr>
            </w:pPr>
          </w:p>
        </w:tc>
        <w:tc>
          <w:tcPr>
            <w:tcW w:w="2440" w:type="dxa"/>
            <w:vAlign w:val="bottom"/>
          </w:tcPr>
          <w:p>
            <w:pPr>
              <w:jc w:val="right"/>
              <w:ind w:right="730"/>
              <w:spacing w:after="0"/>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24"/>
                <w:szCs w:val="24"/>
                <w:color w:val="auto"/>
              </w:rPr>
            </w:pPr>
          </w:p>
        </w:tc>
      </w:tr>
      <w:tr>
        <w:trPr>
          <w:trHeight w:val="221"/>
        </w:trPr>
        <w:tc>
          <w:tcPr>
            <w:tcW w:w="8740" w:type="dxa"/>
            <w:vAlign w:val="bottom"/>
          </w:tcPr>
          <w:p>
            <w:pPr>
              <w:spacing w:after="0"/>
              <w:rPr>
                <w:sz w:val="19"/>
                <w:szCs w:val="19"/>
                <w:color w:val="auto"/>
              </w:rPr>
            </w:pPr>
          </w:p>
        </w:tc>
        <w:tc>
          <w:tcPr>
            <w:tcW w:w="24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9"/>
                <w:szCs w:val="19"/>
                <w:color w:val="auto"/>
              </w:rPr>
            </w:pPr>
          </w:p>
        </w:tc>
      </w:tr>
      <w:tr>
        <w:trPr>
          <w:trHeight w:val="196"/>
        </w:trPr>
        <w:tc>
          <w:tcPr>
            <w:tcW w:w="8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 issued and outstanding</w:t>
            </w:r>
          </w:p>
        </w:tc>
        <w:tc>
          <w:tcPr>
            <w:tcW w:w="2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4,944,796</w:t>
            </w:r>
          </w:p>
        </w:tc>
        <w:tc>
          <w:tcPr>
            <w:tcW w:w="60" w:type="dxa"/>
            <w:vAlign w:val="bottom"/>
            <w:shd w:val="clear" w:color="auto" w:fill="CFF0FC"/>
          </w:tcPr>
          <w:p>
            <w:pPr>
              <w:spacing w:after="0"/>
              <w:rPr>
                <w:sz w:val="17"/>
                <w:szCs w:val="17"/>
                <w:color w:val="auto"/>
              </w:rPr>
            </w:pPr>
          </w:p>
        </w:tc>
      </w:tr>
      <w:tr>
        <w:trPr>
          <w:trHeight w:val="203"/>
        </w:trPr>
        <w:tc>
          <w:tcPr>
            <w:tcW w:w="8740" w:type="dxa"/>
            <w:vAlign w:val="bottom"/>
          </w:tcPr>
          <w:p>
            <w:pPr>
              <w:ind w:left="20"/>
              <w:spacing w:after="0" w:line="202" w:lineRule="exact"/>
              <w:rPr>
                <w:sz w:val="20"/>
                <w:szCs w:val="20"/>
                <w:color w:val="auto"/>
              </w:rPr>
            </w:pPr>
            <w:r>
              <w:rPr>
                <w:rFonts w:ascii="Arial" w:cs="Arial" w:eastAsia="Arial" w:hAnsi="Arial"/>
                <w:sz w:val="18"/>
                <w:szCs w:val="18"/>
                <w:color w:val="auto"/>
              </w:rPr>
              <w:t>Stock options authorized for future issuance</w:t>
            </w:r>
          </w:p>
        </w:tc>
        <w:tc>
          <w:tcPr>
            <w:tcW w:w="2440" w:type="dxa"/>
            <w:vAlign w:val="bottom"/>
          </w:tcPr>
          <w:p>
            <w:pPr>
              <w:jc w:val="right"/>
              <w:spacing w:after="0" w:line="202" w:lineRule="exact"/>
              <w:rPr>
                <w:sz w:val="20"/>
                <w:szCs w:val="20"/>
                <w:color w:val="auto"/>
              </w:rPr>
            </w:pPr>
            <w:r>
              <w:rPr>
                <w:rFonts w:ascii="Arial" w:cs="Arial" w:eastAsia="Arial" w:hAnsi="Arial"/>
                <w:sz w:val="18"/>
                <w:szCs w:val="18"/>
                <w:color w:val="auto"/>
              </w:rPr>
              <w:t>4,660,347</w:t>
            </w:r>
          </w:p>
        </w:tc>
        <w:tc>
          <w:tcPr>
            <w:tcW w:w="60" w:type="dxa"/>
            <w:vAlign w:val="bottom"/>
          </w:tcPr>
          <w:p>
            <w:pPr>
              <w:spacing w:after="0"/>
              <w:rPr>
                <w:sz w:val="17"/>
                <w:szCs w:val="17"/>
                <w:color w:val="auto"/>
              </w:rPr>
            </w:pPr>
          </w:p>
        </w:tc>
      </w:tr>
      <w:tr>
        <w:trPr>
          <w:trHeight w:val="203"/>
        </w:trPr>
        <w:tc>
          <w:tcPr>
            <w:tcW w:w="8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Employee Stock Purchase Plan shares authorized for future issuance</w:t>
            </w:r>
          </w:p>
        </w:tc>
        <w:tc>
          <w:tcPr>
            <w:tcW w:w="2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1,196,693</w:t>
            </w:r>
          </w:p>
        </w:tc>
        <w:tc>
          <w:tcPr>
            <w:tcW w:w="60" w:type="dxa"/>
            <w:vAlign w:val="bottom"/>
            <w:shd w:val="clear" w:color="auto" w:fill="CFF0FC"/>
          </w:tcPr>
          <w:p>
            <w:pPr>
              <w:spacing w:after="0"/>
              <w:rPr>
                <w:sz w:val="17"/>
                <w:szCs w:val="17"/>
                <w:color w:val="auto"/>
              </w:rPr>
            </w:pPr>
          </w:p>
        </w:tc>
      </w:tr>
      <w:tr>
        <w:trPr>
          <w:trHeight w:val="203"/>
        </w:trPr>
        <w:tc>
          <w:tcPr>
            <w:tcW w:w="874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issued and outstanding</w:t>
            </w:r>
          </w:p>
        </w:tc>
        <w:tc>
          <w:tcPr>
            <w:tcW w:w="2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500,387</w:t>
            </w:r>
          </w:p>
        </w:tc>
        <w:tc>
          <w:tcPr>
            <w:tcW w:w="60" w:type="dxa"/>
            <w:vAlign w:val="bottom"/>
          </w:tcPr>
          <w:p>
            <w:pPr>
              <w:spacing w:after="0"/>
              <w:rPr>
                <w:sz w:val="17"/>
                <w:szCs w:val="17"/>
                <w:color w:val="auto"/>
              </w:rPr>
            </w:pPr>
          </w:p>
        </w:tc>
      </w:tr>
      <w:tr>
        <w:trPr>
          <w:trHeight w:val="236"/>
        </w:trPr>
        <w:tc>
          <w:tcPr>
            <w:tcW w:w="87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2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11,302,223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Amended and Restated 2020 Equity Incentive Plan</w:t>
      </w:r>
    </w:p>
    <w:p>
      <w:pPr>
        <w:spacing w:after="0" w:line="104"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The Company’s Amended and Restated 2020 Equity Incentive Plan, or the 2020 Plan, serves as the successor to the Company’s 2020 Equity Incentive Plan and provides for the granting of incentive stock options, non-statutory stock options, stock appreciation rights, restricted stock, restricted stock units, performance units and performance shares.</w:t>
      </w:r>
    </w:p>
    <w:p>
      <w:pPr>
        <w:spacing w:after="0" w:line="7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On January 1, 2022, the number of shares available under the 2020 Plan was increased by 1,623,483 shares. As of March 31, 2022, the number of shares of common stock available for issuance under the 2020 Plan was 4,660,347.</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04" w:lineRule="exact"/>
        <w:rPr>
          <w:sz w:val="20"/>
          <w:szCs w:val="20"/>
          <w:color w:val="auto"/>
        </w:rPr>
      </w:pPr>
    </w:p>
    <w:p>
      <w:pPr>
        <w:ind w:right="220" w:firstLine="479"/>
        <w:spacing w:after="0" w:line="261" w:lineRule="auto"/>
        <w:rPr>
          <w:sz w:val="20"/>
          <w:szCs w:val="20"/>
          <w:color w:val="auto"/>
        </w:rPr>
      </w:pPr>
      <w:r>
        <w:rPr>
          <w:rFonts w:ascii="Arial" w:cs="Arial" w:eastAsia="Arial" w:hAnsi="Arial"/>
          <w:sz w:val="18"/>
          <w:szCs w:val="18"/>
          <w:color w:val="auto"/>
        </w:rPr>
        <w:t>Under the Company’s 2020 Employee Stock Purchase Plan, or the ESPP, eligible employees are entitled to purchase shares of common stock with accumulated payroll deductions.</w:t>
      </w:r>
    </w:p>
    <w:p>
      <w:pPr>
        <w:spacing w:after="0" w:line="63"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On January 1, 2022, the number of shares available under the ESPP was increased by 405,871 shares. As of March 31, 2022, the number of shares of common stock available for issuance under the ESPP was 1,196,693.</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Total stock-based compensation expense recognized in the condensed consolidated statements of operations was as follows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Three Months Ended</w:t>
            </w: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p>
        </w:tc>
        <w:tc>
          <w:tcPr>
            <w:tcW w:w="44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2022</w:t>
            </w:r>
          </w:p>
        </w:tc>
        <w:tc>
          <w:tcPr>
            <w:tcW w:w="174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March 31,</w:t>
            </w:r>
          </w:p>
        </w:tc>
        <w:tc>
          <w:tcPr>
            <w:tcW w:w="1220" w:type="dxa"/>
            <w:vAlign w:val="bottom"/>
            <w:vMerge w:val="restart"/>
          </w:tcPr>
          <w:p>
            <w:pPr>
              <w:jc w:val="right"/>
              <w:ind w:right="710"/>
              <w:spacing w:after="0"/>
              <w:rPr>
                <w:sz w:val="20"/>
                <w:szCs w:val="20"/>
                <w:color w:val="auto"/>
              </w:rPr>
            </w:pPr>
            <w:r>
              <w:rPr>
                <w:rFonts w:ascii="Arial" w:cs="Arial" w:eastAsia="Arial" w:hAnsi="Arial"/>
                <w:sz w:val="18"/>
                <w:szCs w:val="18"/>
                <w:b w:val="1"/>
                <w:bCs w:val="1"/>
                <w:color w:val="auto"/>
                <w:w w:val="99"/>
              </w:rPr>
              <w:t>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4460" w:type="dxa"/>
            <w:vAlign w:val="bottom"/>
            <w:gridSpan w:val="2"/>
            <w:vMerge w:val="continue"/>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324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2,075</w:t>
            </w:r>
          </w:p>
        </w:tc>
        <w:tc>
          <w:tcPr>
            <w:tcW w:w="280" w:type="dxa"/>
            <w:vAlign w:val="bottom"/>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ind w:right="53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32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3,426</w:t>
            </w:r>
          </w:p>
        </w:tc>
        <w:tc>
          <w:tcPr>
            <w:tcW w:w="28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6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w:t>
            </w:r>
          </w:p>
        </w:tc>
        <w:tc>
          <w:tcPr>
            <w:tcW w:w="32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10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5,501</w:t>
            </w:r>
          </w:p>
        </w:tc>
        <w:tc>
          <w:tcPr>
            <w:tcW w:w="28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ind w:right="53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1,800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3760" w:type="dxa"/>
            <w:vAlign w:val="bottom"/>
          </w:tcPr>
          <w:p>
            <w:pPr>
              <w:spacing w:after="0"/>
              <w:rPr>
                <w:sz w:val="24"/>
                <w:szCs w:val="24"/>
                <w:color w:val="auto"/>
              </w:rPr>
            </w:pPr>
          </w:p>
        </w:tc>
        <w:tc>
          <w:tcPr>
            <w:tcW w:w="3240" w:type="dxa"/>
            <w:vAlign w:val="bottom"/>
          </w:tcPr>
          <w:p>
            <w:pPr>
              <w:jc w:val="right"/>
              <w:ind w:right="1190"/>
              <w:spacing w:after="0"/>
              <w:rPr>
                <w:sz w:val="20"/>
                <w:szCs w:val="20"/>
                <w:color w:val="auto"/>
              </w:rPr>
            </w:pPr>
            <w:r>
              <w:rPr>
                <w:rFonts w:ascii="Arial" w:cs="Arial" w:eastAsia="Arial" w:hAnsi="Arial"/>
                <w:sz w:val="18"/>
                <w:szCs w:val="18"/>
                <w:color w:val="auto"/>
              </w:rPr>
              <w:t>16</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760" w:type="dxa"/>
            <w:vAlign w:val="bottom"/>
            <w:tcBorders>
              <w:bottom w:val="single" w:sz="8" w:color="9A9A9A"/>
            </w:tcBorders>
          </w:tcPr>
          <w:p>
            <w:pPr>
              <w:spacing w:after="0"/>
              <w:rPr>
                <w:sz w:val="7"/>
                <w:szCs w:val="7"/>
                <w:color w:val="auto"/>
              </w:rPr>
            </w:pPr>
          </w:p>
        </w:tc>
        <w:tc>
          <w:tcPr>
            <w:tcW w:w="32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-359410</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-342265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-359410</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-342265</wp:posOffset>
            </wp:positionV>
            <wp:extent cx="431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5040" w:type="dxa"/>
            <w:vAlign w:val="bottom"/>
          </w:tcPr>
          <w:p>
            <w:pPr>
              <w:ind w:left="520"/>
              <w:spacing w:after="0"/>
              <w:rPr>
                <w:sz w:val="20"/>
                <w:szCs w:val="20"/>
                <w:color w:val="auto"/>
              </w:rPr>
            </w:pPr>
            <w:r>
              <w:rPr>
                <w:rFonts w:ascii="Arial" w:cs="Arial" w:eastAsia="Arial" w:hAnsi="Arial"/>
                <w:sz w:val="18"/>
                <w:szCs w:val="18"/>
                <w:b w:val="1"/>
                <w:bCs w:val="1"/>
                <w:i w:val="1"/>
                <w:iCs w:val="1"/>
                <w:color w:val="auto"/>
              </w:rPr>
              <w:t>Restricted Stock Units</w:t>
            </w: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100" w:type="dxa"/>
            <w:vAlign w:val="bottom"/>
            <w:gridSpan w:val="5"/>
          </w:tcPr>
          <w:p>
            <w:pPr>
              <w:ind w:left="520"/>
              <w:spacing w:after="0"/>
              <w:rPr>
                <w:sz w:val="20"/>
                <w:szCs w:val="20"/>
                <w:color w:val="auto"/>
              </w:rPr>
            </w:pPr>
            <w:r>
              <w:rPr>
                <w:rFonts w:ascii="Arial" w:cs="Arial" w:eastAsia="Arial" w:hAnsi="Arial"/>
                <w:sz w:val="18"/>
                <w:szCs w:val="18"/>
                <w:color w:val="auto"/>
              </w:rPr>
              <w:t>The following table provides a summary of restricted stock unit activity under the 2020 Plan:</w:t>
            </w: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7"/>
              </w:rPr>
              <w:t>Aggregate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66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w w:val="92"/>
              </w:rPr>
              <w:t>Number of RSUs</w:t>
            </w:r>
          </w:p>
        </w:tc>
        <w:tc>
          <w:tcPr>
            <w:tcW w:w="180" w:type="dxa"/>
            <w:vAlign w:val="bottom"/>
          </w:tcPr>
          <w:p>
            <w:pPr>
              <w:spacing w:after="0"/>
              <w:rPr>
                <w:sz w:val="15"/>
                <w:szCs w:val="15"/>
                <w:color w:val="auto"/>
              </w:rPr>
            </w:pPr>
          </w:p>
        </w:tc>
        <w:tc>
          <w:tcPr>
            <w:tcW w:w="122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5"/>
              </w:rPr>
              <w:t>Grant Date</w:t>
            </w:r>
          </w:p>
        </w:tc>
        <w:tc>
          <w:tcPr>
            <w:tcW w:w="240" w:type="dxa"/>
            <w:vAlign w:val="bottom"/>
          </w:tcPr>
          <w:p>
            <w:pPr>
              <w:spacing w:after="0"/>
              <w:rPr>
                <w:sz w:val="15"/>
                <w:szCs w:val="15"/>
                <w:color w:val="auto"/>
              </w:rPr>
            </w:pPr>
          </w:p>
        </w:tc>
        <w:tc>
          <w:tcPr>
            <w:tcW w:w="1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Contractual Life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2"/>
              </w:rPr>
              <w:t>Intrinsic Value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c>
          <w:tcPr>
            <w:tcW w:w="2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Restricted stock units as of December 31, 2021</w:t>
            </w: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15,075</w:t>
            </w: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58.56</w:t>
            </w:r>
          </w:p>
        </w:tc>
        <w:tc>
          <w:tcPr>
            <w:tcW w:w="24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6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504,200</w:t>
            </w:r>
          </w:p>
        </w:tc>
        <w:tc>
          <w:tcPr>
            <w:tcW w:w="28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15.20</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(1,888 )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58.56</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0"/>
              <w:spacing w:after="0" w:line="202" w:lineRule="exact"/>
              <w:rPr>
                <w:sz w:val="20"/>
                <w:szCs w:val="20"/>
                <w:color w:val="auto"/>
              </w:rPr>
            </w:pPr>
            <w:r>
              <w:rPr>
                <w:rFonts w:ascii="Arial" w:cs="Arial" w:eastAsia="Arial" w:hAnsi="Arial"/>
                <w:sz w:val="18"/>
                <w:szCs w:val="18"/>
                <w:color w:val="auto"/>
              </w:rPr>
              <w:t>Canceled/forfeited</w:t>
            </w:r>
          </w:p>
        </w:tc>
        <w:tc>
          <w:tcPr>
            <w:tcW w:w="1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(17,000 )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15.20</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Restricted stock units as of March 31, 2022</w:t>
            </w:r>
          </w:p>
        </w:tc>
        <w:tc>
          <w:tcPr>
            <w:tcW w:w="13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500,387</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16.34</w:t>
            </w:r>
          </w:p>
        </w:tc>
        <w:tc>
          <w:tcPr>
            <w:tcW w:w="162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2.2</w:t>
            </w:r>
          </w:p>
        </w:tc>
        <w:tc>
          <w:tcPr>
            <w:tcW w:w="1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8,457</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7980" w:firstLine="8"/>
        <w:spacing w:after="0" w:line="362" w:lineRule="auto"/>
        <w:tabs>
          <w:tab w:leader="none" w:pos="2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RELATED-PARTY TRANSACTIONS </w:t>
      </w:r>
      <w:r>
        <w:rPr>
          <w:rFonts w:ascii="Arial" w:cs="Arial" w:eastAsia="Arial" w:hAnsi="Arial"/>
          <w:sz w:val="18"/>
          <w:szCs w:val="18"/>
          <w:i w:val="1"/>
          <w:iCs w:val="1"/>
          <w:color w:val="auto"/>
        </w:rPr>
        <w:t>Tallac Service Agreement</w:t>
      </w:r>
    </w:p>
    <w:p>
      <w:pPr>
        <w:spacing w:after="0" w:line="1" w:lineRule="exact"/>
        <w:rPr>
          <w:sz w:val="20"/>
          <w:szCs w:val="20"/>
          <w:color w:val="auto"/>
        </w:rPr>
      </w:pPr>
    </w:p>
    <w:p>
      <w:pPr>
        <w:ind w:right="220" w:firstLine="509"/>
        <w:spacing w:after="0" w:line="276" w:lineRule="auto"/>
        <w:rPr>
          <w:sz w:val="20"/>
          <w:szCs w:val="20"/>
          <w:color w:val="auto"/>
        </w:rPr>
      </w:pPr>
      <w:r>
        <w:rPr>
          <w:rFonts w:ascii="Arial" w:cs="Arial" w:eastAsia="Arial" w:hAnsi="Arial"/>
          <w:sz w:val="16"/>
          <w:szCs w:val="16"/>
          <w:color w:val="auto"/>
        </w:rPr>
        <w:t>The Company entered into a research and development services agreement, or the Tallac Services Agreement, with Tallac Therapeutics, Inc., or Tallac, effective as of July 1, 2020. The Tallac Services Agreement provides that Tallac will provide certain preclinical research services to the Company for a service fee based on the costs incurred by Tallac plus a mark-up equal to 10.0% of such costs. The Tallac Services Agreement has an initial term of four years and is renewed automatically for additional one year terms thereafter. The Company records the payments for the research and development services as research and development, or R&amp;D, costs within the condensed consolidated statements of operations. During the three months ended March 31, 2022 and 2021, the Company recorded $0.2 million and $0.4 million, respectively, as R&amp;D costs in relation to the Tallac Services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Tallac Collaboration Agreement</w:t>
      </w:r>
    </w:p>
    <w:p>
      <w:pPr>
        <w:spacing w:after="0" w:line="10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On March 4, 2021, the Company entered into a collaboration agreement with Tallac, or the Tallac Collaboration Agreement, to jointly develop, manufacture, and commercialize a novel class of cancer immunotherapeutics. The collaboration builds on the Company’s expertise in developing therapies that block the CD47 checkpoint pathway and expands its immuno-oncology pipeline. The companies will leverage their respective scientific and technical expertise to advance an anti-SIRPα antibody conjugated to a Toll-like receptor 9, or TLR9, agonist for targeted activation of both the innate and adaptive immune systems. The key economic components of the collaboration transaction include that both parties will share equally (a) in the cost and expenses of research and development and (b) any profit or loss.</w:t>
      </w:r>
    </w:p>
    <w:p>
      <w:pPr>
        <w:spacing w:after="0" w:line="81"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The Company accounts for R&amp;D costs in accordance with ASC 730, Research and Development, which states R&amp;D costs must be charged to expense as incurred. Accordingly, the Company records its internal and third-party costs associated with the collaboration as R&amp;D expenses as incurred. When the Company is entitled to reimbursement of the R&amp;D expenses that it incurs under the collaboration, the Company records those reimbursable amounts as a reduction to R&amp;D expenses. The Company also records as R&amp;D expenses, the portion of Tallac’s expenses that the Company is obligated to reimburse, in the period when Tallac incurs such expenses. During the three months ended March 31, 2022 and 2021, the Company recorded $1.2 million and nominal, respectively, as R&amp;D costs in relation to the Tallac Collaboration Agreement.</w:t>
      </w:r>
    </w:p>
    <w:p>
      <w:pPr>
        <w:spacing w:after="0" w:line="67" w:lineRule="exact"/>
        <w:rPr>
          <w:sz w:val="20"/>
          <w:szCs w:val="20"/>
          <w:color w:val="auto"/>
        </w:rPr>
      </w:pPr>
    </w:p>
    <w:p>
      <w:pPr>
        <w:ind w:right="340" w:firstLine="509"/>
        <w:spacing w:after="0" w:line="243" w:lineRule="auto"/>
        <w:rPr>
          <w:sz w:val="20"/>
          <w:szCs w:val="20"/>
          <w:color w:val="auto"/>
        </w:rPr>
      </w:pPr>
      <w:r>
        <w:rPr>
          <w:rFonts w:ascii="Arial" w:cs="Arial" w:eastAsia="Arial" w:hAnsi="Arial"/>
          <w:sz w:val="18"/>
          <w:szCs w:val="18"/>
          <w:color w:val="auto"/>
        </w:rPr>
        <w:t>The Tallac Collaboration Agreement includes the right to set off clause, as such, the Company records the amount due to or reimbursable from Tallac on a net basis. As of March 31, 2022 and December 31, 2021, the Company had accrued expenses of $1.2 million and $1.4 million, respectively, related to the Tallac Collaboration Agreement which was presented within the payable and accrued liabilities due to related party on the condensed consolidated balance sheets.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sub-lease agreement with Tallac</w:t>
      </w:r>
    </w:p>
    <w:p>
      <w:pPr>
        <w:spacing w:after="0" w:line="104" w:lineRule="exact"/>
        <w:rPr>
          <w:sz w:val="20"/>
          <w:szCs w:val="20"/>
          <w:color w:val="auto"/>
        </w:rPr>
      </w:pPr>
    </w:p>
    <w:p>
      <w:pPr>
        <w:ind w:right="300" w:firstLine="509"/>
        <w:spacing w:after="0" w:line="244" w:lineRule="auto"/>
        <w:rPr>
          <w:sz w:val="20"/>
          <w:szCs w:val="20"/>
          <w:color w:val="auto"/>
        </w:rPr>
      </w:pPr>
      <w:r>
        <w:rPr>
          <w:rFonts w:ascii="Arial" w:cs="Arial" w:eastAsia="Arial" w:hAnsi="Arial"/>
          <w:sz w:val="18"/>
          <w:szCs w:val="18"/>
          <w:color w:val="auto"/>
        </w:rPr>
        <w:t>The Company leases office space in Burlingame, California under a single operating sub-lease agreement with Tallac. Refer to Note 5 Leases for additional discussion.</w:t>
      </w: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NET LOSS PER SHARE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the computation of the basic and diluted net loss per share (in thousands, except share and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40" w:type="dxa"/>
            <w:vAlign w:val="bottom"/>
            <w:gridSpan w:val="5"/>
          </w:tcPr>
          <w:p>
            <w:pPr>
              <w:jc w:val="right"/>
              <w:ind w:right="950"/>
              <w:spacing w:after="0"/>
              <w:rPr>
                <w:sz w:val="20"/>
                <w:szCs w:val="20"/>
                <w:color w:val="auto"/>
              </w:rPr>
            </w:pPr>
            <w:r>
              <w:rPr>
                <w:rFonts w:ascii="Arial" w:cs="Arial" w:eastAsia="Arial" w:hAnsi="Arial"/>
                <w:sz w:val="18"/>
                <w:szCs w:val="18"/>
                <w:b w:val="1"/>
                <w:bCs w:val="1"/>
                <w:color w:val="auto"/>
              </w:rPr>
              <w:t>Three Months Ended</w:t>
            </w:r>
          </w:p>
        </w:tc>
      </w:tr>
      <w:tr>
        <w:trPr>
          <w:trHeight w:val="221"/>
        </w:trPr>
        <w:tc>
          <w:tcPr>
            <w:tcW w:w="76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6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7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Numerator:</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Net loss</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(24,533 )</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(14,185 )</w:t>
            </w:r>
          </w:p>
        </w:tc>
      </w:tr>
      <w:tr>
        <w:trPr>
          <w:trHeight w:val="203"/>
        </w:trPr>
        <w:tc>
          <w:tcPr>
            <w:tcW w:w="7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Denominator:</w:t>
            </w:r>
          </w:p>
        </w:tc>
        <w:tc>
          <w:tcPr>
            <w:tcW w:w="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20" w:type="dxa"/>
            <w:vAlign w:val="bottom"/>
          </w:tcPr>
          <w:p>
            <w:pPr>
              <w:ind w:left="200"/>
              <w:spacing w:after="0" w:line="202" w:lineRule="exact"/>
              <w:rPr>
                <w:sz w:val="20"/>
                <w:szCs w:val="20"/>
                <w:color w:val="auto"/>
              </w:rPr>
            </w:pPr>
            <w:r>
              <w:rPr>
                <w:rFonts w:ascii="Arial" w:cs="Arial" w:eastAsia="Arial" w:hAnsi="Arial"/>
                <w:sz w:val="18"/>
                <w:szCs w:val="18"/>
                <w:color w:val="auto"/>
              </w:rPr>
              <w:t>Weighted-average shares of common stock outstanding, basic and diluted</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40,616,302</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40,055,435</w:t>
            </w:r>
          </w:p>
        </w:tc>
        <w:tc>
          <w:tcPr>
            <w:tcW w:w="100" w:type="dxa"/>
            <w:vAlign w:val="bottom"/>
          </w:tcPr>
          <w:p>
            <w:pPr>
              <w:spacing w:after="0"/>
              <w:rPr>
                <w:sz w:val="17"/>
                <w:szCs w:val="17"/>
                <w:color w:val="auto"/>
              </w:rPr>
            </w:pPr>
          </w:p>
        </w:tc>
      </w:tr>
      <w:tr>
        <w:trPr>
          <w:trHeight w:val="236"/>
        </w:trPr>
        <w:tc>
          <w:tcPr>
            <w:tcW w:w="76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(0.60</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(0.35</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-25400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7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63"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 following outstanding potentially dilutive securities were excluded from the computation of diluted net loss per share for the three months ended March 31, 2022 and 2021 because including them would have been anti-dilutive: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660" w:type="dxa"/>
            <w:vAlign w:val="bottom"/>
          </w:tcPr>
          <w:p>
            <w:pPr>
              <w:spacing w:after="0"/>
              <w:rPr>
                <w:sz w:val="19"/>
                <w:szCs w:val="19"/>
                <w:color w:val="auto"/>
              </w:rPr>
            </w:pPr>
          </w:p>
        </w:tc>
        <w:tc>
          <w:tcPr>
            <w:tcW w:w="2340" w:type="dxa"/>
            <w:vAlign w:val="bottom"/>
            <w:tcBorders>
              <w:bottom w:val="single" w:sz="8" w:color="auto"/>
            </w:tcBorders>
            <w:gridSpan w:val="3"/>
          </w:tcPr>
          <w:p>
            <w:pPr>
              <w:ind w:left="136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7660" w:type="dxa"/>
            <w:vAlign w:val="bottom"/>
          </w:tcPr>
          <w:p>
            <w:pPr>
              <w:spacing w:after="0"/>
              <w:rPr>
                <w:sz w:val="17"/>
                <w:szCs w:val="17"/>
                <w:color w:val="auto"/>
              </w:rPr>
            </w:pPr>
          </w:p>
        </w:tc>
        <w:tc>
          <w:tcPr>
            <w:tcW w:w="16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 issued and outstanding</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4,944,796</w:t>
            </w:r>
          </w:p>
        </w:tc>
        <w:tc>
          <w:tcPr>
            <w:tcW w:w="2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4,350,467</w:t>
            </w:r>
          </w:p>
        </w:tc>
        <w:tc>
          <w:tcPr>
            <w:tcW w:w="60" w:type="dxa"/>
            <w:vAlign w:val="bottom"/>
            <w:shd w:val="clear" w:color="auto" w:fill="CFF0FC"/>
          </w:tcPr>
          <w:p>
            <w:pPr>
              <w:spacing w:after="0"/>
              <w:rPr>
                <w:sz w:val="17"/>
                <w:szCs w:val="17"/>
                <w:color w:val="auto"/>
              </w:rPr>
            </w:pP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issued and outstanding</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500,387</w:t>
            </w: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Employee Stock Purchase Plan estimated shares issuable</w:t>
            </w: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11,674</w:t>
            </w:r>
          </w:p>
        </w:tc>
        <w:tc>
          <w:tcPr>
            <w:tcW w:w="26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1,600</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766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5,456,857</w:t>
            </w:r>
          </w:p>
        </w:tc>
        <w:tc>
          <w:tcPr>
            <w:tcW w:w="2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4,352,067</w:t>
            </w:r>
          </w:p>
        </w:tc>
        <w:tc>
          <w:tcPr>
            <w:tcW w:w="60" w:type="dxa"/>
            <w:vAlign w:val="bottom"/>
          </w:tcPr>
          <w:p>
            <w:pPr>
              <w:spacing w:after="0"/>
              <w:rPr>
                <w:sz w:val="17"/>
                <w:szCs w:val="17"/>
                <w:color w:val="auto"/>
              </w:rPr>
            </w:pPr>
          </w:p>
        </w:tc>
      </w:tr>
      <w:tr>
        <w:trPr>
          <w:trHeight w:val="20"/>
        </w:trPr>
        <w:tc>
          <w:tcPr>
            <w:tcW w:w="76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5143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Guarantees and Indemnifications</w:t>
      </w:r>
    </w:p>
    <w:p>
      <w:pPr>
        <w:spacing w:after="0" w:line="104"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March 31, 2022.</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Contingencies</w:t>
      </w:r>
    </w:p>
    <w:p>
      <w:pPr>
        <w:spacing w:after="0" w:line="104" w:lineRule="exact"/>
        <w:rPr>
          <w:sz w:val="20"/>
          <w:szCs w:val="20"/>
          <w:color w:val="auto"/>
        </w:rPr>
      </w:pPr>
    </w:p>
    <w:p>
      <w:pPr>
        <w:ind w:right="120" w:firstLine="509"/>
        <w:spacing w:after="0" w:line="239" w:lineRule="auto"/>
        <w:rPr>
          <w:sz w:val="20"/>
          <w:szCs w:val="20"/>
          <w:color w:val="auto"/>
        </w:rPr>
      </w:pPr>
      <w:r>
        <w:rPr>
          <w:rFonts w:ascii="Arial" w:cs="Arial" w:eastAsia="Arial" w:hAnsi="Arial"/>
          <w:sz w:val="18"/>
          <w:szCs w:val="18"/>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As of March 31, 2022, the Company had no pending or threatened litigation.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i w:val="1"/>
          <w:iCs w:val="1"/>
          <w:color w:val="auto"/>
        </w:rPr>
        <w:t>Other Contractual Obligations and Other Commitments</w:t>
      </w:r>
    </w:p>
    <w:p>
      <w:pPr>
        <w:spacing w:after="0" w:line="104"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auto"/>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is cancellable upon notice and is non-exclusive. Statements of work under the MSA commit the Company to certain future purchase obligations of approximately $51.8 million as of March 31, 2022. In addition, the Company has commitments with two other drug product manufacturers that commit the Company to certain future purchase obligations of approximately $2.5 million as of March 31, 2022. The Company expects to make payments for these commitments through 2026 based on non-cancellable commitments and forecasts that include estimates of future market demand, quantity discounts and manufacturing efficiencies that may impact timing of purchases.</w:t>
      </w:r>
    </w:p>
    <w:p>
      <w:pPr>
        <w:spacing w:after="0" w:line="5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the Company's service providers, up to the date of cancellation.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0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Company evaluated subsequent events and transactions that occurred after the balance sheet date up to the date financial statements were issued.</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identify any subsequent events that would have required adjustment or disclosure in the financial statements.</w:t>
      </w: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We are a clinical-stage immuno-oncology company focused on helping patients fight cancer by developing a pipeline of product candidates based on expertise in protein engineering and oncology led by the CD47 blocker, evorpacept (evorpacept is the recommended United States Adopted Name (USAN); this product is also known as ALX148), currently in phase 1 and 2 clinical trials.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evorpacept will have a wide therapeutic window to block the “don’t eat me” signal on cancer cells, and will leverage the immune activation of broadly used anti-cancer agents through combination strategies. As of March 31, 2022, we had dosed over 200 subjects with evorpacept across a range of hematologic and solid malignancies in combination with a number of leading anti-cancer agents. We plan to initiate additional studies in combination with leading anti-cancer agents. In solid tumors, we are conducting two ongoing randomized Phase 2 trials of evorpacept for the treatment of first-line advanced head and neck squamous cell carcinoma, or HNSCC, with the first subject enrolled in the first trial in May 2021 and the first subject enrolled in the second trial in July 2021. We also initiated a randomized Phase 2/3 trial of evorpacept in combination with trastuzumab, ramucirumab and paclitaxel for the treatment of second line advanced HER2-overexpressing gastric/gastroesophageal junction, or GEJ, cancer and dosed the first patient in March 2022. Our collaborator, Zymeworks, is also conducting an ongoing Phase 1 trial for the treatment of advanced HER2-expressing breast cancer and other solid tumors and enrolled the first subject in October 2021. In hematologic malignancies, we have initiated two Phase 1 trials of evorpacept for the treatment of myelodysplastic syndromes, or MDS, and acute myeloid leukemia, or AML, and are enrolling patients in both trials. Based on our early clinical results to date in multiple oncology indications showing encouraging anti-tumor activity and tolerability and our clinical development plans, our strategy is to pursue evorpacept as a potentially critical component of future oncology combination treatments. Our second program, which is a collaboration between us and Tallac Therapeutics, Inc. (Tallac), combines our company’s SIRPα antibodies with Tallac’s toll-like receptor 9 (TLR9) agonist antibody conjugate to deliver ALTA-002, a potent immune activator to myeloid cells in the tumor to promote innate and adaptive anti-cancer immune responses. This novel Toll-like receptor agonist antibody conjugation platform (TRAAC) enables systemic delivery of targeted TLR9 activation. An IND for ALTA-002 is planned for 2023. Additionally, with our acquisition of ScalmiBio, Inc. (ScalmiBio) in the fourth quarter of 2021, we seek to expand our pipeline of drug candidates to antibody drug conjugates based on expertise in protein engineering and oncology.</w:t>
      </w:r>
    </w:p>
    <w:p>
      <w:pPr>
        <w:spacing w:after="0" w:line="265"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w:t>
      </w:r>
    </w:p>
    <w:p>
      <w:pPr>
        <w:spacing w:after="0" w:line="74" w:lineRule="exact"/>
        <w:rPr>
          <w:sz w:val="20"/>
          <w:szCs w:val="20"/>
          <w:color w:val="auto"/>
        </w:rPr>
      </w:pPr>
    </w:p>
    <w:p>
      <w:pPr>
        <w:jc w:val="both"/>
        <w:ind w:right="160" w:firstLine="509"/>
        <w:spacing w:after="0"/>
        <w:rPr>
          <w:sz w:val="20"/>
          <w:szCs w:val="20"/>
          <w:color w:val="auto"/>
        </w:rPr>
      </w:pPr>
      <w:r>
        <w:rPr>
          <w:rFonts w:ascii="Arial" w:cs="Arial" w:eastAsia="Arial" w:hAnsi="Arial"/>
          <w:sz w:val="18"/>
          <w:szCs w:val="18"/>
          <w:color w:val="auto"/>
        </w:rPr>
        <w:t>Since our founding, we have devoted substantially all of our resources to identifying and developing evorpacept, advancing preclinical programs, scaling up manufacturing, conducting clinical trials and providing general and administrative support for these operations. We have no products approved for marketing and we have never received any revenue from drug product sales.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0" w:name="page21"/>
    <w:bookmarkEnd w:id="20"/>
    <w:p>
      <w:pPr>
        <w:ind w:right="40" w:firstLine="509"/>
        <w:spacing w:after="0"/>
        <w:rPr>
          <w:sz w:val="20"/>
          <w:szCs w:val="20"/>
          <w:color w:val="auto"/>
        </w:rPr>
      </w:pPr>
      <w:r>
        <w:rPr>
          <w:rFonts w:ascii="Arial" w:cs="Arial" w:eastAsia="Arial" w:hAnsi="Arial"/>
          <w:sz w:val="18"/>
          <w:szCs w:val="18"/>
          <w:color w:val="auto"/>
        </w:rPr>
        <w:t>In July 2020, we completed our initial public offering, raising net proceeds of $169.5 million, after deducting underwriting discounts and commissions of $13.0 million and offering-related expenses of $3.2 million. In December 2020, we completed a follow-on offering, raising net proceeds of $194.9 million, after deducting underwriting discounts and commissions of $12.5 million and offering-related expenses of $0.7 million. From inception through March 31, 2022, we have raised an aggregate of $545.3 million to fund our operations, of which $175.1 million were net proceeds from sales of our convertible preferred stock, $5.8 million were net proceeds from borrowings under a term loan, $169.5 million were net proceeds from our initial public offering and $194.9 million were net proceeds from our follow-on offering.</w:t>
      </w:r>
    </w:p>
    <w:p>
      <w:pPr>
        <w:spacing w:after="0" w:line="81"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On March 25, 2022, we filed a universal shelf registration statement (Shelf Registration Statement), which provides for aggregate offerings of up to $450.0 million of the Company’s securities. The Shelf Registration Statement has not yet been declared effective by the Securities and Exchange Commission (SEC). We believe that our Shelf Registration Statement, once effective, will provide us with the flexibility to raise additional capital to finance our operations as needed. In December 2021, we entered into a sales agreement (Sales Agreement) with Cantor Fitzgerald &amp; Co. and Credit Suisse Securities (USA) LLC, under which we may, subject to the effectiveness of the Shelf Registration Statement, offer and sell our common stock, having aggregate gross proceeds of up to $150.0 million, from time to time through them as our sales agent in an at-the-market offering. No securities have been sold pursuant to the Shelf Registration Statement or Sales Agreement.</w:t>
      </w:r>
    </w:p>
    <w:p>
      <w:pPr>
        <w:spacing w:after="0" w:line="7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We have incurred net losses in each year since inception. Our net losses were $24.5 million and $14.2 million for the three months ended March 31, 2022 and 2021, respectively. As of March 31, 2022, we had an accumulated deficit of $226.5 million. Substantially all of our operating losses are a result of expenses incurred in connection with our research and development programs, primarily evorpacept, and from general and administrative expenses associated with our operations.</w:t>
      </w:r>
    </w:p>
    <w:p>
      <w:pPr>
        <w:spacing w:after="0" w:line="80"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We expect to continue to incur significant expenses and increasing operating losses over at least the foreseeable future. We expect our expenses will increase substantially in connection with our ongoing activities, as we:</w:t>
      </w:r>
    </w:p>
    <w:p>
      <w:pPr>
        <w:spacing w:after="0" w:line="63" w:lineRule="exact"/>
        <w:rPr>
          <w:sz w:val="20"/>
          <w:szCs w:val="20"/>
          <w:color w:val="auto"/>
        </w:rPr>
      </w:pPr>
    </w:p>
    <w:p>
      <w:pPr>
        <w:ind w:left="1040" w:hanging="517"/>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evorpacept through multiple clinical trials in multiple indications;</w:t>
      </w:r>
    </w:p>
    <w:p>
      <w:pPr>
        <w:spacing w:after="0" w:line="103" w:lineRule="exact"/>
        <w:rPr>
          <w:rFonts w:ascii="Arial" w:cs="Arial" w:eastAsia="Arial" w:hAnsi="Arial"/>
          <w:sz w:val="18"/>
          <w:szCs w:val="18"/>
          <w:color w:val="auto"/>
        </w:rPr>
      </w:pPr>
    </w:p>
    <w:p>
      <w:pPr>
        <w:ind w:left="1040" w:hanging="517"/>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regulatory approval of evorpacept in hematological malignancies and solid tumors;</w:t>
      </w:r>
    </w:p>
    <w:p>
      <w:pPr>
        <w:spacing w:after="0" w:line="103" w:lineRule="exact"/>
        <w:rPr>
          <w:rFonts w:ascii="Arial" w:cs="Arial" w:eastAsia="Arial" w:hAnsi="Arial"/>
          <w:sz w:val="18"/>
          <w:szCs w:val="18"/>
          <w:color w:val="auto"/>
        </w:rPr>
      </w:pPr>
    </w:p>
    <w:p>
      <w:pPr>
        <w:ind w:left="1040" w:right="840" w:hanging="517"/>
        <w:spacing w:after="0" w:line="261"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our discovery and preclinical and clinical development efforts, including our collaborations with Tallac Therapeutics and Zymeworks and our recent acquisition of ScalmiBio;</w:t>
      </w:r>
    </w:p>
    <w:p>
      <w:pPr>
        <w:spacing w:after="0" w:line="62" w:lineRule="exact"/>
        <w:rPr>
          <w:rFonts w:ascii="Arial" w:cs="Arial" w:eastAsia="Arial" w:hAnsi="Arial"/>
          <w:sz w:val="18"/>
          <w:szCs w:val="18"/>
          <w:color w:val="auto"/>
        </w:rPr>
      </w:pPr>
    </w:p>
    <w:p>
      <w:pPr>
        <w:ind w:left="1040" w:hanging="517"/>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obtain and maintain patent, trade secret and other intellectual property protection and regulatory exclusivity for our product candidates;</w:t>
      </w:r>
    </w:p>
    <w:p>
      <w:pPr>
        <w:spacing w:after="0" w:line="115" w:lineRule="exact"/>
        <w:rPr>
          <w:rFonts w:ascii="Arial" w:cs="Arial" w:eastAsia="Arial" w:hAnsi="Arial"/>
          <w:sz w:val="17"/>
          <w:szCs w:val="17"/>
          <w:color w:val="auto"/>
        </w:rPr>
      </w:pPr>
    </w:p>
    <w:p>
      <w:pPr>
        <w:ind w:left="1040" w:hanging="517"/>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manufacture supplies for our preclinical studies and clinical trials; and</w:t>
      </w:r>
    </w:p>
    <w:p>
      <w:pPr>
        <w:spacing w:after="0" w:line="103" w:lineRule="exact"/>
        <w:rPr>
          <w:rFonts w:ascii="Arial" w:cs="Arial" w:eastAsia="Arial" w:hAnsi="Arial"/>
          <w:sz w:val="18"/>
          <w:szCs w:val="18"/>
          <w:color w:val="auto"/>
        </w:rPr>
      </w:pPr>
    </w:p>
    <w:p>
      <w:pPr>
        <w:ind w:left="1040" w:hanging="517"/>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continue to add operational, financial and management information systems to support ongoing operations as a public company.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Research and development expenses consist primarily of costs incurred for the development of our lead product candidate, evorpacept, which include:</w:t>
      </w:r>
    </w:p>
    <w:p>
      <w:pPr>
        <w:spacing w:after="0" w:line="63" w:lineRule="exact"/>
        <w:rPr>
          <w:sz w:val="20"/>
          <w:szCs w:val="20"/>
          <w:color w:val="auto"/>
        </w:rPr>
      </w:pPr>
    </w:p>
    <w:p>
      <w:pPr>
        <w:ind w:left="1040" w:right="200" w:hanging="517"/>
        <w:spacing w:after="0" w:line="261"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in connection with the preclinical and clinical development, including expenses incurred under agreements with contract research organizations, or CROs;</w:t>
      </w:r>
    </w:p>
    <w:p>
      <w:pPr>
        <w:spacing w:after="0" w:line="62" w:lineRule="exact"/>
        <w:rPr>
          <w:rFonts w:ascii="Arial" w:cs="Arial" w:eastAsia="Arial" w:hAnsi="Arial"/>
          <w:sz w:val="18"/>
          <w:szCs w:val="18"/>
          <w:color w:val="auto"/>
        </w:rPr>
      </w:pPr>
    </w:p>
    <w:p>
      <w:pPr>
        <w:ind w:left="1040" w:hanging="517"/>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expenses incurred in connection with the preclinical and clinical development, including expenses incurred under collaboration agreements;</w:t>
      </w:r>
    </w:p>
    <w:p>
      <w:pPr>
        <w:spacing w:after="0" w:line="126" w:lineRule="exact"/>
        <w:rPr>
          <w:rFonts w:ascii="Arial" w:cs="Arial" w:eastAsia="Arial" w:hAnsi="Arial"/>
          <w:sz w:val="16"/>
          <w:szCs w:val="16"/>
          <w:color w:val="auto"/>
        </w:rPr>
      </w:pPr>
    </w:p>
    <w:p>
      <w:pPr>
        <w:ind w:left="1040" w:right="460" w:hanging="517"/>
        <w:spacing w:after="0" w:line="261"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1040" w:hanging="517"/>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related to production of clinical materials, including fees paid to contract manufacturing organizations, or CMOs;</w:t>
      </w:r>
    </w:p>
    <w:p>
      <w:pPr>
        <w:spacing w:after="0" w:line="103" w:lineRule="exact"/>
        <w:rPr>
          <w:rFonts w:ascii="Arial" w:cs="Arial" w:eastAsia="Arial" w:hAnsi="Arial"/>
          <w:sz w:val="18"/>
          <w:szCs w:val="18"/>
          <w:color w:val="auto"/>
        </w:rPr>
      </w:pPr>
    </w:p>
    <w:p>
      <w:pPr>
        <w:ind w:left="1040" w:hanging="517"/>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laboratory, vendor expenses and third-party drugs related to the execution of preclinical studies and clinical trials;</w:t>
      </w:r>
    </w:p>
    <w:p>
      <w:pPr>
        <w:spacing w:after="0" w:line="103" w:lineRule="exact"/>
        <w:rPr>
          <w:rFonts w:ascii="Arial" w:cs="Arial" w:eastAsia="Arial" w:hAnsi="Arial"/>
          <w:sz w:val="18"/>
          <w:szCs w:val="18"/>
          <w:color w:val="auto"/>
        </w:rPr>
      </w:pPr>
    </w:p>
    <w:p>
      <w:pPr>
        <w:ind w:left="1040" w:right="100" w:hanging="517"/>
        <w:spacing w:after="0" w:line="261"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facilities and other expenses, which include expenses for rent and maintenance of facilities, depreciation and amortization expense and other supplies; and</w:t>
      </w:r>
    </w:p>
    <w:p>
      <w:pPr>
        <w:spacing w:after="0" w:line="62" w:lineRule="exact"/>
        <w:rPr>
          <w:rFonts w:ascii="Arial" w:cs="Arial" w:eastAsia="Arial" w:hAnsi="Arial"/>
          <w:sz w:val="18"/>
          <w:szCs w:val="18"/>
          <w:color w:val="auto"/>
        </w:rPr>
      </w:pPr>
    </w:p>
    <w:p>
      <w:pPr>
        <w:ind w:left="1040" w:hanging="517"/>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acquired in-process research and development (IPR&amp;D) related to our ScalmiBio acquisition.</w:t>
      </w:r>
    </w:p>
    <w:p>
      <w:pPr>
        <w:spacing w:after="0" w:line="104" w:lineRule="exact"/>
        <w:rPr>
          <w:sz w:val="20"/>
          <w:szCs w:val="20"/>
          <w:color w:val="auto"/>
        </w:rPr>
      </w:pPr>
    </w:p>
    <w:p>
      <w:pPr>
        <w:jc w:val="both"/>
        <w:ind w:right="60" w:firstLine="509"/>
        <w:spacing w:after="0" w:line="279" w:lineRule="auto"/>
        <w:rPr>
          <w:sz w:val="20"/>
          <w:szCs w:val="20"/>
          <w:color w:val="auto"/>
        </w:rPr>
      </w:pPr>
      <w:r>
        <w:rPr>
          <w:rFonts w:ascii="Arial" w:cs="Arial" w:eastAsia="Arial" w:hAnsi="Arial"/>
          <w:sz w:val="16"/>
          <w:szCs w:val="16"/>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51"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spacing w:after="0" w:line="74"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Almost all of our research and development expenses to date related to the clinical development of our lead product candidate, evorpacept. We expect our research and development expenses to increase substantially for the foreseeable future as we continue to invest in research and development activities related to progress on our existing product candidates and developing new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conducted internally and through the contract with Tallac Therapeutics, as further described in Note 8 to our condensed consolidated financial statements appearing elsewhere in this Quarterly Report on Form 10-Q.</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2" w:name="page23"/>
    <w:bookmarkEnd w:id="22"/>
    <w:p>
      <w:pPr>
        <w:ind w:right="300" w:firstLine="509"/>
        <w:spacing w:after="0" w:line="261" w:lineRule="auto"/>
        <w:rPr>
          <w:sz w:val="20"/>
          <w:szCs w:val="20"/>
          <w:color w:val="auto"/>
        </w:rPr>
      </w:pPr>
      <w:r>
        <w:rPr>
          <w:rFonts w:ascii="Arial" w:cs="Arial" w:eastAsia="Arial" w:hAnsi="Arial"/>
          <w:sz w:val="18"/>
          <w:szCs w:val="18"/>
          <w:color w:val="auto"/>
        </w:rPr>
        <w:t>The successful development of our current and future product candidates is highly uncertain. This is due to the numerous risks and uncertainties, including the following:</w:t>
      </w:r>
    </w:p>
    <w:p>
      <w:pPr>
        <w:spacing w:after="0" w:line="63"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03" w:lineRule="exact"/>
        <w:rPr>
          <w:rFonts w:ascii="Arial" w:cs="Arial" w:eastAsia="Arial" w:hAnsi="Arial"/>
          <w:sz w:val="18"/>
          <w:szCs w:val="18"/>
          <w:color w:val="auto"/>
        </w:rPr>
      </w:pPr>
    </w:p>
    <w:p>
      <w:pPr>
        <w:ind w:left="1020" w:right="500" w:hanging="503"/>
        <w:spacing w:after="0" w:line="26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regulators or institutional review boards authorizing us or our investigators to commence our clinical trials or in our ability to negotiate agreements with clinical trial sites or CROs;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location of clinical sites included in the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obtaining and maintaining patent, trade secret and other intellectual property protection and regulatory exclusivity for our product candidates;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contracting with third-party manufacturers for clinical supplies of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including, if necessary, litigation;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10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7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Research and development activities are essential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 Facilities costs consist of rent and maintenance of facilities.</w:t>
      </w:r>
    </w:p>
    <w:p>
      <w:pPr>
        <w:spacing w:after="0" w:line="80" w:lineRule="exact"/>
        <w:rPr>
          <w:sz w:val="20"/>
          <w:szCs w:val="20"/>
          <w:color w:val="auto"/>
        </w:rPr>
      </w:pPr>
    </w:p>
    <w:p>
      <w:pPr>
        <w:ind w:right="120" w:firstLine="509"/>
        <w:spacing w:after="0" w:line="294" w:lineRule="auto"/>
        <w:rPr>
          <w:sz w:val="20"/>
          <w:szCs w:val="20"/>
          <w:color w:val="auto"/>
        </w:rPr>
      </w:pPr>
      <w:r>
        <w:rPr>
          <w:rFonts w:ascii="Arial" w:cs="Arial" w:eastAsia="Arial" w:hAnsi="Arial"/>
          <w:sz w:val="16"/>
          <w:szCs w:val="16"/>
          <w:color w:val="auto"/>
        </w:rPr>
        <w:t>We anticipate that our general and administrative expenses will continue to increase as a result of increased headcount, expanded infrastructure and higher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interest income consists primarily of interest income on cash, cash equivalents and short-term and long-term investments.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other income (expense), net, consists primarily of interest expense on finance leases.</w:t>
      </w:r>
    </w:p>
    <w:p>
      <w:pPr>
        <w:spacing w:after="0" w:line="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Three Months Ended March 31,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2022 and 2021 (dollars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5"/>
          </w:tcPr>
          <w:p>
            <w:pPr>
              <w:jc w:val="right"/>
              <w:ind w:right="68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1340" w:type="dxa"/>
            <w:vAlign w:val="bottom"/>
            <w:gridSpan w:val="3"/>
            <w:vMerge w:val="restart"/>
          </w:tcPr>
          <w:p>
            <w:pPr>
              <w:ind w:left="60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March 31,</w:t>
            </w:r>
          </w:p>
        </w:tc>
        <w:tc>
          <w:tcPr>
            <w:tcW w:w="880" w:type="dxa"/>
            <w:vAlign w:val="bottom"/>
            <w:tcBorders>
              <w:top w:val="single" w:sz="8" w:color="auto"/>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17,073</w:t>
            </w:r>
          </w:p>
        </w:tc>
        <w:tc>
          <w:tcPr>
            <w:tcW w:w="24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9,849</w:t>
            </w:r>
          </w:p>
        </w:tc>
        <w:tc>
          <w:tcPr>
            <w:tcW w:w="24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7,224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3"/>
        </w:trPr>
        <w:tc>
          <w:tcPr>
            <w:tcW w:w="56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7,674</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4,359</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3,315</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196"/>
        </w:trPr>
        <w:tc>
          <w:tcPr>
            <w:tcW w:w="564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24,747</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14,208</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10,539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196"/>
        </w:trPr>
        <w:tc>
          <w:tcPr>
            <w:tcW w:w="5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(24,747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(14,208</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(10,539</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03"/>
        </w:trPr>
        <w:tc>
          <w:tcPr>
            <w:tcW w:w="564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225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5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(11 )</w:t>
            </w:r>
          </w:p>
        </w:tc>
        <w:tc>
          <w:tcPr>
            <w:tcW w:w="3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(2 )</w:t>
            </w:r>
          </w:p>
        </w:tc>
        <w:tc>
          <w:tcPr>
            <w:tcW w:w="3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(9 )</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450 %</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40" w:type="dxa"/>
            <w:vAlign w:val="bottom"/>
          </w:tcPr>
          <w:p>
            <w:pPr>
              <w:ind w:left="20"/>
              <w:spacing w:after="0" w:line="182" w:lineRule="exact"/>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1"/>
              <w:spacing w:after="0" w:line="182" w:lineRule="exact"/>
              <w:rPr>
                <w:sz w:val="20"/>
                <w:szCs w:val="20"/>
                <w:color w:val="auto"/>
              </w:rPr>
            </w:pPr>
            <w:r>
              <w:rPr>
                <w:rFonts w:ascii="Arial" w:cs="Arial" w:eastAsia="Arial" w:hAnsi="Arial"/>
                <w:sz w:val="18"/>
                <w:szCs w:val="18"/>
                <w:color w:val="auto"/>
              </w:rPr>
              <w:t>(24,533 )</w:t>
            </w: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1"/>
              <w:spacing w:after="0" w:line="182" w:lineRule="exact"/>
              <w:rPr>
                <w:sz w:val="20"/>
                <w:szCs w:val="20"/>
                <w:color w:val="auto"/>
              </w:rPr>
            </w:pPr>
            <w:r>
              <w:rPr>
                <w:rFonts w:ascii="Arial" w:cs="Arial" w:eastAsia="Arial" w:hAnsi="Arial"/>
                <w:sz w:val="18"/>
                <w:szCs w:val="18"/>
                <w:color w:val="auto"/>
              </w:rPr>
              <w:t>(14,185 )</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(10,348 )</w:t>
            </w:r>
          </w:p>
        </w:tc>
        <w:tc>
          <w:tcPr>
            <w:tcW w:w="260" w:type="dxa"/>
            <w:vAlign w:val="bottom"/>
          </w:tcPr>
          <w:p>
            <w:pPr>
              <w:spacing w:after="0"/>
              <w:rPr>
                <w:sz w:val="17"/>
                <w:szCs w:val="17"/>
                <w:color w:val="auto"/>
              </w:rPr>
            </w:pPr>
          </w:p>
        </w:tc>
        <w:tc>
          <w:tcPr>
            <w:tcW w:w="10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-690880</wp:posOffset>
            </wp:positionV>
            <wp:extent cx="685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-690880</wp:posOffset>
            </wp:positionV>
            <wp:extent cx="685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-690880</wp:posOffset>
            </wp:positionV>
            <wp:extent cx="6032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-159385</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-159385</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-159385</wp:posOffset>
            </wp:positionV>
            <wp:extent cx="6032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The following table summarizes our research and development expenses incurred for the three months ended March 31, 2022 and 2021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3"/>
            <w:vMerge w:val="restart"/>
          </w:tcPr>
          <w:p>
            <w:pPr>
              <w:ind w:left="60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vMerge w:val="continue"/>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Clinical and development costs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9,991</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7,350</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2,641</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36</w:t>
            </w: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Preclinical costs</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841</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471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03"/>
        </w:trPr>
        <w:tc>
          <w:tcPr>
            <w:tcW w:w="5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Personnel and related costs</w:t>
            </w: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3,365</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1,289</w:t>
            </w: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2,076</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2,075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579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1,496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258 %</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research costs</w:t>
            </w: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801</w:t>
            </w: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160</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641</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401 %</w:t>
            </w:r>
          </w:p>
        </w:tc>
        <w:tc>
          <w:tcPr>
            <w:tcW w:w="0" w:type="dxa"/>
            <w:vAlign w:val="bottom"/>
          </w:tcPr>
          <w:p>
            <w:pPr>
              <w:spacing w:after="0"/>
              <w:rPr>
                <w:sz w:val="1"/>
                <w:szCs w:val="1"/>
                <w:color w:val="auto"/>
              </w:rPr>
            </w:pPr>
          </w:p>
        </w:tc>
      </w:tr>
      <w:tr>
        <w:trPr>
          <w:trHeight w:val="196"/>
        </w:trPr>
        <w:tc>
          <w:tcPr>
            <w:tcW w:w="5660" w:type="dxa"/>
            <w:vAlign w:val="bottom"/>
          </w:tcPr>
          <w:p>
            <w:pPr>
              <w:ind w:left="200"/>
              <w:spacing w:after="0" w:line="182" w:lineRule="exact"/>
              <w:rPr>
                <w:sz w:val="20"/>
                <w:szCs w:val="20"/>
                <w:color w:val="auto"/>
              </w:rPr>
            </w:pPr>
            <w:r>
              <w:rPr>
                <w:rFonts w:ascii="Arial" w:cs="Arial" w:eastAsia="Arial" w:hAnsi="Arial"/>
                <w:sz w:val="18"/>
                <w:szCs w:val="18"/>
                <w:color w:val="auto"/>
              </w:rPr>
              <w:t>Total research and development expenses</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17,073</w:t>
            </w:r>
          </w:p>
        </w:tc>
        <w:tc>
          <w:tcPr>
            <w:tcW w:w="560" w:type="dxa"/>
            <w:vAlign w:val="bottom"/>
            <w:gridSpan w:val="2"/>
          </w:tcPr>
          <w:p>
            <w:pPr>
              <w:jc w:val="right"/>
              <w:ind w:right="15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9,849</w:t>
            </w:r>
          </w:p>
        </w:tc>
        <w:tc>
          <w:tcPr>
            <w:tcW w:w="540" w:type="dxa"/>
            <w:vAlign w:val="bottom"/>
            <w:gridSpan w:val="2"/>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7,224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-159385</wp:posOffset>
            </wp:positionV>
            <wp:extent cx="5143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-159385</wp:posOffset>
            </wp:positionV>
            <wp:extent cx="5143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-159385</wp:posOffset>
            </wp:positionV>
            <wp:extent cx="431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74" w:lineRule="exact"/>
        <w:rPr>
          <w:sz w:val="20"/>
          <w:szCs w:val="20"/>
          <w:color w:val="auto"/>
        </w:rPr>
      </w:pPr>
    </w:p>
    <w:p>
      <w:pPr>
        <w:ind w:right="60" w:firstLine="509"/>
        <w:spacing w:after="0" w:line="267" w:lineRule="auto"/>
        <w:rPr>
          <w:sz w:val="20"/>
          <w:szCs w:val="20"/>
          <w:color w:val="auto"/>
        </w:rPr>
      </w:pPr>
      <w:r>
        <w:rPr>
          <w:rFonts w:ascii="Arial" w:cs="Arial" w:eastAsia="Arial" w:hAnsi="Arial"/>
          <w:sz w:val="16"/>
          <w:szCs w:val="16"/>
          <w:color w:val="auto"/>
        </w:rPr>
        <w:t>Research and development expenses increased by $7.2 million during the three months ended March 31, 2022 compared to the three months ended March 31, 2021. The increase was primarily attributable to (i) an increase of $2.6 million in clinical and development costs primarily due to manufacturing of clinical trial materials to support a higher number of active clinical trials and future expected patient enrollment related to the advancement of our lead product candidate, as well as an increase of $0.9 million related to the Tallac Collaboration, (ii) an increase of $2.1 million in personnel and related costs due primarily to an increase driven by headcount growth and a portion of a retention bonus payable to ScalmiBio stockholders, (iii) an increase of $1.5 million in stock-based compensation expense due to additional awards granted since March 31, 2021 and (iv) an increase of $0.6 million in other research costs due primarily to an increase of $0.4 million in facility costs related to the expansion of our new laboratory space.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The following table summarizes our general and administrative expenses incurred for the three months ended March 31, 2022 and 2021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60" w:type="dxa"/>
            <w:vAlign w:val="bottom"/>
          </w:tcPr>
          <w:p>
            <w:pPr>
              <w:spacing w:after="0"/>
              <w:rPr>
                <w:sz w:val="19"/>
                <w:szCs w:val="19"/>
                <w:color w:val="auto"/>
              </w:rPr>
            </w:pPr>
          </w:p>
        </w:tc>
        <w:tc>
          <w:tcPr>
            <w:tcW w:w="22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3"/>
            <w:vMerge w:val="restart"/>
          </w:tcPr>
          <w:p>
            <w:pPr>
              <w:ind w:left="60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430"/>
              <w:spacing w:after="0" w:line="196" w:lineRule="exact"/>
              <w:rPr>
                <w:sz w:val="20"/>
                <w:szCs w:val="20"/>
                <w:color w:val="auto"/>
              </w:rPr>
            </w:pPr>
            <w:r>
              <w:rPr>
                <w:rFonts w:ascii="Arial" w:cs="Arial" w:eastAsia="Arial" w:hAnsi="Arial"/>
                <w:sz w:val="18"/>
                <w:szCs w:val="18"/>
                <w:b w:val="1"/>
                <w:bCs w:val="1"/>
                <w:color w:val="auto"/>
              </w:rPr>
              <w:t>March 31,</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66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2022</w:t>
            </w:r>
          </w:p>
        </w:tc>
        <w:tc>
          <w:tcPr>
            <w:tcW w:w="440" w:type="dxa"/>
            <w:vAlign w:val="bottom"/>
          </w:tcPr>
          <w:p>
            <w:pPr>
              <w:spacing w:after="0"/>
              <w:rPr>
                <w:sz w:val="15"/>
                <w:szCs w:val="15"/>
                <w:color w:val="auto"/>
              </w:rPr>
            </w:pPr>
          </w:p>
        </w:tc>
        <w:tc>
          <w:tcPr>
            <w:tcW w:w="102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470"/>
              <w:spacing w:after="0" w:line="176"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330"/>
              <w:spacing w:after="0" w:line="176"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Personnel and related costs</w:t>
            </w:r>
          </w:p>
        </w:tc>
        <w:tc>
          <w:tcPr>
            <w:tcW w:w="800" w:type="dxa"/>
            <w:vAlign w:val="bottom"/>
            <w:tcBorders>
              <w:top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1,470</w:t>
            </w:r>
          </w:p>
        </w:tc>
        <w:tc>
          <w:tcPr>
            <w:tcW w:w="20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4"/>
              </w:rPr>
              <w:t>1,187</w:t>
            </w:r>
          </w:p>
        </w:tc>
        <w:tc>
          <w:tcPr>
            <w:tcW w:w="2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283</w:t>
            </w:r>
          </w:p>
        </w:tc>
        <w:tc>
          <w:tcPr>
            <w:tcW w:w="18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w:t>
            </w:r>
          </w:p>
        </w:tc>
        <w:tc>
          <w:tcPr>
            <w:tcW w:w="2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 expense</w:t>
            </w:r>
          </w:p>
        </w:tc>
        <w:tc>
          <w:tcPr>
            <w:tcW w:w="8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w w:val="88"/>
              </w:rPr>
              <w:t>3,426</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4"/>
              </w:rPr>
              <w:t>1,221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2,205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general and administrative costs</w:t>
            </w:r>
          </w:p>
        </w:tc>
        <w:tc>
          <w:tcPr>
            <w:tcW w:w="80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2,778</w:t>
            </w:r>
          </w:p>
        </w:tc>
        <w:tc>
          <w:tcPr>
            <w:tcW w:w="2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4"/>
              </w:rPr>
              <w:t>1,951</w:t>
            </w:r>
          </w:p>
        </w:tc>
        <w:tc>
          <w:tcPr>
            <w:tcW w:w="2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827</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196"/>
        </w:trPr>
        <w:tc>
          <w:tcPr>
            <w:tcW w:w="5660" w:type="dxa"/>
            <w:vAlign w:val="bottom"/>
          </w:tcPr>
          <w:p>
            <w:pPr>
              <w:ind w:left="200"/>
              <w:spacing w:after="0" w:line="182" w:lineRule="exact"/>
              <w:rPr>
                <w:sz w:val="20"/>
                <w:szCs w:val="20"/>
                <w:color w:val="auto"/>
              </w:rPr>
            </w:pPr>
            <w:r>
              <w:rPr>
                <w:rFonts w:ascii="Arial" w:cs="Arial" w:eastAsia="Arial" w:hAnsi="Arial"/>
                <w:sz w:val="18"/>
                <w:szCs w:val="18"/>
                <w:color w:val="auto"/>
              </w:rPr>
              <w:t>Total general and administrative expenses</w:t>
            </w:r>
          </w:p>
        </w:tc>
        <w:tc>
          <w:tcPr>
            <w:tcW w:w="800" w:type="dxa"/>
            <w:vAlign w:val="bottom"/>
          </w:tcPr>
          <w:p>
            <w:pPr>
              <w:jc w:val="right"/>
              <w:ind w:right="610"/>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w w:val="88"/>
              </w:rPr>
              <w:t>7,674</w:t>
            </w:r>
          </w:p>
        </w:tc>
        <w:tc>
          <w:tcPr>
            <w:tcW w:w="1020" w:type="dxa"/>
            <w:vAlign w:val="bottom"/>
            <w:gridSpan w:val="2"/>
          </w:tcPr>
          <w:p>
            <w:pPr>
              <w:jc w:val="right"/>
              <w:ind w:right="610"/>
              <w:spacing w:after="0" w:line="18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82" w:lineRule="exact"/>
              <w:rPr>
                <w:sz w:val="20"/>
                <w:szCs w:val="20"/>
                <w:color w:val="auto"/>
              </w:rPr>
            </w:pPr>
            <w:r>
              <w:rPr>
                <w:rFonts w:ascii="Arial" w:cs="Arial" w:eastAsia="Arial" w:hAnsi="Arial"/>
                <w:sz w:val="18"/>
                <w:szCs w:val="18"/>
                <w:color w:val="auto"/>
                <w:w w:val="84"/>
              </w:rPr>
              <w:t>4,359</w:t>
            </w:r>
          </w:p>
        </w:tc>
        <w:tc>
          <w:tcPr>
            <w:tcW w:w="540" w:type="dxa"/>
            <w:vAlign w:val="bottom"/>
            <w:gridSpan w:val="2"/>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3,315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0"/>
              <w:spacing w:after="0" w:line="182" w:lineRule="exact"/>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6181725</wp:posOffset>
            </wp:positionH>
            <wp:positionV relativeFrom="paragraph">
              <wp:posOffset>-697865</wp:posOffset>
            </wp:positionV>
            <wp:extent cx="68580" cy="1625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6961505</wp:posOffset>
            </wp:positionH>
            <wp:positionV relativeFrom="paragraph">
              <wp:posOffset>-697865</wp:posOffset>
            </wp:positionV>
            <wp:extent cx="188595" cy="1625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8595" cy="16256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-159385</wp:posOffset>
            </wp:positionV>
            <wp:extent cx="5143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-159385</wp:posOffset>
            </wp:positionV>
            <wp:extent cx="5143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-159385</wp:posOffset>
            </wp:positionV>
            <wp:extent cx="4318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74"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General and administrative expenses increased by $3.3 million during the three months ended March 31, 2022 compared to the three months ended March 31, 2021. The increase was primarily attributable to (i) an increase of $2.2 million in stock-based compensation expense due to additional awards granted since March 31, 2021 and (ii) an increase of $0.8 million in other costs primarily driven by an increase in corporate legal fees, SEC related filing fees and facility and information technology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marketing approval of any of our product candidates. To date, we have funded our operations with proceeds from the sales of shares of our common stock and convertible preferred stock and borrowings under our term loan. As of March 31, 2022, we had cash, cash equivalents and short-term and long-term investments of $341.7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We have incurred losses and negative cash flows from operations since inception and anticipate that we will continue to incur net losses for the foreseeable future. As of March 31, 2022, we had an accumulated deficit of $226.5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51"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103" w:lineRule="exact"/>
        <w:rPr>
          <w:rFonts w:ascii="Arial" w:cs="Arial" w:eastAsia="Arial" w:hAnsi="Arial"/>
          <w:sz w:val="18"/>
          <w:szCs w:val="18"/>
          <w:color w:val="auto"/>
        </w:rPr>
      </w:pPr>
    </w:p>
    <w:p>
      <w:pPr>
        <w:ind w:left="1020" w:right="74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agreements with third-party manufacturers for clinical supply for our clinical trials and, if any of our product candidates are approved, commercial manufacturing;</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 and retention of key research and development personnel;</w:t>
      </w:r>
    </w:p>
    <w:p>
      <w:pPr>
        <w:spacing w:after="0" w:line="103"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efforts to enhance operational, financial and information management systems, and hire additional personnel, including personnel to support development of our product candidates;</w:t>
      </w:r>
    </w:p>
    <w:p>
      <w:pPr>
        <w:spacing w:after="0" w:line="62" w:lineRule="exact"/>
        <w:rPr>
          <w:rFonts w:ascii="Arial" w:cs="Arial" w:eastAsia="Arial" w:hAnsi="Arial"/>
          <w:sz w:val="18"/>
          <w:szCs w:val="18"/>
          <w:color w:val="auto"/>
        </w:rPr>
      </w:pPr>
    </w:p>
    <w:p>
      <w:pPr>
        <w:ind w:left="1020" w:right="40" w:hanging="503"/>
        <w:spacing w:after="0" w:line="261"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obtain marketing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legal patent costs involved in prosecuting patent applications and enforcing patent claims and other intellectual property claims;</w:t>
      </w:r>
    </w:p>
    <w:p>
      <w:pPr>
        <w:spacing w:after="0" w:line="115" w:lineRule="exact"/>
        <w:rPr>
          <w:rFonts w:ascii="Arial" w:cs="Arial" w:eastAsia="Arial" w:hAnsi="Arial"/>
          <w:sz w:val="17"/>
          <w:szCs w:val="17"/>
          <w:color w:val="auto"/>
        </w:rPr>
      </w:pPr>
    </w:p>
    <w:p>
      <w:pPr>
        <w:ind w:left="1020" w:right="680" w:hanging="503"/>
        <w:spacing w:after="0" w:line="244"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and royalty payments thereunder; and</w:t>
      </w: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ind w:left="1020" w:hanging="503"/>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impact of the ongoing COVID-19 pandemic or geopolitical risks, which may exacerbate the magnitude of the factors discussed above.</w:t>
      </w:r>
    </w:p>
    <w:p>
      <w:pPr>
        <w:spacing w:after="0" w:line="127"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72"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In July 2020, we completed our initial public offering pursuant to a registration statement on Form S -1.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spacing w:after="0" w:line="80"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auto"/>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spacing w:after="0" w:line="80"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In December 2021, we entered into a sales agreement with Cantor Fitzgerald &amp; Co. and Credit Suisse Securities (USA) LLC, under which we may offer and sell our common stock, having aggregate gross proceeds of up to $150.0 million, from time to time through them as our sales agent in our at-the-market equity offering program, or the ATM Offering Program. No sales have been made under the ATM Offering Program as of the date of this report, and no sales will be made under the ATM Offering Program until such time as our Shelf Registration Statement, filed on March 25, 2022, has been declared effective by the SEC.</w:t>
      </w:r>
    </w:p>
    <w:p>
      <w:pPr>
        <w:spacing w:after="0" w:line="81" w:lineRule="exact"/>
        <w:rPr>
          <w:sz w:val="20"/>
          <w:szCs w:val="20"/>
          <w:color w:val="auto"/>
        </w:rPr>
      </w:pPr>
    </w:p>
    <w:p>
      <w:pPr>
        <w:jc w:val="both"/>
        <w:ind w:right="180" w:firstLine="509"/>
        <w:spacing w:after="0"/>
        <w:rPr>
          <w:sz w:val="20"/>
          <w:szCs w:val="20"/>
          <w:color w:val="auto"/>
        </w:rPr>
      </w:pPr>
      <w:r>
        <w:rPr>
          <w:rFonts w:ascii="Arial" w:cs="Arial" w:eastAsia="Arial" w:hAnsi="Arial"/>
          <w:sz w:val="18"/>
          <w:szCs w:val="18"/>
          <w:color w:val="auto"/>
        </w:rPr>
        <w:t>We believe our existing cash, cash equivalents and short-term and long-term investments will enable us to fund our operating expenses and capital expenditure requirements through mid-2024. We have based these estimates on assumptions in which actuals may materially differ, and we could utilize our available capital resources sooner than we expect.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a summary of the net cash flow activity for the three months ended March 31, 2022 and 2021:</w:t>
      </w:r>
    </w:p>
    <w:p>
      <w:pPr>
        <w:sectPr>
          <w:pgSz w:w="11900" w:h="16838" w:orient="portrait"/>
          <w:cols w:equalWidth="0" w:num="1">
            <w:col w:w="11240"/>
          </w:cols>
          <w:pgMar w:left="320" w:top="4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Net cash provided by (used in):</w:t>
      </w:r>
    </w:p>
    <w:p>
      <w:pPr>
        <w:spacing w:after="0" w:line="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Operating activities</w:t>
      </w:r>
    </w:p>
    <w:p>
      <w:pPr>
        <w:ind w:left="1320"/>
        <w:spacing w:after="0" w:line="234" w:lineRule="auto"/>
        <w:rPr>
          <w:sz w:val="20"/>
          <w:szCs w:val="20"/>
          <w:color w:val="auto"/>
        </w:rPr>
      </w:pPr>
      <w:r>
        <w:rPr>
          <w:rFonts w:ascii="Arial" w:cs="Arial" w:eastAsia="Arial" w:hAnsi="Arial"/>
          <w:sz w:val="18"/>
          <w:szCs w:val="18"/>
          <w:color w:val="auto"/>
        </w:rPr>
        <w:t>Investing activities</w:t>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Financing activities</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Net decrease in cash, cash equivalents</w:t>
      </w:r>
    </w:p>
    <w:p>
      <w:pPr>
        <w:spacing w:after="0" w:line="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and restricted cash</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23914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March 31,</w:t>
      </w:r>
    </w:p>
    <w:tbl>
      <w:tblPr>
        <w:tblLayout w:type="fixed"/>
        <w:tblInd w:w="0" w:type="dxa"/>
        <w:tblCellMar>
          <w:top w:w="0" w:type="dxa"/>
          <w:left w:w="0" w:type="dxa"/>
          <w:bottom w:w="0" w:type="dxa"/>
          <w:right w:w="0" w:type="dxa"/>
        </w:tblCellMar>
      </w:tblPr>
      <w:tr>
        <w:trPr>
          <w:trHeight w:val="196"/>
        </w:trPr>
        <w:tc>
          <w:tcPr>
            <w:tcW w:w="4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30"/>
              <w:spacing w:after="0" w:line="196" w:lineRule="exact"/>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90"/>
              <w:spacing w:after="0" w:line="196"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r>
      <w:tr>
        <w:trPr>
          <w:trHeight w:val="384"/>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(20,674 )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(5,135 )</w:t>
            </w:r>
          </w:p>
        </w:tc>
      </w:tr>
      <w:tr>
        <w:trPr>
          <w:trHeight w:val="203"/>
        </w:trPr>
        <w:tc>
          <w:tcPr>
            <w:tcW w:w="400" w:type="dxa"/>
            <w:vAlign w:val="bottom"/>
          </w:tcPr>
          <w:p>
            <w:pPr>
              <w:spacing w:after="0"/>
              <w:rPr>
                <w:sz w:val="17"/>
                <w:szCs w:val="17"/>
                <w:color w:val="auto"/>
              </w:rPr>
            </w:pPr>
          </w:p>
        </w:tc>
        <w:tc>
          <w:tcPr>
            <w:tcW w:w="16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(183,921 )</w:t>
            </w:r>
          </w:p>
        </w:tc>
        <w:tc>
          <w:tcPr>
            <w:tcW w:w="38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(7 )</w:t>
            </w:r>
          </w:p>
        </w:tc>
      </w:tr>
      <w:tr>
        <w:trPr>
          <w:trHeight w:val="217"/>
        </w:trPr>
        <w:tc>
          <w:tcPr>
            <w:tcW w:w="4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60" w:type="dxa"/>
            <w:vAlign w:val="bottom"/>
          </w:tcPr>
          <w:p>
            <w:pPr>
              <w:spacing w:after="0"/>
              <w:rPr>
                <w:sz w:val="18"/>
                <w:szCs w:val="18"/>
                <w:color w:val="auto"/>
              </w:rPr>
            </w:pPr>
          </w:p>
        </w:tc>
      </w:tr>
      <w:tr>
        <w:trPr>
          <w:trHeight w:val="331"/>
        </w:trPr>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(204,515 )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(4,364 )</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-762635</wp:posOffset>
            </wp:positionV>
            <wp:extent cx="570039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-505460</wp:posOffset>
            </wp:positionV>
            <wp:extent cx="570039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00395" cy="12890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-239395</wp:posOffset>
            </wp:positionV>
            <wp:extent cx="5700395" cy="240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00395" cy="240030"/>
                    </a:xfrm>
                    <a:prstGeom prst="rect">
                      <a:avLst/>
                    </a:prstGeom>
                    <a:noFill/>
                  </pic:spPr>
                </pic:pic>
              </a:graphicData>
            </a:graphic>
          </wp:anchor>
        </w:drawing>
      </w:r>
    </w:p>
    <w:p>
      <w:pPr>
        <w:spacing w:after="0" w:line="404" w:lineRule="exact"/>
        <w:rPr>
          <w:sz w:val="20"/>
          <w:szCs w:val="20"/>
          <w:color w:val="auto"/>
        </w:rPr>
      </w:pPr>
    </w:p>
    <w:p>
      <w:pPr>
        <w:sectPr>
          <w:pgSz w:w="11900" w:h="16838" w:orient="portrait"/>
          <w:cols w:equalWidth="0" w:num="2">
            <w:col w:w="5520" w:space="720"/>
            <w:col w:w="5000"/>
          </w:cols>
          <w:pgMar w:left="320" w:top="436" w:right="339" w:bottom="1440" w:gutter="0" w:footer="0" w:header="0"/>
          <w:type w:val="continuous"/>
        </w:sectPr>
      </w:pPr>
    </w:p>
    <w:p>
      <w:pPr>
        <w:ind w:firstLine="509"/>
        <w:spacing w:after="0" w:line="279" w:lineRule="auto"/>
        <w:rPr>
          <w:sz w:val="20"/>
          <w:szCs w:val="20"/>
          <w:color w:val="auto"/>
        </w:rPr>
      </w:pPr>
      <w:r>
        <w:rPr>
          <w:rFonts w:ascii="Arial" w:cs="Arial" w:eastAsia="Arial" w:hAnsi="Arial"/>
          <w:sz w:val="16"/>
          <w:szCs w:val="16"/>
          <w:color w:val="auto"/>
        </w:rPr>
        <w:t>In the three months ended March 31, 2022, net cash used in operating activities of $20.7 million was attributable to a net loss of $24.5 million and a change in our net operating assets and liabilities of $2.1 million, offset by non-cash charges of $6.0 million. The change in operating assets and liabilities was primarily due to (i) an increase in prepaid expenses and other current assets of $1.6 million, (ii) an increase in other assets of $0.3 million primarily due to long-term prepaid clinical costs and (iii) a net increase in accounts payable and accrued expenses and other current liabilities of $0.1 million primarily due to timing of invoices and payments. Non-cash charges consisted primarily of stock-based compensation expense of $5.5 million.</w:t>
      </w:r>
    </w:p>
    <w:p>
      <w:pPr>
        <w:spacing w:after="0" w:line="51" w:lineRule="exact"/>
        <w:rPr>
          <w:sz w:val="20"/>
          <w:szCs w:val="20"/>
          <w:color w:val="auto"/>
        </w:rPr>
      </w:pPr>
    </w:p>
    <w:p>
      <w:pPr>
        <w:ind w:right="100" w:firstLine="509"/>
        <w:spacing w:after="0" w:line="271" w:lineRule="auto"/>
        <w:rPr>
          <w:sz w:val="20"/>
          <w:szCs w:val="20"/>
          <w:color w:val="auto"/>
        </w:rPr>
      </w:pPr>
      <w:r>
        <w:rPr>
          <w:rFonts w:ascii="Arial" w:cs="Arial" w:eastAsia="Arial" w:hAnsi="Arial"/>
          <w:sz w:val="16"/>
          <w:szCs w:val="16"/>
          <w:color w:val="auto"/>
        </w:rPr>
        <w:t>In the three months ended March 31, 2021, net cash used in operating activities of $5.1 million was attributable to a net loss of $14.2 million, offset by a change in our net operating assets and liabilities of $7.2 million and non-cash charges of $1.9 million. The change in operating assets and liabilities was primarily due to (i) an increase of $7.3 million in accounts payable, (ii) an increase of $0.6 million in accrued expenses and other current liabilities,</w:t>
      </w:r>
    </w:p>
    <w:p>
      <w:pPr>
        <w:jc w:val="both"/>
        <w:ind w:right="80" w:firstLine="8"/>
        <w:spacing w:after="0" w:line="283" w:lineRule="auto"/>
        <w:tabs>
          <w:tab w:leader="none" w:pos="3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of $0.3 million in other non-current liabilities, partially offset by (iv) an increase of $0.6 million in other assets and (v) an increase of $0.5 million in prepaids expenses and other current assets. This was primarily due to the timing of cash payments for clinical trial-related activities and changes in assets and liabilities due to the adoption of ASC 842. Non-cash charges consisted primarily of stock-based compensation expense of $1.8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In the three months ended March 31, 2022, net cash used in investing activities of $183.9 million was attributable to purchases of short-term and long-term investments of $183.3 million and purchases of property and equipment of $0.6 million.</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three months ended March 31, 2021, net cash used in investing activities was nominal.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380" w:firstLine="509"/>
        <w:spacing w:after="0" w:line="291" w:lineRule="auto"/>
        <w:rPr>
          <w:sz w:val="20"/>
          <w:szCs w:val="20"/>
          <w:color w:val="auto"/>
        </w:rPr>
      </w:pPr>
      <w:r>
        <w:rPr>
          <w:rFonts w:ascii="Arial" w:cs="Arial" w:eastAsia="Arial" w:hAnsi="Arial"/>
          <w:sz w:val="17"/>
          <w:szCs w:val="17"/>
          <w:color w:val="auto"/>
        </w:rPr>
        <w:t>In the three months ended March 31, 2022, net cash provided by financing activities was $0.1 million and was attributable to proceeds from the exercise of stock options under equity incentive plans of $0.2 million offset by principal payments on finance leases of $0.1 million.</w:t>
      </w:r>
    </w:p>
    <w:p>
      <w:pPr>
        <w:spacing w:after="0" w:line="39" w:lineRule="exact"/>
        <w:rPr>
          <w:sz w:val="20"/>
          <w:szCs w:val="20"/>
          <w:color w:val="auto"/>
        </w:rPr>
      </w:pPr>
    </w:p>
    <w:p>
      <w:pPr>
        <w:ind w:right="380" w:firstLine="509"/>
        <w:spacing w:after="0" w:line="244" w:lineRule="auto"/>
        <w:rPr>
          <w:sz w:val="20"/>
          <w:szCs w:val="20"/>
          <w:color w:val="auto"/>
        </w:rPr>
      </w:pPr>
      <w:r>
        <w:rPr>
          <w:rFonts w:ascii="Arial" w:cs="Arial" w:eastAsia="Arial" w:hAnsi="Arial"/>
          <w:sz w:val="18"/>
          <w:szCs w:val="18"/>
          <w:color w:val="auto"/>
        </w:rPr>
        <w:t>In the three months ended March 31, 2021, net cash provided by financing activities was $0.8 million and was attributable to proceeds from the exercise of stock options under equity incentive plans.</w:t>
      </w: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04"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We have contractual obligations from our operating leases, finance leases, manufacturing and service contracts and other research and development activities. The following table aggregates our material expected contractual obligations and commitments as of March 31, 2022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March 31, 2022</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w w:val="97"/>
              </w:rPr>
              <w:t>2023-2024</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w w:val="97"/>
              </w:rPr>
              <w:t>2025-2026</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Thereafter</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22"/>
                <w:szCs w:val="22"/>
                <w:color w:val="auto"/>
                <w:vertAlign w:val="superscript"/>
              </w:rPr>
              <w:t>(i)</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10,706</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862</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3,027</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3,012</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3,805</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Finance lease obligations </w:t>
            </w:r>
            <w:r>
              <w:rPr>
                <w:rFonts w:ascii="Arial" w:cs="Arial" w:eastAsia="Arial" w:hAnsi="Arial"/>
                <w:sz w:val="23"/>
                <w:szCs w:val="23"/>
                <w:color w:val="auto"/>
                <w:vertAlign w:val="superscript"/>
              </w:rPr>
              <w:t>(ii)</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612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Manufacturing and service</w:t>
            </w:r>
          </w:p>
        </w:tc>
        <w:tc>
          <w:tcPr>
            <w:tcW w:w="30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54,280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29,745</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24,452</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6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7"/>
                <w:szCs w:val="17"/>
                <w:color w:val="auto"/>
              </w:rPr>
              <w:t xml:space="preserve">contracts </w:t>
            </w:r>
            <w:r>
              <w:rPr>
                <w:rFonts w:ascii="Arial" w:cs="Arial" w:eastAsia="Arial" w:hAnsi="Arial"/>
                <w:sz w:val="23"/>
                <w:szCs w:val="23"/>
                <w:color w:val="auto"/>
                <w:vertAlign w:val="superscript"/>
              </w:rPr>
              <w:t>(iii)</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Pr>
          <w:p>
            <w:pPr>
              <w:ind w:left="200"/>
              <w:spacing w:after="0" w:line="196" w:lineRule="exact"/>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65,598</w:t>
            </w:r>
          </w:p>
        </w:tc>
        <w:tc>
          <w:tcPr>
            <w:tcW w:w="5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30,931</w:t>
            </w:r>
          </w:p>
        </w:tc>
        <w:tc>
          <w:tcPr>
            <w:tcW w:w="420" w:type="dxa"/>
            <w:vAlign w:val="bottom"/>
            <w:gridSpan w:val="2"/>
          </w:tcPr>
          <w:p>
            <w:pPr>
              <w:ind w:left="26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27,767</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3,095</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3,805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-159385</wp:posOffset>
            </wp:positionV>
            <wp:extent cx="5143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-159385</wp:posOffset>
            </wp:positionV>
            <wp:extent cx="5143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-159385</wp:posOffset>
            </wp:positionV>
            <wp:extent cx="431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-159385</wp:posOffset>
            </wp:positionV>
            <wp:extent cx="431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65" w:lineRule="exact"/>
        <w:rPr>
          <w:sz w:val="20"/>
          <w:szCs w:val="20"/>
          <w:color w:val="auto"/>
        </w:rPr>
      </w:pPr>
    </w:p>
    <w:p>
      <w:pPr>
        <w:ind w:left="760" w:right="60" w:hanging="378"/>
        <w:spacing w:after="0" w:line="236"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payments consist of (i) payments due for the office space in Burlingame, California under a single operating sub-lease agreement that expires in 2023, (ii) payments due for the office space in South San Francisco, California under a single operating lease agreement that expires in 2026 and (iii) payments due for the office and laboratory space in Palo Alto, California under a single operating lease agreement that expires in 2030, of which $3.8 million relates to the second premises which has not commenced as of March 31, 2022. See Note 5 to our condensed consolidated financial statements appearing elsewhere in this Quarterly Report on Form 10-Q for details of related commitments.</w:t>
      </w:r>
    </w:p>
    <w:p>
      <w:pPr>
        <w:spacing w:after="0" w:line="80" w:lineRule="exact"/>
        <w:rPr>
          <w:rFonts w:ascii="Arial" w:cs="Arial" w:eastAsia="Arial" w:hAnsi="Arial"/>
          <w:sz w:val="16"/>
          <w:szCs w:val="16"/>
          <w:color w:val="auto"/>
        </w:rPr>
      </w:pPr>
    </w:p>
    <w:p>
      <w:pPr>
        <w:ind w:left="760" w:right="180" w:hanging="378"/>
        <w:spacing w:after="0" w:line="258"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Payments due for embedded finance leases related to a pharmaceutical support service contract. See Note 5 to our condensed consolidated financial statements appearing elsewhere in this Quarterly Report on Form 10-Q for details of related commitments.</w:t>
      </w:r>
    </w:p>
    <w:p>
      <w:pPr>
        <w:spacing w:after="0" w:line="63" w:lineRule="exact"/>
        <w:rPr>
          <w:rFonts w:ascii="Arial" w:cs="Arial" w:eastAsia="Arial" w:hAnsi="Arial"/>
          <w:sz w:val="16"/>
          <w:szCs w:val="16"/>
          <w:color w:val="auto"/>
        </w:rPr>
      </w:pPr>
    </w:p>
    <w:p>
      <w:pPr>
        <w:ind w:left="760" w:hanging="378"/>
        <w:spacing w:after="0" w:line="234" w:lineRule="auto"/>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November 2015, we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is cancellable upon notice and is non-exclusive. Statements of work under the MSA commit us to certain future purchase obligations of approximately $51.8 million. In addition, we have commitments with two other drug product manufacturers that commit us to certain future purchase obligations of approximately $2.5 million. We expect to make payments for these commitments through 2026 based on non-cancellable commitments and forecasts that include estimates of future market demand, quantity discounts and manufacturing efficiencies that may impact timing of purchases.</w:t>
      </w:r>
    </w:p>
    <w:p>
      <w:pPr>
        <w:spacing w:after="0" w:line="90"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During the period presented, we did not have, nor do we currently have, any off-balance sheet arrangements, as defined in the rules and regulations of the SEC.</w:t>
      </w: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08"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condensed consolidated financial statements, which have been prepared in accordance with generally accepted accounting principles in the United States, or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spacing w:after="0" w:line="76" w:lineRule="exact"/>
        <w:rPr>
          <w:sz w:val="20"/>
          <w:szCs w:val="20"/>
          <w:color w:val="auto"/>
        </w:rPr>
      </w:pPr>
    </w:p>
    <w:p>
      <w:pPr>
        <w:jc w:val="both"/>
        <w:ind w:right="200" w:firstLine="509"/>
        <w:spacing w:after="0" w:line="284" w:lineRule="auto"/>
        <w:rPr>
          <w:sz w:val="20"/>
          <w:szCs w:val="20"/>
          <w:color w:val="auto"/>
        </w:rPr>
      </w:pPr>
      <w:r>
        <w:rPr>
          <w:rFonts w:ascii="Arial" w:cs="Arial" w:eastAsia="Arial" w:hAnsi="Arial"/>
          <w:sz w:val="16"/>
          <w:szCs w:val="16"/>
          <w:color w:val="auto"/>
        </w:rPr>
        <w:t>Our critical accounting policies are more fully described in the section titled “Management’s Discussion and Analysis of Financial Condition and Results of Operations—Critical Accounting Policies and Significant Judgments and Estimates” in the Company’s Annual Report on Form 10-K for the year ended December 31, 2021. During the three months ended March 31, 2022, there were no material changes to our critical accounting policies from those discussed in the Company’s Annual Report on Form 10-K for the year ended December 31, 2021 filed with the SEC on February 28, 2022.</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See “Note 2. Significant Accounting Policies - Recent Accounting Pronouncements” to our condensed consolidated financial statements included elsewhere in this Quarterly Report on Form 10-Q for more information.</w:t>
      </w: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As of March 31, 2022, we had cash, cash equivalents and short-term and long-term investments of $341.7 million. We generally hold our cash and cash equivalents in interest-bearing bank accounts and money market funds. We have invested primarily in U.S. Treasury securities, corporate debt securities and commercial paper and all our investments are classified as available-for-sale.</w:t>
      </w:r>
    </w:p>
    <w:p>
      <w:pPr>
        <w:spacing w:after="0" w:line="80"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0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investments. The Company’s investments consist of debt securities issued by highly rated corporate entities, the U.S. federal government or state and local governments. The Company’s exposure to any individual corporate entity is limited by policy. Deposits may exceed federally insured limits. The Company invests its cash equivalents in highly rated money market funds. During the periods presented, the Company has not experienced any losses on its deposits of cash, cash equivalents or investments.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0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effect on our financial results.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spacing w:after="0" w:line="74"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March 31, 2022.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p>
    <w:p>
      <w:pPr>
        <w:spacing w:after="0" w:line="73" w:lineRule="exact"/>
        <w:rPr>
          <w:sz w:val="20"/>
          <w:szCs w:val="20"/>
          <w:color w:val="auto"/>
        </w:rPr>
      </w:pPr>
    </w:p>
    <w:p>
      <w:pPr>
        <w:ind w:right="340" w:firstLine="509"/>
        <w:spacing w:after="0" w:line="324" w:lineRule="auto"/>
        <w:rPr>
          <w:sz w:val="20"/>
          <w:szCs w:val="20"/>
          <w:color w:val="auto"/>
        </w:rPr>
      </w:pPr>
      <w:r>
        <w:rPr>
          <w:rFonts w:ascii="Arial" w:cs="Arial" w:eastAsia="Arial" w:hAnsi="Arial"/>
          <w:sz w:val="16"/>
          <w:szCs w:val="16"/>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480" w:firstLine="509"/>
        <w:spacing w:after="0" w:line="244"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2022 that materially affected, or are reasonably likely to materially affect, our internal control over financial reporting.</w:t>
      </w: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30" w:name="page31"/>
    <w:bookmarkEnd w:id="30"/>
    <w:p>
      <w:pPr>
        <w:jc w:val="center"/>
        <w:ind w:right="-159"/>
        <w:spacing w:after="0"/>
        <w:rPr>
          <w:sz w:val="20"/>
          <w:szCs w:val="20"/>
          <w:color w:val="auto"/>
        </w:rPr>
      </w:pPr>
      <w:r>
        <w:rPr>
          <w:rFonts w:ascii="Arial" w:cs="Arial" w:eastAsia="Arial" w:hAnsi="Arial"/>
          <w:sz w:val="18"/>
          <w:szCs w:val="18"/>
          <w:b w:val="1"/>
          <w:bCs w:val="1"/>
          <w:color w:val="auto"/>
        </w:rPr>
        <w:t>PART II — 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ind w:right="340" w:firstLine="509"/>
        <w:spacing w:after="0" w:line="248"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160" w:firstLine="509"/>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Quarterly Report on Form 10-Q, including our unaudited condensed consolidated financial statements and the related notes and the section titled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10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Investing in our common stock involves a high degree of risk because our business is subject to numerous risks and uncertainties, as fully described below. These risks include, but are not limited to, the following:</w:t>
      </w:r>
    </w:p>
    <w:p>
      <w:pPr>
        <w:spacing w:after="0" w:line="63" w:lineRule="exact"/>
        <w:rPr>
          <w:sz w:val="20"/>
          <w:szCs w:val="20"/>
          <w:color w:val="auto"/>
        </w:rPr>
      </w:pPr>
    </w:p>
    <w:p>
      <w:pPr>
        <w:ind w:left="1020" w:right="3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we expect to continue to incur significant net losses for the foreseeable future;</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such capital may not be available to us or may only be available on terms that are unfavorable to us;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a limited operating history and have no products approved for commercial sale;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of our stock may be volatile, and you could lose all or part of your investment;</w:t>
      </w:r>
    </w:p>
    <w:p>
      <w:pPr>
        <w:spacing w:after="0" w:line="103"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evorpacept (also known as ALX 148), which is in clinical development and which has not completed a pivotal trial;</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cause significant adverse events or other undesirable side effects when used alone or in combination with other treatments;</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62"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regulatory authorities are lengthy, time-consuming and inherently unpredictable, which could lead to our inability to generate product revenue;</w:t>
      </w:r>
    </w:p>
    <w:p>
      <w:pPr>
        <w:spacing w:after="0" w:line="62" w:lineRule="exact"/>
        <w:rPr>
          <w:rFonts w:ascii="Arial" w:cs="Arial" w:eastAsia="Arial" w:hAnsi="Arial"/>
          <w:sz w:val="18"/>
          <w:szCs w:val="18"/>
          <w:color w:val="auto"/>
        </w:rPr>
      </w:pPr>
    </w:p>
    <w:p>
      <w:pPr>
        <w:ind w:left="1020" w:right="360" w:hanging="503"/>
        <w:spacing w:after="0" w:line="244"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unable to obtain, maintain and enforce patent protection and other intellectual property for our product candidates and related technology, our business could be materially harmed;</w:t>
      </w:r>
    </w:p>
    <w:p>
      <w:pPr>
        <w:jc w:val="center"/>
        <w:ind w:right="-1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48" w:right="479" w:bottom="1440" w:gutter="0" w:footer="0" w:header="0"/>
        </w:sectPr>
      </w:pPr>
    </w:p>
    <w:bookmarkStart w:id="31" w:name="page32"/>
    <w:bookmarkEnd w:id="31"/>
    <w:p>
      <w:pPr>
        <w:ind w:left="503" w:right="760" w:hanging="503"/>
        <w:spacing w:after="0" w:line="261"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rFonts w:ascii="Arial" w:cs="Arial" w:eastAsia="Arial" w:hAnsi="Arial"/>
          <w:sz w:val="18"/>
          <w:szCs w:val="18"/>
          <w:color w:val="auto"/>
        </w:rPr>
      </w:pPr>
    </w:p>
    <w:p>
      <w:pPr>
        <w:ind w:left="503" w:hanging="503"/>
        <w:spacing w:after="0" w:line="248"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preclinical research is conducted primarily by a third-party service provider, Tallac Therapeutics, Inc. (formerly known as Tollnine, Inc.), or Tallac Therapeutics, and we are dependent on Tallac Therapeutics to perform its contractual research obligations on an effective and timely basis;</w:t>
      </w:r>
    </w:p>
    <w:p>
      <w:pPr>
        <w:spacing w:after="0" w:line="73" w:lineRule="exact"/>
        <w:rPr>
          <w:rFonts w:ascii="Arial" w:cs="Arial" w:eastAsia="Arial" w:hAnsi="Arial"/>
          <w:sz w:val="18"/>
          <w:szCs w:val="18"/>
          <w:color w:val="auto"/>
        </w:rPr>
      </w:pPr>
    </w:p>
    <w:p>
      <w:pPr>
        <w:ind w:left="503" w:right="700" w:hanging="503"/>
        <w:spacing w:after="0" w:line="261"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ongoing COVID-19 pandemic and geopolitical unrest related to Russia's war with Ukraine could adversely impact our business including our ongoing and planned clinical trials and preclinical research; and</w:t>
      </w:r>
    </w:p>
    <w:p>
      <w:pPr>
        <w:spacing w:after="0" w:line="62" w:lineRule="exact"/>
        <w:rPr>
          <w:rFonts w:ascii="Arial" w:cs="Arial" w:eastAsia="Arial" w:hAnsi="Arial"/>
          <w:sz w:val="18"/>
          <w:szCs w:val="18"/>
          <w:color w:val="auto"/>
        </w:rPr>
      </w:pPr>
    </w:p>
    <w:p>
      <w:pPr>
        <w:ind w:left="503" w:right="80" w:hanging="503"/>
        <w:spacing w:after="0" w:line="244" w:lineRule="auto"/>
        <w:tabs>
          <w:tab w:leader="none" w:pos="503"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the past, we have identified material weaknesses in our internal control over financial reporting. If remediation measures we implemented are not effective, investors may lose confidence in our financial reports.</w:t>
      </w:r>
    </w:p>
    <w:p>
      <w:pPr>
        <w:jc w:val="center"/>
        <w:ind w:right="477"/>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52070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436"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27"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$24.5 million and $14.2 million for the three months ended March 31, 2022 and 2021, respectively. As of March 31, 2022, we had an accumulated deficit of $226.5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60"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66" w:lineRule="exact"/>
        <w:rPr>
          <w:sz w:val="20"/>
          <w:szCs w:val="20"/>
          <w:color w:val="auto"/>
        </w:rPr>
      </w:pPr>
    </w:p>
    <w:p>
      <w:pPr>
        <w:ind w:right="80"/>
        <w:spacing w:after="0" w:line="356"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comply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spacing w:after="0" w:line="81" w:lineRule="exact"/>
        <w:rPr>
          <w:sz w:val="20"/>
          <w:szCs w:val="20"/>
          <w:color w:val="auto"/>
        </w:rPr>
      </w:pPr>
    </w:p>
    <w:p>
      <w:pPr>
        <w:ind w:right="40" w:firstLine="509"/>
        <w:spacing w:after="0" w:line="268" w:lineRule="auto"/>
        <w:rPr>
          <w:sz w:val="20"/>
          <w:szCs w:val="20"/>
          <w:color w:val="auto"/>
        </w:rPr>
      </w:pPr>
      <w:r>
        <w:rPr>
          <w:rFonts w:ascii="Arial" w:cs="Arial" w:eastAsia="Arial" w:hAnsi="Arial"/>
          <w:sz w:val="16"/>
          <w:szCs w:val="16"/>
          <w:color w:val="auto"/>
        </w:rPr>
        <w:t>As of March 31, 2022, we had cash, cash equivalents and investments of $341.7 million. Based on our current operating plan, we believe that our existing cash, cash equivalents and investments, will be sufficient to fund our operations through mid-2024. Our estimate as to how long we expect our existing cash, cash equivalents and investments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3" w:name="page34"/>
    <w:bookmarkEnd w:id="33"/>
    <w:p>
      <w:pPr>
        <w:ind w:right="40" w:firstLine="509"/>
        <w:spacing w:after="0"/>
        <w:rPr>
          <w:sz w:val="20"/>
          <w:szCs w:val="20"/>
          <w:color w:val="auto"/>
        </w:rPr>
      </w:pPr>
      <w:r>
        <w:rPr>
          <w:rFonts w:ascii="Arial" w:cs="Arial" w:eastAsia="Arial" w:hAnsi="Arial"/>
          <w:sz w:val="18"/>
          <w:szCs w:val="18"/>
          <w:color w:val="auto"/>
        </w:rPr>
        <w:t>We plan to use our cash, cash equivalents and investments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w:t>
      </w:r>
    </w:p>
    <w:p>
      <w:pPr>
        <w:spacing w:after="0" w:line="81"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expect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60" w:lineRule="exact"/>
        <w:rPr>
          <w:sz w:val="20"/>
          <w:szCs w:val="20"/>
          <w:color w:val="auto"/>
        </w:rPr>
      </w:pPr>
    </w:p>
    <w:p>
      <w:pPr>
        <w:ind w:right="500" w:firstLine="509"/>
        <w:spacing w:after="0" w:line="248" w:lineRule="auto"/>
        <w:rPr>
          <w:sz w:val="20"/>
          <w:szCs w:val="20"/>
          <w:color w:val="auto"/>
        </w:rPr>
      </w:pPr>
      <w:r>
        <w:rPr>
          <w:rFonts w:ascii="Arial" w:cs="Arial" w:eastAsia="Arial" w:hAnsi="Arial"/>
          <w:sz w:val="18"/>
          <w:szCs w:val="18"/>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7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63"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6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63" w:lineRule="exact"/>
        <w:rPr>
          <w:sz w:val="20"/>
          <w:szCs w:val="20"/>
          <w:color w:val="auto"/>
        </w:rPr>
      </w:pPr>
    </w:p>
    <w:p>
      <w:pPr>
        <w:jc w:val="both"/>
        <w:ind w:right="120" w:firstLine="509"/>
        <w:spacing w:after="0" w:line="284" w:lineRule="auto"/>
        <w:rPr>
          <w:sz w:val="20"/>
          <w:szCs w:val="20"/>
          <w:color w:val="auto"/>
        </w:rPr>
      </w:pPr>
      <w:r>
        <w:rPr>
          <w:rFonts w:ascii="Arial" w:cs="Arial" w:eastAsia="Arial" w:hAnsi="Arial"/>
          <w:sz w:val="16"/>
          <w:szCs w:val="16"/>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47" w:lineRule="exact"/>
        <w:rPr>
          <w:sz w:val="20"/>
          <w:szCs w:val="20"/>
          <w:color w:val="auto"/>
        </w:rPr>
      </w:pPr>
    </w:p>
    <w:p>
      <w:pPr>
        <w:ind w:left="1020" w:right="400" w:hanging="503"/>
        <w:spacing w:after="0" w:line="261"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our lead product candidate, evorpacept, and our other future product candidates;</w:t>
      </w:r>
    </w:p>
    <w:p>
      <w:pPr>
        <w:spacing w:after="0" w:line="62" w:lineRule="exact"/>
        <w:rPr>
          <w:rFonts w:ascii="Arial" w:cs="Arial" w:eastAsia="Arial" w:hAnsi="Arial"/>
          <w:sz w:val="18"/>
          <w:szCs w:val="18"/>
          <w:color w:val="auto"/>
        </w:rPr>
      </w:pPr>
    </w:p>
    <w:p>
      <w:pPr>
        <w:ind w:left="1020" w:right="500" w:hanging="503"/>
        <w:spacing w:after="0" w:line="244"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establishing and maintaining relationships with CROs and clinical sites for the clinical development of evorpacept and our other future product candidates;</w:t>
      </w: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4" w:name="page35"/>
    <w:bookmarkEnd w:id="34"/>
    <w:p>
      <w:pPr>
        <w:ind w:left="1020" w:right="4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03" w:lineRule="exact"/>
        <w:rPr>
          <w:rFonts w:ascii="Arial" w:cs="Arial" w:eastAsia="Arial" w:hAnsi="Arial"/>
          <w:sz w:val="18"/>
          <w:szCs w:val="18"/>
          <w:color w:val="auto"/>
        </w:rPr>
      </w:pPr>
    </w:p>
    <w:p>
      <w:pPr>
        <w:ind w:left="1020" w:hanging="503"/>
        <w:spacing w:after="0" w:line="24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w:t>
      </w:r>
    </w:p>
    <w:p>
      <w:pPr>
        <w:spacing w:after="0" w:line="73" w:lineRule="exact"/>
        <w:rPr>
          <w:rFonts w:ascii="Arial" w:cs="Arial" w:eastAsia="Arial" w:hAnsi="Arial"/>
          <w:sz w:val="18"/>
          <w:szCs w:val="18"/>
          <w:color w:val="auto"/>
        </w:rPr>
      </w:pPr>
    </w:p>
    <w:p>
      <w:pPr>
        <w:ind w:left="1020" w:right="140" w:hanging="503"/>
        <w:spacing w:after="0" w:line="24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commercial acceptance of evorpacept and any future product candidates as viable treatment options by patients, the medical community and third-party payors;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favorable coverage and adequate reimbursement by third-party payors for our product candidates;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assessing, acquiring and developing new product candidates;</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including our licensed intellectual property;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03" w:lineRule="exact"/>
        <w:rPr>
          <w:rFonts w:ascii="Arial" w:cs="Arial" w:eastAsia="Arial" w:hAnsi="Arial"/>
          <w:sz w:val="18"/>
          <w:szCs w:val="18"/>
          <w:color w:val="auto"/>
        </w:rPr>
      </w:pPr>
    </w:p>
    <w:p>
      <w:pPr>
        <w:ind w:left="1020" w:right="68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to develop, manufacture or commercialize our product candidate;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0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36"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0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i w:val="1"/>
          <w:iCs w:val="1"/>
          <w:color w:val="auto"/>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p>
    <w:p>
      <w:pPr>
        <w:spacing w:after="0" w:line="5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MDS, AML, HNSCC, gastric/ GEJ carcinoma or breast cancer.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similar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w:t>
      </w:r>
    </w:p>
    <w:p>
      <w:pPr>
        <w:spacing w:after="0" w:line="7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39"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53" w:lineRule="exact"/>
        <w:rPr>
          <w:sz w:val="20"/>
          <w:szCs w:val="20"/>
          <w:color w:val="auto"/>
        </w:rPr>
      </w:pPr>
    </w:p>
    <w:p>
      <w:pPr>
        <w:ind w:right="40" w:firstLine="509"/>
        <w:spacing w:after="0" w:line="266" w:lineRule="auto"/>
        <w:rPr>
          <w:sz w:val="20"/>
          <w:szCs w:val="20"/>
          <w:color w:val="auto"/>
        </w:rPr>
      </w:pPr>
      <w:r>
        <w:rPr>
          <w:rFonts w:ascii="Arial" w:cs="Arial" w:eastAsia="Arial" w:hAnsi="Arial"/>
          <w:sz w:val="16"/>
          <w:szCs w:val="16"/>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6" w:name="page37"/>
    <w:bookmarkEnd w:id="36"/>
    <w:p>
      <w:pPr>
        <w:ind w:right="240"/>
        <w:spacing w:after="0" w:line="291"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39"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preclinical development and then extensive clinical trials (including initiation of a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72"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We do not know whether our future clinical trials will begin on time or enroll subjects on time or whether our ongoing and/or future clinical trials will be completed on schedule or at all. Clinical trials can be delayed for a variety of reasons, including delays related to:</w:t>
      </w:r>
    </w:p>
    <w:p>
      <w:pPr>
        <w:spacing w:after="0" w:line="63"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approval to commence a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institutional review board approval at each clinical trial site;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necessary new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recruiting suitable subjects to participate in a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noncompliance with clinical trial protocols;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investigational site or trial subjects withdrawing or dropping out of clinical trials at a higher rate than anticipated;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104"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3"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03"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62"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is larger than anticipated, enrollment in these clinical trials is slower than anticipated or subjects dropping out of these clinical trials at a higher rate than anticipated;</w:t>
      </w:r>
    </w:p>
    <w:p>
      <w:pPr>
        <w:spacing w:after="0" w:line="62"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clinical trials due to outbreaks or public health crises, such as the ongoing COVID-19 pandemic, that impact both trial site operations, subject selection and participation;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third-party contractors failing to comply with regulatory requirements or meet their contractual obligations to us in a timely manner, or at all;</w:t>
      </w:r>
    </w:p>
    <w:p>
      <w:pPr>
        <w:spacing w:after="0" w:line="126" w:lineRule="exact"/>
        <w:rPr>
          <w:rFonts w:ascii="Arial" w:cs="Arial" w:eastAsia="Arial" w:hAnsi="Arial"/>
          <w:sz w:val="16"/>
          <w:szCs w:val="16"/>
          <w:color w:val="auto"/>
        </w:rPr>
      </w:pPr>
    </w:p>
    <w:p>
      <w:pPr>
        <w:ind w:left="10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are greater than anticipated;</w:t>
      </w:r>
    </w:p>
    <w:p>
      <w:pPr>
        <w:spacing w:after="0" w:line="103"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37" w:name="page38"/>
    <w:bookmarkEnd w:id="37"/>
    <w:p>
      <w:pPr>
        <w:ind w:right="160" w:firstLine="509"/>
        <w:spacing w:after="0" w:line="248" w:lineRule="auto"/>
        <w:rPr>
          <w:sz w:val="20"/>
          <w:szCs w:val="20"/>
          <w:color w:val="auto"/>
        </w:rPr>
      </w:pPr>
      <w:r>
        <w:rPr>
          <w:rFonts w:ascii="Arial" w:cs="Arial" w:eastAsia="Arial" w:hAnsi="Arial"/>
          <w:sz w:val="18"/>
          <w:szCs w:val="18"/>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7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We do not know whether any clinical trials we may conduct will demonstrate consistent or adequate safety and efficacy sufficient to obtain marketing approval of our product candidates or to market our drugs after any such approval. In December 2020, the FDA verbally informed us, that given our planned initiation of two Phase 2 HNSCC clinical trials that could be potentially registrational, it required completion of a routine non-clinical safety study. The FDA noted that for any drug development program moving swiftly through development, this non-clinical study is required prior to the initiation of a clinical trial that could be considered pivotal. We were allowed to initiate both Phase 2 HNSCC clinical trials with the enrollment capped at a total of 50 subjects treated with evorpacept across both trials (excluding safety lead-in cohorts). In June 2021, the FDA informed us that it had reviewed our standard non-clinical safety study and removed the partial clinical hold and patient cap on our two ongoing Phase 2 studies in patients with HNSCC. No impact was incurred on patient enrollment or study timelines as a result of the partial clinical hold.</w:t>
      </w:r>
    </w:p>
    <w:p>
      <w:pPr>
        <w:spacing w:after="0" w:line="7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and/or retention of subjects in clinical trials, our regulatory submissions or receipt of necessary marketing approvals could be delayed or prevented.</w:t>
      </w:r>
    </w:p>
    <w:p>
      <w:pPr>
        <w:spacing w:after="0" w:line="63"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w:t>
      </w:r>
    </w:p>
    <w:p>
      <w:pPr>
        <w:spacing w:after="0" w:line="64"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Enrollment of subjects in our clinical trials may be delayed or limited if our clinical trial sites limit their onsite staff or temporarily close as a result of the ongoing COVID-19 pandemic. In addition, subjects may not be able to visit clinical trial sites for dosing or data collection purposes due to limitations on travel and physical distancing imposed or recommended by federal or state governments or subjects’ reluctance to visit the clinical trial sites during the pandemic. The drop-out rates in our clinical trials may be increased during the pandemic. Subjects who enroll in our clinical trials and then who become infected with the COVID-19 virus may complicate the clinical trial data, procedures and analysis. These factors resulting from the ongoing COVID-19 pandemic could delay the anticipated readouts from our clinical trials and our regulatory submissions and increase the costs associated with clinical trials.</w:t>
      </w:r>
    </w:p>
    <w:p>
      <w:pPr>
        <w:spacing w:after="0" w:line="83"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Subject enrollment may also be affected if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Subject enrollment may also be affected by other factors, including:</w:t>
      </w:r>
    </w:p>
    <w:p>
      <w:pPr>
        <w:spacing w:after="0" w:line="74"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03" w:lineRule="exact"/>
        <w:rPr>
          <w:rFonts w:ascii="Arial" w:cs="Arial" w:eastAsia="Arial" w:hAnsi="Arial"/>
          <w:sz w:val="18"/>
          <w:szCs w:val="18"/>
          <w:color w:val="auto"/>
        </w:rPr>
      </w:pPr>
    </w:p>
    <w:p>
      <w:pPr>
        <w:ind w:left="1020" w:right="180" w:hanging="503"/>
        <w:spacing w:after="0" w:line="324"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availability and efficacy or potency of current or newly approved drugs for the disease under investigation and other changes in standard of care that could make our clinical trials less attractive, including the drugs or other product candidates we use in our combination studies;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 by us and the clinical trial sites;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monitor subjects adequately during and after the clinical trial;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proximity of clinical trial sites to prospective subjects;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8" w:name="page39"/>
    <w:bookmarkEnd w:id="38"/>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risk of subjects enrolled in clinical trials dropping out before completion; and</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or delay in enrollment of subjects due to a variety of reasons, including outbreaks and public health crises, such as the ongoing COVID-19 pandemic.</w:t>
      </w:r>
    </w:p>
    <w:p>
      <w:pPr>
        <w:spacing w:after="0" w:line="63"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74"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39"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79"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4" w:lineRule="exact"/>
        <w:rPr>
          <w:sz w:val="20"/>
          <w:szCs w:val="20"/>
          <w:color w:val="auto"/>
        </w:rPr>
      </w:pPr>
    </w:p>
    <w:p>
      <w:pPr>
        <w:ind w:right="120" w:firstLine="509"/>
        <w:spacing w:after="0" w:line="265" w:lineRule="auto"/>
        <w:rPr>
          <w:sz w:val="20"/>
          <w:szCs w:val="20"/>
          <w:color w:val="auto"/>
        </w:rPr>
      </w:pPr>
      <w:r>
        <w:rPr>
          <w:rFonts w:ascii="Arial" w:cs="Arial" w:eastAsia="Arial" w:hAnsi="Arial"/>
          <w:sz w:val="16"/>
          <w:szCs w:val="16"/>
          <w:color w:val="auto"/>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our clinical program in a heavily pre-treated group of subjects who are typical participants in early-stage cancer trials and are often hematologically fragile at baseline. Subjects in our evorpacept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ind w:right="200"/>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3"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 Newly approved therapeutics could change the treatment paradigm or standard of care, which could negatively impact the design of our clinical trials and the prospects of our product candidates.</w:t>
      </w:r>
    </w:p>
    <w:p>
      <w:pPr>
        <w:spacing w:after="0" w:line="7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Apexigen, Arch Therapeutics, Bristol Myers Squibb, Gilead Sciences (through its acquisition of Forty Seven), I-Mab, Innovent, Kahr, Novimmune, OSE Immunotherapeutics, Pfizer (through its acquisition of Trillium Therapeutics), and Shattuck Labs,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3"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81"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72"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3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73"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53"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10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 occurrence of any of these sanctions, enforcement actions or penalties described above may inhibit our ability to commercialize our product candidates, even if approved, and generate revenue.</w:t>
      </w:r>
    </w:p>
    <w:p>
      <w:pPr>
        <w:spacing w:after="0" w:line="6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b w:val="1"/>
          <w:bCs w:val="1"/>
          <w:i w:val="1"/>
          <w:iCs w:val="1"/>
          <w:color w:val="auto"/>
        </w:rPr>
        <w:t>We rely on Tallac Therapeutics, a third-party service provider, to conduct substantially all of our preclinical research activities for evorpacept. If Tallac Therapeutics does not successfully carry out its contractual duties or meet expected deadlines, there may be disruptions or delays to our evorpacept development pipeline and our business could be substantially harmed.</w:t>
      </w:r>
    </w:p>
    <w:p>
      <w:pPr>
        <w:spacing w:after="0" w:line="74"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have the ability to independently conduct our preclinical research activities but we rely on a third-party service provider to conduct all of our preclinical research activities for evorpacept. Effective as of July 1, 2020, we transferred all of our preclinical research capabilities and nine of our employees, including our former Chief Scientific Officer, Dr. Hong Wan,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1" w:name="page42"/>
    <w:bookmarkEnd w:id="41"/>
    <w:p>
      <w:pPr>
        <w:ind w:right="120" w:firstLine="509"/>
        <w:spacing w:after="0" w:line="259" w:lineRule="auto"/>
        <w:rPr>
          <w:sz w:val="20"/>
          <w:szCs w:val="20"/>
          <w:color w:val="auto"/>
        </w:rPr>
      </w:pPr>
      <w:r>
        <w:rPr>
          <w:rFonts w:ascii="Arial" w:cs="Arial" w:eastAsia="Arial" w:hAnsi="Arial"/>
          <w:sz w:val="17"/>
          <w:szCs w:val="17"/>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delayed or terminated, and there may be disruptions or delays to our evorpacept development pipeline. As a result, our evorpacept product candidate research and development efforts may be delayed or harmed, and our costs could increase and our future ability to generate revenues could be delayed.</w:t>
      </w:r>
    </w:p>
    <w:p>
      <w:pPr>
        <w:spacing w:after="0" w:line="6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Further, Tallac Therapeutics’ employees are not our employees, and we will not be able to control, other than by contract, the amount of resources, including time, that they devote to our evorpacept preclinical research efforts and studies. If Tallac Therapeutics fails to devote sufficient resources to the research and development of our evorpacept preclinical research programs and studies, or if its performance is substandard, it may delay or compromise the prospects for approval and commercialization of any product candidates that we develop.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67"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If our relationship with Tallac Therapeutics terminates, we may not be able to enter into arrangements with alternative providers or do so in a timely manner or on commercially reasonable terms. If the Tallac Services Agreement is terminated, replacing Tallac Therapeutics, identifying additional preclinical research providers and/or hiring internal research and development employees will involve additional costs and divert our management’s time and focus. In addition, there is a natural transition period when a new service provider commences work and/or if we are required to train new employees. As a result, delays may occur, which can materially impact our ability to meet our desired preclinical timelines. Since Tallac Therapeutics is an early-stage company with a limited operating history, it may face challenges to its business and cease to operate, and we may need to engage replacement service providers and/or employees on an accelerated timeline and on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83"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86" w:lineRule="exact"/>
        <w:rPr>
          <w:sz w:val="20"/>
          <w:szCs w:val="20"/>
          <w:color w:val="auto"/>
        </w:rPr>
      </w:pPr>
    </w:p>
    <w:p>
      <w:pPr>
        <w:jc w:val="both"/>
        <w:ind w:right="120"/>
        <w:spacing w:after="0" w:line="322"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21" w:lineRule="exact"/>
        <w:rPr>
          <w:sz w:val="20"/>
          <w:szCs w:val="20"/>
          <w:color w:val="auto"/>
        </w:rPr>
      </w:pPr>
    </w:p>
    <w:p>
      <w:pPr>
        <w:ind w:firstLine="509"/>
        <w:spacing w:after="0" w:line="266" w:lineRule="auto"/>
        <w:rPr>
          <w:sz w:val="20"/>
          <w:szCs w:val="20"/>
          <w:color w:val="auto"/>
        </w:rPr>
      </w:pPr>
      <w:r>
        <w:rPr>
          <w:rFonts w:ascii="Arial" w:cs="Arial" w:eastAsia="Arial" w:hAnsi="Arial"/>
          <w:sz w:val="16"/>
          <w:szCs w:val="16"/>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ongoing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ind w:right="20" w:firstLine="509"/>
        <w:spacing w:after="0" w:line="269" w:lineRule="auto"/>
        <w:rPr>
          <w:sz w:val="20"/>
          <w:szCs w:val="20"/>
          <w:color w:val="auto"/>
        </w:rPr>
      </w:pPr>
      <w:r>
        <w:rPr>
          <w:rFonts w:ascii="Arial" w:cs="Arial" w:eastAsia="Arial" w:hAnsi="Arial"/>
          <w:sz w:val="16"/>
          <w:szCs w:val="16"/>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63"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7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74"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modifications in the methods of product candidate manufacturing or formulation may result in additional costs or delay.</w:t>
      </w:r>
    </w:p>
    <w:p>
      <w:pPr>
        <w:spacing w:after="0" w:line="104"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3" w:name="page44"/>
    <w:bookmarkEnd w:id="43"/>
    <w:p>
      <w:pPr>
        <w:ind w:right="40"/>
        <w:spacing w:after="0" w:line="261" w:lineRule="auto"/>
        <w:rPr>
          <w:sz w:val="20"/>
          <w:szCs w:val="20"/>
          <w:color w:val="auto"/>
        </w:rPr>
      </w:pPr>
      <w:r>
        <w:rPr>
          <w:rFonts w:ascii="Arial" w:cs="Arial" w:eastAsia="Arial" w:hAnsi="Arial"/>
          <w:sz w:val="18"/>
          <w:szCs w:val="18"/>
          <w:b w:val="1"/>
          <w:bCs w:val="1"/>
          <w:i w:val="1"/>
          <w:iCs w:val="1"/>
          <w:color w:val="auto"/>
        </w:rPr>
        <w:t>Development of product candidates in combination with other therapies could expose us to additional risks. Lack of third-party combination drugs may materially and adversely affect demand for our product candidates.</w:t>
      </w:r>
    </w:p>
    <w:p>
      <w:pPr>
        <w:spacing w:after="0" w:line="63" w:lineRule="exact"/>
        <w:rPr>
          <w:sz w:val="20"/>
          <w:szCs w:val="20"/>
          <w:color w:val="auto"/>
        </w:rPr>
      </w:pPr>
    </w:p>
    <w:p>
      <w:pPr>
        <w:ind w:right="40" w:firstLine="554"/>
        <w:spacing w:after="0" w:line="252" w:lineRule="auto"/>
        <w:rPr>
          <w:sz w:val="20"/>
          <w:szCs w:val="20"/>
          <w:color w:val="auto"/>
        </w:rPr>
      </w:pPr>
      <w:r>
        <w:rPr>
          <w:rFonts w:ascii="Arial" w:cs="Arial" w:eastAsia="Arial" w:hAnsi="Arial"/>
          <w:sz w:val="17"/>
          <w:szCs w:val="17"/>
          <w:color w:val="auto"/>
        </w:rPr>
        <w:t>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p>
    <w:p>
      <w:pPr>
        <w:spacing w:after="0" w:line="78"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auto"/>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5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 clinical trials of evorpacept in combination with pembrolizumab for HNSCC and trastuzumab for gastric/GEJ carcinoma. As a result, both the results of our clinical trials and the sales of our drugs may be affected by the availability of these third-party drugs. For instance, we entered into clinical trial collaboration and supply agreements with Merck, Eli Lilly and Zymeworks, pursuant to which our collaboration counterparties will supply doses of pembrolizumab, ramucirumab, and zanidatamab, respectively, for use in certain clinical trials. If the agreements with Merck and Eli Lilly are terminated before the trials are completed, we may need to find another source of pembrolizumab and ramucirumab, respectively, in order to continue our trials. Zanidatamab is not approved for commercial use by the FDA or any comparable regulatory authority, and as a result, no alternative source of zanidatamab exists. As such, if the agreement with Zymeworks is terminated before our trials are completed, our ability to continue our trials with zanidatamab would be limited.</w:t>
      </w:r>
    </w:p>
    <w:p>
      <w:pPr>
        <w:spacing w:after="0" w:line="80"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4" w:name="page45"/>
    <w:bookmarkEnd w:id="44"/>
    <w:p>
      <w:pPr>
        <w:ind w:right="80"/>
        <w:spacing w:after="0" w:line="262"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64"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ongoing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6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81"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Our business also may be implicated if any of our CROs violates fraud and abuse or false claims laws and regulations or healthcare privacy and security laws.</w:t>
      </w:r>
    </w:p>
    <w:p>
      <w:pPr>
        <w:spacing w:after="0" w:line="63"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5" w:name="page46"/>
    <w:bookmarkEnd w:id="45"/>
    <w:p>
      <w:pPr>
        <w:ind w:right="220"/>
        <w:spacing w:after="0" w:line="261" w:lineRule="auto"/>
        <w:rPr>
          <w:sz w:val="20"/>
          <w:szCs w:val="20"/>
          <w:color w:val="auto"/>
        </w:rPr>
      </w:pPr>
      <w:r>
        <w:rPr>
          <w:rFonts w:ascii="Arial" w:cs="Arial" w:eastAsia="Arial" w:hAnsi="Arial"/>
          <w:sz w:val="18"/>
          <w:szCs w:val="18"/>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63" w:lineRule="exact"/>
        <w:rPr>
          <w:sz w:val="20"/>
          <w:szCs w:val="20"/>
          <w:color w:val="auto"/>
        </w:rPr>
      </w:pPr>
    </w:p>
    <w:p>
      <w:pPr>
        <w:ind w:right="180" w:firstLine="509"/>
        <w:spacing w:after="0" w:line="262"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w:t>
      </w:r>
    </w:p>
    <w:p>
      <w:pPr>
        <w:spacing w:after="0" w:line="64" w:lineRule="exact"/>
        <w:rPr>
          <w:sz w:val="20"/>
          <w:szCs w:val="20"/>
          <w:color w:val="auto"/>
        </w:rPr>
      </w:pPr>
    </w:p>
    <w:p>
      <w:pPr>
        <w:ind w:left="1020" w:right="54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of evorpacept and our other product candidates to treat cancer or other applicable targeted diseases, as compared with other available drugs, treatments or therapies;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evorpacept and our other product candidates;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evorpacept or our other product candidates by the FDA or foreign regulatory authorities;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115" w:lineRule="exact"/>
        <w:rPr>
          <w:rFonts w:ascii="Arial" w:cs="Arial" w:eastAsia="Arial" w:hAnsi="Arial"/>
          <w:sz w:val="17"/>
          <w:szCs w:val="17"/>
          <w:color w:val="auto"/>
        </w:rPr>
      </w:pPr>
    </w:p>
    <w:p>
      <w:pPr>
        <w:ind w:left="1020" w:right="4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size of the target patient population and the willingness of the target patient population to try new therapies and of physicians to prescribe these therapies;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and effectiveness of marketing and distribution support and timing of market introduction of competitive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and cost-effectiveness in relation to alternative treatments;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 the willingness of patients to pay out-of-pocket in the absence of third-party coverage; and</w:t>
      </w:r>
    </w:p>
    <w:p>
      <w:pPr>
        <w:spacing w:after="0" w:line="62" w:lineRule="exact"/>
        <w:rPr>
          <w:rFonts w:ascii="Arial" w:cs="Arial" w:eastAsia="Arial" w:hAnsi="Arial"/>
          <w:sz w:val="18"/>
          <w:szCs w:val="18"/>
          <w:color w:val="auto"/>
        </w:rPr>
      </w:pPr>
    </w:p>
    <w:p>
      <w:pPr>
        <w:ind w:left="1020" w:right="30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likelihood that the FDA or any foreign regulatory authority may impose additional requirements that limit the promotion, advertising, distribution or sales of our product candidates.</w:t>
      </w:r>
    </w:p>
    <w:p>
      <w:pPr>
        <w:spacing w:after="0" w:line="63"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51"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6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63" w:lineRule="exact"/>
        <w:rPr>
          <w:sz w:val="20"/>
          <w:szCs w:val="20"/>
          <w:color w:val="auto"/>
        </w:rPr>
      </w:pPr>
    </w:p>
    <w:p>
      <w:pPr>
        <w:jc w:val="both"/>
        <w:ind w:right="160" w:firstLine="509"/>
        <w:spacing w:after="0"/>
        <w:rPr>
          <w:sz w:val="20"/>
          <w:szCs w:val="20"/>
          <w:color w:val="auto"/>
        </w:rPr>
      </w:pPr>
      <w:r>
        <w:rPr>
          <w:rFonts w:ascii="Arial" w:cs="Arial" w:eastAsia="Arial" w:hAnsi="Arial"/>
          <w:sz w:val="18"/>
          <w:szCs w:val="18"/>
          <w:color w:val="auto"/>
        </w:rPr>
        <w:t>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6" w:name="page47"/>
    <w:bookmarkEnd w:id="46"/>
    <w:p>
      <w:pPr>
        <w:ind w:firstLine="509"/>
        <w:spacing w:after="0" w:line="253" w:lineRule="auto"/>
        <w:rPr>
          <w:sz w:val="20"/>
          <w:szCs w:val="20"/>
          <w:color w:val="auto"/>
        </w:rPr>
      </w:pPr>
      <w:r>
        <w:rPr>
          <w:rFonts w:ascii="Arial" w:cs="Arial" w:eastAsia="Arial" w:hAnsi="Arial"/>
          <w:sz w:val="17"/>
          <w:szCs w:val="17"/>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72" w:lineRule="exact"/>
        <w:rPr>
          <w:sz w:val="20"/>
          <w:szCs w:val="20"/>
          <w:color w:val="auto"/>
        </w:rPr>
      </w:pPr>
    </w:p>
    <w:p>
      <w:pPr>
        <w:ind w:right="180" w:firstLine="509"/>
        <w:spacing w:after="0" w:line="254"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opportunities for the product candidates we develop, if approved, may be limited to certain smaller patient subsets.</w:t>
      </w:r>
    </w:p>
    <w:p>
      <w:pPr>
        <w:spacing w:after="0" w:line="104"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w:t>
      </w:r>
    </w:p>
    <w:p>
      <w:pPr>
        <w:spacing w:after="0" w:line="56"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80"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auto"/>
        </w:rPr>
        <w:t>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55"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Even if any of our product candidates receive marketing approval, if we or others later identify undesirable or unacceptable side effects caused by such products:</w:t>
      </w:r>
    </w:p>
    <w:p>
      <w:pPr>
        <w:spacing w:after="0" w:line="63" w:lineRule="exact"/>
        <w:rPr>
          <w:sz w:val="20"/>
          <w:szCs w:val="20"/>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03"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contraindication, precaution or field alerts to physicians and pharmacies;</w:t>
      </w:r>
    </w:p>
    <w:p>
      <w:pPr>
        <w:spacing w:after="0" w:line="62" w:lineRule="exact"/>
        <w:rPr>
          <w:rFonts w:ascii="Arial" w:cs="Arial" w:eastAsia="Arial" w:hAnsi="Arial"/>
          <w:sz w:val="18"/>
          <w:szCs w:val="18"/>
          <w:color w:val="auto"/>
        </w:rPr>
      </w:pPr>
    </w:p>
    <w:p>
      <w:pPr>
        <w:ind w:left="1020" w:right="20" w:hanging="503"/>
        <w:spacing w:after="0" w:line="244"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limit the patient population who can use the product or conduct additional clinical trials;</w:t>
      </w: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7" w:name="page48"/>
    <w:bookmarkEnd w:id="47"/>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right="340" w:firstLine="509"/>
        <w:spacing w:after="0" w:line="324"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1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63"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73"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6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8" w:name="page49"/>
    <w:bookmarkEnd w:id="48"/>
    <w:p>
      <w:pPr>
        <w:ind w:firstLine="509"/>
        <w:spacing w:after="0" w:line="255"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72"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and maintain coverage and adequate reimbursement for a product;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4"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08" w:lineRule="exact"/>
        <w:rPr>
          <w:sz w:val="20"/>
          <w:szCs w:val="20"/>
          <w:color w:val="auto"/>
        </w:rPr>
      </w:pPr>
    </w:p>
    <w:p>
      <w:pPr>
        <w:ind w:right="580"/>
        <w:spacing w:after="0" w:line="291"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39" w:lineRule="exact"/>
        <w:rPr>
          <w:sz w:val="20"/>
          <w:szCs w:val="20"/>
          <w:color w:val="auto"/>
        </w:rPr>
      </w:pPr>
    </w:p>
    <w:p>
      <w:pPr>
        <w:ind w:right="100" w:firstLine="509"/>
        <w:spacing w:after="0" w:line="272"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60"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withdrawal of the drug from the market or voluntary or mandatory product recalls;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publicity, fines, warning letters or holds on clinical trials;</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or any other applicable regulatory authority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drug product seizure or detention, or refusal to permit the import or export of product candidates;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0" w:name="page51"/>
    <w:bookmarkEnd w:id="50"/>
    <w:p>
      <w:pPr>
        <w:spacing w:after="0" w:line="322"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21"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evorpacept or any product candidates we may seek to develop in the future will never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04"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or comparable international regulatory authorities may disagree with the design, implementation or results of our clinical trials;</w:t>
      </w:r>
    </w:p>
    <w:p>
      <w:pPr>
        <w:spacing w:after="0" w:line="115" w:lineRule="exact"/>
        <w:rPr>
          <w:rFonts w:ascii="Arial" w:cs="Arial" w:eastAsia="Arial" w:hAnsi="Arial"/>
          <w:sz w:val="17"/>
          <w:szCs w:val="17"/>
          <w:color w:val="auto"/>
        </w:rPr>
      </w:pPr>
    </w:p>
    <w:p>
      <w:pPr>
        <w:ind w:left="1020" w:right="180" w:hanging="503"/>
        <w:spacing w:after="0" w:line="248"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73"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potency and safety in the full population for which we seek approval;</w:t>
      </w:r>
    </w:p>
    <w:p>
      <w:pPr>
        <w:spacing w:after="0" w:line="62"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20" w:right="580" w:hanging="503"/>
        <w:spacing w:after="0" w:line="324"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16" w:lineRule="exact"/>
        <w:rPr>
          <w:rFonts w:ascii="Arial" w:cs="Arial" w:eastAsia="Arial" w:hAnsi="Arial"/>
          <w:sz w:val="16"/>
          <w:szCs w:val="16"/>
          <w:color w:val="auto"/>
        </w:rPr>
      </w:pPr>
    </w:p>
    <w:p>
      <w:pPr>
        <w:ind w:left="1020" w:right="180" w:hanging="503"/>
        <w:spacing w:after="0" w:line="261"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international regulatory authorities that a product candidate’s risk-benefit ratio for its proposed indication is acceptable;</w:t>
      </w:r>
    </w:p>
    <w:p>
      <w:pPr>
        <w:spacing w:after="0" w:line="62" w:lineRule="exact"/>
        <w:rPr>
          <w:rFonts w:ascii="Arial" w:cs="Arial" w:eastAsia="Arial" w:hAnsi="Arial"/>
          <w:sz w:val="18"/>
          <w:szCs w:val="18"/>
          <w:color w:val="auto"/>
        </w:rPr>
      </w:pPr>
    </w:p>
    <w:p>
      <w:pPr>
        <w:ind w:left="1020" w:right="940" w:hanging="503"/>
        <w:spacing w:after="0" w:line="324" w:lineRule="auto"/>
        <w:tabs>
          <w:tab w:leader="none" w:pos="10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16" w:lineRule="exact"/>
        <w:rPr>
          <w:rFonts w:ascii="Arial" w:cs="Arial" w:eastAsia="Arial" w:hAnsi="Arial"/>
          <w:sz w:val="16"/>
          <w:szCs w:val="16"/>
          <w:color w:val="auto"/>
        </w:rPr>
      </w:pPr>
    </w:p>
    <w:p>
      <w:pPr>
        <w:ind w:left="1020" w:right="20" w:hanging="503"/>
        <w:spacing w:after="0" w:line="244"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international foreign regulatory authorities may significantly change in a manner rendering our clinical data insufficient for approval.</w:t>
      </w: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1" w:name="page52"/>
    <w:bookmarkEnd w:id="51"/>
    <w:p>
      <w:pPr>
        <w:ind w:right="40" w:firstLine="509"/>
        <w:spacing w:after="0" w:line="243" w:lineRule="auto"/>
        <w:rPr>
          <w:sz w:val="20"/>
          <w:szCs w:val="20"/>
          <w:color w:val="auto"/>
        </w:rPr>
      </w:pPr>
      <w:r>
        <w:rPr>
          <w:rFonts w:ascii="Arial" w:cs="Arial" w:eastAsia="Arial" w:hAnsi="Arial"/>
          <w:sz w:val="18"/>
          <w:szCs w:val="18"/>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80"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ongoing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5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63"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The FDA granted Fast Track designation for evorpacept in combination with pembrolizumab, platinum, and fluorouracil for the first-line treatment of adult patients with metastatic or unresectable, recurrent HNSCC (February 2020) and for evorpacept in combination with trastuzumab, ramucirumab and paclitaxel for the treatment of patients with HER2-overexpressing advanced gastric or GEJ adenocarcinoma with disease progression on or after prior trastuzumab, and fluoropyrimidine or platinum-containing chemotherapy (January 2020).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7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63" w:lineRule="exact"/>
        <w:rPr>
          <w:sz w:val="20"/>
          <w:szCs w:val="20"/>
          <w:color w:val="auto"/>
        </w:rPr>
      </w:pPr>
    </w:p>
    <w:p>
      <w:pPr>
        <w:ind w:firstLine="509"/>
        <w:spacing w:after="0" w:line="249"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On January 27, 2022, the FDA’s Office of Orphan Products Development granted Orphan Drug Designation to evorpacept for treatment for gastric/GEJ cancer. We may seek Orphan Drug Designation for certain additional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2" w:name="page53"/>
    <w:bookmarkEnd w:id="52"/>
    <w:p>
      <w:pPr>
        <w:ind w:right="400"/>
        <w:spacing w:after="0" w:line="261"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63"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66"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demand for our drugs, if we obtain regulatory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drugs;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04"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67"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2031, subject to certain exceptions. Under current legislation, the actual reduction in Medicare payments will vary from 1% in 2022 to up to 3% in the final fiscal year of this sequester. Additionally, it is possible that additional governmental action will be taken in response to the ongoing COVID-19 pandemic, resulting in a material adverse effect on our business.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3" w:name="page54"/>
    <w:bookmarkEnd w:id="53"/>
    <w:p>
      <w:pPr>
        <w:ind w:firstLine="509"/>
        <w:spacing w:after="0" w:line="267" w:lineRule="auto"/>
        <w:rPr>
          <w:sz w:val="20"/>
          <w:szCs w:val="20"/>
          <w:color w:val="auto"/>
        </w:rPr>
      </w:pPr>
      <w:r>
        <w:rPr>
          <w:rFonts w:ascii="Arial" w:cs="Arial" w:eastAsia="Arial" w:hAnsi="Arial"/>
          <w:sz w:val="16"/>
          <w:szCs w:val="16"/>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to use step therapy for Part B drugs beginning January 1, 2020, codifying a policy change that was effective January 1, 2019. In 2020, the U.S. Department of Health and Human Services and CMS issued various rules that are expected to impact, among others, price reductions from pharmaceutical manufacturers to plan sponsors under Part D, fee arrangements between pharmacy benefit managers and manufacturers, importation of prescription drugs from Canada and other countries,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these rules implemented during the Trump administration. As a result, the Biden administration and HHS have delayed the implementation or published rules rescinding some of these Trump-era policies. Under the American Rescue Plan Act of 2021, effective January 1, 2024, the statutory cap on Medicaid Drug Rebate Programs rebates that manufacturers pay to state Medicaid programs will be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The implementation of cost containment measures or other healthcare reforms may prevent us from being able to generate revenue, attain profitability, or commercialize our product candidates if approved.</w:t>
      </w:r>
    </w:p>
    <w:p>
      <w:pPr>
        <w:spacing w:after="0" w:line="69"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w:t>
      </w:r>
    </w:p>
    <w:p>
      <w:pPr>
        <w:spacing w:after="0" w:line="66"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81" w:lineRule="exact"/>
        <w:rPr>
          <w:sz w:val="20"/>
          <w:szCs w:val="20"/>
          <w:color w:val="auto"/>
        </w:rPr>
      </w:pPr>
    </w:p>
    <w:p>
      <w:pPr>
        <w:jc w:val="both"/>
        <w:ind w:right="140" w:firstLine="509"/>
        <w:spacing w:after="0" w:line="251"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4" w:name="page55"/>
    <w:bookmarkEnd w:id="54"/>
    <w:p>
      <w:pPr>
        <w:ind w:firstLine="509"/>
        <w:spacing w:after="0" w:line="239" w:lineRule="auto"/>
        <w:rPr>
          <w:sz w:val="20"/>
          <w:szCs w:val="20"/>
          <w:color w:val="auto"/>
        </w:rPr>
      </w:pPr>
      <w:r>
        <w:rPr>
          <w:rFonts w:ascii="Arial" w:cs="Arial" w:eastAsia="Arial" w:hAnsi="Arial"/>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83"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80"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63" w:lineRule="exact"/>
        <w:rPr>
          <w:sz w:val="20"/>
          <w:szCs w:val="20"/>
          <w:color w:val="auto"/>
        </w:rPr>
      </w:pPr>
    </w:p>
    <w:p>
      <w:pPr>
        <w:ind w:left="1020" w:right="6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FCA.</w:t>
      </w:r>
    </w:p>
    <w:p>
      <w:pPr>
        <w:spacing w:after="0" w:line="81" w:lineRule="exact"/>
        <w:rPr>
          <w:rFonts w:ascii="Arial" w:cs="Arial" w:eastAsia="Arial" w:hAnsi="Arial"/>
          <w:sz w:val="18"/>
          <w:szCs w:val="18"/>
          <w:color w:val="auto"/>
        </w:rPr>
      </w:pPr>
    </w:p>
    <w:p>
      <w:pPr>
        <w:ind w:left="1020" w:right="220" w:hanging="503"/>
        <w:spacing w:after="0" w:line="252"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5" w:name="page56"/>
    <w:bookmarkEnd w:id="55"/>
    <w:p>
      <w:pPr>
        <w:ind w:left="503" w:right="100" w:hanging="503"/>
        <w:spacing w:after="0" w:line="259" w:lineRule="auto"/>
        <w:tabs>
          <w:tab w:leader="none" w:pos="503"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5" w:lineRule="exact"/>
        <w:rPr>
          <w:rFonts w:ascii="Arial" w:cs="Arial" w:eastAsia="Arial" w:hAnsi="Arial"/>
          <w:sz w:val="17"/>
          <w:szCs w:val="17"/>
          <w:color w:val="auto"/>
        </w:rPr>
      </w:pPr>
    </w:p>
    <w:p>
      <w:pPr>
        <w:ind w:left="523" w:hanging="517"/>
        <w:spacing w:after="0" w:line="241" w:lineRule="auto"/>
        <w:tabs>
          <w:tab w:leader="none" w:pos="5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1" w:lineRule="exact"/>
        <w:rPr>
          <w:rFonts w:ascii="Arial" w:cs="Arial" w:eastAsia="Arial" w:hAnsi="Arial"/>
          <w:sz w:val="18"/>
          <w:szCs w:val="18"/>
          <w:color w:val="auto"/>
        </w:rPr>
      </w:pPr>
    </w:p>
    <w:p>
      <w:pPr>
        <w:ind w:left="523" w:hanging="517"/>
        <w:spacing w:after="0" w:line="238" w:lineRule="auto"/>
        <w:tabs>
          <w:tab w:leader="none" w:pos="5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8"/>
          <w:szCs w:val="18"/>
          <w:i w:val="1"/>
          <w:iCs w:val="1"/>
          <w:color w:val="auto"/>
        </w:rPr>
        <w:t>i.e.</w:t>
      </w:r>
      <w:r>
        <w:rPr>
          <w:rFonts w:ascii="Arial" w:cs="Arial" w:eastAsia="Arial" w:hAnsi="Arial"/>
          <w:sz w:val="18"/>
          <w:szCs w:val="18"/>
          <w:color w:val="auto"/>
        </w:rPr>
        <w:t>,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85" w:lineRule="exact"/>
        <w:rPr>
          <w:rFonts w:ascii="Arial" w:cs="Arial" w:eastAsia="Arial" w:hAnsi="Arial"/>
          <w:sz w:val="18"/>
          <w:szCs w:val="18"/>
          <w:color w:val="auto"/>
        </w:rPr>
      </w:pPr>
    </w:p>
    <w:p>
      <w:pPr>
        <w:ind w:left="523" w:right="520" w:hanging="517"/>
        <w:spacing w:after="0" w:line="261" w:lineRule="auto"/>
        <w:tabs>
          <w:tab w:leader="none" w:pos="52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U.S. Federal Food, Drug and Cosmetic Act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523" w:right="120" w:hanging="517"/>
        <w:spacing w:after="0" w:line="257" w:lineRule="auto"/>
        <w:tabs>
          <w:tab w:leader="none" w:pos="523"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67" w:lineRule="exact"/>
        <w:rPr>
          <w:rFonts w:ascii="Arial" w:cs="Arial" w:eastAsia="Arial" w:hAnsi="Arial"/>
          <w:sz w:val="17"/>
          <w:szCs w:val="17"/>
          <w:color w:val="auto"/>
        </w:rPr>
      </w:pPr>
    </w:p>
    <w:p>
      <w:pPr>
        <w:ind w:left="523" w:right="160" w:hanging="517"/>
        <w:spacing w:after="0" w:line="251" w:lineRule="auto"/>
        <w:tabs>
          <w:tab w:leader="none" w:pos="523"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4"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52070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436" w:right="379" w:bottom="1440" w:gutter="0" w:footer="0" w:header="0"/>
        </w:sectPr>
      </w:pPr>
    </w:p>
    <w:bookmarkStart w:id="56" w:name="page57"/>
    <w:bookmarkEnd w:id="56"/>
    <w:p>
      <w:pPr>
        <w:ind w:left="1020" w:right="40" w:hanging="503"/>
        <w:spacing w:after="0" w:line="271"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60" w:lineRule="exact"/>
        <w:rPr>
          <w:rFonts w:ascii="Arial" w:cs="Arial" w:eastAsia="Arial" w:hAnsi="Arial"/>
          <w:sz w:val="16"/>
          <w:szCs w:val="16"/>
          <w:color w:val="auto"/>
        </w:rPr>
      </w:pPr>
    </w:p>
    <w:p>
      <w:pPr>
        <w:ind w:left="1020" w:right="26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also impose legal requirements, including reporting requirements detailing interactions with and payments to healthcare providers.</w:t>
      </w:r>
    </w:p>
    <w:p>
      <w:pPr>
        <w:spacing w:after="0" w:line="63"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75"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74" w:lineRule="exact"/>
        <w:rPr>
          <w:sz w:val="20"/>
          <w:szCs w:val="20"/>
          <w:color w:val="auto"/>
        </w:rPr>
      </w:pPr>
    </w:p>
    <w:p>
      <w:pPr>
        <w:ind w:right="20" w:firstLine="509"/>
        <w:spacing w:after="0" w:line="265" w:lineRule="auto"/>
        <w:rPr>
          <w:sz w:val="20"/>
          <w:szCs w:val="20"/>
          <w:color w:val="auto"/>
        </w:rPr>
      </w:pPr>
      <w:r>
        <w:rPr>
          <w:rFonts w:ascii="Arial" w:cs="Arial" w:eastAsia="Arial" w:hAnsi="Arial"/>
          <w:sz w:val="16"/>
          <w:szCs w:val="16"/>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27"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72" w:lineRule="exact"/>
        <w:rPr>
          <w:sz w:val="20"/>
          <w:szCs w:val="20"/>
          <w:color w:val="auto"/>
        </w:rPr>
      </w:pPr>
    </w:p>
    <w:p>
      <w:pPr>
        <w:ind w:right="300"/>
        <w:spacing w:after="0" w:line="322"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1"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In response to the ongoing COVID-19 pandemic and travel restrictions, the FDA has issued industry guidance regarding plans to employ remote interactive evaluations, using risk management methods, to meet user fee commitments and goal dates as well as plans to continue progress toward resuming standard operational levels. Should the FDA determine that an inspection is necessary for approval and an inspection cannot be completed during the review cycle due to restrictions on travel, and the FDA does not determine a remote interactive evaluation to be adequate, the FDA has stated that it generally intends to issue a complete response letter or defer action on the application until an inspection can be completed. FDA review timelines could be extended due to COVID-19 related reasons. Additional policies or changes to current policies may be implemented in the future. If global health concerns continue to prevent the FDA or other regulatory authorities from conducting their regular inspections, reviews, or other regulatory activities,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spacing w:after="0" w:line="72" w:lineRule="exact"/>
        <w:rPr>
          <w:sz w:val="20"/>
          <w:szCs w:val="20"/>
          <w:color w:val="auto"/>
        </w:rPr>
      </w:pPr>
    </w:p>
    <w:p>
      <w:pPr>
        <w:jc w:val="both"/>
        <w:ind w:right="420"/>
        <w:spacing w:after="0" w:line="248" w:lineRule="auto"/>
        <w:rPr>
          <w:sz w:val="20"/>
          <w:szCs w:val="20"/>
          <w:color w:val="auto"/>
        </w:rPr>
      </w:pPr>
      <w:r>
        <w:rPr>
          <w:rFonts w:ascii="Arial" w:cs="Arial" w:eastAsia="Arial" w:hAnsi="Arial"/>
          <w:sz w:val="18"/>
          <w:szCs w:val="18"/>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74"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8" w:name="page59"/>
    <w:bookmarkEnd w:id="58"/>
    <w:p>
      <w:pPr>
        <w:ind w:right="20" w:firstLine="509"/>
        <w:spacing w:after="0" w:line="268" w:lineRule="auto"/>
        <w:rPr>
          <w:sz w:val="20"/>
          <w:szCs w:val="20"/>
          <w:color w:val="auto"/>
        </w:rPr>
      </w:pPr>
      <w:r>
        <w:rPr>
          <w:rFonts w:ascii="Arial" w:cs="Arial" w:eastAsia="Arial" w:hAnsi="Arial"/>
          <w:sz w:val="16"/>
          <w:szCs w:val="16"/>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67"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81" w:lineRule="exact"/>
        <w:rPr>
          <w:sz w:val="20"/>
          <w:szCs w:val="20"/>
          <w:color w:val="auto"/>
        </w:rPr>
      </w:pPr>
    </w:p>
    <w:p>
      <w:pPr>
        <w:spacing w:after="0" w:line="291" w:lineRule="auto"/>
        <w:rPr>
          <w:sz w:val="20"/>
          <w:szCs w:val="20"/>
          <w:color w:val="auto"/>
        </w:rPr>
      </w:pPr>
      <w:r>
        <w:rPr>
          <w:rFonts w:ascii="Arial" w:cs="Arial" w:eastAsia="Arial" w:hAnsi="Arial"/>
          <w:sz w:val="17"/>
          <w:szCs w:val="17"/>
          <w:b w:val="1"/>
          <w:bCs w:val="1"/>
          <w:i w:val="1"/>
          <w:iCs w:val="1"/>
          <w:color w:val="auto"/>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spacing w:after="0" w:line="3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may collect, process, use or transfer personal information from individuals located in the European Economic Area, or EEA, Switzerland and the United Kingdom in connection with our business, including in connection with conducting clinical trials in these regions.</w:t>
      </w:r>
    </w:p>
    <w:p>
      <w:pPr>
        <w:spacing w:after="0" w:line="63" w:lineRule="exact"/>
        <w:rPr>
          <w:sz w:val="20"/>
          <w:szCs w:val="20"/>
          <w:color w:val="auto"/>
        </w:rPr>
      </w:pPr>
    </w:p>
    <w:p>
      <w:pPr>
        <w:ind w:right="160" w:firstLine="509"/>
        <w:spacing w:after="0" w:line="253" w:lineRule="auto"/>
        <w:rPr>
          <w:sz w:val="20"/>
          <w:szCs w:val="20"/>
          <w:color w:val="auto"/>
        </w:rPr>
      </w:pPr>
      <w:r>
        <w:rPr>
          <w:rFonts w:ascii="Arial" w:cs="Arial" w:eastAsia="Arial" w:hAnsi="Arial"/>
          <w:sz w:val="17"/>
          <w:szCs w:val="17"/>
          <w:color w:val="auto"/>
        </w:rPr>
        <w:t>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GDPR, or the Swiss Federal Act on Data Protection of June 19, 1992,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w:t>
      </w:r>
    </w:p>
    <w:p>
      <w:pPr>
        <w:spacing w:after="0" w:line="76"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Failure to comply with the GDPR, UK GDPR, FADP, or related national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spacing w:after="0" w:line="74" w:lineRule="exact"/>
        <w:rPr>
          <w:sz w:val="20"/>
          <w:szCs w:val="20"/>
          <w:color w:val="auto"/>
        </w:rPr>
      </w:pPr>
    </w:p>
    <w:p>
      <w:pPr>
        <w:ind w:right="840" w:firstLine="509"/>
        <w:spacing w:after="0" w:line="244" w:lineRule="auto"/>
        <w:rPr>
          <w:sz w:val="20"/>
          <w:szCs w:val="20"/>
          <w:color w:val="auto"/>
        </w:rPr>
      </w:pPr>
      <w:r>
        <w:rPr>
          <w:rFonts w:ascii="Arial" w:cs="Arial" w:eastAsia="Arial" w:hAnsi="Arial"/>
          <w:sz w:val="18"/>
          <w:szCs w:val="18"/>
          <w:color w:val="auto"/>
        </w:rPr>
        <w:t>The GDPR, UK GDPR and FADP also restrict the transfer of personal information outside of the EEA, United Kingdom and Switzerland respectively, unless appropriate safeguards are in place.</w:t>
      </w: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9" w:name="page60"/>
    <w:bookmarkEnd w:id="59"/>
    <w:p>
      <w:pPr>
        <w:ind w:right="140" w:firstLine="509"/>
        <w:spacing w:after="0" w:line="259" w:lineRule="auto"/>
        <w:rPr>
          <w:sz w:val="20"/>
          <w:szCs w:val="20"/>
          <w:color w:val="auto"/>
        </w:rPr>
      </w:pPr>
      <w:r>
        <w:rPr>
          <w:rFonts w:ascii="Arial" w:cs="Arial" w:eastAsia="Arial" w:hAnsi="Arial"/>
          <w:sz w:val="17"/>
          <w:szCs w:val="17"/>
          <w:color w:val="auto"/>
        </w:rPr>
        <w:t>One of the primary safeguards, the Standard Contractual Clauses adopted by the European Commission, have been recently updated. Any existing data transfer arrangement that relies on the previous version of the Standard Contractual Clauses needs to be updated by December 27, 2022, which could increase our costs. With regard to the data transfers outside of the EEA to the United States, in March 2022, the European Union and United States announced a political agreement on a new framework for personal information transfers. Once this framework has been formalized and officially adopted, we may consider relying on it to transfer personal information from the EEA to the United States.</w:t>
      </w:r>
    </w:p>
    <w:p>
      <w:pPr>
        <w:spacing w:after="0" w:line="66"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Further, Brexit has created uncertainty with regard to data protection regulation in the United Kingdom. Although the European Commission granted “adequacy” status to the United Kingdom in June 2021, and personal information can flow from the European Union to the United Kingdom and back, the United Kingdom is expected to change its policy with respect to the export of personal information to third countries, such as the United States, and the European Commission’s adequacy determination for the United Kingdom requires renewal after four years and it may be modified or revoked in the interim. In addition, in February 2022, the United Kingdom’s Information Commissioner’s Office issued new Standard Contractual Clauses for the transfer of personal information outside of the United Kingdom. Any existing data transfer arrangement that relies on the previous version of the Standard Contractual Clauses needs to be updated by March 21, 2024, which could increase our costs.</w:t>
      </w:r>
    </w:p>
    <w:p>
      <w:pPr>
        <w:spacing w:after="0" w:line="7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We may, therefore, incur liabilities, expenses, costs, and other operational losses under the GDPR, UK GDPR, the FADP and applicable laws and regulations of European Union Member States in connection with any measures we take to comply with them.</w:t>
      </w:r>
    </w:p>
    <w:p>
      <w:pPr>
        <w:spacing w:after="0" w:line="63"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w:t>
      </w:r>
    </w:p>
    <w:p>
      <w:pPr>
        <w:spacing w:after="0" w:line="73" w:lineRule="exact"/>
        <w:rPr>
          <w:sz w:val="20"/>
          <w:szCs w:val="20"/>
          <w:color w:val="auto"/>
        </w:rPr>
      </w:pPr>
    </w:p>
    <w:p>
      <w:pPr>
        <w:ind w:right="20" w:firstLine="509"/>
        <w:spacing w:after="0" w:line="265" w:lineRule="auto"/>
        <w:rPr>
          <w:sz w:val="20"/>
          <w:szCs w:val="20"/>
          <w:color w:val="auto"/>
        </w:rPr>
      </w:pPr>
      <w:r>
        <w:rPr>
          <w:rFonts w:ascii="Arial" w:cs="Arial" w:eastAsia="Arial" w:hAnsi="Arial"/>
          <w:sz w:val="16"/>
          <w:szCs w:val="16"/>
          <w:color w:val="auto"/>
        </w:rPr>
        <w:t>Additionally, a new privacy law, the California Privacy Rights Act, or the CPRA, was approved by California voters in the election on November 3, 2020. The CPRA modifies the CCPA significantly, potentially resulting in further uncertainty and requiring us to incur additional costs and expenses in an effort to comply. Regulations to the CPRA were to be finalized by July 1, 2022; however, the California Privacy Protection Agency (the agency responsible for promulgating the regulations) announced on February 17, 2022 that it will not publish final regulations until the third or fourth quarter of 2022, adding further uncertainty to our compliance obligations. Other states are beginning to consider and pass similar laws such as Virginia, Colorado and Utah. On March 2, 2021, Virginia enacted the Virginia Consumer Data Protection Act, or CDPA, which becomes effective on January 1, 2023; on June 8, 2021, Colorado enacted the Colorado Privacy Act, or CPA, which takes effect on July 1, 2023; and on March 24, 2022, Utah enacted the Utah Consumer Privacy Act, or UCPA, which becomes effective on December 31, 2023. The CPA, CDPA, and UCPA share similarities with the CCPA, CPRA, and legislation proposed in other states. As we expand our operations, preclinical studies and clinical trials, these new state laws and other state laws and regulations relating to privacy and data security may increase our compliance costs and potential liability. 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we are unable to obtain, maintain and enforce patent protection for our product candidates and related technology, our business could be materially harmed.</w:t>
      </w:r>
    </w:p>
    <w:p>
      <w:pPr>
        <w:spacing w:after="0" w:line="63" w:lineRule="exact"/>
        <w:rPr>
          <w:sz w:val="20"/>
          <w:szCs w:val="20"/>
          <w:color w:val="auto"/>
        </w:rPr>
      </w:pPr>
    </w:p>
    <w:p>
      <w:pPr>
        <w:ind w:firstLine="515"/>
        <w:spacing w:after="0" w:line="252"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72" w:lineRule="exact"/>
        <w:rPr>
          <w:sz w:val="20"/>
          <w:szCs w:val="20"/>
          <w:color w:val="auto"/>
        </w:rPr>
      </w:pPr>
    </w:p>
    <w:p>
      <w:pPr>
        <w:ind w:firstLine="515"/>
        <w:spacing w:after="0" w:line="274" w:lineRule="auto"/>
        <w:rPr>
          <w:sz w:val="20"/>
          <w:szCs w:val="20"/>
          <w:color w:val="auto"/>
        </w:rPr>
      </w:pPr>
      <w:r>
        <w:rPr>
          <w:rFonts w:ascii="Arial" w:cs="Arial" w:eastAsia="Arial" w:hAnsi="Arial"/>
          <w:sz w:val="16"/>
          <w:szCs w:val="16"/>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opposition or derivation proceedings challenging our patent rights or the patent rights of others.</w:t>
      </w:r>
    </w:p>
    <w:p>
      <w:pPr>
        <w:spacing w:after="0" w:line="55" w:lineRule="exact"/>
        <w:rPr>
          <w:sz w:val="20"/>
          <w:szCs w:val="20"/>
          <w:color w:val="auto"/>
        </w:rPr>
      </w:pPr>
    </w:p>
    <w:p>
      <w:pPr>
        <w:ind w:firstLine="515"/>
        <w:spacing w:after="0" w:line="265" w:lineRule="auto"/>
        <w:rPr>
          <w:sz w:val="20"/>
          <w:szCs w:val="20"/>
          <w:color w:val="auto"/>
        </w:rPr>
      </w:pPr>
      <w:r>
        <w:rPr>
          <w:rFonts w:ascii="Arial" w:cs="Arial" w:eastAsia="Arial" w:hAnsi="Arial"/>
          <w:sz w:val="16"/>
          <w:szCs w:val="16"/>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61" w:name="page62"/>
    <w:bookmarkEnd w:id="61"/>
    <w:p>
      <w:pPr>
        <w:ind w:right="60" w:firstLine="509"/>
        <w:spacing w:after="0" w:line="276" w:lineRule="auto"/>
        <w:rPr>
          <w:sz w:val="20"/>
          <w:szCs w:val="20"/>
          <w:color w:val="auto"/>
        </w:rPr>
      </w:pPr>
      <w:r>
        <w:rPr>
          <w:rFonts w:ascii="Arial" w:cs="Arial" w:eastAsia="Arial" w:hAnsi="Arial"/>
          <w:sz w:val="16"/>
          <w:szCs w:val="16"/>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7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In Europe, no earlier than October 1, 2022,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8"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as well as maintenance of Eurasian patents in Russia. These actions could result in abandonment or lapse of our patents or patent applications, resulting in partial or complete loss of patent rights in Russia. As of May 3, 2022, our portfolio includes one granted patent in Russia, four pending applications in Russia, one granted patent in Eurasia, and one pending application in Eurasia.</w:t>
      </w:r>
    </w:p>
    <w:p>
      <w:pPr>
        <w:spacing w:after="0" w:line="7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Additionally, the requirements for patentability may differ in certain countries. For example, in India, unlike the United States, there is no link between regulatory approval of a drug and its patent status, and patenting of medical uses of a claimed drug are 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2" w:name="page63"/>
    <w:bookmarkEnd w:id="62"/>
    <w:p>
      <w:pPr>
        <w:ind w:right="16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4"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6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63"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72"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61" w:lineRule="exact"/>
        <w:rPr>
          <w:sz w:val="20"/>
          <w:szCs w:val="20"/>
          <w:color w:val="auto"/>
        </w:rPr>
      </w:pPr>
    </w:p>
    <w:p>
      <w:pPr>
        <w:jc w:val="both"/>
        <w:ind w:right="100" w:firstLine="509"/>
        <w:spacing w:after="0" w:line="279" w:lineRule="auto"/>
        <w:rPr>
          <w:sz w:val="20"/>
          <w:szCs w:val="20"/>
          <w:color w:val="auto"/>
        </w:rPr>
      </w:pPr>
      <w:r>
        <w:rPr>
          <w:rFonts w:ascii="Arial" w:cs="Arial" w:eastAsia="Arial" w:hAnsi="Arial"/>
          <w:sz w:val="16"/>
          <w:szCs w:val="16"/>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6"/>
          <w:szCs w:val="16"/>
          <w:i w:val="1"/>
          <w:iCs w:val="1"/>
          <w:color w:val="auto"/>
        </w:rPr>
        <w:t>e.g.</w:t>
      </w:r>
      <w:r>
        <w:rPr>
          <w:rFonts w:ascii="Arial" w:cs="Arial" w:eastAsia="Arial" w:hAnsi="Arial"/>
          <w:sz w:val="16"/>
          <w:szCs w:val="16"/>
          <w:color w:val="auto"/>
        </w:rPr>
        <w:t xml:space="preserve">, via post-grant reviews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51"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 first challenged by the third party as a defendant in a district court action.</w:t>
      </w:r>
    </w:p>
    <w:p>
      <w:pPr>
        <w:spacing w:after="0" w:line="63" w:lineRule="exact"/>
        <w:rPr>
          <w:sz w:val="20"/>
          <w:szCs w:val="20"/>
          <w:color w:val="auto"/>
        </w:rPr>
      </w:pPr>
    </w:p>
    <w:p>
      <w:pPr>
        <w:jc w:val="both"/>
        <w:ind w:right="520" w:firstLine="509"/>
        <w:spacing w:after="0"/>
        <w:rPr>
          <w:sz w:val="20"/>
          <w:szCs w:val="20"/>
          <w:color w:val="auto"/>
        </w:rPr>
      </w:pPr>
      <w:r>
        <w:rPr>
          <w:rFonts w:ascii="Arial" w:cs="Arial" w:eastAsia="Arial" w:hAnsi="Arial"/>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Our patents covering one or more of our product candidates could be found invalid or unenforceable if challenged.</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76"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81"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prosecution, assertion and defense for some of our product candidates may be dependent on third parties.</w:t>
      </w:r>
    </w:p>
    <w:p>
      <w:pPr>
        <w:spacing w:after="0" w:line="104" w:lineRule="exact"/>
        <w:rPr>
          <w:sz w:val="20"/>
          <w:szCs w:val="20"/>
          <w:color w:val="auto"/>
        </w:rPr>
      </w:pPr>
    </w:p>
    <w:p>
      <w:pPr>
        <w:ind w:right="20" w:firstLine="509"/>
        <w:spacing w:after="0" w:line="266" w:lineRule="auto"/>
        <w:rPr>
          <w:sz w:val="20"/>
          <w:szCs w:val="20"/>
          <w:color w:val="auto"/>
        </w:rPr>
      </w:pPr>
      <w:r>
        <w:rPr>
          <w:rFonts w:ascii="Arial" w:cs="Arial" w:eastAsia="Arial" w:hAnsi="Arial"/>
          <w:sz w:val="16"/>
          <w:szCs w:val="16"/>
          <w:color w:val="auto"/>
        </w:rPr>
        <w:t>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4" w:name="page65"/>
    <w:bookmarkEnd w:id="64"/>
    <w:p>
      <w:pPr>
        <w:ind w:right="680"/>
        <w:spacing w:after="0" w:line="26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63"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273" w:lineRule="exact"/>
        <w:rPr>
          <w:sz w:val="20"/>
          <w:szCs w:val="20"/>
          <w:color w:val="auto"/>
        </w:rPr>
      </w:pPr>
    </w:p>
    <w:p>
      <w:pPr>
        <w:ind w:right="140" w:firstLine="509"/>
        <w:spacing w:after="0" w:line="271" w:lineRule="auto"/>
        <w:rPr>
          <w:sz w:val="20"/>
          <w:szCs w:val="20"/>
          <w:color w:val="auto"/>
        </w:rPr>
      </w:pPr>
      <w:r>
        <w:rPr>
          <w:rFonts w:ascii="Arial" w:cs="Arial" w:eastAsia="Arial" w:hAnsi="Arial"/>
          <w:sz w:val="16"/>
          <w:szCs w:val="16"/>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lawsuits to protect or enforce our patents and trade secrets, which could be expensive, time-consuming and unsuccessful.</w:t>
      </w:r>
    </w:p>
    <w:p>
      <w:pPr>
        <w:spacing w:after="0" w:line="138"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5" w:name="page66"/>
    <w:bookmarkEnd w:id="65"/>
    <w:p>
      <w:pPr>
        <w:ind w:right="60" w:firstLine="509"/>
        <w:spacing w:after="0" w:line="259"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66" w:lineRule="exact"/>
        <w:rPr>
          <w:sz w:val="20"/>
          <w:szCs w:val="20"/>
          <w:color w:val="auto"/>
        </w:rPr>
      </w:pPr>
    </w:p>
    <w:p>
      <w:pPr>
        <w:ind w:right="360" w:firstLine="509"/>
        <w:spacing w:after="0" w:line="261" w:lineRule="auto"/>
        <w:rPr>
          <w:sz w:val="20"/>
          <w:szCs w:val="20"/>
          <w:color w:val="auto"/>
        </w:rPr>
      </w:pPr>
      <w:r>
        <w:rPr>
          <w:rFonts w:ascii="Arial" w:cs="Arial" w:eastAsia="Arial" w:hAnsi="Arial"/>
          <w:sz w:val="18"/>
          <w:szCs w:val="18"/>
          <w:color w:val="auto"/>
        </w:rPr>
        <w:t>The following are examples of litigation and other adversarial proceedings or disputes that we could become a party to involving our patents or patents licensed to us:</w:t>
      </w:r>
    </w:p>
    <w:p>
      <w:pPr>
        <w:spacing w:after="0" w:line="63"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initiate litigation or other proceedings against third parties to enforce our patent and trade secret rights;</w:t>
      </w:r>
    </w:p>
    <w:p>
      <w:pPr>
        <w:spacing w:after="0" w:line="103" w:lineRule="exact"/>
        <w:rPr>
          <w:rFonts w:ascii="Arial" w:cs="Arial" w:eastAsia="Arial" w:hAnsi="Arial"/>
          <w:sz w:val="18"/>
          <w:szCs w:val="18"/>
          <w:color w:val="auto"/>
        </w:rPr>
      </w:pPr>
    </w:p>
    <w:p>
      <w:pPr>
        <w:ind w:left="1020" w:right="28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62"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62" w:lineRule="exact"/>
        <w:rPr>
          <w:rFonts w:ascii="Arial" w:cs="Arial" w:eastAsia="Arial" w:hAnsi="Arial"/>
          <w:sz w:val="18"/>
          <w:szCs w:val="18"/>
          <w:color w:val="auto"/>
        </w:rPr>
      </w:pPr>
    </w:p>
    <w:p>
      <w:pPr>
        <w:ind w:left="1020" w:right="60" w:hanging="503"/>
        <w:spacing w:after="0" w:line="270"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55" w:lineRule="exact"/>
        <w:rPr>
          <w:rFonts w:ascii="Arial" w:cs="Arial" w:eastAsia="Arial" w:hAnsi="Arial"/>
          <w:sz w:val="17"/>
          <w:szCs w:val="17"/>
          <w:color w:val="auto"/>
        </w:rPr>
      </w:pPr>
    </w:p>
    <w:p>
      <w:pPr>
        <w:ind w:left="1020" w:right="120" w:hanging="503"/>
        <w:spacing w:after="0" w:line="248"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7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59" w:lineRule="exact"/>
        <w:rPr>
          <w:sz w:val="20"/>
          <w:szCs w:val="20"/>
          <w:color w:val="auto"/>
        </w:rPr>
      </w:pPr>
    </w:p>
    <w:p>
      <w:pPr>
        <w:ind w:right="80" w:firstLine="509"/>
        <w:spacing w:after="0" w:line="251"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6" w:name="page67"/>
    <w:bookmarkEnd w:id="66"/>
    <w:p>
      <w:pPr>
        <w:ind w:right="540"/>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63"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the patents and other proprietary rights of third parties.</w:t>
      </w:r>
    </w:p>
    <w:p>
      <w:pPr>
        <w:spacing w:after="0" w:line="127"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80" w:lineRule="exact"/>
        <w:rPr>
          <w:sz w:val="20"/>
          <w:szCs w:val="20"/>
          <w:color w:val="auto"/>
        </w:rPr>
      </w:pPr>
    </w:p>
    <w:p>
      <w:pPr>
        <w:ind w:right="80" w:firstLine="509"/>
        <w:spacing w:after="0" w:line="251" w:lineRule="auto"/>
        <w:rPr>
          <w:sz w:val="20"/>
          <w:szCs w:val="20"/>
          <w:color w:val="auto"/>
        </w:rPr>
      </w:pPr>
      <w:r>
        <w:rPr>
          <w:rFonts w:ascii="Arial" w:cs="Arial" w:eastAsia="Arial" w:hAnsi="Arial"/>
          <w:sz w:val="17"/>
          <w:szCs w:val="17"/>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(and related applications in other jurisdictions) owned by University Health Network, or UHN, and The Hospital for Sick Children that may encompass certain therapies for the treatment of cancer using polypeptides comprising soluble human SIRPα.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European Patent Office and UHN and The Hospital for Sick Children have appealed the decision. The patent claims under the European patent, if the appeal by UHN and The Hospital for Sick Children is successful, could potentially limit our ability to pursue evorpacept in certain new indications or geographies in the future. However, we believe that we do not infringe claims listed in U.S. patent 10,907,209.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81" w:lineRule="exact"/>
        <w:rPr>
          <w:sz w:val="20"/>
          <w:szCs w:val="20"/>
          <w:color w:val="auto"/>
        </w:rPr>
      </w:pPr>
    </w:p>
    <w:p>
      <w:pPr>
        <w:ind w:right="140" w:firstLine="509"/>
        <w:spacing w:after="0" w:line="251"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7" w:name="page68"/>
    <w:bookmarkEnd w:id="67"/>
    <w:p>
      <w:pPr>
        <w:ind w:firstLine="509"/>
        <w:spacing w:after="0" w:line="270" w:lineRule="auto"/>
        <w:rPr>
          <w:sz w:val="20"/>
          <w:szCs w:val="20"/>
          <w:color w:val="auto"/>
        </w:rPr>
      </w:pPr>
      <w:r>
        <w:rPr>
          <w:rFonts w:ascii="Arial" w:cs="Arial" w:eastAsia="Arial" w:hAnsi="Arial"/>
          <w:sz w:val="17"/>
          <w:szCs w:val="17"/>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04" w:lineRule="exact"/>
        <w:rPr>
          <w:sz w:val="20"/>
          <w:szCs w:val="20"/>
          <w:color w:val="auto"/>
        </w:rPr>
      </w:pPr>
    </w:p>
    <w:p>
      <w:pPr>
        <w:ind w:right="60" w:firstLine="509"/>
        <w:spacing w:after="0" w:line="291"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9" w:lineRule="exact"/>
        <w:rPr>
          <w:sz w:val="20"/>
          <w:szCs w:val="20"/>
          <w:color w:val="auto"/>
        </w:rPr>
      </w:pPr>
    </w:p>
    <w:p>
      <w:pPr>
        <w:ind w:left="1020" w:right="26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03" w:lineRule="exact"/>
        <w:rPr>
          <w:rFonts w:ascii="Arial" w:cs="Arial" w:eastAsia="Arial" w:hAnsi="Arial"/>
          <w:sz w:val="18"/>
          <w:szCs w:val="18"/>
          <w:color w:val="auto"/>
        </w:rPr>
      </w:pPr>
    </w:p>
    <w:p>
      <w:pPr>
        <w:ind w:left="1020" w:right="76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20" w:right="240" w:hanging="503"/>
        <w:spacing w:after="0" w:line="248"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73" w:lineRule="exact"/>
        <w:rPr>
          <w:rFonts w:ascii="Arial" w:cs="Arial" w:eastAsia="Arial" w:hAnsi="Arial"/>
          <w:sz w:val="18"/>
          <w:szCs w:val="18"/>
          <w:color w:val="auto"/>
        </w:rPr>
      </w:pPr>
    </w:p>
    <w:p>
      <w:pPr>
        <w:ind w:left="1020" w:right="720" w:hanging="503"/>
        <w:spacing w:after="0" w:line="291"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03" w:lineRule="exact"/>
        <w:rPr>
          <w:rFonts w:ascii="Arial" w:cs="Arial" w:eastAsia="Arial" w:hAnsi="Arial"/>
          <w:sz w:val="18"/>
          <w:szCs w:val="18"/>
          <w:color w:val="auto"/>
        </w:rPr>
      </w:pPr>
    </w:p>
    <w:p>
      <w:pPr>
        <w:ind w:left="1020" w:right="60" w:hanging="503"/>
        <w:spacing w:after="0" w:line="291" w:lineRule="auto"/>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20" w:right="24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104"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63"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i w:val="1"/>
          <w:iCs w:val="1"/>
          <w:color w:val="auto"/>
        </w:rPr>
        <w:t>Our rights to develop and commercialize our product candidates may be subject, in part, to the terms and conditions of agreements with others.</w:t>
      </w:r>
    </w:p>
    <w:p>
      <w:pPr>
        <w:spacing w:after="0" w:line="127"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47"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60"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87"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7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Moreover, disputes may arise regarding intellectual property subject to a collaboration agreement, including:</w:t>
      </w:r>
    </w:p>
    <w:p>
      <w:pPr>
        <w:spacing w:after="0" w:line="104"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the option or license rights granted under the agreement and other interpretation-related issues;</w:t>
      </w:r>
    </w:p>
    <w:p>
      <w:pPr>
        <w:spacing w:after="0" w:line="103" w:lineRule="exact"/>
        <w:rPr>
          <w:rFonts w:ascii="Arial" w:cs="Arial" w:eastAsia="Arial" w:hAnsi="Arial"/>
          <w:sz w:val="18"/>
          <w:szCs w:val="18"/>
          <w:color w:val="auto"/>
        </w:rPr>
      </w:pPr>
    </w:p>
    <w:p>
      <w:pPr>
        <w:ind w:left="1020" w:right="500" w:hanging="503"/>
        <w:spacing w:after="0" w:line="244"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collaborator that is not subject to the option or license rights granted under the agreement;</w:t>
      </w: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9" w:name="page70"/>
    <w:bookmarkEnd w:id="69"/>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diligence obligations under the agreement and what activities satisfy those diligence obligations;</w:t>
      </w:r>
    </w:p>
    <w:p>
      <w:pPr>
        <w:spacing w:after="0" w:line="103" w:lineRule="exact"/>
        <w:rPr>
          <w:rFonts w:ascii="Arial" w:cs="Arial" w:eastAsia="Arial" w:hAnsi="Arial"/>
          <w:sz w:val="18"/>
          <w:szCs w:val="18"/>
          <w:color w:val="auto"/>
        </w:rPr>
      </w:pPr>
    </w:p>
    <w:p>
      <w:pPr>
        <w:ind w:left="1020" w:right="800" w:hanging="503"/>
        <w:spacing w:after="0" w:line="261"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collaborators and us and our other partners;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04"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0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As of March 31, 2022, we had 44 employees, including 31 employees engaged in research and development. In order to successfully implement our development and commercialization plans and strategies, and as we continue to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80"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03" w:lineRule="exact"/>
        <w:rPr>
          <w:rFonts w:ascii="Arial" w:cs="Arial" w:eastAsia="Arial" w:hAnsi="Arial"/>
          <w:sz w:val="18"/>
          <w:szCs w:val="18"/>
          <w:color w:val="auto"/>
        </w:rPr>
      </w:pPr>
    </w:p>
    <w:p>
      <w:pPr>
        <w:ind w:left="1020" w:right="280" w:hanging="503"/>
        <w:spacing w:after="0" w:line="291"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including the clinical and FDA review process for evorpacept and any other future product candidates, while complying with any contractual obligations to contractors and other third parties we may have; and</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evorpacept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3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55"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candidates are based on a novel technology, which makes it difficult to predict the time and cost of product candidate development.</w:t>
      </w:r>
    </w:p>
    <w:p>
      <w:pPr>
        <w:spacing w:after="0" w:line="12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6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3" w:lineRule="exact"/>
        <w:rPr>
          <w:sz w:val="20"/>
          <w:szCs w:val="20"/>
          <w:color w:val="auto"/>
        </w:rPr>
      </w:pPr>
    </w:p>
    <w:p>
      <w:pPr>
        <w:ind w:right="160" w:firstLine="509"/>
        <w:spacing w:after="0" w:line="269" w:lineRule="auto"/>
        <w:rPr>
          <w:sz w:val="20"/>
          <w:szCs w:val="20"/>
          <w:color w:val="auto"/>
        </w:rPr>
      </w:pPr>
      <w:r>
        <w:rPr>
          <w:rFonts w:ascii="Arial" w:cs="Arial" w:eastAsia="Arial" w:hAnsi="Arial"/>
          <w:sz w:val="16"/>
          <w:szCs w:val="16"/>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71" w:name="page72"/>
    <w:bookmarkEnd w:id="71"/>
    <w:p>
      <w:pPr>
        <w:ind w:firstLine="509"/>
        <w:spacing w:after="0" w:line="270" w:lineRule="auto"/>
        <w:rPr>
          <w:sz w:val="20"/>
          <w:szCs w:val="20"/>
          <w:color w:val="auto"/>
        </w:rPr>
      </w:pPr>
      <w:r>
        <w:rPr>
          <w:rFonts w:ascii="Arial" w:cs="Arial" w:eastAsia="Arial" w:hAnsi="Arial"/>
          <w:sz w:val="16"/>
          <w:szCs w:val="16"/>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w:t>
      </w:r>
    </w:p>
    <w:p>
      <w:pPr>
        <w:spacing w:after="0" w:line="63"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7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3"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67" w:lineRule="exact"/>
        <w:rPr>
          <w:sz w:val="20"/>
          <w:szCs w:val="20"/>
          <w:color w:val="auto"/>
        </w:rPr>
      </w:pPr>
    </w:p>
    <w:p>
      <w:pPr>
        <w:ind w:left="1020" w:right="280" w:hanging="503"/>
        <w:spacing w:after="0" w:line="248"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 including as a result of potentially relevant third-party patent rights;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2" w:name="page73"/>
    <w:bookmarkEnd w:id="72"/>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03" w:lineRule="exact"/>
        <w:rPr>
          <w:rFonts w:ascii="Arial" w:cs="Arial" w:eastAsia="Arial" w:hAnsi="Arial"/>
          <w:sz w:val="18"/>
          <w:szCs w:val="18"/>
          <w:color w:val="auto"/>
        </w:rPr>
      </w:pPr>
    </w:p>
    <w:p>
      <w:pPr>
        <w:ind w:left="1020" w:right="22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drugs;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political and economic instability, such as the geopolitical tensions and regional economic disruptions caused by Russia’s war with Ukraine, and including wars, terrorism and political unrest, boycotts, curtailment of trade and other business restrictions;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natural disasters, outbreaks or public health crises, such as the ongoing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03" w:lineRule="exact"/>
        <w:rPr>
          <w:rFonts w:ascii="Arial" w:cs="Arial" w:eastAsia="Arial" w:hAnsi="Arial"/>
          <w:sz w:val="18"/>
          <w:szCs w:val="18"/>
          <w:color w:val="auto"/>
        </w:rPr>
      </w:pPr>
    </w:p>
    <w:p>
      <w:pPr>
        <w:ind w:left="1020" w:right="180" w:hanging="503"/>
        <w:spacing w:after="0" w:line="291" w:lineRule="auto"/>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factors could harm our future international expansion and operations and, consequently, our results of operations.</w:t>
      </w:r>
    </w:p>
    <w:p>
      <w:pPr>
        <w:spacing w:after="0" w:line="104" w:lineRule="exact"/>
        <w:rPr>
          <w:sz w:val="20"/>
          <w:szCs w:val="20"/>
          <w:color w:val="auto"/>
        </w:rPr>
      </w:pPr>
    </w:p>
    <w:p>
      <w:pPr>
        <w:ind w:right="20"/>
        <w:spacing w:after="0" w:line="356"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83"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5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63" w:lineRule="exact"/>
        <w:rPr>
          <w:sz w:val="20"/>
          <w:szCs w:val="20"/>
          <w:color w:val="auto"/>
        </w:rPr>
      </w:pPr>
    </w:p>
    <w:p>
      <w:pPr>
        <w:ind w:right="140" w:firstLine="509"/>
        <w:spacing w:after="0" w:line="251"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3" w:name="page74"/>
    <w:bookmarkEnd w:id="73"/>
    <w:p>
      <w:pPr>
        <w:ind w:right="140" w:firstLine="509"/>
        <w:spacing w:after="0" w:line="243"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80"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83"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39" w:lineRule="exact"/>
        <w:rPr>
          <w:sz w:val="20"/>
          <w:szCs w:val="20"/>
          <w:color w:val="auto"/>
        </w:rPr>
      </w:pPr>
    </w:p>
    <w:p>
      <w:pPr>
        <w:ind w:right="340" w:firstLine="509"/>
        <w:spacing w:after="0" w:line="262" w:lineRule="auto"/>
        <w:rPr>
          <w:sz w:val="20"/>
          <w:szCs w:val="20"/>
          <w:color w:val="auto"/>
        </w:rPr>
      </w:pPr>
      <w:r>
        <w:rPr>
          <w:rFonts w:ascii="Arial" w:cs="Arial" w:eastAsia="Arial" w:hAnsi="Arial"/>
          <w:sz w:val="17"/>
          <w:szCs w:val="17"/>
          <w:color w:val="auto"/>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ongoing COVID-19 pandemic could adversely impact our business including our ongoing and planned clinical trials and preclinical research.</w:t>
      </w:r>
    </w:p>
    <w:p>
      <w:pPr>
        <w:spacing w:after="0" w:line="127"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More than two years after the World Health Organization characterized COVID-19 as a pandemic, the COVID-19 pandemic continues to impact worldwide economic activity and financial markets. The extent to which the ongoing COVID-19 pandemic ultimately impacts our business will depend on future developments, which are highly uncertain and cannot be predicted, such as the duration of the outbreak, including current and subsequent variants of COVID-19,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we may experience disruptions that could severely impact our business, current and planned clinical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trials and preclinical research, including:</w:t>
      </w:r>
    </w:p>
    <w:p>
      <w:pPr>
        <w:spacing w:after="0" w:line="116" w:lineRule="exact"/>
        <w:rPr>
          <w:sz w:val="20"/>
          <w:szCs w:val="20"/>
          <w:color w:val="auto"/>
        </w:rPr>
      </w:pPr>
    </w:p>
    <w:p>
      <w:pPr>
        <w:ind w:left="1020" w:right="12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subjects, particularly elderly subjects, who are at a higher risk of severe illness or death from COVID-19, in our ongoing clinical trials of evorpacept and our future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difficulties interpreting data from our clinical trials due to the possible effects of COVID-19 on subjects;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rFonts w:ascii="Arial" w:cs="Arial" w:eastAsia="Arial" w:hAnsi="Arial"/>
          <w:sz w:val="18"/>
          <w:szCs w:val="18"/>
          <w:color w:val="auto"/>
        </w:rPr>
      </w:pPr>
    </w:p>
    <w:p>
      <w:pPr>
        <w:ind w:left="1020" w:right="400" w:hanging="503"/>
        <w:spacing w:after="0" w:line="26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jc w:val="both"/>
        <w:ind w:left="1020" w:right="80" w:hanging="503"/>
        <w:spacing w:after="0" w:line="270"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55" w:lineRule="exact"/>
        <w:rPr>
          <w:rFonts w:ascii="Arial" w:cs="Arial" w:eastAsia="Arial" w:hAnsi="Arial"/>
          <w:sz w:val="17"/>
          <w:szCs w:val="17"/>
          <w:color w:val="auto"/>
        </w:rPr>
      </w:pPr>
    </w:p>
    <w:p>
      <w:pPr>
        <w:ind w:left="1020" w:right="620" w:hanging="503"/>
        <w:spacing w:after="0" w:line="244"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ongoing COVID-19 pandemic;</w:t>
      </w: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4" w:name="page75"/>
    <w:bookmarkEnd w:id="74"/>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in receiving approval from regulatory authorities to initiate our clinical trials;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the CROs conducting such studies;</w:t>
      </w:r>
    </w:p>
    <w:p>
      <w:pPr>
        <w:spacing w:after="0" w:line="103"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other domestic or foreign regulatory authorities, which may impact review and approval timelines;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in receiving the supplies, materials and services needed to conduct clinical trials and preclinical research;</w:t>
      </w:r>
    </w:p>
    <w:p>
      <w:pPr>
        <w:spacing w:after="0" w:line="103" w:lineRule="exact"/>
        <w:rPr>
          <w:rFonts w:ascii="Arial" w:cs="Arial" w:eastAsia="Arial" w:hAnsi="Arial"/>
          <w:sz w:val="18"/>
          <w:szCs w:val="18"/>
          <w:color w:val="auto"/>
        </w:rPr>
      </w:pPr>
    </w:p>
    <w:p>
      <w:pPr>
        <w:ind w:left="1020" w:right="440" w:hanging="503"/>
        <w:spacing w:after="0" w:line="324" w:lineRule="auto"/>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changes in regulations as part of a response to the ongoing COVID-19 pandemic which may require us to change the ways in which our clinical trials are conducted, which may result in unexpected costs or require us to discontinue the clinical trial altogether;</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interruptions or delays to our development pipeline;</w:t>
      </w:r>
    </w:p>
    <w:p>
      <w:pPr>
        <w:spacing w:after="0" w:line="103"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forced furlough of government or contractor personnel;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of the United States.</w:t>
      </w:r>
    </w:p>
    <w:p>
      <w:pPr>
        <w:spacing w:after="0" w:line="104" w:lineRule="exact"/>
        <w:rPr>
          <w:sz w:val="20"/>
          <w:szCs w:val="20"/>
          <w:color w:val="auto"/>
        </w:rPr>
      </w:pPr>
    </w:p>
    <w:p>
      <w:pPr>
        <w:ind w:right="80" w:firstLine="515"/>
        <w:spacing w:after="0"/>
        <w:rPr>
          <w:sz w:val="20"/>
          <w:szCs w:val="20"/>
          <w:color w:val="auto"/>
        </w:rPr>
      </w:pPr>
      <w:r>
        <w:rPr>
          <w:rFonts w:ascii="Arial" w:cs="Arial" w:eastAsia="Arial" w:hAnsi="Arial"/>
          <w:sz w:val="18"/>
          <w:szCs w:val="18"/>
          <w:color w:val="auto"/>
        </w:rPr>
        <w:t>The ongoing COVID-19 pandemic continues to pose a threat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or due to shutdowns that may be requested or mandated by federal, state and local governmental authorities. Currently, our employees are following a hybrid work model that enables work in our South San Francisco office with flexibility to work from home, as needed. We continue to closely monitor the pandemic and may adjust our current policies as appropriate based on relevant public health guidance and local conditions.</w:t>
      </w:r>
    </w:p>
    <w:p>
      <w:pPr>
        <w:spacing w:after="0" w:line="81" w:lineRule="exact"/>
        <w:rPr>
          <w:sz w:val="20"/>
          <w:szCs w:val="20"/>
          <w:color w:val="auto"/>
        </w:rPr>
      </w:pPr>
    </w:p>
    <w:p>
      <w:pPr>
        <w:ind w:firstLine="515"/>
        <w:spacing w:after="0" w:line="250" w:lineRule="auto"/>
        <w:rPr>
          <w:sz w:val="20"/>
          <w:szCs w:val="20"/>
          <w:color w:val="auto"/>
        </w:rPr>
      </w:pPr>
      <w:r>
        <w:rPr>
          <w:rFonts w:ascii="Arial" w:cs="Arial" w:eastAsia="Arial" w:hAnsi="Arial"/>
          <w:sz w:val="17"/>
          <w:szCs w:val="17"/>
          <w:color w:val="auto"/>
        </w:rPr>
        <w:t>Additionally, certain third parties with whom we engage or may engage, including collaborators, contract organizations, third-party manufacturers, suppliers, clinical trial sites, regulators and other third parties are similarly adjusting their operations and assessing their capacity in light of the ongoing COVID-19 pandemic. If these third parties experience shutdowns or continued business disruptions, our ability to conduct our business in the manner and on the timelines presently planned could be materially and negatively impacted. For example, as a result of the ongoing COVID-19 pandemic, there could be delays in the procurement of materials or manufacturing supply chains for one or more of our product candidates, which could delay or otherwise impact our preclinical studies and our planned clinical trials. Additionally, all of our preclinical studies are conducted by CROs, which could be discontinued or delayed as a result of the pandemic. It is also likely that the disproportionate impact of COVID-19 on hospitals and clinical sites will have an impact on recruitment and retention for our planned clinical trials. CROs have also made certain adjustments to the operation of such trials in an effort to ensure the monitoring and safety of patients and minimize risks to trial integrity during the pandemic in accordance with the guidance issued by the FDA and may need to make further adjustments in the future that could impact the timing or enrollment of our clinical trials. Many of these adjustments are new and untested, may not be effective, may increase costs and may have unforeseen effects on the enrollment, progress and completion of these trials and the findings from these trials. While we are currently continuing our clinical trials and preclinical studies, we may experience delays in the completion of our clinical trials, preclinical activities and subject enrollment, may need to suspend our clinical trials and may encounter other negative impacts to such trials due to the effects of the ongoing COVID-19 pandemic.</w:t>
      </w: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5" w:name="page76"/>
    <w:bookmarkEnd w:id="75"/>
    <w:p>
      <w:pPr>
        <w:ind w:firstLine="509"/>
        <w:spacing w:after="0" w:line="268" w:lineRule="auto"/>
        <w:rPr>
          <w:sz w:val="20"/>
          <w:szCs w:val="20"/>
          <w:color w:val="auto"/>
        </w:rPr>
      </w:pPr>
      <w:r>
        <w:rPr>
          <w:rFonts w:ascii="Arial" w:cs="Arial" w:eastAsia="Arial" w:hAnsi="Arial"/>
          <w:sz w:val="16"/>
          <w:szCs w:val="16"/>
          <w:color w:val="auto"/>
        </w:rPr>
        <w:t>Further, as a result of the ongoing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cGCPs,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ongoing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6"/>
          <w:szCs w:val="16"/>
          <w:i w:val="1"/>
          <w:iCs w:val="1"/>
          <w:color w:val="auto"/>
        </w:rPr>
        <w:t>e.g.</w:t>
      </w:r>
      <w:r>
        <w:rPr>
          <w:rFonts w:ascii="Arial" w:cs="Arial" w:eastAsia="Arial" w:hAnsi="Arial"/>
          <w:sz w:val="16"/>
          <w:szCs w:val="16"/>
          <w:color w:val="auto"/>
        </w:rPr>
        <w:t>,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w:t>
      </w:r>
    </w:p>
    <w:p>
      <w:pPr>
        <w:spacing w:after="0" w:line="67" w:lineRule="exact"/>
        <w:rPr>
          <w:sz w:val="20"/>
          <w:szCs w:val="20"/>
          <w:color w:val="auto"/>
        </w:rPr>
      </w:pPr>
    </w:p>
    <w:p>
      <w:pPr>
        <w:ind w:right="60" w:firstLine="515"/>
        <w:spacing w:after="0" w:line="248" w:lineRule="auto"/>
        <w:rPr>
          <w:sz w:val="20"/>
          <w:szCs w:val="20"/>
          <w:color w:val="auto"/>
        </w:rPr>
      </w:pPr>
      <w:r>
        <w:rPr>
          <w:rFonts w:ascii="Arial" w:cs="Arial" w:eastAsia="Arial" w:hAnsi="Arial"/>
          <w:sz w:val="18"/>
          <w:szCs w:val="18"/>
          <w:color w:val="auto"/>
        </w:rPr>
        <w:t>The ongoing COVID-19 pandemic continues to rapidly evolve. While the extent of the impact of the ongoing COVID-19 pandemic on our business and financial results is uncertain, a continued and prolonged public health crisis such as the ongoing COVID-19 pandemic could have a material negative impact on our business, financial condition and operating results.</w:t>
      </w:r>
    </w:p>
    <w:p>
      <w:pPr>
        <w:spacing w:after="0" w:line="74"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To the extent the ongoing COVID-19 pandemic adversely affects our business and financial results, it may also have the effect of heightening many of the other risks described in this section and in this “Risk Factors” section.</w:t>
      </w:r>
    </w:p>
    <w:p>
      <w:pPr>
        <w:spacing w:after="0" w:line="6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80"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auto"/>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class of cancer immunotherapeutics.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60" w:lineRule="exact"/>
        <w:rPr>
          <w:sz w:val="20"/>
          <w:szCs w:val="20"/>
          <w:color w:val="auto"/>
        </w:rPr>
      </w:pPr>
    </w:p>
    <w:p>
      <w:pPr>
        <w:ind w:right="20" w:firstLine="515"/>
        <w:spacing w:after="0" w:line="251"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6" w:name="page77"/>
    <w:bookmarkEnd w:id="76"/>
    <w:p>
      <w:pPr>
        <w:ind w:firstLine="509"/>
        <w:spacing w:after="0" w:line="252" w:lineRule="auto"/>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2" w:lineRule="exact"/>
        <w:rPr>
          <w:sz w:val="20"/>
          <w:szCs w:val="20"/>
          <w:color w:val="auto"/>
        </w:rPr>
      </w:pPr>
    </w:p>
    <w:p>
      <w:pPr>
        <w:ind w:firstLine="515"/>
        <w:spacing w:after="0" w:line="252"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businesses or assets and we may not realize the benefits of such acquisitions.</w:t>
      </w:r>
    </w:p>
    <w:p>
      <w:pPr>
        <w:spacing w:after="0" w:line="104"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We may acquire businesses or assets or create joint ventures with third parties that we believe may complement our existing product candidates. For example, on October 4, 2021, we entered into a share purchase agreement with ScalmiBio, Inc., or ScalmiBio, with plans to develop new anti-cancer drug candidates based on ScalmiBio’s platform and to enhance our internal research and development capabilities. In order to realize the benefits of the ScalmiBio acquisition, we will need to make a substantial investment of time and resources to support research and development efforts, including hiring additional skilled research personnel. Additionally, we may not be able to realize the benefit of acquiring such businesses or assets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55" w:lineRule="exact"/>
        <w:rPr>
          <w:sz w:val="20"/>
          <w:szCs w:val="20"/>
          <w:color w:val="auto"/>
        </w:rPr>
      </w:pPr>
    </w:p>
    <w:p>
      <w:pPr>
        <w:ind w:right="300" w:firstLine="509"/>
        <w:spacing w:after="0" w:line="253" w:lineRule="auto"/>
        <w:rPr>
          <w:sz w:val="20"/>
          <w:szCs w:val="20"/>
          <w:color w:val="auto"/>
        </w:rPr>
      </w:pPr>
      <w:r>
        <w:rPr>
          <w:rFonts w:ascii="Arial" w:cs="Arial" w:eastAsia="Arial" w:hAnsi="Arial"/>
          <w:sz w:val="17"/>
          <w:szCs w:val="17"/>
          <w:color w:val="auto"/>
        </w:rPr>
        <w:t>Also, the anticipated benefit of any joint venture or acquisition may not materialize or such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04" w:lineRule="exact"/>
        <w:rPr>
          <w:sz w:val="20"/>
          <w:szCs w:val="20"/>
          <w:color w:val="auto"/>
        </w:rPr>
      </w:pPr>
    </w:p>
    <w:p>
      <w:pPr>
        <w:ind w:right="100" w:firstLine="509"/>
        <w:spacing w:after="0" w:line="272" w:lineRule="auto"/>
        <w:rPr>
          <w:sz w:val="20"/>
          <w:szCs w:val="20"/>
          <w:color w:val="auto"/>
        </w:rPr>
      </w:pPr>
      <w:r>
        <w:rPr>
          <w:rFonts w:ascii="Arial" w:cs="Arial" w:eastAsia="Arial" w:hAnsi="Arial"/>
          <w:sz w:val="16"/>
          <w:szCs w:val="16"/>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subsequent shifts in our stock ownership, some of which are outside our control. As of December 31, 2021, we had net operating loss carryforwards of approximately $47.1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will begin to expire beginning in 2038.</w:t>
      </w:r>
    </w:p>
    <w:p>
      <w:pPr>
        <w:spacing w:after="0" w:line="60"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As of December 31, 2021, we had Irish net operating loss carryforwards of approximately $5.6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our business and financial condition</w:t>
      </w:r>
    </w:p>
    <w:p>
      <w:pPr>
        <w:spacing w:after="0" w:line="104" w:lineRule="exact"/>
        <w:rPr>
          <w:sz w:val="20"/>
          <w:szCs w:val="20"/>
          <w:color w:val="auto"/>
        </w:rPr>
      </w:pPr>
    </w:p>
    <w:p>
      <w:pPr>
        <w:ind w:right="20" w:firstLine="554"/>
        <w:spacing w:after="0" w:line="267" w:lineRule="auto"/>
        <w:rPr>
          <w:sz w:val="20"/>
          <w:szCs w:val="20"/>
          <w:color w:val="auto"/>
        </w:rPr>
      </w:pPr>
      <w:r>
        <w:rPr>
          <w:rFonts w:ascii="Arial" w:cs="Arial" w:eastAsia="Arial" w:hAnsi="Arial"/>
          <w:sz w:val="16"/>
          <w:szCs w:val="16"/>
          <w:color w:val="auto"/>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eliminates the option to deduct domestic research and development costs in the year incurred and instead requires taxpayers to amortize such costs over five years. The Company is currently evaluating the potential impact. In addition, the current Biden Administration has proposed numerous changes to U.S. federal income tax law, including an increase to the U.S. corporate income tax rate and modifications of the provisions addressing taxation of international business operations. Such changes, if enacted, may adversely affect our effective tax rates, cash flows and general business condition.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sustained for our common stock.</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80"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63" w:lineRule="exact"/>
        <w:rPr>
          <w:sz w:val="20"/>
          <w:szCs w:val="20"/>
          <w:color w:val="auto"/>
        </w:rPr>
      </w:pPr>
    </w:p>
    <w:p>
      <w:pPr>
        <w:ind w:right="240" w:firstLine="509"/>
        <w:spacing w:after="0" w:line="276" w:lineRule="auto"/>
        <w:rPr>
          <w:sz w:val="20"/>
          <w:szCs w:val="20"/>
          <w:color w:val="auto"/>
        </w:rPr>
      </w:pPr>
      <w:r>
        <w:rPr>
          <w:rFonts w:ascii="Arial" w:cs="Arial" w:eastAsia="Arial" w:hAnsi="Arial"/>
          <w:sz w:val="16"/>
          <w:szCs w:val="16"/>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we filed a Shelf Registration Statement, which provides for aggregate offerings of up to $450.0 million of the Company’s securities inclusive of up to $150.0 million of shares of our common stock through at-the-market offerings. If we issue common stock or securities convertible into common stock, our common stockholders would experience additional dilution and, as a result, our stock price may decline.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04"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The trading price of our common stock may be highly volatile and subject to wide fluctuations in response to various factors, some of which are beyond our control. In addition to those discussed in this “Risk Factors” section and elsewhere in this Quarterly Report on Form 10-Q, the following factors may cause the market price of our common stock to fluctuate:</w:t>
      </w:r>
    </w:p>
    <w:p>
      <w:pPr>
        <w:spacing w:after="0" w:line="74"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and timing of our preclinical studies and clinical trials and studies and trials of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any future approved products;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developments or enforcement in the United States and foreign countries with respect to our product candidates or our competitors’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our growth and development relative to our competitors;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introduction of new product candidates or technological innovations by us or our competitors;</w:t>
      </w:r>
    </w:p>
    <w:p>
      <w:pPr>
        <w:spacing w:after="0" w:line="103" w:lineRule="exact"/>
        <w:rPr>
          <w:rFonts w:ascii="Arial" w:cs="Arial" w:eastAsia="Arial" w:hAnsi="Arial"/>
          <w:sz w:val="18"/>
          <w:szCs w:val="18"/>
          <w:color w:val="auto"/>
        </w:rPr>
      </w:pPr>
    </w:p>
    <w:p>
      <w:pPr>
        <w:ind w:left="1020" w:right="38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announcements by us, our future strategic partners or our competitors of significant acquisitions, strategic partnerships, joint ventures or capital commitments;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estimates or recommendations by securities analysts, if any cover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public concern over our product candidates or any future approved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future sales of our common stock by us, our insiders or our other stockholders;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 in the United States or overseas;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9" w:name="page80"/>
    <w:bookmarkEnd w:id="79"/>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w:t>
      </w:r>
    </w:p>
    <w:p>
      <w:pPr>
        <w:spacing w:after="0" w:line="103" w:lineRule="exact"/>
        <w:rPr>
          <w:rFonts w:ascii="Arial" w:cs="Arial" w:eastAsia="Arial" w:hAnsi="Arial"/>
          <w:sz w:val="18"/>
          <w:szCs w:val="18"/>
          <w:color w:val="auto"/>
        </w:rPr>
      </w:pPr>
    </w:p>
    <w:p>
      <w:pPr>
        <w:ind w:left="1020" w:right="16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macroeconomic conditions, such as inflation, disasters, and medical or public health crises, including the impact of the ongoing COVID-19 pandemic and the ongoing geopolitical unrest related to Russia’s war with Ukraine;</w:t>
      </w:r>
    </w:p>
    <w:p>
      <w:pPr>
        <w:spacing w:after="0" w:line="62" w:lineRule="exact"/>
        <w:rPr>
          <w:rFonts w:ascii="Arial" w:cs="Arial" w:eastAsia="Arial" w:hAnsi="Arial"/>
          <w:sz w:val="18"/>
          <w:szCs w:val="18"/>
          <w:color w:val="auto"/>
        </w:rPr>
      </w:pPr>
    </w:p>
    <w:p>
      <w:pPr>
        <w:ind w:left="1020" w:right="32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period-to-period fluctuations in our financial condition and results of operations, including the timing of payment or receipt of any future milestone or other payments under commercialization or licensing agreements;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overall fluctuations in U.S. equity markets, general market conditions and market conditions for biotechnology stocks;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factors that may be unanticipated or out of our control.</w:t>
      </w:r>
    </w:p>
    <w:p>
      <w:pPr>
        <w:spacing w:after="0" w:line="104"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addition, the stock market has recently experienced significant volatility, particularly with respect to biotechnology and other life sciences company stocks as a result of the ongoing COVID-19 pandemic.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8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3"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81" w:lineRule="exact"/>
        <w:rPr>
          <w:sz w:val="20"/>
          <w:szCs w:val="20"/>
          <w:color w:val="auto"/>
        </w:rPr>
      </w:pPr>
    </w:p>
    <w:p>
      <w:pPr>
        <w:jc w:val="both"/>
        <w:ind w:right="120" w:firstLine="509"/>
        <w:spacing w:after="0" w:line="243"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80"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3" w:lineRule="exact"/>
        <w:rPr>
          <w:sz w:val="20"/>
          <w:szCs w:val="20"/>
          <w:color w:val="auto"/>
        </w:rPr>
      </w:pPr>
    </w:p>
    <w:p>
      <w:pPr>
        <w:ind w:left="1020" w:right="380" w:hanging="503"/>
        <w:spacing w:after="0" w:line="248"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enroll subjects in clinical trials and the timing of enrollment;</w:t>
      </w:r>
    </w:p>
    <w:p>
      <w:pPr>
        <w:spacing w:after="0" w:line="103" w:lineRule="exact"/>
        <w:rPr>
          <w:rFonts w:ascii="Arial" w:cs="Arial" w:eastAsia="Arial" w:hAnsi="Arial"/>
          <w:sz w:val="18"/>
          <w:szCs w:val="18"/>
          <w:color w:val="auto"/>
        </w:rPr>
      </w:pPr>
    </w:p>
    <w:p>
      <w:pPr>
        <w:ind w:left="1020" w:right="140" w:hanging="503"/>
        <w:spacing w:after="0" w:line="248"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timing and outcomes of clinical trials for evorpacept, and any of our other product candidates, or competing product candidates;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0" w:name="page81"/>
    <w:bookmarkEnd w:id="80"/>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03"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evorpacept and any of our other product candidates, and changes in the competitive landscape of our industry, including consolidation among our competitors or partners;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delays in regulatory review or approval of evorpacept or any of our other product candidates;</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level of demand for evorpacept and any of our other product candidates, if approved, which may fluctuate significantly and be difficult to predict;</w:t>
      </w:r>
    </w:p>
    <w:p>
      <w:pPr>
        <w:spacing w:after="0" w:line="62" w:lineRule="exact"/>
        <w:rPr>
          <w:rFonts w:ascii="Arial" w:cs="Arial" w:eastAsia="Arial" w:hAnsi="Arial"/>
          <w:sz w:val="18"/>
          <w:szCs w:val="18"/>
          <w:color w:val="auto"/>
        </w:rPr>
      </w:pPr>
    </w:p>
    <w:p>
      <w:pPr>
        <w:ind w:left="1020" w:right="8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evorpacept and any of our other product candidates;</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commercialize evorpacept and any of our other product candidates, if approved, inside and outside of the United States, either independently or working with third parties;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ongoing COVID-19 pandemic;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04" w:lineRule="exact"/>
        <w:rPr>
          <w:sz w:val="20"/>
          <w:szCs w:val="20"/>
          <w:color w:val="auto"/>
        </w:rPr>
      </w:pPr>
    </w:p>
    <w:p>
      <w:pPr>
        <w:ind w:right="560" w:firstLine="509"/>
        <w:spacing w:after="0" w:line="270"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As of March 31, 2022, we had 40,656,632 shares of our common stock outstanding. If our stockholders sell, or the market perceives that our stockholders intend to sell, substantial amount of our common stock in the public market, the market price of our common stock could decline significantly.</w:t>
      </w:r>
    </w:p>
    <w:p>
      <w:pPr>
        <w:spacing w:after="0" w:line="56"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74" w:lineRule="exact"/>
        <w:rPr>
          <w:sz w:val="20"/>
          <w:szCs w:val="20"/>
          <w:color w:val="auto"/>
        </w:rPr>
      </w:pPr>
    </w:p>
    <w:p>
      <w:pPr>
        <w:jc w:val="both"/>
        <w:ind w:right="60" w:firstLine="509"/>
        <w:spacing w:after="0" w:line="271" w:lineRule="auto"/>
        <w:rPr>
          <w:sz w:val="20"/>
          <w:szCs w:val="20"/>
          <w:color w:val="auto"/>
        </w:rPr>
      </w:pPr>
      <w:r>
        <w:rPr>
          <w:rFonts w:ascii="Arial" w:cs="Arial" w:eastAsia="Arial" w:hAnsi="Arial"/>
          <w:sz w:val="16"/>
          <w:szCs w:val="16"/>
          <w:color w:val="auto"/>
        </w:rPr>
        <w:t>In addition, any sales of shares of common stock or other securities under our Shelf Registration Statement, including pursuant to our at-the-market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w:t>
      </w:r>
    </w:p>
    <w:p>
      <w:pPr>
        <w:ind w:right="80"/>
        <w:spacing w:after="0" w:line="234" w:lineRule="auto"/>
        <w:rPr>
          <w:sz w:val="20"/>
          <w:szCs w:val="20"/>
          <w:color w:val="auto"/>
        </w:rPr>
      </w:pPr>
      <w:r>
        <w:rPr>
          <w:rFonts w:ascii="Arial" w:cs="Arial" w:eastAsia="Arial" w:hAnsi="Arial"/>
          <w:sz w:val="18"/>
          <w:szCs w:val="18"/>
          <w:color w:val="auto"/>
        </w:rPr>
        <w:t>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1" w:name="page82"/>
    <w:bookmarkEnd w:id="81"/>
    <w:p>
      <w:pPr>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and will continue to incur significant increased costs and management resources as a result of operating as a public company.</w:t>
      </w:r>
    </w:p>
    <w:p>
      <w:pPr>
        <w:spacing w:after="0" w:line="12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have incurred and will continue to incur significant legal, accounting, compliance and other expenses as a public company and these expenses may increase even more given that we were no longer an “emerging growth company” as of December 31, 2021. Our management and other personnel need to devote a substantial amount of time and incur significant expense in connection with compliance initiatives. For example, as a public company, we must adopt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81"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In addition, during the first quarter of 2021, we implemented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72" w:lineRule="exact"/>
        <w:rPr>
          <w:sz w:val="20"/>
          <w:szCs w:val="20"/>
          <w:color w:val="auto"/>
        </w:rPr>
      </w:pPr>
    </w:p>
    <w:p>
      <w:pPr>
        <w:ind w:right="20" w:firstLine="509"/>
        <w:spacing w:after="0" w:line="250"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initial public offering, we increased our directors’ and officers’ insurance coverage, which substantially increased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2" w:name="page83"/>
    <w:bookmarkEnd w:id="82"/>
    <w:p>
      <w:pPr>
        <w:ind w:right="480"/>
        <w:spacing w:after="0" w:line="261" w:lineRule="auto"/>
        <w:rPr>
          <w:sz w:val="20"/>
          <w:szCs w:val="20"/>
          <w:color w:val="auto"/>
        </w:rPr>
      </w:pPr>
      <w:r>
        <w:rPr>
          <w:rFonts w:ascii="Arial" w:cs="Arial" w:eastAsia="Arial" w:hAnsi="Arial"/>
          <w:sz w:val="18"/>
          <w:szCs w:val="18"/>
          <w:b w:val="1"/>
          <w:bCs w:val="1"/>
          <w:i w:val="1"/>
          <w:iCs w:val="1"/>
          <w:color w:val="auto"/>
        </w:rPr>
        <w:t>Effective as of December 31, 2021, we became a large accelerated filer and were no longer an emerging growth company. We are not able to take advantage of the reduced disclosure requirements applicable to emerging growth companies.</w:t>
      </w:r>
    </w:p>
    <w:p>
      <w:pPr>
        <w:spacing w:after="0" w:line="63" w:lineRule="exact"/>
        <w:rPr>
          <w:sz w:val="20"/>
          <w:szCs w:val="20"/>
          <w:color w:val="auto"/>
        </w:rPr>
      </w:pPr>
    </w:p>
    <w:p>
      <w:pPr>
        <w:ind w:right="280" w:firstLine="509"/>
        <w:spacing w:after="0" w:line="291" w:lineRule="auto"/>
        <w:rPr>
          <w:sz w:val="20"/>
          <w:szCs w:val="20"/>
          <w:color w:val="auto"/>
        </w:rPr>
      </w:pPr>
      <w:r>
        <w:rPr>
          <w:rFonts w:ascii="Arial" w:cs="Arial" w:eastAsia="Arial" w:hAnsi="Arial"/>
          <w:sz w:val="17"/>
          <w:szCs w:val="17"/>
          <w:color w:val="auto"/>
        </w:rPr>
        <w:t>As a result of our public float (the market value of our common shares held by non-affiliates) as of June 30, 2021, we became a large accelerated filer as of December 31, 2021 and therefore no longer qualified as an “emerging growth company,” as defined in the JOBS Act.</w:t>
      </w:r>
    </w:p>
    <w:p>
      <w:pPr>
        <w:spacing w:after="0" w:line="39" w:lineRule="exact"/>
        <w:rPr>
          <w:sz w:val="20"/>
          <w:szCs w:val="20"/>
          <w:color w:val="auto"/>
        </w:rPr>
      </w:pPr>
    </w:p>
    <w:p>
      <w:pPr>
        <w:ind w:right="520" w:firstLine="509"/>
        <w:spacing w:after="0" w:line="291" w:lineRule="auto"/>
        <w:rPr>
          <w:sz w:val="20"/>
          <w:szCs w:val="20"/>
          <w:color w:val="auto"/>
        </w:rPr>
      </w:pPr>
      <w:r>
        <w:rPr>
          <w:rFonts w:ascii="Arial" w:cs="Arial" w:eastAsia="Arial" w:hAnsi="Arial"/>
          <w:sz w:val="17"/>
          <w:szCs w:val="17"/>
          <w:color w:val="auto"/>
        </w:rPr>
        <w:t>As a large accelerated filer, we are subject to certain disclosure and compliance requirements that apply to other public companies but did not previously apply to us due to our status as an emerging growth company. These requirements include, but are not limited to:</w:t>
      </w:r>
    </w:p>
    <w:p>
      <w:pPr>
        <w:spacing w:after="0" w:line="39" w:lineRule="exact"/>
        <w:rPr>
          <w:sz w:val="20"/>
          <w:szCs w:val="20"/>
          <w:color w:val="auto"/>
        </w:rPr>
      </w:pPr>
    </w:p>
    <w:p>
      <w:pPr>
        <w:ind w:left="900" w:hanging="383"/>
        <w:spacing w:after="0" w:line="261"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requirement that our independent registered public accounting firm attest to the effectiveness of our internal control over financial reporting under Section 404(b) of the Sarbanes-Oxley Act of 2002;</w:t>
      </w:r>
    </w:p>
    <w:p>
      <w:pPr>
        <w:spacing w:after="0" w:line="62" w:lineRule="exact"/>
        <w:rPr>
          <w:rFonts w:ascii="Arial" w:cs="Arial" w:eastAsia="Arial" w:hAnsi="Arial"/>
          <w:sz w:val="18"/>
          <w:szCs w:val="18"/>
          <w:color w:val="auto"/>
        </w:rPr>
      </w:pPr>
    </w:p>
    <w:p>
      <w:pPr>
        <w:ind w:left="900" w:right="240" w:hanging="383"/>
        <w:spacing w:after="0" w:line="261"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Public Company Accounting Oversight Board regarding mandatory audit firm rotation;</w:t>
      </w:r>
    </w:p>
    <w:p>
      <w:pPr>
        <w:spacing w:after="0" w:line="62" w:lineRule="exact"/>
        <w:rPr>
          <w:rFonts w:ascii="Arial" w:cs="Arial" w:eastAsia="Arial" w:hAnsi="Arial"/>
          <w:sz w:val="18"/>
          <w:szCs w:val="18"/>
          <w:color w:val="auto"/>
        </w:rPr>
      </w:pPr>
    </w:p>
    <w:p>
      <w:pPr>
        <w:ind w:left="900" w:hanging="383"/>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requirement that we provide full and more detailed disclosures regarding executive compensation; and</w:t>
      </w:r>
    </w:p>
    <w:p>
      <w:pPr>
        <w:spacing w:after="0" w:line="103" w:lineRule="exact"/>
        <w:rPr>
          <w:rFonts w:ascii="Arial" w:cs="Arial" w:eastAsia="Arial" w:hAnsi="Arial"/>
          <w:sz w:val="18"/>
          <w:szCs w:val="18"/>
          <w:color w:val="auto"/>
        </w:rPr>
      </w:pPr>
    </w:p>
    <w:p>
      <w:pPr>
        <w:ind w:left="900" w:right="60" w:hanging="383"/>
        <w:spacing w:after="0" w:line="261"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requirement that we hold a non-binding advisory vote on executive compensation and obtain stockholder approval of any golden parachute payments not previously approved.</w:t>
      </w:r>
    </w:p>
    <w:p>
      <w:pPr>
        <w:spacing w:after="0" w:line="63"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We expect that compliance with the additional requirements of being a large accelerated filer will increase our legal and financial compliance costs and cause management and other personnel to divert attention from operational and other business matters to devote substantial time to public company reporting requirements.</w:t>
      </w:r>
    </w:p>
    <w:p>
      <w:pPr>
        <w:spacing w:after="0" w:line="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3"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As of March 31, 2022 our executive officers, directors, holders of 5% or more of our capital stock and their respective affiliates beneficially owned approximately 72.2% of our outstanding voting stock.</w:t>
      </w:r>
    </w:p>
    <w:p>
      <w:pPr>
        <w:spacing w:after="0" w:line="63"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anticipate paying cash dividends and, accordingly, stockholders must rely on share appreciation for any return on their investment.</w:t>
      </w:r>
    </w:p>
    <w:p>
      <w:pPr>
        <w:spacing w:after="0" w:line="127"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substantial rights.</w:t>
      </w:r>
    </w:p>
    <w:p>
      <w:pPr>
        <w:spacing w:after="0" w:line="11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Sales of equity securities may be made, following effectiveness, under our Shelf Registration Statement and pursuant to our related at-the-market facility included therein.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78"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39" w:lineRule="exact"/>
        <w:rPr>
          <w:sz w:val="20"/>
          <w:szCs w:val="20"/>
          <w:color w:val="auto"/>
        </w:rPr>
      </w:pPr>
    </w:p>
    <w:p>
      <w:pPr>
        <w:ind w:right="80" w:firstLine="509"/>
        <w:spacing w:after="0" w:line="262" w:lineRule="auto"/>
        <w:rPr>
          <w:sz w:val="20"/>
          <w:szCs w:val="20"/>
          <w:color w:val="auto"/>
        </w:rPr>
      </w:pPr>
      <w:r>
        <w:rPr>
          <w:rFonts w:ascii="Arial" w:cs="Arial" w:eastAsia="Arial" w:hAnsi="Arial"/>
          <w:sz w:val="17"/>
          <w:szCs w:val="17"/>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64"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staggered three-year terms;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03" w:lineRule="exact"/>
        <w:rPr>
          <w:rFonts w:ascii="Arial" w:cs="Arial" w:eastAsia="Arial" w:hAnsi="Arial"/>
          <w:sz w:val="18"/>
          <w:szCs w:val="18"/>
          <w:color w:val="auto"/>
        </w:rPr>
      </w:pPr>
    </w:p>
    <w:p>
      <w:pPr>
        <w:ind w:left="1020" w:right="58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convertible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 and</w:t>
      </w:r>
    </w:p>
    <w:p>
      <w:pPr>
        <w:spacing w:after="0" w:line="103" w:lineRule="exact"/>
        <w:rPr>
          <w:rFonts w:ascii="Arial" w:cs="Arial" w:eastAsia="Arial" w:hAnsi="Arial"/>
          <w:sz w:val="18"/>
          <w:szCs w:val="18"/>
          <w:color w:val="auto"/>
        </w:rPr>
      </w:pPr>
    </w:p>
    <w:p>
      <w:pPr>
        <w:ind w:left="1020" w:right="660" w:hanging="503"/>
        <w:spacing w:after="0" w:line="244"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84" w:name="page85"/>
    <w:bookmarkEnd w:id="84"/>
    <w:p>
      <w:pPr>
        <w:ind w:firstLine="509"/>
        <w:spacing w:after="0" w:line="243" w:lineRule="auto"/>
        <w:rPr>
          <w:sz w:val="20"/>
          <w:szCs w:val="20"/>
          <w:color w:val="auto"/>
        </w:rPr>
      </w:pPr>
      <w:r>
        <w:rPr>
          <w:rFonts w:ascii="Arial" w:cs="Arial" w:eastAsia="Arial" w:hAnsi="Arial"/>
          <w:sz w:val="18"/>
          <w:szCs w:val="18"/>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80"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7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ind w:right="140" w:firstLine="509"/>
        <w:spacing w:after="0" w:line="259"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66"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us;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w:t>
      </w:r>
    </w:p>
    <w:p>
      <w:pPr>
        <w:spacing w:after="0" w:line="103"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104"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63"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63" w:lineRule="exact"/>
        <w:rPr>
          <w:sz w:val="20"/>
          <w:szCs w:val="20"/>
          <w:color w:val="auto"/>
        </w:rPr>
      </w:pPr>
    </w:p>
    <w:p>
      <w:pPr>
        <w:ind w:right="40" w:firstLine="509"/>
        <w:spacing w:after="0" w:line="267"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5" w:name="page86"/>
    <w:bookmarkEnd w:id="85"/>
    <w:p>
      <w:pPr>
        <w:ind w:right="200"/>
        <w:spacing w:after="0" w:line="270" w:lineRule="auto"/>
        <w:rPr>
          <w:sz w:val="20"/>
          <w:szCs w:val="20"/>
          <w:color w:val="auto"/>
        </w:rPr>
      </w:pPr>
      <w:r>
        <w:rPr>
          <w:rFonts w:ascii="Arial" w:cs="Arial" w:eastAsia="Arial" w:hAnsi="Arial"/>
          <w:sz w:val="17"/>
          <w:szCs w:val="17"/>
          <w:b w:val="1"/>
          <w:bCs w:val="1"/>
          <w:i w:val="1"/>
          <w:iCs w:val="1"/>
          <w:color w:val="auto"/>
        </w:rPr>
        <w:t>In the past, we have identified material weaknesses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56"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In the past, we and our independent registered public accounting firm identified two material weaknesses in our internal control over financial reporting, all of which have since been remediated.</w:t>
      </w:r>
    </w:p>
    <w:p>
      <w:pPr>
        <w:spacing w:after="0" w:line="63"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If in the future,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pacing w:after="0" w:line="7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6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w:t>
      </w:r>
    </w:p>
    <w:p>
      <w:pPr>
        <w:spacing w:after="0" w:line="83"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Any failure to maintain effective internal control over financial reporting could have a material adverse effect on our business, financial condition and results of operations and the trading price of our common stock.</w:t>
      </w:r>
    </w:p>
    <w:p>
      <w:pPr>
        <w:spacing w:after="0" w:line="6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as the market value of our common stock held by non-affiliates exceeded $700.0 million as of June 30, 2021. As such, pursuant to Section 404 of the Sarbanes-Oxley Act, or Section 404, our independent registered public accounting firm attested to the effectiveness of our internal control over financial reporting as of December 31, 2021.</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86" w:name="page87"/>
    <w:bookmarkEnd w:id="86"/>
    <w:p>
      <w:pPr>
        <w:ind w:right="20"/>
        <w:spacing w:after="0" w:line="261" w:lineRule="auto"/>
        <w:rPr>
          <w:sz w:val="20"/>
          <w:szCs w:val="20"/>
          <w:color w:val="auto"/>
        </w:rPr>
      </w:pPr>
      <w:r>
        <w:rPr>
          <w:rFonts w:ascii="Arial" w:cs="Arial" w:eastAsia="Arial" w:hAnsi="Arial"/>
          <w:sz w:val="18"/>
          <w:szCs w:val="18"/>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6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36"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General Risks</w:t>
      </w:r>
    </w:p>
    <w:p>
      <w:pPr>
        <w:spacing w:after="0" w:line="108" w:lineRule="exact"/>
        <w:rPr>
          <w:sz w:val="20"/>
          <w:szCs w:val="20"/>
          <w:color w:val="auto"/>
        </w:rPr>
      </w:pPr>
    </w:p>
    <w:p>
      <w:pPr>
        <w:ind w:right="20"/>
        <w:spacing w:after="0" w:line="356"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60" w:firstLine="509"/>
        <w:spacing w:after="0" w:line="239"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83"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04" w:lineRule="exact"/>
        <w:rPr>
          <w:sz w:val="20"/>
          <w:szCs w:val="20"/>
          <w:color w:val="auto"/>
        </w:rPr>
      </w:pPr>
    </w:p>
    <w:p>
      <w:pPr>
        <w:ind w:right="260" w:firstLine="509"/>
        <w:spacing w:after="0" w:line="255" w:lineRule="auto"/>
        <w:rPr>
          <w:sz w:val="20"/>
          <w:szCs w:val="20"/>
          <w:color w:val="auto"/>
        </w:rPr>
      </w:pPr>
      <w:r>
        <w:rPr>
          <w:rFonts w:ascii="Arial" w:cs="Arial" w:eastAsia="Arial" w:hAnsi="Arial"/>
          <w:sz w:val="17"/>
          <w:szCs w:val="17"/>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ongoing COVID-19 pandemic, and other natural or man-made disasters such as the ongoing geopolitical unrest related to Russia's war with Ukraine,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72" w:lineRule="exact"/>
        <w:rPr>
          <w:sz w:val="20"/>
          <w:szCs w:val="20"/>
          <w:color w:val="auto"/>
        </w:rPr>
      </w:pPr>
    </w:p>
    <w:p>
      <w:pPr>
        <w:ind w:right="220" w:firstLine="509"/>
        <w:spacing w:after="0" w:line="238" w:lineRule="auto"/>
        <w:rPr>
          <w:sz w:val="20"/>
          <w:szCs w:val="20"/>
          <w:color w:val="auto"/>
        </w:rPr>
      </w:pPr>
      <w:r>
        <w:rPr>
          <w:rFonts w:ascii="Arial" w:cs="Arial" w:eastAsia="Arial" w:hAnsi="Arial"/>
          <w:sz w:val="18"/>
          <w:szCs w:val="18"/>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i w:val="1"/>
          <w:iCs w:val="1"/>
          <w:color w:val="auto"/>
        </w:rPr>
        <w:t>We may experience disruptions and delays or incur financial damages as a result of system failures or security breaches or incidents.</w:t>
      </w:r>
    </w:p>
    <w:p>
      <w:pPr>
        <w:spacing w:after="0" w:line="115" w:lineRule="exact"/>
        <w:rPr>
          <w:sz w:val="20"/>
          <w:szCs w:val="20"/>
          <w:color w:val="auto"/>
        </w:rPr>
      </w:pPr>
    </w:p>
    <w:p>
      <w:pPr>
        <w:ind w:firstLine="509"/>
        <w:spacing w:after="0" w:line="268" w:lineRule="auto"/>
        <w:rPr>
          <w:sz w:val="20"/>
          <w:szCs w:val="20"/>
          <w:color w:val="auto"/>
        </w:rPr>
      </w:pPr>
      <w:r>
        <w:rPr>
          <w:rFonts w:ascii="Arial" w:cs="Arial" w:eastAsia="Arial" w:hAnsi="Arial"/>
          <w:sz w:val="16"/>
          <w:szCs w:val="16"/>
          <w:color w:val="auto"/>
        </w:rPr>
        <w:t>Despite our implementation of security measures, any of the internal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and other third-party service providers’ operations could result in a material disruption of our drug discovery and development programs or other aspects of our operations. We may be more susceptible to security breaches and other security incidents while many of our employees and employees of our third-party service providers continue to work remotely for some portion of time in response to the ongoing COVID-19 pandemic, because we and our service providers have less capability to implement, monitor and enforce our information security and data protection policies for those employees. Also, due to political uncertainty and military actions associated with Russia’s war with Ukraine, we and our CROs and other third-party service providers are vulnerable to heightened risks of cybersecurity incidents and security and privacy breaches from or affiliated with nation-state actors, including attacks that could materially disrupt our drug discovery and development programs or other aspects of our operations.</w:t>
      </w:r>
    </w:p>
    <w:p>
      <w:pPr>
        <w:spacing w:after="0" w:line="61"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A system failure or security breach or incident that causes the loss, corruption or unavailability of clinical trial data from completed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w:t>
      </w:r>
    </w:p>
    <w:p>
      <w:pPr>
        <w:spacing w:after="0" w:line="72"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8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0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offer and sale of the shares in the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spacing w:after="0" w:line="80"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We invested the funds received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17, 2020 pursuant to Rule 424(b)(4).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48"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Item 6. Exhibits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INCORPORATED BY REFERENCE</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00" w:type="dxa"/>
            <w:vAlign w:val="bottom"/>
            <w:gridSpan w:val="7"/>
            <w:vMerge w:val="restart"/>
          </w:tcPr>
          <w:p>
            <w:pPr>
              <w:ind w:left="700"/>
              <w:spacing w:after="0"/>
              <w:rPr>
                <w:sz w:val="20"/>
                <w:szCs w:val="20"/>
                <w:color w:val="auto"/>
              </w:rPr>
            </w:pPr>
            <w:r>
              <w:rPr>
                <w:rFonts w:ascii="Arial" w:cs="Arial" w:eastAsia="Arial" w:hAnsi="Arial"/>
                <w:sz w:val="14"/>
                <w:szCs w:val="14"/>
                <w:b w:val="1"/>
                <w:bCs w:val="1"/>
                <w:color w:val="auto"/>
              </w:rPr>
              <w:t>EXHIBIT TITLE</w:t>
            </w:r>
          </w:p>
        </w:tc>
        <w:tc>
          <w:tcPr>
            <w:tcW w:w="120" w:type="dxa"/>
            <w:vAlign w:val="bottom"/>
            <w:vMerge w:val="restart"/>
          </w:tcPr>
          <w:p>
            <w:pPr>
              <w:spacing w:after="0"/>
              <w:rPr>
                <w:sz w:val="12"/>
                <w:szCs w:val="12"/>
                <w:color w:val="auto"/>
              </w:rPr>
            </w:pPr>
          </w:p>
        </w:tc>
        <w:tc>
          <w:tcPr>
            <w:tcW w:w="8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2"/>
                <w:szCs w:val="12"/>
                <w:color w:val="auto"/>
              </w:rPr>
            </w:pP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2"/>
                <w:szCs w:val="12"/>
                <w:color w:val="auto"/>
              </w:rPr>
            </w:pPr>
          </w:p>
        </w:tc>
        <w:tc>
          <w:tcPr>
            <w:tcW w:w="13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1100" w:type="dxa"/>
            <w:vAlign w:val="bottom"/>
          </w:tcPr>
          <w:p>
            <w:pPr>
              <w:jc w:val="center"/>
              <w:ind w:right="288"/>
              <w:spacing w:after="0" w:line="142" w:lineRule="exact"/>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2"/>
                <w:szCs w:val="12"/>
                <w:color w:val="auto"/>
              </w:rPr>
            </w:pP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95"/>
        </w:trPr>
        <w:tc>
          <w:tcPr>
            <w:tcW w:w="10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7"/>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100" w:type="dxa"/>
            <w:vAlign w:val="bottom"/>
          </w:tcPr>
          <w:p>
            <w:pPr>
              <w:jc w:val="center"/>
              <w:ind w:right="288"/>
              <w:spacing w:after="0"/>
              <w:rPr>
                <w:sz w:val="20"/>
                <w:szCs w:val="20"/>
                <w:color w:val="auto"/>
              </w:rPr>
            </w:pPr>
            <w:r>
              <w:rPr>
                <w:rFonts w:ascii="Arial" w:cs="Arial" w:eastAsia="Arial" w:hAnsi="Arial"/>
                <w:sz w:val="14"/>
                <w:szCs w:val="14"/>
                <w:b w:val="1"/>
                <w:bCs w:val="1"/>
                <w:color w:val="auto"/>
                <w:w w:val="99"/>
              </w:rPr>
              <w:t>DATE</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298"/>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Certification of Principal Executive Officer</w:t>
              </w:r>
            </w:hyperlink>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60" w:type="dxa"/>
            <w:vAlign w:val="bottom"/>
            <w:tcBorders>
              <w:top w:val="single" w:sz="8" w:color="0000EE"/>
            </w:tcBorders>
            <w:gridSpan w:val="3"/>
          </w:tcPr>
          <w:p>
            <w:pPr>
              <w:spacing w:after="0" w:line="156" w:lineRule="exact"/>
              <w:rPr>
                <w:rFonts w:ascii="Arial" w:cs="Arial" w:eastAsia="Arial" w:hAnsi="Arial"/>
                <w:sz w:val="18"/>
                <w:szCs w:val="18"/>
                <w:color w:val="0000EE"/>
                <w:w w:val="91"/>
              </w:rPr>
            </w:pPr>
            <w:hyperlink w:anchor="page94">
              <w:r>
                <w:rPr>
                  <w:rFonts w:ascii="Arial" w:cs="Arial" w:eastAsia="Arial" w:hAnsi="Arial"/>
                  <w:sz w:val="18"/>
                  <w:szCs w:val="18"/>
                  <w:color w:val="0000EE"/>
                  <w:w w:val="91"/>
                </w:rPr>
                <w:t>Pursuant to Rules 13a-14(a) and 15d-14(a)</w:t>
              </w:r>
            </w:hyperlink>
          </w:p>
        </w:tc>
        <w:tc>
          <w:tcPr>
            <w:tcW w:w="660" w:type="dxa"/>
            <w:vAlign w:val="bottom"/>
            <w:gridSpan w:val="6"/>
          </w:tcPr>
          <w:p>
            <w:pPr>
              <w:jc w:val="right"/>
              <w:ind w:right="300"/>
              <w:spacing w:after="0" w:line="156" w:lineRule="exact"/>
              <w:rPr>
                <w:rFonts w:ascii="Arial" w:cs="Arial" w:eastAsia="Arial" w:hAnsi="Arial"/>
                <w:sz w:val="18"/>
                <w:szCs w:val="18"/>
                <w:color w:val="0000EE"/>
                <w:w w:val="73"/>
              </w:rPr>
            </w:pPr>
            <w:hyperlink w:anchor="page94">
              <w:r>
                <w:rPr>
                  <w:rFonts w:ascii="Arial" w:cs="Arial" w:eastAsia="Arial" w:hAnsi="Arial"/>
                  <w:sz w:val="18"/>
                  <w:szCs w:val="18"/>
                  <w:color w:val="0000EE"/>
                  <w:w w:val="73"/>
                </w:rPr>
                <w:t>under</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the Securities Exchange Act of 1934, as Adopted</w:t>
              </w:r>
            </w:hyperlink>
          </w:p>
        </w:tc>
        <w:tc>
          <w:tcPr>
            <w:tcW w:w="20" w:type="dxa"/>
            <w:vAlign w:val="bottom"/>
            <w:tcBorders>
              <w:bottom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gridSpan w:val="9"/>
          </w:tcPr>
          <w:p>
            <w:pPr>
              <w:spacing w:after="0" w:line="156" w:lineRule="exact"/>
              <w:rPr>
                <w:rFonts w:ascii="Arial" w:cs="Arial" w:eastAsia="Arial" w:hAnsi="Arial"/>
                <w:sz w:val="18"/>
                <w:szCs w:val="18"/>
                <w:color w:val="0000EE"/>
                <w:w w:val="93"/>
              </w:rPr>
            </w:pPr>
            <w:hyperlink w:anchor="page94">
              <w:r>
                <w:rPr>
                  <w:rFonts w:ascii="Arial" w:cs="Arial" w:eastAsia="Arial" w:hAnsi="Arial"/>
                  <w:sz w:val="18"/>
                  <w:szCs w:val="18"/>
                  <w:color w:val="0000EE"/>
                  <w:w w:val="93"/>
                </w:rPr>
                <w:t>Pursuant to Section 302 of the Sarbanes-Oxley Act</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of 2002.</w:t>
              </w:r>
            </w:hyperlink>
          </w:p>
        </w:tc>
        <w:tc>
          <w:tcPr>
            <w:tcW w:w="3080" w:type="dxa"/>
            <w:vAlign w:val="bottom"/>
            <w:tcBorders>
              <w:top w:val="single" w:sz="8" w:color="0000EE"/>
            </w:tcBorders>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Certification of Principal Financial Officer</w:t>
              </w:r>
            </w:hyperlink>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tcBorders>
              <w:top w:val="single" w:sz="8" w:color="0000EE"/>
            </w:tcBorders>
            <w:gridSpan w:val="2"/>
          </w:tcPr>
          <w:p>
            <w:pPr>
              <w:spacing w:after="0" w:line="15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Pursuant to Rules 13a-14(a) and 15d-14(a)</w:t>
              </w:r>
            </w:hyperlink>
          </w:p>
        </w:tc>
        <w:tc>
          <w:tcPr>
            <w:tcW w:w="700" w:type="dxa"/>
            <w:vAlign w:val="bottom"/>
            <w:gridSpan w:val="7"/>
          </w:tcPr>
          <w:p>
            <w:pPr>
              <w:jc w:val="right"/>
              <w:ind w:right="300"/>
              <w:spacing w:after="0" w:line="156" w:lineRule="exact"/>
              <w:rPr>
                <w:rFonts w:ascii="Arial" w:cs="Arial" w:eastAsia="Arial" w:hAnsi="Arial"/>
                <w:sz w:val="18"/>
                <w:szCs w:val="18"/>
                <w:color w:val="0000EE"/>
                <w:w w:val="82"/>
              </w:rPr>
            </w:pPr>
            <w:hyperlink w:anchor="page95">
              <w:r>
                <w:rPr>
                  <w:rFonts w:ascii="Arial" w:cs="Arial" w:eastAsia="Arial" w:hAnsi="Arial"/>
                  <w:sz w:val="18"/>
                  <w:szCs w:val="18"/>
                  <w:color w:val="0000EE"/>
                  <w:w w:val="82"/>
                </w:rPr>
                <w:t>under</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90"/>
              </w:rPr>
            </w:pPr>
            <w:hyperlink w:anchor="page95">
              <w:r>
                <w:rPr>
                  <w:rFonts w:ascii="Arial" w:cs="Arial" w:eastAsia="Arial" w:hAnsi="Arial"/>
                  <w:sz w:val="18"/>
                  <w:szCs w:val="18"/>
                  <w:color w:val="0000EE"/>
                  <w:w w:val="90"/>
                </w:rPr>
                <w:t>the Securities Exchange Act of 1934, as Adopted</w:t>
              </w:r>
            </w:hyperlink>
          </w:p>
        </w:tc>
        <w:tc>
          <w:tcPr>
            <w:tcW w:w="20" w:type="dxa"/>
            <w:vAlign w:val="bottom"/>
            <w:tcBorders>
              <w:bottom w:val="single" w:sz="8" w:color="0000EE"/>
            </w:tcBorders>
          </w:tcPr>
          <w:p>
            <w:pPr>
              <w:spacing w:after="0"/>
              <w:rPr>
                <w:sz w:val="13"/>
                <w:szCs w:val="13"/>
                <w:color w:val="auto"/>
              </w:rPr>
            </w:pPr>
          </w:p>
        </w:tc>
        <w:tc>
          <w:tcPr>
            <w:tcW w:w="24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gridSpan w:val="9"/>
          </w:tcPr>
          <w:p>
            <w:pPr>
              <w:spacing w:after="0" w:line="156" w:lineRule="exact"/>
              <w:rPr>
                <w:rFonts w:ascii="Arial" w:cs="Arial" w:eastAsia="Arial" w:hAnsi="Arial"/>
                <w:sz w:val="18"/>
                <w:szCs w:val="18"/>
                <w:color w:val="0000EE"/>
                <w:w w:val="93"/>
              </w:rPr>
            </w:pPr>
            <w:hyperlink w:anchor="page95">
              <w:r>
                <w:rPr>
                  <w:rFonts w:ascii="Arial" w:cs="Arial" w:eastAsia="Arial" w:hAnsi="Arial"/>
                  <w:sz w:val="18"/>
                  <w:szCs w:val="18"/>
                  <w:color w:val="0000EE"/>
                  <w:w w:val="93"/>
                </w:rPr>
                <w:t>Pursuant to Section 302 of the Sarbanes-Oxley Act</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of 2002.</w:t>
              </w:r>
            </w:hyperlink>
          </w:p>
        </w:tc>
        <w:tc>
          <w:tcPr>
            <w:tcW w:w="3080" w:type="dxa"/>
            <w:vAlign w:val="bottom"/>
            <w:tcBorders>
              <w:top w:val="single" w:sz="8" w:color="0000EE"/>
            </w:tcBorders>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96">
              <w:r>
                <w:rPr>
                  <w:rFonts w:ascii="Arial" w:cs="Arial" w:eastAsia="Arial" w:hAnsi="Arial"/>
                  <w:sz w:val="18"/>
                  <w:szCs w:val="18"/>
                  <w:color w:val="0000EE"/>
                  <w:w w:val="95"/>
                </w:rPr>
                <w:t>Certification of Principal Executive Officer</w:t>
              </w:r>
            </w:hyperlink>
          </w:p>
        </w:tc>
        <w:tc>
          <w:tcPr>
            <w:tcW w:w="66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bottom w:val="single" w:sz="8" w:color="0000EE"/>
            </w:tcBorders>
            <w:gridSpan w:val="4"/>
          </w:tcPr>
          <w:p>
            <w:pPr>
              <w:spacing w:after="0" w:line="156" w:lineRule="exact"/>
              <w:rPr>
                <w:rFonts w:ascii="Arial" w:cs="Arial" w:eastAsia="Arial" w:hAnsi="Arial"/>
                <w:sz w:val="18"/>
                <w:szCs w:val="18"/>
                <w:color w:val="0000EE"/>
                <w:w w:val="90"/>
              </w:rPr>
            </w:pPr>
            <w:hyperlink w:anchor="page96">
              <w:r>
                <w:rPr>
                  <w:rFonts w:ascii="Arial" w:cs="Arial" w:eastAsia="Arial" w:hAnsi="Arial"/>
                  <w:sz w:val="18"/>
                  <w:szCs w:val="18"/>
                  <w:color w:val="0000EE"/>
                  <w:w w:val="90"/>
                </w:rPr>
                <w:t>Pursuant to 18 U.S.C. Section 1350, as Adopted</w:t>
              </w:r>
            </w:hyperlink>
          </w:p>
        </w:tc>
        <w:tc>
          <w:tcPr>
            <w:tcW w:w="32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gridSpan w:val="9"/>
          </w:tcPr>
          <w:p>
            <w:pPr>
              <w:spacing w:after="0" w:line="156" w:lineRule="exact"/>
              <w:rPr>
                <w:rFonts w:ascii="Arial" w:cs="Arial" w:eastAsia="Arial" w:hAnsi="Arial"/>
                <w:sz w:val="18"/>
                <w:szCs w:val="18"/>
                <w:color w:val="0000EE"/>
                <w:w w:val="93"/>
              </w:rPr>
            </w:pPr>
            <w:hyperlink w:anchor="page96">
              <w:r>
                <w:rPr>
                  <w:rFonts w:ascii="Arial" w:cs="Arial" w:eastAsia="Arial" w:hAnsi="Arial"/>
                  <w:sz w:val="18"/>
                  <w:szCs w:val="18"/>
                  <w:color w:val="0000EE"/>
                  <w:w w:val="93"/>
                </w:rPr>
                <w:t>Pursuant to Section 906 of the Sarbanes-Oxley Act</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of 2002.</w:t>
              </w:r>
            </w:hyperlink>
          </w:p>
        </w:tc>
        <w:tc>
          <w:tcPr>
            <w:tcW w:w="3080" w:type="dxa"/>
            <w:vAlign w:val="bottom"/>
            <w:tcBorders>
              <w:top w:val="single" w:sz="8" w:color="0000EE"/>
            </w:tcBorders>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7"/>
        </w:trPr>
        <w:tc>
          <w:tcPr>
            <w:tcW w:w="106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Borders>
              <w:bottom w:val="single" w:sz="8" w:color="0000EE"/>
            </w:tcBorders>
            <w:gridSpan w:val="2"/>
          </w:tcPr>
          <w:p>
            <w:pPr>
              <w:spacing w:after="0"/>
              <w:rPr>
                <w:rFonts w:ascii="Arial" w:cs="Arial" w:eastAsia="Arial" w:hAnsi="Arial"/>
                <w:sz w:val="18"/>
                <w:szCs w:val="18"/>
                <w:color w:val="0000EE"/>
                <w:w w:val="95"/>
              </w:rPr>
            </w:pPr>
            <w:hyperlink w:anchor="page97">
              <w:r>
                <w:rPr>
                  <w:rFonts w:ascii="Arial" w:cs="Arial" w:eastAsia="Arial" w:hAnsi="Arial"/>
                  <w:sz w:val="18"/>
                  <w:szCs w:val="18"/>
                  <w:color w:val="0000EE"/>
                  <w:w w:val="95"/>
                </w:rPr>
                <w:t>Certification of Principal Financial Officer</w:t>
              </w:r>
            </w:hyperlink>
          </w:p>
        </w:tc>
        <w:tc>
          <w:tcPr>
            <w:tcW w:w="700" w:type="dxa"/>
            <w:vAlign w:val="bottom"/>
            <w:gridSpan w:val="7"/>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00" w:type="dxa"/>
            <w:vAlign w:val="bottom"/>
            <w:tcBorders>
              <w:bottom w:val="single" w:sz="8" w:color="0000EE"/>
            </w:tcBorders>
            <w:gridSpan w:val="4"/>
          </w:tcPr>
          <w:p>
            <w:pPr>
              <w:spacing w:after="0" w:line="15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Pursuant to 18 U.S.C. Section 1350, as Adopted</w:t>
              </w:r>
            </w:hyperlink>
          </w:p>
        </w:tc>
        <w:tc>
          <w:tcPr>
            <w:tcW w:w="320" w:type="dxa"/>
            <w:vAlign w:val="bottom"/>
            <w:gridSpan w:val="5"/>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gridSpan w:val="9"/>
          </w:tcPr>
          <w:p>
            <w:pPr>
              <w:spacing w:after="0" w:line="156" w:lineRule="exact"/>
              <w:rPr>
                <w:rFonts w:ascii="Arial" w:cs="Arial" w:eastAsia="Arial" w:hAnsi="Arial"/>
                <w:sz w:val="18"/>
                <w:szCs w:val="18"/>
                <w:color w:val="0000EE"/>
                <w:w w:val="93"/>
              </w:rPr>
            </w:pPr>
            <w:hyperlink w:anchor="page97">
              <w:r>
                <w:rPr>
                  <w:rFonts w:ascii="Arial" w:cs="Arial" w:eastAsia="Arial" w:hAnsi="Arial"/>
                  <w:sz w:val="18"/>
                  <w:szCs w:val="18"/>
                  <w:color w:val="0000EE"/>
                  <w:w w:val="93"/>
                </w:rPr>
                <w:t>Pursuant to Section 906 of the Sarbanes-Oxley Act</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of 2002.</w:t>
              </w:r>
            </w:hyperlink>
          </w:p>
        </w:tc>
        <w:tc>
          <w:tcPr>
            <w:tcW w:w="3080" w:type="dxa"/>
            <w:vAlign w:val="bottom"/>
            <w:tcBorders>
              <w:top w:val="single" w:sz="8" w:color="0000EE"/>
            </w:tcBorders>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106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Inline XBRL Instance Document. - the Instance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gridSpan w:val="9"/>
          </w:tcPr>
          <w:p>
            <w:pPr>
              <w:spacing w:after="0" w:line="176" w:lineRule="exact"/>
              <w:rPr>
                <w:sz w:val="20"/>
                <w:szCs w:val="20"/>
                <w:color w:val="auto"/>
              </w:rPr>
            </w:pPr>
            <w:r>
              <w:rPr>
                <w:rFonts w:ascii="Arial" w:cs="Arial" w:eastAsia="Arial" w:hAnsi="Arial"/>
                <w:sz w:val="18"/>
                <w:szCs w:val="18"/>
                <w:color w:val="auto"/>
                <w:w w:val="95"/>
              </w:rPr>
              <w:t>Document does not appear in the Interactive Data</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20" w:type="dxa"/>
            <w:vAlign w:val="bottom"/>
            <w:gridSpan w:val="9"/>
          </w:tcPr>
          <w:p>
            <w:pPr>
              <w:spacing w:after="0" w:line="176" w:lineRule="exact"/>
              <w:rPr>
                <w:sz w:val="20"/>
                <w:szCs w:val="20"/>
                <w:color w:val="auto"/>
              </w:rPr>
            </w:pPr>
            <w:r>
              <w:rPr>
                <w:rFonts w:ascii="Arial" w:cs="Arial" w:eastAsia="Arial" w:hAnsi="Arial"/>
                <w:sz w:val="18"/>
                <w:szCs w:val="18"/>
                <w:color w:val="auto"/>
                <w:w w:val="97"/>
              </w:rPr>
              <w:t>File because its XBRL tags are embedded within</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the Inline XBRL 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w w:val="96"/>
              </w:rPr>
              <w:t>Inline XBRL Taxonomy Extension Label Linkbase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Linkbase Document.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6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20" w:type="dxa"/>
            <w:vAlign w:val="bottom"/>
            <w:gridSpan w:val="9"/>
          </w:tcPr>
          <w:p>
            <w:pPr>
              <w:spacing w:after="0"/>
              <w:rPr>
                <w:sz w:val="20"/>
                <w:szCs w:val="20"/>
                <w:color w:val="auto"/>
              </w:rPr>
            </w:pPr>
            <w:r>
              <w:rPr>
                <w:rFonts w:ascii="Arial" w:cs="Arial" w:eastAsia="Arial" w:hAnsi="Arial"/>
                <w:sz w:val="18"/>
                <w:szCs w:val="18"/>
                <w:color w:val="auto"/>
              </w:rPr>
              <w:t>Inline XBRL and included in exhibit 101)</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180" w:firstLine="8"/>
        <w:spacing w:after="0" w:line="239" w:lineRule="auto"/>
        <w:tabs>
          <w:tab w:leader="none" w:pos="13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92" w:name="page93"/>
    <w:bookmarkEnd w:id="9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r>
        <w:rPr>
          <w:rFonts w:ascii="Arial" w:cs="Arial" w:eastAsia="Arial" w:hAnsi="Arial"/>
          <w:sz w:val="18"/>
          <w:szCs w:val="18"/>
          <w:b w:val="1"/>
          <w:bCs w:val="1"/>
          <w:color w:val="auto"/>
        </w:rPr>
        <w:t>.</w:t>
      </w:r>
    </w:p>
    <w:p>
      <w:pPr>
        <w:spacing w:after="0" w:line="1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ALX ONCOLOGY HOLDINGS INC.</w:t>
      </w:r>
    </w:p>
    <w:p>
      <w:pPr>
        <w:spacing w:after="0" w:line="169" w:lineRule="exact"/>
        <w:rPr>
          <w:sz w:val="20"/>
          <w:szCs w:val="20"/>
          <w:color w:val="auto"/>
        </w:rPr>
      </w:pPr>
    </w:p>
    <w:p>
      <w:pPr>
        <w:ind w:left="20"/>
        <w:spacing w:after="0"/>
        <w:tabs>
          <w:tab w:leader="none" w:pos="6760" w:val="left"/>
          <w:tab w:leader="none" w:pos="866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wp:posOffset>
            </wp:positionV>
            <wp:extent cx="25628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ind w:left="8500"/>
        <w:spacing w:after="0" w:line="219" w:lineRule="auto"/>
        <w:rPr>
          <w:sz w:val="20"/>
          <w:szCs w:val="20"/>
          <w:color w:val="auto"/>
        </w:rPr>
      </w:pPr>
      <w:r>
        <w:rPr>
          <w:rFonts w:ascii="Arial" w:cs="Arial" w:eastAsia="Arial" w:hAnsi="Arial"/>
          <w:sz w:val="18"/>
          <w:szCs w:val="18"/>
          <w:b w:val="1"/>
          <w:bCs w:val="1"/>
          <w:color w:val="auto"/>
        </w:rPr>
        <w:t>Jaume Pons, Ph.D.</w:t>
      </w:r>
    </w:p>
    <w:p>
      <w:pPr>
        <w:ind w:left="7760"/>
        <w:spacing w:after="0" w:line="215" w:lineRule="auto"/>
        <w:rPr>
          <w:sz w:val="20"/>
          <w:szCs w:val="20"/>
          <w:color w:val="auto"/>
        </w:rPr>
      </w:pPr>
      <w:r>
        <w:rPr>
          <w:rFonts w:ascii="Arial" w:cs="Arial" w:eastAsia="Arial" w:hAnsi="Arial"/>
          <w:sz w:val="17"/>
          <w:szCs w:val="17"/>
          <w:b w:val="1"/>
          <w:bCs w:val="1"/>
          <w:color w:val="auto"/>
        </w:rPr>
        <w:t>President and Chief Executive Officer</w:t>
      </w:r>
    </w:p>
    <w:p>
      <w:pPr>
        <w:spacing w:after="0" w:line="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6760" w:val="left"/>
          <w:tab w:leader="none" w:pos="864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wp:posOffset>
            </wp:positionV>
            <wp:extent cx="25628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8740"/>
        <w:spacing w:after="0" w:line="219" w:lineRule="auto"/>
        <w:rPr>
          <w:sz w:val="20"/>
          <w:szCs w:val="20"/>
          <w:color w:val="auto"/>
        </w:rPr>
      </w:pPr>
      <w:r>
        <w:rPr>
          <w:rFonts w:ascii="Arial" w:cs="Arial" w:eastAsia="Arial" w:hAnsi="Arial"/>
          <w:sz w:val="18"/>
          <w:szCs w:val="18"/>
          <w:b w:val="1"/>
          <w:bCs w:val="1"/>
          <w:color w:val="auto"/>
        </w:rPr>
        <w:t>Peter Garcia</w:t>
      </w:r>
    </w:p>
    <w:p>
      <w:pPr>
        <w:ind w:left="8340"/>
        <w:spacing w:after="0" w:line="203"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(Principal Financial Officer)</w:t>
      </w:r>
    </w:p>
    <w:p>
      <w:pPr>
        <w:spacing w:after="0" w:line="356" w:lineRule="exact"/>
        <w:rPr>
          <w:sz w:val="20"/>
          <w:szCs w:val="20"/>
          <w:color w:val="auto"/>
        </w:rPr>
      </w:pPr>
    </w:p>
    <w:p>
      <w:pPr>
        <w:ind w:left="20"/>
        <w:spacing w:after="0"/>
        <w:tabs>
          <w:tab w:leader="none" w:pos="6760" w:val="left"/>
          <w:tab w:leader="none" w:pos="866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Shelly Pinto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-635</wp:posOffset>
            </wp:positionV>
            <wp:extent cx="25628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8760"/>
        <w:spacing w:after="0" w:line="219" w:lineRule="auto"/>
        <w:rPr>
          <w:sz w:val="20"/>
          <w:szCs w:val="20"/>
          <w:color w:val="auto"/>
        </w:rPr>
      </w:pPr>
      <w:r>
        <w:rPr>
          <w:rFonts w:ascii="Arial" w:cs="Arial" w:eastAsia="Arial" w:hAnsi="Arial"/>
          <w:sz w:val="18"/>
          <w:szCs w:val="18"/>
          <w:b w:val="1"/>
          <w:bCs w:val="1"/>
          <w:color w:val="auto"/>
        </w:rPr>
        <w:t>Shelly Pinto</w:t>
      </w:r>
    </w:p>
    <w:p>
      <w:pPr>
        <w:jc w:val="right"/>
        <w:spacing w:after="0" w:line="203" w:lineRule="auto"/>
        <w:rPr>
          <w:sz w:val="20"/>
          <w:szCs w:val="20"/>
          <w:color w:val="auto"/>
        </w:rPr>
      </w:pPr>
      <w:r>
        <w:rPr>
          <w:rFonts w:ascii="Arial" w:cs="Arial" w:eastAsia="Arial" w:hAnsi="Arial"/>
          <w:sz w:val="18"/>
          <w:szCs w:val="18"/>
          <w:b w:val="1"/>
          <w:bCs w:val="1"/>
          <w:color w:val="auto"/>
        </w:rPr>
        <w:t>Vice President, Finance and Chief Accounting</w:t>
      </w:r>
    </w:p>
    <w:p>
      <w:pPr>
        <w:jc w:val="center"/>
        <w:ind w:left="7180"/>
        <w:spacing w:after="0" w:line="204" w:lineRule="auto"/>
        <w:rPr>
          <w:sz w:val="20"/>
          <w:szCs w:val="20"/>
          <w:color w:val="auto"/>
        </w:rPr>
      </w:pPr>
      <w:r>
        <w:rPr>
          <w:rFonts w:ascii="Arial" w:cs="Arial" w:eastAsia="Arial" w:hAnsi="Arial"/>
          <w:sz w:val="18"/>
          <w:szCs w:val="18"/>
          <w:b w:val="1"/>
          <w:bCs w:val="1"/>
          <w:color w:val="auto"/>
        </w:rPr>
        <w:t>Officer</w:t>
      </w:r>
    </w:p>
    <w:p>
      <w:pPr>
        <w:jc w:val="center"/>
        <w:ind w:left="7180"/>
        <w:spacing w:after="0"/>
        <w:rPr>
          <w:sz w:val="20"/>
          <w:szCs w:val="20"/>
          <w:color w:val="auto"/>
        </w:rPr>
      </w:pPr>
      <w:r>
        <w:rPr>
          <w:rFonts w:ascii="Arial" w:cs="Arial" w:eastAsia="Arial" w:hAnsi="Arial"/>
          <w:sz w:val="18"/>
          <w:szCs w:val="18"/>
          <w:b w:val="1"/>
          <w:bCs w:val="1"/>
          <w:color w:val="auto"/>
        </w:rPr>
        <w:t>(Principal Accounting Officer)</w:t>
      </w:r>
    </w:p>
    <w:p>
      <w:pPr>
        <w:spacing w:after="0" w:line="18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24" w:right="61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Jaume Pons, Ph.D., certify that:</w:t>
      </w:r>
    </w:p>
    <w:p>
      <w:pPr>
        <w:spacing w:after="0" w:line="104"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ALX Oncology Holdings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tabs>
          <w:tab w:leader="none" w:pos="5620" w:val="left"/>
          <w:tab w:leader="none" w:pos="810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-635</wp:posOffset>
            </wp:positionV>
            <wp:extent cx="32829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ind w:left="7940"/>
        <w:spacing w:after="0" w:line="219" w:lineRule="auto"/>
        <w:rPr>
          <w:sz w:val="20"/>
          <w:szCs w:val="20"/>
          <w:color w:val="auto"/>
        </w:rPr>
      </w:pPr>
      <w:r>
        <w:rPr>
          <w:rFonts w:ascii="Arial" w:cs="Arial" w:eastAsia="Arial" w:hAnsi="Arial"/>
          <w:sz w:val="18"/>
          <w:szCs w:val="18"/>
          <w:b w:val="1"/>
          <w:bCs w:val="1"/>
          <w:color w:val="auto"/>
        </w:rPr>
        <w:t>Jaume Pons, Ph.D.</w:t>
      </w:r>
    </w:p>
    <w:p>
      <w:pPr>
        <w:ind w:left="6820"/>
        <w:spacing w:after="0" w:line="203" w:lineRule="auto"/>
        <w:rPr>
          <w:sz w:val="20"/>
          <w:szCs w:val="20"/>
          <w:color w:val="auto"/>
        </w:rPr>
      </w:pPr>
      <w:r>
        <w:rPr>
          <w:rFonts w:ascii="Arial" w:cs="Arial" w:eastAsia="Arial" w:hAnsi="Arial"/>
          <w:sz w:val="18"/>
          <w:szCs w:val="18"/>
          <w:b w:val="1"/>
          <w:bCs w:val="1"/>
          <w:color w:val="auto"/>
        </w:rPr>
        <w:t>President, Chief Executive Officer and Director</w:t>
      </w:r>
    </w:p>
    <w:p>
      <w:pPr>
        <w:spacing w:after="0" w:line="1"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Peter Garcia, certify that:</w:t>
      </w:r>
    </w:p>
    <w:p>
      <w:pPr>
        <w:spacing w:after="0" w:line="104" w:lineRule="exact"/>
        <w:rPr>
          <w:sz w:val="20"/>
          <w:szCs w:val="20"/>
          <w:color w:val="auto"/>
        </w:rPr>
      </w:pPr>
    </w:p>
    <w:p>
      <w:pPr>
        <w:ind w:left="520" w:hanging="512"/>
        <w:spacing w:after="0"/>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ALX Oncology Holdings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160" w:hanging="512"/>
        <w:spacing w:after="0" w:line="291" w:lineRule="auto"/>
        <w:tabs>
          <w:tab w:leader="none" w:pos="5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tabs>
          <w:tab w:leader="none" w:pos="5620" w:val="left"/>
          <w:tab w:leader="none" w:pos="808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-635</wp:posOffset>
            </wp:positionV>
            <wp:extent cx="32829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ind w:left="8160"/>
        <w:spacing w:after="0" w:line="219" w:lineRule="auto"/>
        <w:rPr>
          <w:sz w:val="20"/>
          <w:szCs w:val="20"/>
          <w:color w:val="auto"/>
        </w:rPr>
      </w:pPr>
      <w:r>
        <w:rPr>
          <w:rFonts w:ascii="Arial" w:cs="Arial" w:eastAsia="Arial" w:hAnsi="Arial"/>
          <w:sz w:val="18"/>
          <w:szCs w:val="18"/>
          <w:b w:val="1"/>
          <w:bCs w:val="1"/>
          <w:color w:val="auto"/>
        </w:rPr>
        <w:t>Peter Garcia</w:t>
      </w:r>
    </w:p>
    <w:p>
      <w:pPr>
        <w:ind w:left="7760"/>
        <w:spacing w:after="0" w:line="203"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In connection with the Quarterly Report of ALX Oncology Holdings Inc. (the “Company”), on Form 10-Q for the period ended March 31, 2022, as filed with the Securities and Exchange Commission on the date hereof (the “Report”), I certify, pursuant to 18 U.S.C. §1350, as adopted pursuant to section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2" w:lineRule="exact"/>
        <w:rPr>
          <w:sz w:val="20"/>
          <w:szCs w:val="20"/>
          <w:color w:val="auto"/>
        </w:rPr>
      </w:pPr>
    </w:p>
    <w:p>
      <w:pPr>
        <w:ind w:left="20"/>
        <w:spacing w:after="0"/>
        <w:tabs>
          <w:tab w:leader="none" w:pos="5540" w:val="left"/>
          <w:tab w:leader="none" w:pos="812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-635</wp:posOffset>
            </wp:positionV>
            <wp:extent cx="32658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ind w:left="7940"/>
        <w:spacing w:after="0" w:line="219" w:lineRule="auto"/>
        <w:rPr>
          <w:sz w:val="20"/>
          <w:szCs w:val="20"/>
          <w:color w:val="auto"/>
        </w:rPr>
      </w:pPr>
      <w:r>
        <w:rPr>
          <w:rFonts w:ascii="Arial" w:cs="Arial" w:eastAsia="Arial" w:hAnsi="Arial"/>
          <w:sz w:val="18"/>
          <w:szCs w:val="18"/>
          <w:b w:val="1"/>
          <w:bCs w:val="1"/>
          <w:color w:val="auto"/>
        </w:rPr>
        <w:t>Jaume Pons, Ph.D.</w:t>
      </w:r>
    </w:p>
    <w:p>
      <w:pPr>
        <w:ind w:left="6840"/>
        <w:spacing w:after="0" w:line="203" w:lineRule="auto"/>
        <w:rPr>
          <w:sz w:val="20"/>
          <w:szCs w:val="20"/>
          <w:color w:val="auto"/>
        </w:rPr>
      </w:pPr>
      <w:r>
        <w:rPr>
          <w:rFonts w:ascii="Arial" w:cs="Arial" w:eastAsia="Arial" w:hAnsi="Arial"/>
          <w:sz w:val="18"/>
          <w:szCs w:val="18"/>
          <w:b w:val="1"/>
          <w:bCs w:val="1"/>
          <w:color w:val="auto"/>
        </w:rPr>
        <w:t>President, Chief Executive Officer and Director</w:t>
      </w:r>
    </w:p>
    <w:p>
      <w:pPr>
        <w:spacing w:after="0" w:line="1"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In connection with the Quarterly Report of ALX Oncology Holdings Inc. (the “Company”), on Form 10-Q for the period ended March 31, 2022, as filed with the Securities and Exchange Commission on the date hereof (the “Report”), I certify, pursuant to 18 U.S.C. §1350, as adopted pursuant to section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2" w:lineRule="exact"/>
        <w:rPr>
          <w:sz w:val="20"/>
          <w:szCs w:val="20"/>
          <w:color w:val="auto"/>
        </w:rPr>
      </w:pPr>
    </w:p>
    <w:p>
      <w:pPr>
        <w:ind w:left="20"/>
        <w:spacing w:after="0"/>
        <w:tabs>
          <w:tab w:leader="none" w:pos="5300" w:val="left"/>
          <w:tab w:leader="none" w:pos="7920" w:val="left"/>
        </w:tabs>
        <w:rPr>
          <w:sz w:val="20"/>
          <w:szCs w:val="20"/>
          <w:color w:val="auto"/>
        </w:rPr>
      </w:pPr>
      <w:r>
        <w:rPr>
          <w:rFonts w:ascii="Arial" w:cs="Arial" w:eastAsia="Arial" w:hAnsi="Arial"/>
          <w:sz w:val="18"/>
          <w:szCs w:val="18"/>
          <w:color w:val="auto"/>
        </w:rPr>
        <w:t>Date: 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-635</wp:posOffset>
            </wp:positionV>
            <wp:extent cx="3488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8000"/>
        <w:spacing w:after="0" w:line="219" w:lineRule="auto"/>
        <w:rPr>
          <w:sz w:val="20"/>
          <w:szCs w:val="20"/>
          <w:color w:val="auto"/>
        </w:rPr>
      </w:pPr>
      <w:r>
        <w:rPr>
          <w:rFonts w:ascii="Arial" w:cs="Arial" w:eastAsia="Arial" w:hAnsi="Arial"/>
          <w:sz w:val="18"/>
          <w:szCs w:val="18"/>
          <w:b w:val="1"/>
          <w:bCs w:val="1"/>
          <w:color w:val="auto"/>
        </w:rPr>
        <w:t>Peter Garcia</w:t>
      </w:r>
    </w:p>
    <w:p>
      <w:pPr>
        <w:ind w:left="7600"/>
        <w:spacing w:after="0" w:line="203" w:lineRule="auto"/>
        <w:rPr>
          <w:sz w:val="20"/>
          <w:szCs w:val="20"/>
          <w:color w:val="auto"/>
        </w:rPr>
      </w:pPr>
      <w:r>
        <w:rPr>
          <w:rFonts w:ascii="Arial" w:cs="Arial" w:eastAsia="Arial" w:hAnsi="Arial"/>
          <w:sz w:val="18"/>
          <w:szCs w:val="18"/>
          <w:b w:val="1"/>
          <w:bCs w:val="1"/>
          <w:color w:val="auto"/>
        </w:rPr>
        <w:t>Chief Financial Officer</w:t>
      </w:r>
    </w:p>
    <w:p>
      <w:pPr>
        <w:spacing w:after="0" w:line="1"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2"/>
    </w:lvl>
  </w:abstractNum>
  <w:abstractNum w:abstractNumId="5">
    <w:nsid w:val="7C3DBD3D"/>
    <w:multiLevelType w:val="hybridMultilevel"/>
    <w:lvl w:ilvl="0">
      <w:lvlJc w:val="left"/>
      <w:lvlText w:val="(%1)"/>
      <w:numFmt w:val="decimal"/>
      <w:start w:val="4"/>
    </w:lvl>
  </w:abstractNum>
  <w:abstractNum w:abstractNumId="6">
    <w:nsid w:val="737B8DDC"/>
    <w:multiLevelType w:val="hybridMultilevel"/>
    <w:lvl w:ilvl="0">
      <w:lvlJc w:val="left"/>
      <w:lvlText w:val="(%1)"/>
      <w:numFmt w:val="lowerRoman"/>
      <w:start w:val="1"/>
    </w:lvl>
  </w:abstractNum>
  <w:abstractNum w:abstractNumId="7">
    <w:nsid w:val="6CEAF087"/>
    <w:multiLevelType w:val="hybridMultilevel"/>
    <w:lvl w:ilvl="0">
      <w:lvlJc w:val="left"/>
      <w:lvlText w:val="(%1)"/>
      <w:numFmt w:val="lowerRoman"/>
      <w:start w:val="1"/>
    </w:lvl>
  </w:abstractNum>
  <w:abstractNum w:abstractNumId="8">
    <w:nsid w:val="22221A70"/>
    <w:multiLevelType w:val="hybridMultilevel"/>
    <w:lvl w:ilvl="0">
      <w:lvlJc w:val="left"/>
      <w:lvlText w:val="(%1)"/>
      <w:numFmt w:val="decimal"/>
      <w:start w:val="8"/>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1)"/>
      <w:numFmt w:val="lowerRoman"/>
      <w:start w:val="3"/>
    </w:lvl>
  </w:abstractNum>
  <w:abstractNum w:abstractNumId="15">
    <w:nsid w:val="5072367"/>
    <w:multiLevelType w:val="hybridMultilevel"/>
    <w:lvl w:ilvl="0">
      <w:lvlJc w:val="left"/>
      <w:lvlText w:val="(%1)"/>
      <w:numFmt w:val="lowerRoman"/>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2022-05-09T15:30:19Z</dcterms:created>
  <dcterms:modified xsi:type="dcterms:W3CDTF">2022-05-09T15:30:19Z</dcterms:modified>
</cp:coreProperties>
</file>