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Hemrajani Rekha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40,400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01/20/2035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40,400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1440" w:gutter="0" w:footer="0" w:header="0"/>
          <w:type w:val="continuous"/>
        </w:sectPr>
      </w:pP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beginning on February 21, 2025.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Shelly Pinto,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217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520" w:space="28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Chris Byrd, Shelly Pinto and Harish Shantharam, and each of them, as the undersigned’s true and lawful attorney-in-fact to:</w:t>
      </w:r>
    </w:p>
    <w:p>
      <w:pPr>
        <w:spacing w:after="0" w:line="213" w:lineRule="exact"/>
        <w:rPr>
          <w:sz w:val="20"/>
          <w:szCs w:val="20"/>
          <w:color w:val="auto"/>
        </w:rPr>
      </w:pPr>
    </w:p>
    <w:p>
      <w:pPr>
        <w:jc w:val="both"/>
        <w:ind w:left="1240" w:hanging="618"/>
        <w:spacing w:after="0" w:line="250"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u w:val="single" w:color="auto"/>
          <w:color w:val="auto"/>
        </w:rPr>
        <w:t>/s/ Rekha Hemrajani</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Print Name: Rekha Hemrajani</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1213"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2025-01-23T17:35:40Z</dcterms:created>
  <dcterms:modified xsi:type="dcterms:W3CDTF">2025-01-23T17:35:40Z</dcterms:modified>
</cp:coreProperties>
</file>