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8"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32"/>
          <w:szCs w:val="32"/>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Travis Boettner</w:t>
      </w:r>
    </w:p>
    <w:p>
      <w:pPr>
        <w:spacing w:after="0" w:line="3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Lightstone Ventures</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500 Boylston St. Suite 1380</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(617) 933-3770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636"/>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December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59" w:lineRule="exact"/>
        <w:rPr>
          <w:sz w:val="24"/>
          <w:szCs w:val="24"/>
          <w:color w:val="auto"/>
        </w:rPr>
      </w:pPr>
    </w:p>
    <w:p>
      <w:pPr>
        <w:ind w:left="4" w:hanging="4"/>
        <w:spacing w:after="0" w:line="282" w:lineRule="auto"/>
        <w:tabs>
          <w:tab w:leader="none" w:pos="1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157480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663575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3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Lightstone Ventures, L.P.</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1,950,004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1,950,004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1,950,004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3.9%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right="2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Lightstone Ventures, L.P. (“LV LP”), Lightstone Ventures (A), L.P. (“LV(A) LP”), LSV Associates, LLC (“LSV Associates”), Lightstone Ventures II, LP (“LV II LP”), Lightstone Ventures II (A), LP (“LV II(A) LP”) and LSV Associates II, LLC (“LSV Associates II,” together with LV LP, LV(A) LP, LSV Associates, LV II LP and LV II(A) LP, the “LV Entities”), Michael A. Carusi, Jean M. George and Henry A. Plain, Jr. Together with the LV Entities, Messrs. Carusi, and Plain, and Ms. George are herein collectively referred to as the “Reporting Persons”). The Reporting Persons expressly disclaim status as a “group” for purposes of this Schedule 13D.</w:t>
      </w:r>
    </w:p>
    <w:p>
      <w:pPr>
        <w:spacing w:after="0" w:line="18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LV LP. LSV Associates serves as the general partner of LV LP. Messrs. Carusi and Plain, and Ms. George, the individual managing directors of LSV Associates, share voting and dispositive power with respect to the shares held of record by LV LP, and may be deemed to own beneficially the shares held by LV LP.</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Securities and Exchange Commission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Lightstone Ventures (A), L.P.</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265,868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265,868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265,868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0.5%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LV(A) LP. LSV Associates serves as the general partner of LV(A) LP. Messrs. Carusi and Plain, and Ms. George, the individual managing directors of LSV Associates, share voting and dispositive power with respect to the shares held of record by LV(A) LP, and may be deemed to own beneficially the shares held by LV(A) LP.</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LSV Associates, LLC</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2,215,872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2,215,872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2,215,872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4.4%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1,950,004 shares held by LV LP; and (ii) 265,868 shares held by LV(A) LP. LSV Associates serves as the general partner of each of LV LP and LV(A) LP. Messrs. Carusi and Plain, and Ms. George, the individual managing directors of LSV Associates, share voting and dispositive power with respect to the shares held of record by each of LV LP and LV(A) LP, and may be deemed to own beneficially the shares held by LV LP and LV(A) LP.</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Lightstone Ventures II, L.P.</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1,881,334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1,881,334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1,881,334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3.8%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LV II LP. LSV Associates II serves as the general partner of LV II LP. Messrs. Carusi and Plain, and Ms. George, the individual managing directors of LSV Associates II, share voting and dispositive power with respect to the shares held of record by LV II LP, and may be deemed to own beneficially the shares held by LV II LP.</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Lightstone Ventures II (A), L.P.</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111,769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111,769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111,769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0.2%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LV II(A) LP. LSV Associates II serves as the general partner of LV II(A) LP. Messrs. Carusi and Plain, and Ms. George, the individual managing directors of LSV Associates II, share voting and dispositive power with respect to the shares held of record by LV II(A) LP, and may be deemed to own beneficially the shares held by LV II(A) LP.</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LSV Associates II, LLC</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1,993,103 shares of Common Stock (2)</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1,993,103 shares of Common Stock (2)</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1,993,103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4.0%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1,881,334 shares held by LV II LP; and (ii) 111,769 shares held by LV II(A) LP. LSV Associates II serves as the general partner of each of LV II LP and LV II(A) LP. Messrs. Carusi and Plain, and Ms. George, the individual managing directors of LSV Associates II, share voting and dispositive power with respect to the shares held of record by each of LV II LP and LV II(A) LP, and may be deemed to own beneficially the shares held by each of LV II LP and LV II(A) LP.</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Michael A. Carusi</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jc w:val="right"/>
              <w:ind w:right="927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8.4%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1,950,004 shares held by LV LP; (ii) 265,868 shares held by LV(A) LP; (iii) 1,881,334 shares held by LV II LP; and (iv) 111,769 shares held by LV II(A) LP. 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4"/>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Jean M. George</w:t>
            </w: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5"/>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0" w:type="dxa"/>
            <w:vAlign w:val="bottom"/>
          </w:tcPr>
          <w:p>
            <w:pPr>
              <w:spacing w:after="0"/>
              <w:rPr>
                <w:sz w:val="18"/>
                <w:szCs w:val="18"/>
                <w:color w:val="auto"/>
              </w:rPr>
            </w:pPr>
          </w:p>
        </w:tc>
        <w:tc>
          <w:tcPr>
            <w:tcW w:w="9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right w:val="single" w:sz="8" w:color="auto"/>
            </w:tcBorders>
          </w:tcPr>
          <w:p>
            <w:pPr>
              <w:jc w:val="right"/>
              <w:ind w:right="927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40" w:type="dxa"/>
            <w:vAlign w:val="bottom"/>
          </w:tcPr>
          <w:p>
            <w:pPr>
              <w:spacing w:after="0"/>
              <w:rPr>
                <w:sz w:val="11"/>
                <w:szCs w:val="11"/>
                <w:color w:val="auto"/>
              </w:rPr>
            </w:pPr>
          </w:p>
        </w:tc>
        <w:tc>
          <w:tcPr>
            <w:tcW w:w="9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0" w:type="dxa"/>
            <w:vAlign w:val="bottom"/>
          </w:tcPr>
          <w:p>
            <w:pPr>
              <w:spacing w:after="0"/>
              <w:rPr>
                <w:sz w:val="6"/>
                <w:szCs w:val="6"/>
                <w:color w:val="auto"/>
              </w:rPr>
            </w:pPr>
          </w:p>
        </w:tc>
        <w:tc>
          <w:tcPr>
            <w:tcW w:w="9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9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50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5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9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8.4% (3)</w:t>
            </w:r>
          </w:p>
        </w:tc>
        <w:tc>
          <w:tcPr>
            <w:tcW w:w="4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1,950,004 shares held by LV LP; (ii) 265,868 shares held by LV(A) LP; (iii) 1,881,334 shares held by LV II LP; and (iv) 111,769 shares held by LV II(A) LP. 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4"/>
        </w:trPr>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10220" w:type="dxa"/>
            <w:vAlign w:val="bottom"/>
            <w:gridSpan w:val="3"/>
          </w:tcPr>
          <w:p>
            <w:pPr>
              <w:jc w:val="right"/>
              <w:ind w:right="9270"/>
              <w:spacing w:after="0"/>
              <w:rPr>
                <w:sz w:val="20"/>
                <w:szCs w:val="20"/>
                <w:color w:val="auto"/>
              </w:rPr>
            </w:pPr>
            <w:r>
              <w:rPr>
                <w:rFonts w:ascii="Times New Roman" w:cs="Times New Roman" w:eastAsia="Times New Roman" w:hAnsi="Times New Roman"/>
                <w:sz w:val="18"/>
                <w:szCs w:val="18"/>
                <w:color w:val="auto"/>
                <w:w w:val="99"/>
              </w:rPr>
              <w:t>00166B105</w:t>
            </w: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Henry A. Plain, Jr.</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5"/>
                <w:szCs w:val="15"/>
                <w:color w:val="auto"/>
              </w:rPr>
            </w:pPr>
          </w:p>
        </w:tc>
        <w:tc>
          <w:tcPr>
            <w:tcW w:w="10720" w:type="dxa"/>
            <w:vAlign w:val="bottom"/>
            <w:tcBorders>
              <w:right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9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tc>
        <w:tc>
          <w:tcPr>
            <w:tcW w:w="0" w:type="dxa"/>
            <w:vAlign w:val="bottom"/>
          </w:tcPr>
          <w:p>
            <w:pPr>
              <w:spacing w:after="0"/>
              <w:rPr>
                <w:sz w:val="1"/>
                <w:szCs w:val="1"/>
                <w:color w:val="auto"/>
              </w:rPr>
            </w:pPr>
          </w:p>
        </w:tc>
      </w:tr>
      <w:tr>
        <w:trPr>
          <w:trHeight w:val="237"/>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72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gridSpan w:val="3"/>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9540" w:type="dxa"/>
            <w:vAlign w:val="bottom"/>
            <w:tcBorders>
              <w:right w:val="single" w:sz="8" w:color="auto"/>
            </w:tcBorders>
          </w:tcPr>
          <w:p>
            <w:pPr>
              <w:jc w:val="right"/>
              <w:ind w:right="927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0" w:type="dxa"/>
            <w:vAlign w:val="bottom"/>
            <w:tcBorders>
              <w:right w:val="single" w:sz="8" w:color="auto"/>
            </w:tcBorders>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tcBorders>
            <w:gridSpan w:val="3"/>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99"/>
        </w:trPr>
        <w:tc>
          <w:tcPr>
            <w:tcW w:w="1040" w:type="dxa"/>
            <w:vAlign w:val="bottom"/>
            <w:tcBorders>
              <w:lef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9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040" w:type="dxa"/>
            <w:vAlign w:val="bottom"/>
            <w:tcBorders>
              <w:left w:val="single" w:sz="8" w:color="auto"/>
            </w:tcBorders>
            <w:gridSpan w:val="3"/>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95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9540" w:type="dxa"/>
            <w:vAlign w:val="bottom"/>
            <w:tcBorders>
              <w:right w:val="single" w:sz="8" w:color="auto"/>
            </w:tcBorders>
            <w:vMerge w:val="restart"/>
          </w:tcPr>
          <w:p>
            <w:pPr>
              <w:jc w:val="right"/>
              <w:ind w:right="927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tcBorders>
            <w:gridSpan w:val="3"/>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Reporting</w:t>
            </w:r>
          </w:p>
        </w:tc>
        <w:tc>
          <w:tcPr>
            <w:tcW w:w="12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95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tcBorders>
            <w:gridSpan w:val="3"/>
            <w:vMerge w:val="continue"/>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8"/>
              </w:rPr>
              <w:t>Person With</w:t>
            </w:r>
          </w:p>
        </w:tc>
        <w:tc>
          <w:tcPr>
            <w:tcW w:w="1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gridSpan w:val="2"/>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4,208,975 shares of Common Stock (2)</w:t>
            </w: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60" w:type="dxa"/>
            <w:vAlign w:val="bottom"/>
            <w:tcBorders>
              <w:bottom w:val="single" w:sz="8" w:color="auto"/>
            </w:tcBorders>
          </w:tcPr>
          <w:p>
            <w:pPr>
              <w:spacing w:after="0"/>
              <w:rPr>
                <w:sz w:val="22"/>
                <w:szCs w:val="22"/>
                <w:color w:val="auto"/>
              </w:rPr>
            </w:pPr>
          </w:p>
        </w:tc>
        <w:tc>
          <w:tcPr>
            <w:tcW w:w="10720" w:type="dxa"/>
            <w:vAlign w:val="bottom"/>
            <w:tcBorders>
              <w:bottom w:val="single" w:sz="8" w:color="auto"/>
              <w:righ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8.4% (3)</w:t>
            </w: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60" w:type="dxa"/>
            <w:vAlign w:val="bottom"/>
          </w:tcPr>
          <w:p>
            <w:pPr>
              <w:spacing w:after="0"/>
              <w:rPr>
                <w:sz w:val="18"/>
                <w:szCs w:val="18"/>
                <w:color w:val="auto"/>
              </w:rPr>
            </w:pPr>
          </w:p>
        </w:tc>
        <w:tc>
          <w:tcPr>
            <w:tcW w:w="107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1,950,004 shares held by LV LP; (ii) 265,868 shares held by LV(A) LP; (iii) 1,881,334 shares held by LV II LP; and (iv) 111,769 shares held by LV II(A) LP. 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Explanatory Note: </w:t>
      </w:r>
      <w:r>
        <w:rPr>
          <w:rFonts w:ascii="Times New Roman" w:cs="Times New Roman" w:eastAsia="Times New Roman" w:hAnsi="Times New Roman"/>
          <w:sz w:val="18"/>
          <w:szCs w:val="18"/>
          <w:color w:val="auto"/>
        </w:rPr>
        <w:t>This Amendment No. 1 (the “Amendment”), which amends the Schedule 13D filed with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on July 31, 2020 (the “Original Schedule 13D”) filed on behalf of Lightstone Ventures, L.P. (“LV LP”), Lightstone Ventures (A), L.P. (“LV(A) LP”), LSV Associates, LLC (“LSV Associates”), Lightstone Ventures II, LP (“LV II LP”), Lightstone Ventures II (A), LP (“LV II(A) LP” and together with LV LP, LV(A) LP and LV II LP, the “LV Funds”) and LSV Associates II, LLC (“LSV Associates II,” together with LV LP, LV(A) LP, LSV Associates, LV II LP and LV II(A) LP, the “LV Entities”), Michael A. Carusi, Jean M. George and Henry A. Plain, Jr., together with the LV Entities, Messrs. Carusi and Plain, and Ms. George, collectively the “Reporting Persons”), relates to the common stock, par value $0.001 per share (“Common Stock”) of ALX Oncology Holdings Inc., a Delaware corporation (the “Issuer”). This Amendment is being filed by the Reporting Persons to report open market sales of Common Stock. Accordingly, the number of securities beneficially owned by the Reporting Persons has decreased as described in Item 5 and Schedule A below.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Items 5 of the Original Schedule 13D is hereby amended and supplemented to the extent hereinafter expressly set forth and, except as amended and supplemented hereby, the Original Schedule 13D remains in full force and effect. All capitalized terms used in this Amendment but not defined herein shall have the meanings ascribed thereto in the Original Schedule 13D.</w:t>
      </w:r>
    </w:p>
    <w:p>
      <w:pPr>
        <w:spacing w:after="0" w:line="17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 of the Schedule 13D is hereby amended and restated in its entirety as follows:</w:t>
      </w:r>
    </w:p>
    <w:p>
      <w:pPr>
        <w:spacing w:after="0" w:line="2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(a)– (b).</w:t>
        <w:tab/>
        <w:t>The following information with respect to the ownership of the Common Stock of the Issuer by the persons filing this statement on Schedule</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13D is provided as of December 13,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 Held</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Sole Voting</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Directly (1)</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of Class (3)</w:t>
            </w:r>
          </w:p>
        </w:tc>
        <w:tc>
          <w:tcPr>
            <w:tcW w:w="160" w:type="dxa"/>
            <w:vAlign w:val="bottom"/>
            <w:tcBorders>
              <w:bottom w:val="single" w:sz="8" w:color="CCEEFF"/>
            </w:tcBorders>
          </w:tcPr>
          <w:p>
            <w:pPr>
              <w:spacing w:after="0"/>
              <w:rPr>
                <w:sz w:val="20"/>
                <w:szCs w:val="20"/>
                <w:color w:val="auto"/>
              </w:rPr>
            </w:pPr>
          </w:p>
        </w:tc>
      </w:tr>
      <w:tr>
        <w:trPr>
          <w:trHeight w:val="21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LV(A) LP</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265,868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265,868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265,868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265,868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198"/>
        </w:trPr>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LSV</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Associates (2)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2,215,872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2,215,872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2,215,872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LV II LP</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1,881,334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1,881,334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1,881,334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1,881,334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II(A) LP</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111,769</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198"/>
        </w:trPr>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LSV</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Associates II</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1,993,103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1,993,103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1,993,103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198"/>
        </w:trPr>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A.</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Carusi</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4,208,975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4,208,975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4,208,975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198"/>
        </w:trPr>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Jean M.</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4,208,975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4,208,975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4,208,975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198"/>
        </w:trPr>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Henry A.</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 Jr.</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4,208,975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4,208,975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4,208,975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bl>
    <w:p>
      <w:pPr>
        <w:spacing w:after="0" w:line="198" w:lineRule="exact"/>
        <w:rPr>
          <w:sz w:val="20"/>
          <w:szCs w:val="20"/>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currently underlying all Securities held by the Reporting Persons.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LSV Associates serves as the general partner of each of LV LP and LV(A) LP. LSV Associates II serves as the general partner of each of LV II LP and LV II(A) LP. Messrs. Carusi and Plain, and Ms. George, the individual managing directors of each of LSV Associates and LSV Associates II, share voting and dispositive power with respect to the shares held of record by each of LV LP, LV(A) LP, LV II LP and LV II(A) LP, and may be deemed to own beneficially the shares held by each of LV LP, LV(A) LP, LV II LP and LV II(A) LP. Messrs. Carusi and Plain, and Ms. George own no securities of the Issuer directly as of the date of this filing.</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49,818,812 shares of Common Stock outstanding as of November 6, 2023, as reported in the Issuer’s Quarterly Report on Form 10-Q filed with the SEC on November 13, 2023.</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Issuer’s Common Stock by the Reporting Persons during the past sixty days are set forth on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have the right to receive or the power to direct the receipt of dividends from, or any proceeds from the sale of, the shares of Common Stock beneficially owned by any of the Reporting Persons.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tab/>
        <w:t>Material to be Filed as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7 of the Schedule 13D is hereby amended and restated in its entirety as follows:</w:t>
      </w:r>
    </w:p>
    <w:p>
      <w:pPr>
        <w:spacing w:after="0" w:line="227" w:lineRule="exact"/>
        <w:rPr>
          <w:sz w:val="20"/>
          <w:szCs w:val="20"/>
          <w:color w:val="auto"/>
        </w:rPr>
      </w:pPr>
    </w:p>
    <w:p>
      <w:pPr>
        <w:ind w:left="780" w:hanging="772"/>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9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60" w:type="dxa"/>
            <w:vAlign w:val="bottom"/>
            <w:gridSpan w:val="9"/>
          </w:tcPr>
          <w:p>
            <w:pPr>
              <w:ind w:left="860"/>
              <w:spacing w:after="0"/>
              <w:rPr>
                <w:sz w:val="20"/>
                <w:szCs w:val="20"/>
                <w:color w:val="auto"/>
              </w:rPr>
            </w:pPr>
            <w:r>
              <w:rPr>
                <w:rFonts w:ascii="Times New Roman" w:cs="Times New Roman" w:eastAsia="Times New Roman" w:hAnsi="Times New Roman"/>
                <w:sz w:val="18"/>
                <w:szCs w:val="18"/>
                <w:b w:val="1"/>
                <w:bCs w:val="1"/>
                <w:color w:val="auto"/>
              </w:rPr>
              <w:t>Transactions in Common Stock During the Past Sixty Days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2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5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Date of Sale</w:t>
            </w: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Securities Sold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Low Price ($)</w:t>
            </w:r>
          </w:p>
        </w:tc>
        <w:tc>
          <w:tcPr>
            <w:tcW w:w="10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High Price ($)</w:t>
            </w:r>
          </w:p>
        </w:tc>
      </w:tr>
      <w:tr>
        <w:trPr>
          <w:trHeight w:val="209"/>
        </w:trPr>
        <w:tc>
          <w:tcPr>
            <w:tcW w:w="226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12/08/2023</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12.50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12/08/2023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4,799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12/08/2023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33,955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12/08/2023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12/11/2023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5,704</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12/11/2023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778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12/11/2023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5,503</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12/11/2023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12/12/2023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55,745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12/12/2023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7,600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12/12/2023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53,782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12/12/2023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3,195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12.50</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12/13/2023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50,680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12.67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12/13/2023</w:t>
            </w:r>
          </w:p>
        </w:tc>
        <w:tc>
          <w:tcPr>
            <w:tcW w:w="2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6,910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12.67</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22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12/13/2023</w:t>
            </w:r>
          </w:p>
        </w:tc>
        <w:tc>
          <w:tcPr>
            <w:tcW w:w="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LV II LP</w:t>
            </w:r>
          </w:p>
        </w:tc>
        <w:tc>
          <w:tcPr>
            <w:tcW w:w="1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48,895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12.67</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r>
      <w:tr>
        <w:trPr>
          <w:trHeight w:val="234"/>
        </w:trPr>
        <w:tc>
          <w:tcPr>
            <w:tcW w:w="22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97"/>
              </w:rPr>
              <w:t>12/13/2023</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LV II(A) LP</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2,905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12.67</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r>
      <w:tr>
        <w:trPr>
          <w:trHeight w:val="657"/>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December 19,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Lightstone Ventures,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Lightstone Ventures II,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II, LLC</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Lightstone Ventures (A),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Lightstone Ventures II (A),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II, LLC</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LSV Associates,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LSV Associates II, LLC</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Michael A. Carusi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Jean M. George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Henry A. Plain, Jr.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agree that a single Schedule 13D (or any amendment thereto) relating to the Common Stock of ALX Oncology Holdings Inc. shall be filed on behalf of each of the undersigned and that this Agreement shall be filed as an exhibit to such Schedule 13D.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19,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Lightstone Ventures,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Lightstone Ventures II,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II, LLC</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Lightstone Ventures (A),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Lightstone Ventures II (A),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LSV Associates II, LLC</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LSV Associates,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LSV Associates II, LLC</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Boettner</w:t>
            </w:r>
          </w:p>
        </w:tc>
      </w:tr>
      <w:tr>
        <w:trPr>
          <w:trHeight w:val="228"/>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Travis Boettner, Attorney-in-Fact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Michael A. Carusi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Jean M. George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Travis Boettner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Travis Boettner, Attorney-in-Fact for Henry A. Plain,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lvl w:ilvl="1">
      <w:lvlJc w:val="left"/>
      <w:lvlText w:val="(%2)"/>
      <w:numFmt w:val="decimal"/>
      <w:start w:val="1"/>
    </w:lvl>
  </w:abstractNum>
  <w:abstractNum w:abstractNumId="11">
    <w:nsid w:val="3352255A"/>
    <w:multiLevelType w:val="hybridMultilevel"/>
    <w:lvl w:ilvl="0">
      <w:lvlJc w:val="left"/>
      <w:lvlText w:val="(%1)"/>
      <w:numFmt w:val="lowerLetter"/>
      <w:start w:val="3"/>
    </w:lvl>
    <w:lvl w:ilvl="1">
      <w:lvlJc w:val="left"/>
      <w:lvlText w:val="%2"/>
      <w:numFmt w:val="decimal"/>
      <w:start w:val="1"/>
    </w:lvl>
  </w:abstractNum>
  <w:abstractNum w:abstractNumId="12">
    <w:nsid w:val="109CF92E"/>
    <w:multiLevelType w:val="hybridMultilevel"/>
    <w:lvl w:ilvl="0">
      <w:lvlJc w:val="left"/>
      <w:lvlText w:val="%1."/>
      <w:numFmt w:val="upperLetter"/>
      <w:start w:val="1"/>
    </w:lvl>
  </w:abstractNum>
  <w:abstractNum w:abstractNumId="13">
    <w:nsid w:val="DED7263"/>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2023-12-20T05:09:16Z</dcterms:created>
  <dcterms:modified xsi:type="dcterms:W3CDTF">2023-12-20T05:09:16Z</dcterms:modified>
</cp:coreProperties>
</file>