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7, 2024</w:t>
      </w:r>
    </w:p>
    <w:p>
      <w:pPr>
        <w:spacing w:after="0" w:line="31" w:lineRule="exact"/>
        <w:rPr>
          <w:sz w:val="24"/>
          <w:szCs w:val="24"/>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428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48"/>
        </w:trPr>
        <w:tc>
          <w:tcPr>
            <w:tcW w:w="4280" w:type="dxa"/>
            <w:vAlign w:val="bottom"/>
          </w:tcPr>
          <w:p>
            <w:pPr>
              <w:jc w:val="center"/>
              <w:ind w:right="17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40" w:type="dxa"/>
            <w:vAlign w:val="bottom"/>
          </w:tcPr>
          <w:p>
            <w:pPr>
              <w:jc w:val="center"/>
              <w:ind w:left="17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280" w:type="dxa"/>
            <w:vAlign w:val="bottom"/>
          </w:tcPr>
          <w:p>
            <w:pPr>
              <w:jc w:val="center"/>
              <w:ind w:right="17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40" w:type="dxa"/>
            <w:vAlign w:val="bottom"/>
          </w:tcPr>
          <w:p>
            <w:pPr>
              <w:jc w:val="center"/>
              <w:ind w:left="172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6"/>
        </w:trPr>
        <w:tc>
          <w:tcPr>
            <w:tcW w:w="428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w w:val="98"/>
              </w:rPr>
              <w:t>323 Allerton Avenue</w:t>
            </w:r>
          </w:p>
        </w:tc>
        <w:tc>
          <w:tcPr>
            <w:tcW w:w="3240" w:type="dxa"/>
            <w:vAlign w:val="bottom"/>
          </w:tcPr>
          <w:p>
            <w:pPr>
              <w:spacing w:after="0"/>
              <w:rPr>
                <w:sz w:val="24"/>
                <w:szCs w:val="24"/>
                <w:color w:val="auto"/>
              </w:rPr>
            </w:pPr>
          </w:p>
        </w:tc>
      </w:tr>
      <w:tr>
        <w:trPr>
          <w:trHeight w:val="227"/>
        </w:trPr>
        <w:tc>
          <w:tcPr>
            <w:tcW w:w="4280" w:type="dxa"/>
            <w:vAlign w:val="bottom"/>
          </w:tcPr>
          <w:p>
            <w:pPr>
              <w:jc w:val="center"/>
              <w:ind w:right="1739"/>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24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4280" w:type="dxa"/>
            <w:vAlign w:val="bottom"/>
          </w:tcPr>
          <w:p>
            <w:pPr>
              <w:jc w:val="center"/>
              <w:ind w:right="17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tc>
        <w:tc>
          <w:tcPr>
            <w:tcW w:w="3240" w:type="dxa"/>
            <w:vAlign w:val="bottom"/>
          </w:tcPr>
          <w:p>
            <w:pPr>
              <w:jc w:val="center"/>
              <w:ind w:left="17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Amended and Restated 2020 Equity Incentive Plan</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Jason Lettmann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323 Allerton Avenue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Kenneth A. Clark</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Michael E. Coke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Christina L. Poulsen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Wilson Sonsini Goodrich &amp; Rosati, P.C.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650 Page Mill Road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650-493-9300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PROSPECTUS</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ALX Oncology Holdings Inc. (the “Registrant”) hereby incorporates by reference into this Registration Statement the following documents previously filed with the Securities and Exchange Commission (the “Commission”):</w:t>
      </w:r>
    </w:p>
    <w:p>
      <w:pPr>
        <w:spacing w:after="0" w:line="67"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Commission on March 7, 2024;</w:t>
      </w:r>
    </w:p>
    <w:p>
      <w:pPr>
        <w:spacing w:after="0" w:line="130"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Securities Exchange Act of 1934, as amended (the “Exchange Act”) since the end of the fiscal year covered by the Registrant’s Annual Report referred to in (1) above (other than the portions of these documents not deemed to be filed); and</w:t>
      </w:r>
    </w:p>
    <w:p>
      <w:pPr>
        <w:spacing w:after="0" w:line="81" w:lineRule="exact"/>
        <w:rPr>
          <w:rFonts w:ascii="Times New Roman" w:cs="Times New Roman" w:eastAsia="Times New Roman" w:hAnsi="Times New Roman"/>
          <w:sz w:val="18"/>
          <w:szCs w:val="18"/>
          <w:color w:val="auto"/>
        </w:rPr>
      </w:pPr>
    </w:p>
    <w:p>
      <w:pPr>
        <w:jc w:val="both"/>
        <w:ind w:left="960" w:right="16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Company’s Registration Statement on </w:t>
      </w:r>
      <w:hyperlink r:id="rId1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001-39386) filed with the Commission on July 13, 2020, pursuant to Section 12(b) of the Exchange Act, including any amendment or report filed for the purpose of updating such description.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5897880</wp:posOffset>
            </wp:positionH>
            <wp:positionV relativeFrom="paragraph">
              <wp:posOffset>-313055</wp:posOffset>
            </wp:positionV>
            <wp:extent cx="28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color w:val="auto"/>
        </w:rPr>
      </w:pPr>
    </w:p>
    <w:p>
      <w:pPr>
        <w:jc w:val="both"/>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documents or information deemed to have been furnished and not filed in accordance with the rules of the Commission shall not be deemed incorporated by reference into this Registration Statement.</w:t>
      </w:r>
    </w:p>
    <w:p>
      <w:pPr>
        <w:spacing w:after="0" w:line="183" w:lineRule="exact"/>
        <w:rPr>
          <w:rFonts w:ascii="Times New Roman" w:cs="Times New Roman" w:eastAsia="Times New Roman" w:hAnsi="Times New Roman"/>
          <w:sz w:val="18"/>
          <w:szCs w:val="18"/>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rFonts w:ascii="Times New Roman" w:cs="Times New Roman" w:eastAsia="Times New Roman" w:hAnsi="Times New Roman"/>
          <w:sz w:val="18"/>
          <w:szCs w:val="18"/>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corporation’s board of directors to grant, and authorizes a court to award, indemnity to officers, directors, and other corporate agents, provided that the person acted in good faith and in a manner the person reasonably believed to be in the corporation’s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w:t>
      </w:r>
    </w:p>
    <w:p>
      <w:pPr>
        <w:spacing w:after="0" w:line="183" w:lineRule="exact"/>
        <w:rPr>
          <w:rFonts w:ascii="Times New Roman" w:cs="Times New Roman" w:eastAsia="Times New Roman" w:hAnsi="Times New Roman"/>
          <w:sz w:val="18"/>
          <w:szCs w:val="18"/>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the Registrant’s directors will be further limited to the greatest extent permitted by the Delaware General Corporation Law.</w:t>
      </w:r>
    </w:p>
    <w:p>
      <w:pPr>
        <w:sectPr>
          <w:pgSz w:w="11900" w:h="16838" w:orient="portrait"/>
          <w:cols w:equalWidth="0" w:num="1">
            <w:col w:w="11020"/>
          </w:cols>
          <w:pgMar w:left="440" w:top="266" w:right="439" w:bottom="1440" w:gutter="0" w:footer="0" w:header="0"/>
        </w:sectPr>
      </w:pPr>
    </w:p>
    <w:bookmarkStart w:id="2" w:name="page3"/>
    <w:bookmarkEnd w:id="2"/>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the Registrant’s amended and restated bylaws provide that the Registrant will indemnify, to the fullest extent permitted by law, any person who is or was a party or is threatened to be made a party to any action, suit, or proceeding by reason of the fact that they are or were one of the Registrant’s directors or officers or is or was serving at the Registrant’s request as a director or officer of another corporation, partnership, joint venture, trust or other enterprise. The Registrant’s amended and restated bylaws provide that the Registrant may indemnify to the fullest extent permitted by law any person who is or was a party or is threatened to be made a party to any action, suit, or proceeding by reason of the fact that he or she is or was one of the Registrant’s employees or agents or is or was serving at the Registrant’s request as an employee or agent of another corporation, partnership, joint venture, trust, or other enterprise. The Registrant’s amended and restated bylaws also provide that the Registrant must advance expenses incurred by or on behalf of a director or officer in advance of the final disposition of any action or proceeding, subject to limited exceptions.</w:t>
      </w:r>
    </w:p>
    <w:p>
      <w:pPr>
        <w:spacing w:after="0" w:line="192"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(1) for any breach of the director’s or officer’s duty of loyalty to the corporation or its stockholders, (2) for acts or omissions not in good faith or which involve intentional misconduct or a knowing violation of law, (3) for payments of unlawful dividends or unlawful stock repurchases or redemptions, (4) for any transaction from which the director or officer derived an improper personal benefit, or (5) an officer in any action by or in the right of the corporation. The Registrant’s amended and restated certificate of incorporation to be in effect upon the completion of this offering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194"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Further, as permitted by the Delaware General Corporation Law, the Registrant has entered into separate indemnification agreements with each of its directors and certain executive officers that may be broader than the specific indemnification provisions contained in the Delaware General Corporation Law. These indemnification agreements require the Registrant, among other things, to indemnify its directors and executive officers against certain liabilities that may arise by reason of their status or service.</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Registrant has obtained insurance policies under which, within the limits and subject to the limitations of the policies, coverage is provided to the Registrant’s directors and executive officers against certain expenses in connection with the defense of, and certain liabilities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its indemnification obligations or otherwise as a matter of law. The coverage provided by these policies may apply whether or not the Registrant would have the power to indemnify such person against such liability under the provisions of the Delaware General Corporation Law.</w:t>
      </w:r>
    </w:p>
    <w:p>
      <w:pPr>
        <w:spacing w:after="0" w:line="187" w:lineRule="exact"/>
        <w:rPr>
          <w:sz w:val="20"/>
          <w:szCs w:val="20"/>
          <w:color w:val="auto"/>
        </w:rPr>
      </w:pPr>
    </w:p>
    <w:p>
      <w:pPr>
        <w:jc w:val="both"/>
        <w:ind w:right="500" w:firstLine="440"/>
        <w:spacing w:after="0" w:line="266" w:lineRule="auto"/>
        <w:rPr>
          <w:sz w:val="20"/>
          <w:szCs w:val="20"/>
          <w:color w:val="auto"/>
        </w:rPr>
      </w:pPr>
      <w:r>
        <w:rPr>
          <w:rFonts w:ascii="Times New Roman" w:cs="Times New Roman" w:eastAsia="Times New Roman" w:hAnsi="Times New Roman"/>
          <w:sz w:val="18"/>
          <w:szCs w:val="18"/>
          <w:color w:val="auto"/>
        </w:rPr>
        <w:t>These indemnification provisions and the indemnification agreements entered into between the Registrant and the Registrant’s directors and executive officers may be sufficiently broad to permit indemnification of the Registrant’s directors and executive officers for liabilities (including reimbursement of expenses incurred) arising under the Securities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 Exhibits.</w:t>
      </w:r>
    </w:p>
    <w:p>
      <w:pPr>
        <w:spacing w:after="0" w:line="250" w:lineRule="exact"/>
        <w:rPr>
          <w:sz w:val="20"/>
          <w:szCs w:val="20"/>
          <w:color w:val="auto"/>
        </w:rPr>
      </w:pPr>
    </w:p>
    <w:p>
      <w:pPr>
        <w:ind w:left="8364"/>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12"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58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Exhibit</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r>
      <w:tr>
        <w:trPr>
          <w:trHeight w:val="225"/>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3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100" w:type="dxa"/>
            <w:vAlign w:val="bottom"/>
            <w:tcBorders>
              <w:bottom w:val="single" w:sz="8" w:color="auto"/>
            </w:tcBorders>
            <w:gridSpan w:val="7"/>
          </w:tcPr>
          <w:p>
            <w:pPr>
              <w:ind w:left="15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00" w:type="dxa"/>
            <w:vAlign w:val="bottom"/>
          </w:tcPr>
          <w:p>
            <w:pPr>
              <w:spacing w:after="0"/>
              <w:rPr>
                <w:sz w:val="19"/>
                <w:szCs w:val="19"/>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Form</w:t>
            </w:r>
          </w:p>
        </w:tc>
        <w:tc>
          <w:tcPr>
            <w:tcW w:w="260" w:type="dxa"/>
            <w:vAlign w:val="bottom"/>
          </w:tcPr>
          <w:p>
            <w:pPr>
              <w:spacing w:after="0"/>
              <w:rPr>
                <w:sz w:val="19"/>
                <w:szCs w:val="19"/>
                <w:color w:val="auto"/>
              </w:rPr>
            </w:pPr>
          </w:p>
        </w:tc>
        <w:tc>
          <w:tcPr>
            <w:tcW w:w="9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2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27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3"/>
                <w:szCs w:val="23"/>
                <w:color w:val="auto"/>
              </w:rPr>
            </w:pPr>
          </w:p>
        </w:tc>
        <w:tc>
          <w:tcPr>
            <w:tcW w:w="38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Specimen common stock certificate of the Registrant.</w:t>
              </w:r>
            </w:hyperlink>
          </w:p>
        </w:tc>
        <w:tc>
          <w:tcPr>
            <w:tcW w:w="2660" w:type="dxa"/>
            <w:vAlign w:val="bottom"/>
            <w:gridSpan w:val="6"/>
          </w:tcPr>
          <w:p>
            <w:pPr>
              <w:spacing w:after="0"/>
              <w:rPr>
                <w:sz w:val="23"/>
                <w:szCs w:val="23"/>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333-239490</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6/26/2020</w:t>
            </w: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24"/>
                <w:szCs w:val="24"/>
                <w:color w:val="auto"/>
              </w:rPr>
            </w:pPr>
          </w:p>
        </w:tc>
        <w:tc>
          <w:tcPr>
            <w:tcW w:w="55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Amended and Restated 2020 Equity Incentive Plan and forms of agreements</w:t>
              </w:r>
            </w:hyperlink>
          </w:p>
        </w:tc>
        <w:tc>
          <w:tcPr>
            <w:tcW w:w="102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4">
              <w:r>
                <w:rPr>
                  <w:rFonts w:ascii="Times New Roman" w:cs="Times New Roman" w:eastAsia="Times New Roman" w:hAnsi="Times New Roman"/>
                  <w:sz w:val="18"/>
                  <w:szCs w:val="18"/>
                  <w:color w:val="0000EE"/>
                  <w:w w:val="95"/>
                </w:rPr>
                <w:t>thereunder.</w:t>
              </w:r>
            </w:hyperlink>
          </w:p>
        </w:tc>
        <w:tc>
          <w:tcPr>
            <w:tcW w:w="5720" w:type="dxa"/>
            <w:vAlign w:val="bottom"/>
            <w:gridSpan w:val="9"/>
          </w:tcPr>
          <w:p>
            <w:pPr>
              <w:spacing w:after="0"/>
              <w:rPr>
                <w:sz w:val="17"/>
                <w:szCs w:val="17"/>
                <w:color w:val="auto"/>
              </w:rPr>
            </w:pPr>
          </w:p>
        </w:tc>
        <w:tc>
          <w:tcPr>
            <w:tcW w:w="76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0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333-239490</w:t>
            </w:r>
          </w:p>
        </w:tc>
        <w:tc>
          <w:tcPr>
            <w:tcW w:w="80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7/13/2020</w:t>
            </w: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24"/>
                <w:szCs w:val="24"/>
                <w:color w:val="auto"/>
              </w:rPr>
            </w:pPr>
          </w:p>
        </w:tc>
        <w:tc>
          <w:tcPr>
            <w:tcW w:w="3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Opinion of Wilson Sonsini Goodrich &amp; Rosati, P.C.</w:t>
            </w:r>
          </w:p>
        </w:tc>
        <w:tc>
          <w:tcPr>
            <w:tcW w:w="2800" w:type="dxa"/>
            <w:vAlign w:val="bottom"/>
            <w:gridSpan w:val="7"/>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00" w:type="dxa"/>
            <w:vAlign w:val="bottom"/>
          </w:tcPr>
          <w:p>
            <w:pPr>
              <w:spacing w:after="0"/>
              <w:rPr>
                <w:sz w:val="24"/>
                <w:szCs w:val="24"/>
                <w:color w:val="auto"/>
              </w:rPr>
            </w:pPr>
          </w:p>
        </w:tc>
        <w:tc>
          <w:tcPr>
            <w:tcW w:w="5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KPMG LLP, Independent Registered Public Accounting Firm.</w:t>
            </w:r>
          </w:p>
        </w:tc>
        <w:tc>
          <w:tcPr>
            <w:tcW w:w="120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tcPr>
          <w:p>
            <w:pPr>
              <w:spacing w:after="0"/>
              <w:rPr>
                <w:sz w:val="24"/>
                <w:szCs w:val="24"/>
                <w:color w:val="auto"/>
              </w:rPr>
            </w:pPr>
          </w:p>
        </w:tc>
        <w:tc>
          <w:tcPr>
            <w:tcW w:w="55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Wilson Sonsini Goodrich &amp; Rosati, P.C. (included in Exhibit 5.1).</w:t>
            </w:r>
          </w:p>
        </w:tc>
        <w:tc>
          <w:tcPr>
            <w:tcW w:w="94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tcPr>
          <w:p>
            <w:pPr>
              <w:spacing w:after="0"/>
              <w:rPr>
                <w:sz w:val="24"/>
                <w:szCs w:val="24"/>
                <w:color w:val="auto"/>
              </w:rPr>
            </w:pPr>
          </w:p>
        </w:tc>
        <w:tc>
          <w:tcPr>
            <w:tcW w:w="40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Power of Attorney (contained on signature page hereto).</w:t>
            </w:r>
          </w:p>
        </w:tc>
        <w:tc>
          <w:tcPr>
            <w:tcW w:w="246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24"/>
                <w:szCs w:val="24"/>
                <w:color w:val="auto"/>
              </w:rPr>
            </w:pPr>
          </w:p>
        </w:tc>
        <w:tc>
          <w:tcPr>
            <w:tcW w:w="12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5300" w:type="dxa"/>
            <w:vAlign w:val="bottom"/>
            <w:gridSpan w:val="8"/>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Filed herewith.</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424" w:right="20" w:hanging="439"/>
        <w:spacing w:after="0" w:line="255" w:lineRule="auto"/>
        <w:tabs>
          <w:tab w:leader="none" w:pos="142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424" w:right="20" w:hanging="439"/>
        <w:spacing w:after="0" w:line="282" w:lineRule="auto"/>
        <w:tabs>
          <w:tab w:leader="none" w:pos="142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4" w:right="3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Exchange Act that are incorporated by reference in this Registration Statement.</w:t>
      </w:r>
    </w:p>
    <w:p>
      <w:pPr>
        <w:spacing w:after="0" w:line="81" w:lineRule="exact"/>
        <w:rPr>
          <w:sz w:val="20"/>
          <w:szCs w:val="20"/>
          <w:color w:val="auto"/>
        </w:rPr>
      </w:pPr>
    </w:p>
    <w:p>
      <w:pPr>
        <w:jc w:val="both"/>
        <w:ind w:left="964" w:right="280" w:hanging="532"/>
        <w:spacing w:after="0" w:line="266"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964" w:right="60" w:hanging="532"/>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64"/>
          </w:cols>
          <w:pgMar w:left="436" w:top="266"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South San Francisco, California, on the 7th day of March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Jason Lettmann</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Jaume Pons, Ph.D. and Peter Garcia, and each of them, as such individual’s true and lawful attorney in fact and agent with full power of substitution, for such individual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 in fact, proxy and agent, or the individual’s substitute, may lawfully do or cause to be done by virtue hereof.</w:t>
      </w:r>
    </w:p>
    <w:p>
      <w:pPr>
        <w:spacing w:after="0" w:line="18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Lettmann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Jason Lettmann</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Garcia</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Peter Garcia</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Shelly Pinto</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Senior Vice President, Finance and Chief Accounting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Shelly Pinto</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Corey Goodman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Executive Chairman of the Board of Directors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Corey Goodman,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Jaume Pons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President, Chief Scientific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Jaume Pons,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Itziar Canamasas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Itziar Canamasas,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Scott Garland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Scott Garland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Rekha Hemrajani</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Rekha Hemrajani</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Jack Nielsen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Jack Nielsen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Sophia Randolph</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Sophia Randolph, M.D.,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09728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1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1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7"/>
          <w:szCs w:val="17"/>
          <w:color w:val="auto"/>
        </w:rPr>
        <w:t>: 650.493.9300</w:t>
      </w:r>
    </w:p>
    <w:p>
      <w:pPr>
        <w:spacing w:after="0" w:line="3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5"/>
          <w:szCs w:val="15"/>
          <w:color w:val="auto"/>
        </w:rPr>
        <w:t>F</w:t>
      </w:r>
      <w:r>
        <w:rPr>
          <w:rFonts w:ascii="Times New Roman" w:cs="Times New Roman" w:eastAsia="Times New Roman" w:hAnsi="Times New Roman"/>
          <w:sz w:val="17"/>
          <w:szCs w:val="17"/>
          <w:color w:val="auto"/>
        </w:rPr>
        <w:t>: 650.493.6811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323 Allerton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230"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Re:</w:t>
        <w:tab/>
        <w:t>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We have examined the Registration Statement on Form S-8 (the “Registration Statement”) to be filed by ALX Oncology Holdings Inc., a Delaware corporation (the “Company”), with the Securities and Exchange Commission on or about the date hereof, relating to the registration under the Securities Act of 1933, as amended, of 1,998,080 shares of common stock, par value $0.001 per share (the “Common Stock”), reserved for issuance pursuant to the Company’s Amended and Restated 2020 Equity Incentive Plan (which plan is referred to herein as the “Plan” and which shares of Common Stock are referred to herein as the “Shares”).</w:t>
      </w:r>
    </w:p>
    <w:p>
      <w:pPr>
        <w:spacing w:after="0" w:line="183"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issued and sold in the manner referred to in the Plan and pursuant to the agreements that accompany the Plan, will be legally and validly issued, fully paid, and nonassessable.</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WILSON SONSINI GOODRICH &amp; ROSATI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Professional Corporation</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Professional Corporation</w:t>
      </w:r>
    </w:p>
    <w:p>
      <w:pPr>
        <w:sectPr>
          <w:pgSz w:w="11900" w:h="16838" w:orient="portrait"/>
          <w:cols w:equalWidth="0" w:num="1">
            <w:col w:w="11020"/>
          </w:cols>
          <w:pgMar w:left="440" w:top="117"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March 7, 2024, with respect to the consolidated financial statements of ALX Oncology Holdings Inc.,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ectPr>
          <w:pgSz w:w="11900" w:h="16838" w:orient="portrait"/>
          <w:cols w:equalWidth="0" w:num="1">
            <w:col w:w="11020"/>
          </w:cols>
          <w:pgMar w:left="440" w:top="117"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 Newly Registered Securities</w:t>
      </w:r>
    </w:p>
    <w:p>
      <w:pPr>
        <w:spacing w:after="0" w:line="254" w:lineRule="exact"/>
        <w:rPr>
          <w:sz w:val="20"/>
          <w:szCs w:val="20"/>
          <w:color w:val="auto"/>
        </w:rPr>
      </w:pPr>
    </w:p>
    <w:tbl>
      <w:tblPr>
        <w:tblLayout w:type="fixed"/>
        <w:tblInd w:w="1334" w:type="dxa"/>
        <w:tblCellMar>
          <w:top w:w="0" w:type="dxa"/>
          <w:left w:w="0" w:type="dxa"/>
          <w:bottom w:w="0" w:type="dxa"/>
          <w:right w:w="0" w:type="dxa"/>
        </w:tblCellMar>
      </w:tblPr>
      <w:tr>
        <w:trPr>
          <w:trHeight w:val="142"/>
        </w:trPr>
        <w:tc>
          <w:tcPr>
            <w:tcW w:w="1300" w:type="dxa"/>
            <w:vAlign w:val="bottom"/>
            <w:tcBorders>
              <w:top w:val="single" w:sz="8" w:color="auto"/>
              <w:left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3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90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00" w:type="dxa"/>
            <w:vAlign w:val="bottom"/>
            <w:tcBorders>
              <w:left w:val="single" w:sz="8" w:color="auto"/>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30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108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3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Amount of</w:t>
            </w:r>
          </w:p>
        </w:tc>
        <w:tc>
          <w:tcPr>
            <w:tcW w:w="0" w:type="dxa"/>
            <w:vAlign w:val="bottom"/>
          </w:tcPr>
          <w:p>
            <w:pPr>
              <w:spacing w:after="0"/>
              <w:rPr>
                <w:sz w:val="1"/>
                <w:szCs w:val="1"/>
                <w:color w:val="auto"/>
              </w:rPr>
            </w:pPr>
          </w:p>
        </w:tc>
      </w:tr>
      <w:tr>
        <w:trPr>
          <w:trHeight w:val="135"/>
        </w:trPr>
        <w:tc>
          <w:tcPr>
            <w:tcW w:w="1300" w:type="dxa"/>
            <w:vAlign w:val="bottom"/>
            <w:tcBorders>
              <w:left w:val="single" w:sz="8" w:color="auto"/>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3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Registration</w:t>
            </w:r>
          </w:p>
        </w:tc>
        <w:tc>
          <w:tcPr>
            <w:tcW w:w="0" w:type="dxa"/>
            <w:vAlign w:val="bottom"/>
          </w:tcPr>
          <w:p>
            <w:pPr>
              <w:spacing w:after="0"/>
              <w:rPr>
                <w:sz w:val="1"/>
                <w:szCs w:val="1"/>
                <w:color w:val="auto"/>
              </w:rPr>
            </w:pPr>
          </w:p>
        </w:tc>
      </w:tr>
      <w:tr>
        <w:trPr>
          <w:trHeight w:val="174"/>
        </w:trPr>
        <w:tc>
          <w:tcPr>
            <w:tcW w:w="130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Times New Roman" w:cs="Times New Roman" w:eastAsia="Times New Roman" w:hAnsi="Times New Roman"/>
                <w:sz w:val="13"/>
                <w:szCs w:val="13"/>
                <w:b w:val="1"/>
                <w:bCs w:val="1"/>
                <w:color w:val="auto"/>
                <w:w w:val="97"/>
              </w:rPr>
              <w:t>Security Type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Rule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Registered (1)</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Fee</w:t>
            </w:r>
          </w:p>
        </w:tc>
        <w:tc>
          <w:tcPr>
            <w:tcW w:w="0" w:type="dxa"/>
            <w:vAlign w:val="bottom"/>
          </w:tcPr>
          <w:p>
            <w:pPr>
              <w:spacing w:after="0"/>
              <w:rPr>
                <w:sz w:val="1"/>
                <w:szCs w:val="1"/>
                <w:color w:val="auto"/>
              </w:rPr>
            </w:pPr>
          </w:p>
        </w:tc>
      </w:tr>
      <w:tr>
        <w:trPr>
          <w:trHeight w:val="206"/>
        </w:trPr>
        <w:tc>
          <w:tcPr>
            <w:tcW w:w="1300" w:type="dxa"/>
            <w:vAlign w:val="bottom"/>
            <w:tcBorders>
              <w:left w:val="single" w:sz="8" w:color="auto"/>
              <w:right w:val="single" w:sz="8" w:color="auto"/>
            </w:tcBorders>
          </w:tcPr>
          <w:p>
            <w:pPr>
              <w:jc w:val="center"/>
              <w:ind w:left="64"/>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132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Common Stock,</w:t>
            </w:r>
          </w:p>
        </w:tc>
        <w:tc>
          <w:tcPr>
            <w:tcW w:w="7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$0.001 par value</w:t>
            </w:r>
          </w:p>
        </w:tc>
        <w:tc>
          <w:tcPr>
            <w:tcW w:w="7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 share,</w:t>
            </w:r>
          </w:p>
        </w:tc>
        <w:tc>
          <w:tcPr>
            <w:tcW w:w="7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reserved for</w:t>
            </w:r>
          </w:p>
        </w:tc>
        <w:tc>
          <w:tcPr>
            <w:tcW w:w="7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issuance</w:t>
            </w:r>
          </w:p>
        </w:tc>
        <w:tc>
          <w:tcPr>
            <w:tcW w:w="7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pursuant to the</w:t>
            </w:r>
          </w:p>
        </w:tc>
        <w:tc>
          <w:tcPr>
            <w:tcW w:w="7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Amended and</w:t>
            </w:r>
          </w:p>
        </w:tc>
        <w:tc>
          <w:tcPr>
            <w:tcW w:w="7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Restated 2020</w:t>
            </w:r>
          </w:p>
        </w:tc>
        <w:tc>
          <w:tcPr>
            <w:tcW w:w="7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Equity Incentive</w:t>
            </w:r>
          </w:p>
        </w:tc>
        <w:tc>
          <w:tcPr>
            <w:tcW w:w="7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1,998,080 (2)</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$14.69 (3)</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$29,351,795.20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0.0001476</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$4,332.32</w:t>
            </w:r>
          </w:p>
        </w:tc>
        <w:tc>
          <w:tcPr>
            <w:tcW w:w="0" w:type="dxa"/>
            <w:vAlign w:val="bottom"/>
          </w:tcPr>
          <w:p>
            <w:pPr>
              <w:spacing w:after="0"/>
              <w:rPr>
                <w:sz w:val="1"/>
                <w:szCs w:val="1"/>
                <w:color w:val="auto"/>
              </w:rPr>
            </w:pPr>
          </w:p>
        </w:tc>
      </w:tr>
      <w:tr>
        <w:trPr>
          <w:trHeight w:val="241"/>
        </w:trPr>
        <w:tc>
          <w:tcPr>
            <w:tcW w:w="1300" w:type="dxa"/>
            <w:vAlign w:val="bottom"/>
            <w:tcBorders>
              <w:left w:val="single" w:sz="8" w:color="auto"/>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Total Offering Amount</w:t>
            </w:r>
          </w:p>
        </w:tc>
        <w:tc>
          <w:tcPr>
            <w:tcW w:w="10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$29,351,795.20</w:t>
            </w:r>
          </w:p>
        </w:tc>
        <w:tc>
          <w:tcPr>
            <w:tcW w:w="9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$4,332.32</w:t>
            </w:r>
          </w:p>
        </w:tc>
        <w:tc>
          <w:tcPr>
            <w:tcW w:w="0" w:type="dxa"/>
            <w:vAlign w:val="bottom"/>
          </w:tcPr>
          <w:p>
            <w:pPr>
              <w:spacing w:after="0"/>
              <w:rPr>
                <w:sz w:val="1"/>
                <w:szCs w:val="1"/>
                <w:color w:val="auto"/>
              </w:rPr>
            </w:pPr>
          </w:p>
        </w:tc>
      </w:tr>
      <w:tr>
        <w:trPr>
          <w:trHeight w:val="236"/>
        </w:trPr>
        <w:tc>
          <w:tcPr>
            <w:tcW w:w="1300" w:type="dxa"/>
            <w:vAlign w:val="bottom"/>
            <w:tcBorders>
              <w:left w:val="single" w:sz="8" w:color="auto"/>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0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6"/>
        </w:trPr>
        <w:tc>
          <w:tcPr>
            <w:tcW w:w="1300" w:type="dxa"/>
            <w:vAlign w:val="bottom"/>
            <w:tcBorders>
              <w:left w:val="single" w:sz="8" w:color="auto"/>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0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$4,332.32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40" w:hanging="424"/>
        <w:spacing w:after="0" w:line="253"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par value $0.001 per share (“Common Stock”) of ALX Oncology Holdings Inc. (the “Registrant”) available for issuance pursuant to awards granted pursuant to the Registrant’s Amended and Restated 2020 Equity Incentive Plan (the “2020 Plan”). In addition, pursuant to Rule 416(a) of the Securities Act of 1933, as amended (the “Securities Act”), this Registration Statement shall also cover any additional shares of the Registrant’s Common Stock that become issuable under the 2020 Plan by reason of any stock dividend, stock split, recapitalization or other similar transaction effected without the Registrant’s receipt of consideration that results in an increase in the number of the outstanding shares of common stock.</w:t>
      </w:r>
    </w:p>
    <w:p>
      <w:pPr>
        <w:spacing w:after="0" w:line="5" w:lineRule="exact"/>
        <w:rPr>
          <w:rFonts w:ascii="Times New Roman" w:cs="Times New Roman" w:eastAsia="Times New Roman" w:hAnsi="Times New Roman"/>
          <w:sz w:val="18"/>
          <w:szCs w:val="18"/>
          <w:color w:val="auto"/>
        </w:rPr>
      </w:pPr>
    </w:p>
    <w:p>
      <w:pPr>
        <w:ind w:left="424" w:right="44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automatic increase on January 1, 2024 to the number of shares of Common Stock reserved for issuance pursuant to future awards under the 2020 Plan, which annual increase is provided for in the 2020 Plan.</w:t>
      </w:r>
    </w:p>
    <w:p>
      <w:pPr>
        <w:ind w:left="424" w:right="20" w:hanging="424"/>
        <w:spacing w:after="0" w:line="255"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paragraphs (c) and (h) of Rule 457 of the Securities Act solely for the purpose of calculating the registration fee on the basis of $14.69 per share, which is the average of the high and low prices of the Registrant’s Common Stock, as reported on the Nasdaq Global Select Market, on March 5, 2024.</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
    <w:nsid w:val="625558EC"/>
    <w:multiLevelType w:val="hybridMultilevel"/>
    <w:lvl w:ilvl="0">
      <w:lvlJc w:val="left"/>
      <w:lvlText w:val="%1"/>
      <w:numFmt w:val="upperLetter"/>
      <w:start w:val="1"/>
    </w:lvl>
    <w:lvl w:ilvl="1">
      <w:lvlJc w:val="left"/>
      <w:lvlText w:val="(%2)"/>
      <w:numFmt w:val="decimal"/>
      <w:start w:val="2"/>
    </w:lvl>
  </w:abstractNum>
  <w:abstractNum w:abstractNumId="3">
    <w:nsid w:val="238E1F29"/>
    <w:multiLevelType w:val="hybridMultilevel"/>
    <w:lvl w:ilvl="0">
      <w:lvlJc w:val="left"/>
      <w:lvlText w:val="%1."/>
      <w:numFmt w:val="upperLetter"/>
      <w:start w:val="2"/>
    </w:lvl>
    <w:lvl w:ilvl="1">
      <w:lvlJc w:val="left"/>
      <w:lvlText w:val="%2"/>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jpeg"/><Relationship Id="rId18" Type="http://schemas.openxmlformats.org/officeDocument/2006/relationships/hyperlink" Target="http://www.sec.gov/ix?doc=/Archives/edgar/data/0001810182/000095017024027955/alxo-20231231.htm" TargetMode="External"/><Relationship Id="rId19" Type="http://schemas.openxmlformats.org/officeDocument/2006/relationships/hyperlink" Target="http://www.sec.gov/Archives/edgar/data/1810182/000119312520191878/d936945d8a12b.htm" TargetMode="External"/><Relationship Id="rId23" Type="http://schemas.openxmlformats.org/officeDocument/2006/relationships/hyperlink" Target="http://www.sec.gov/Archives/edgar/data/1810182/000119312520181021/d913838dex42.htm" TargetMode="External"/><Relationship Id="rId24" Type="http://schemas.openxmlformats.org/officeDocument/2006/relationships/hyperlink" Target="http://www.sec.gov/Archives/edgar/data/1810182/000119312520191500/d913838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2024-03-08T05:21:59Z</dcterms:created>
  <dcterms:modified xsi:type="dcterms:W3CDTF">2024-03-08T05:21:59Z</dcterms:modified>
</cp:coreProperties>
</file>